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53BEC9" w14:textId="23F8DA8A" w:rsidR="00517A2D" w:rsidRPr="00157660" w:rsidRDefault="00DB64A0" w:rsidP="00157660">
      <w:pPr>
        <w:widowControl/>
        <w:suppressAutoHyphens w:val="0"/>
        <w:rPr>
          <w:rFonts w:asciiTheme="minorHAnsi" w:hAnsiTheme="minorHAnsi" w:cs="Georgia"/>
          <w:i/>
          <w:sz w:val="20"/>
          <w:szCs w:val="20"/>
          <w:lang w:val="en-US"/>
        </w:rPr>
      </w:pPr>
      <w:r>
        <w:rPr>
          <w:rFonts w:asciiTheme="minorHAnsi" w:hAnsiTheme="minorHAnsi" w:cs="Courier New"/>
          <w:kern w:val="0"/>
          <w:sz w:val="20"/>
          <w:szCs w:val="20"/>
          <w:lang w:val="en-US" w:eastAsia="en-US" w:bidi="ar-SA"/>
        </w:rPr>
        <w:t>26</w:t>
      </w:r>
      <w:r w:rsidR="00517A2D" w:rsidRPr="00157660">
        <w:rPr>
          <w:rFonts w:asciiTheme="minorHAnsi" w:hAnsiTheme="minorHAnsi" w:cs="Courier New"/>
          <w:kern w:val="0"/>
          <w:sz w:val="20"/>
          <w:szCs w:val="20"/>
          <w:lang w:val="en-US" w:eastAsia="en-US" w:bidi="ar-SA"/>
        </w:rPr>
        <w:t>-</w:t>
      </w:r>
      <w:r w:rsidR="00E421E9">
        <w:rPr>
          <w:rFonts w:asciiTheme="minorHAnsi" w:hAnsiTheme="minorHAnsi" w:cs="Courier New"/>
          <w:kern w:val="0"/>
          <w:sz w:val="20"/>
          <w:szCs w:val="20"/>
          <w:lang w:val="en-US" w:eastAsia="en-US" w:bidi="ar-SA"/>
        </w:rPr>
        <w:t>Sep-2019</w:t>
      </w:r>
    </w:p>
    <w:p w14:paraId="5FCAD605" w14:textId="77777777" w:rsidR="00517A2D" w:rsidRPr="00157660"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p>
    <w:p w14:paraId="03817615" w14:textId="77777777" w:rsidR="00517A2D" w:rsidRPr="00157660"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r w:rsidRPr="00157660">
        <w:rPr>
          <w:rFonts w:asciiTheme="minorHAnsi" w:hAnsiTheme="minorHAnsi" w:cs="Courier New"/>
          <w:kern w:val="0"/>
          <w:sz w:val="20"/>
          <w:szCs w:val="20"/>
          <w:lang w:val="en-US" w:eastAsia="en-US" w:bidi="ar-SA"/>
        </w:rPr>
        <w:t xml:space="preserve">Journal:  </w:t>
      </w:r>
      <w:r w:rsidR="00E421E9">
        <w:rPr>
          <w:rFonts w:asciiTheme="minorHAnsi" w:hAnsiTheme="minorHAnsi" w:cs="Courier New"/>
          <w:kern w:val="0"/>
          <w:sz w:val="20"/>
          <w:szCs w:val="20"/>
          <w:lang w:val="en-US" w:eastAsia="en-US" w:bidi="ar-SA"/>
        </w:rPr>
        <w:t>Molecules</w:t>
      </w:r>
    </w:p>
    <w:p w14:paraId="189BA533" w14:textId="77777777" w:rsidR="00517A2D" w:rsidRPr="00E421E9"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r w:rsidRPr="00157660">
        <w:rPr>
          <w:rFonts w:asciiTheme="minorHAnsi" w:hAnsiTheme="minorHAnsi" w:cs="Courier New"/>
          <w:kern w:val="0"/>
          <w:sz w:val="20"/>
          <w:szCs w:val="20"/>
          <w:lang w:val="en-US" w:eastAsia="en-US" w:bidi="ar-SA"/>
        </w:rPr>
        <w:t xml:space="preserve">Manuscript ID: </w:t>
      </w:r>
      <w:r w:rsidR="00E421E9" w:rsidRPr="00E421E9">
        <w:rPr>
          <w:rFonts w:asciiTheme="minorHAnsi" w:hAnsiTheme="minorHAnsi" w:cs="Courier New"/>
          <w:kern w:val="0"/>
          <w:sz w:val="20"/>
          <w:szCs w:val="20"/>
          <w:lang w:val="en-US" w:eastAsia="en-US" w:bidi="ar-SA"/>
        </w:rPr>
        <w:t>molecules-594538</w:t>
      </w:r>
    </w:p>
    <w:p w14:paraId="261D5764" w14:textId="77777777" w:rsidR="00517A2D" w:rsidRPr="00157660"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r w:rsidRPr="00157660">
        <w:rPr>
          <w:rFonts w:asciiTheme="minorHAnsi" w:hAnsiTheme="minorHAnsi" w:cs="Courier New"/>
          <w:kern w:val="0"/>
          <w:sz w:val="20"/>
          <w:szCs w:val="20"/>
          <w:lang w:val="en-US" w:eastAsia="en-US" w:bidi="ar-SA"/>
        </w:rPr>
        <w:t>Title: "</w:t>
      </w:r>
      <w:r w:rsidR="00E421E9" w:rsidRPr="00E421E9">
        <w:rPr>
          <w:rFonts w:asciiTheme="minorHAnsi" w:hAnsiTheme="minorHAnsi" w:cs="Courier New"/>
          <w:kern w:val="0"/>
          <w:sz w:val="20"/>
          <w:szCs w:val="20"/>
          <w:lang w:val="en-US" w:eastAsia="en-US" w:bidi="ar-SA"/>
        </w:rPr>
        <w:t>The power of LC-MS based multiomics: Exploring adipogenic differentiation of human mesenchymal stem/ stromal cells</w:t>
      </w:r>
      <w:r w:rsidRPr="00157660">
        <w:rPr>
          <w:rFonts w:asciiTheme="minorHAnsi" w:hAnsiTheme="minorHAnsi" w:cs="Courier New"/>
          <w:kern w:val="0"/>
          <w:sz w:val="20"/>
          <w:szCs w:val="20"/>
          <w:lang w:val="en-US" w:eastAsia="en-US" w:bidi="ar-SA"/>
        </w:rPr>
        <w:t>"</w:t>
      </w:r>
    </w:p>
    <w:p w14:paraId="4EAE6434" w14:textId="2870A367" w:rsidR="00517A2D" w:rsidRPr="00157660" w:rsidRDefault="00517A2D" w:rsidP="00E421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r w:rsidRPr="00157660">
        <w:rPr>
          <w:rFonts w:asciiTheme="minorHAnsi" w:hAnsiTheme="minorHAnsi" w:cs="Courier New"/>
          <w:kern w:val="0"/>
          <w:sz w:val="20"/>
          <w:szCs w:val="20"/>
          <w:lang w:val="en-US" w:eastAsia="en-US" w:bidi="ar-SA"/>
        </w:rPr>
        <w:t xml:space="preserve">Author(s): </w:t>
      </w:r>
      <w:r w:rsidR="00DB64A0">
        <w:rPr>
          <w:rFonts w:asciiTheme="minorHAnsi" w:hAnsiTheme="minorHAnsi" w:cs="Courier New"/>
          <w:kern w:val="0"/>
          <w:sz w:val="20"/>
          <w:szCs w:val="20"/>
          <w:lang w:val="en-US" w:eastAsia="en-US" w:bidi="ar-SA"/>
        </w:rPr>
        <w:t xml:space="preserve">Evelyn Rampler* , Dominik Egger, Harald </w:t>
      </w:r>
      <w:proofErr w:type="spellStart"/>
      <w:r w:rsidR="00DB64A0">
        <w:rPr>
          <w:rFonts w:asciiTheme="minorHAnsi" w:hAnsiTheme="minorHAnsi" w:cs="Courier New"/>
          <w:kern w:val="0"/>
          <w:sz w:val="20"/>
          <w:szCs w:val="20"/>
          <w:lang w:val="en-US" w:eastAsia="en-US" w:bidi="ar-SA"/>
        </w:rPr>
        <w:t>Schoeny</w:t>
      </w:r>
      <w:proofErr w:type="spellEnd"/>
      <w:r w:rsidR="00DB64A0">
        <w:rPr>
          <w:rFonts w:asciiTheme="minorHAnsi" w:hAnsiTheme="minorHAnsi" w:cs="Courier New"/>
          <w:kern w:val="0"/>
          <w:sz w:val="20"/>
          <w:szCs w:val="20"/>
          <w:lang w:val="en-US" w:eastAsia="en-US" w:bidi="ar-SA"/>
        </w:rPr>
        <w:t xml:space="preserve">, Mate </w:t>
      </w:r>
      <w:proofErr w:type="spellStart"/>
      <w:r w:rsidR="00DB64A0">
        <w:rPr>
          <w:rFonts w:asciiTheme="minorHAnsi" w:hAnsiTheme="minorHAnsi" w:cs="Courier New"/>
          <w:kern w:val="0"/>
          <w:sz w:val="20"/>
          <w:szCs w:val="20"/>
          <w:lang w:val="en-US" w:eastAsia="en-US" w:bidi="ar-SA"/>
        </w:rPr>
        <w:t>Rusz</w:t>
      </w:r>
      <w:proofErr w:type="spellEnd"/>
      <w:r w:rsidR="00DB64A0">
        <w:rPr>
          <w:rFonts w:asciiTheme="minorHAnsi" w:hAnsiTheme="minorHAnsi" w:cs="Courier New"/>
          <w:kern w:val="0"/>
          <w:sz w:val="20"/>
          <w:szCs w:val="20"/>
          <w:lang w:val="en-US" w:eastAsia="en-US" w:bidi="ar-SA"/>
        </w:rPr>
        <w:t xml:space="preserve">, Maria </w:t>
      </w:r>
      <w:proofErr w:type="spellStart"/>
      <w:r w:rsidR="00DB64A0">
        <w:rPr>
          <w:rFonts w:asciiTheme="minorHAnsi" w:hAnsiTheme="minorHAnsi" w:cs="Courier New"/>
          <w:kern w:val="0"/>
          <w:sz w:val="20"/>
          <w:szCs w:val="20"/>
          <w:lang w:val="en-US" w:eastAsia="en-US" w:bidi="ar-SA"/>
        </w:rPr>
        <w:t>Pires</w:t>
      </w:r>
      <w:proofErr w:type="spellEnd"/>
      <w:r w:rsidR="00DB64A0">
        <w:rPr>
          <w:rFonts w:asciiTheme="minorHAnsi" w:hAnsiTheme="minorHAnsi" w:cs="Courier New"/>
          <w:kern w:val="0"/>
          <w:sz w:val="20"/>
          <w:szCs w:val="20"/>
          <w:lang w:val="en-US" w:eastAsia="en-US" w:bidi="ar-SA"/>
        </w:rPr>
        <w:t xml:space="preserve"> Pacheco, Giada Marino, Cornelia Kasper, Thomas </w:t>
      </w:r>
      <w:proofErr w:type="spellStart"/>
      <w:r w:rsidR="00DB64A0">
        <w:rPr>
          <w:rFonts w:asciiTheme="minorHAnsi" w:hAnsiTheme="minorHAnsi" w:cs="Courier New"/>
          <w:kern w:val="0"/>
          <w:sz w:val="20"/>
          <w:szCs w:val="20"/>
          <w:lang w:val="en-US" w:eastAsia="en-US" w:bidi="ar-SA"/>
        </w:rPr>
        <w:t>Naegele</w:t>
      </w:r>
      <w:proofErr w:type="spellEnd"/>
      <w:r w:rsidR="00E421E9" w:rsidRPr="00E421E9">
        <w:rPr>
          <w:rFonts w:asciiTheme="minorHAnsi" w:hAnsiTheme="minorHAnsi" w:cs="Courier New"/>
          <w:kern w:val="0"/>
          <w:sz w:val="20"/>
          <w:szCs w:val="20"/>
          <w:lang w:val="en-US" w:eastAsia="en-US" w:bidi="ar-SA"/>
        </w:rPr>
        <w:t xml:space="preserve">, </w:t>
      </w:r>
      <w:proofErr w:type="spellStart"/>
      <w:r w:rsidR="00E421E9" w:rsidRPr="00E421E9">
        <w:rPr>
          <w:rFonts w:asciiTheme="minorHAnsi" w:hAnsiTheme="minorHAnsi" w:cs="Courier New"/>
          <w:kern w:val="0"/>
          <w:sz w:val="20"/>
          <w:szCs w:val="20"/>
          <w:lang w:val="en-US" w:eastAsia="en-US" w:bidi="ar-SA"/>
        </w:rPr>
        <w:t>Gunda</w:t>
      </w:r>
      <w:proofErr w:type="spellEnd"/>
      <w:r w:rsidR="00E421E9" w:rsidRPr="00E421E9">
        <w:rPr>
          <w:rFonts w:asciiTheme="minorHAnsi" w:hAnsiTheme="minorHAnsi" w:cs="Courier New"/>
          <w:kern w:val="0"/>
          <w:sz w:val="20"/>
          <w:szCs w:val="20"/>
          <w:lang w:val="en-US" w:eastAsia="en-US" w:bidi="ar-SA"/>
        </w:rPr>
        <w:t xml:space="preserve"> </w:t>
      </w:r>
      <w:proofErr w:type="spellStart"/>
      <w:r w:rsidR="00E421E9" w:rsidRPr="00E421E9">
        <w:rPr>
          <w:rFonts w:asciiTheme="minorHAnsi" w:hAnsiTheme="minorHAnsi" w:cs="Courier New"/>
          <w:kern w:val="0"/>
          <w:sz w:val="20"/>
          <w:szCs w:val="20"/>
          <w:lang w:val="en-US" w:eastAsia="en-US" w:bidi="ar-SA"/>
        </w:rPr>
        <w:t>Koellensperger</w:t>
      </w:r>
      <w:proofErr w:type="spellEnd"/>
    </w:p>
    <w:p w14:paraId="134706AB" w14:textId="77777777" w:rsidR="00157660" w:rsidRPr="00157660" w:rsidRDefault="00157660"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p>
    <w:p w14:paraId="26D7978D" w14:textId="77777777" w:rsidR="00517A2D" w:rsidRPr="00157660"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b/>
          <w:kern w:val="0"/>
          <w:sz w:val="32"/>
          <w:szCs w:val="20"/>
          <w:lang w:val="en-US" w:eastAsia="en-US" w:bidi="ar-SA"/>
        </w:rPr>
      </w:pPr>
      <w:r w:rsidRPr="00157660">
        <w:rPr>
          <w:rFonts w:asciiTheme="minorHAnsi" w:hAnsiTheme="minorHAnsi" w:cs="Courier New"/>
          <w:b/>
          <w:kern w:val="0"/>
          <w:sz w:val="32"/>
          <w:szCs w:val="20"/>
          <w:lang w:val="en-US" w:eastAsia="en-US" w:bidi="ar-SA"/>
        </w:rPr>
        <w:t xml:space="preserve">Response to the reviewers  </w:t>
      </w:r>
    </w:p>
    <w:p w14:paraId="37DDD65D" w14:textId="77777777" w:rsidR="00517A2D" w:rsidRPr="00157660" w:rsidRDefault="00517A2D" w:rsidP="00517A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Courier New"/>
          <w:kern w:val="0"/>
          <w:sz w:val="20"/>
          <w:szCs w:val="20"/>
          <w:lang w:val="en-US" w:eastAsia="en-US" w:bidi="ar-SA"/>
        </w:rPr>
      </w:pPr>
    </w:p>
    <w:p w14:paraId="5B2ADF78" w14:textId="77777777" w:rsidR="00E1255A" w:rsidRDefault="00E1255A" w:rsidP="00E1255A">
      <w:pPr>
        <w:widowControl/>
        <w:suppressAutoHyphens w:val="0"/>
        <w:rPr>
          <w:rFonts w:asciiTheme="minorHAnsi" w:hAnsiTheme="minorHAnsi"/>
          <w:b/>
          <w:lang w:val="en-US"/>
        </w:rPr>
      </w:pPr>
    </w:p>
    <w:p w14:paraId="4784EE68" w14:textId="5D171FC6" w:rsidR="00157660" w:rsidRPr="00157660" w:rsidRDefault="00157660" w:rsidP="00E1255A">
      <w:pPr>
        <w:widowControl/>
        <w:suppressAutoHyphens w:val="0"/>
        <w:rPr>
          <w:rFonts w:asciiTheme="minorHAnsi" w:hAnsiTheme="minorHAnsi"/>
          <w:b/>
          <w:lang w:val="en-US"/>
        </w:rPr>
      </w:pPr>
      <w:r w:rsidRPr="00157660">
        <w:rPr>
          <w:rFonts w:asciiTheme="minorHAnsi" w:hAnsiTheme="minorHAnsi"/>
          <w:b/>
          <w:lang w:val="en-US"/>
        </w:rPr>
        <w:t>Referee 2</w:t>
      </w:r>
    </w:p>
    <w:p w14:paraId="51BAD8F5" w14:textId="77777777" w:rsidR="00157660" w:rsidRPr="00157660" w:rsidRDefault="00157660" w:rsidP="00157660">
      <w:pPr>
        <w:autoSpaceDE w:val="0"/>
        <w:autoSpaceDN w:val="0"/>
        <w:adjustRightInd w:val="0"/>
        <w:jc w:val="both"/>
        <w:rPr>
          <w:rFonts w:asciiTheme="minorHAnsi" w:hAnsiTheme="minorHAnsi"/>
          <w:lang w:val="en-US"/>
        </w:rPr>
      </w:pPr>
    </w:p>
    <w:p w14:paraId="08220C4B" w14:textId="77777777" w:rsidR="00EB4DBB" w:rsidRDefault="00157660" w:rsidP="00157660">
      <w:pPr>
        <w:autoSpaceDE w:val="0"/>
        <w:autoSpaceDN w:val="0"/>
        <w:adjustRightInd w:val="0"/>
        <w:jc w:val="both"/>
        <w:rPr>
          <w:rFonts w:asciiTheme="minorHAnsi" w:hAnsiTheme="minorHAnsi"/>
          <w:color w:val="0070C0"/>
          <w:lang w:val="en-US"/>
        </w:rPr>
      </w:pPr>
      <w:r w:rsidRPr="00157660">
        <w:rPr>
          <w:rFonts w:asciiTheme="minorHAnsi" w:hAnsiTheme="minorHAnsi"/>
          <w:color w:val="0070C0"/>
          <w:lang w:val="en-US"/>
        </w:rPr>
        <w:t>Comments</w:t>
      </w:r>
      <w:proofErr w:type="gramStart"/>
      <w:r w:rsidRPr="00157660">
        <w:rPr>
          <w:rFonts w:asciiTheme="minorHAnsi" w:hAnsiTheme="minorHAnsi"/>
          <w:color w:val="0070C0"/>
          <w:lang w:val="en-US"/>
        </w:rPr>
        <w:t>:</w:t>
      </w:r>
      <w:proofErr w:type="gramEnd"/>
      <w:r w:rsidRPr="00157660">
        <w:rPr>
          <w:rFonts w:asciiTheme="minorHAnsi" w:hAnsiTheme="minorHAnsi"/>
          <w:lang w:val="en-US"/>
        </w:rPr>
        <w:br/>
      </w:r>
      <w:r w:rsidR="00EB4DBB" w:rsidRPr="00EB4DBB">
        <w:rPr>
          <w:rFonts w:asciiTheme="minorHAnsi" w:hAnsiTheme="minorHAnsi"/>
          <w:color w:val="0070C0"/>
          <w:lang w:val="en-US"/>
        </w:rPr>
        <w:t>The manuscript by Rampler et al describes a very interesting work showing the integrative application of multiomics to provide a more holistic molecular perspective by integrating multiple types of omics, namely lipidomics, proteomics and metabolomics to give new insights in cell differentiation. The manuscript is well organized and technically sound but have some limitations including small sample size. Despite the low sample size, the study provide a novel approach for the proof of principle and some valuable information on the application of multiomics not only for follow-up studies but also its potential for understanding the complex pathophysiology of diseases, among other applications. However, the study suffers from other limitations that are not adequately acknowledged by the authors. The manuscript should be accepted for the publication after addressed major critique points listed below.</w:t>
      </w:r>
    </w:p>
    <w:p w14:paraId="1D3E5232" w14:textId="269D482C" w:rsidR="001400F6" w:rsidRPr="00BB122F" w:rsidRDefault="00157660" w:rsidP="00157660">
      <w:pPr>
        <w:autoSpaceDE w:val="0"/>
        <w:autoSpaceDN w:val="0"/>
        <w:adjustRightInd w:val="0"/>
        <w:jc w:val="both"/>
        <w:rPr>
          <w:rFonts w:asciiTheme="minorHAnsi" w:hAnsiTheme="minorHAnsi"/>
          <w:color w:val="000000" w:themeColor="text1"/>
          <w:lang w:val="en-US"/>
        </w:rPr>
      </w:pPr>
      <w:r w:rsidRPr="00157660">
        <w:rPr>
          <w:rFonts w:asciiTheme="minorHAnsi" w:hAnsiTheme="minorHAnsi"/>
          <w:lang w:val="en-US"/>
        </w:rPr>
        <w:t>We thank the referee for th</w:t>
      </w:r>
      <w:r w:rsidR="004563C4">
        <w:rPr>
          <w:rFonts w:asciiTheme="minorHAnsi" w:hAnsiTheme="minorHAnsi"/>
          <w:lang w:val="en-US"/>
        </w:rPr>
        <w:t>is</w:t>
      </w:r>
      <w:r w:rsidR="00C5482B">
        <w:rPr>
          <w:rFonts w:asciiTheme="minorHAnsi" w:hAnsiTheme="minorHAnsi"/>
          <w:lang w:val="en-US"/>
        </w:rPr>
        <w:t xml:space="preserve"> relevant</w:t>
      </w:r>
      <w:r w:rsidR="00181F2D">
        <w:rPr>
          <w:rFonts w:asciiTheme="minorHAnsi" w:hAnsiTheme="minorHAnsi"/>
          <w:lang w:val="en-US"/>
        </w:rPr>
        <w:t xml:space="preserve"> </w:t>
      </w:r>
      <w:r w:rsidRPr="00157660">
        <w:rPr>
          <w:rFonts w:asciiTheme="minorHAnsi" w:hAnsiTheme="minorHAnsi"/>
          <w:lang w:val="en-US"/>
        </w:rPr>
        <w:t>review as it contained crucial points to be improved.</w:t>
      </w:r>
      <w:r w:rsidR="001C32F4">
        <w:rPr>
          <w:rFonts w:asciiTheme="minorHAnsi" w:hAnsiTheme="minorHAnsi"/>
          <w:lang w:val="en-US"/>
        </w:rPr>
        <w:t xml:space="preserve"> </w:t>
      </w:r>
      <w:r w:rsidR="004563C4">
        <w:rPr>
          <w:rFonts w:asciiTheme="minorHAnsi" w:hAnsiTheme="minorHAnsi"/>
          <w:lang w:val="en-US"/>
        </w:rPr>
        <w:t>We agree with the referee that the</w:t>
      </w:r>
      <w:r w:rsidR="001400F6">
        <w:rPr>
          <w:rFonts w:asciiTheme="minorHAnsi" w:hAnsiTheme="minorHAnsi"/>
          <w:lang w:val="en-US"/>
        </w:rPr>
        <w:t xml:space="preserve"> low sample size</w:t>
      </w:r>
      <w:r w:rsidR="00BA72AB">
        <w:rPr>
          <w:rFonts w:asciiTheme="minorHAnsi" w:hAnsiTheme="minorHAnsi"/>
          <w:lang w:val="en-US"/>
        </w:rPr>
        <w:t xml:space="preserve"> has to be stated as it might represent</w:t>
      </w:r>
      <w:r w:rsidR="001400F6">
        <w:rPr>
          <w:rFonts w:asciiTheme="minorHAnsi" w:hAnsiTheme="minorHAnsi"/>
          <w:lang w:val="en-US"/>
        </w:rPr>
        <w:t xml:space="preserve"> an issu</w:t>
      </w:r>
      <w:r w:rsidR="00BA72AB">
        <w:rPr>
          <w:rFonts w:asciiTheme="minorHAnsi" w:hAnsiTheme="minorHAnsi"/>
          <w:lang w:val="en-US"/>
        </w:rPr>
        <w:t xml:space="preserve">e for biological interpretation. </w:t>
      </w:r>
      <w:r w:rsidR="003C4C8D" w:rsidRPr="001872BB">
        <w:rPr>
          <w:rFonts w:asciiTheme="minorHAnsi" w:hAnsiTheme="minorHAnsi"/>
          <w:lang w:val="en-US"/>
        </w:rPr>
        <w:t>We now stated the drawback of the low sample size more c</w:t>
      </w:r>
      <w:r w:rsidR="00BB122F">
        <w:rPr>
          <w:rFonts w:asciiTheme="minorHAnsi" w:hAnsiTheme="minorHAnsi"/>
          <w:lang w:val="en-US"/>
        </w:rPr>
        <w:t>l</w:t>
      </w:r>
      <w:r w:rsidR="003C4C8D" w:rsidRPr="001872BB">
        <w:rPr>
          <w:rFonts w:asciiTheme="minorHAnsi" w:hAnsiTheme="minorHAnsi"/>
          <w:lang w:val="en-US"/>
        </w:rPr>
        <w:t>early</w:t>
      </w:r>
      <w:r w:rsidR="008D4FBD">
        <w:rPr>
          <w:rFonts w:asciiTheme="minorHAnsi" w:hAnsiTheme="minorHAnsi"/>
          <w:lang w:val="en-US"/>
        </w:rPr>
        <w:t xml:space="preserve"> (see also comment</w:t>
      </w:r>
      <w:r w:rsidR="001C05DF">
        <w:rPr>
          <w:rFonts w:asciiTheme="minorHAnsi" w:hAnsiTheme="minorHAnsi"/>
          <w:lang w:val="en-US"/>
        </w:rPr>
        <w:t>s</w:t>
      </w:r>
      <w:r w:rsidR="008D4FBD">
        <w:rPr>
          <w:rFonts w:asciiTheme="minorHAnsi" w:hAnsiTheme="minorHAnsi"/>
          <w:lang w:val="en-US"/>
        </w:rPr>
        <w:t xml:space="preserve"> below)</w:t>
      </w:r>
      <w:r w:rsidR="003C4C8D" w:rsidRPr="001872BB">
        <w:rPr>
          <w:rFonts w:asciiTheme="minorHAnsi" w:hAnsiTheme="minorHAnsi"/>
          <w:lang w:val="en-US"/>
        </w:rPr>
        <w:t xml:space="preserve"> and </w:t>
      </w:r>
      <w:r w:rsidR="001400F6" w:rsidRPr="001872BB">
        <w:rPr>
          <w:rFonts w:asciiTheme="minorHAnsi" w:hAnsiTheme="minorHAnsi"/>
          <w:lang w:val="en-US"/>
        </w:rPr>
        <w:t>the additio</w:t>
      </w:r>
      <w:r w:rsidR="00A249C8" w:rsidRPr="001872BB">
        <w:rPr>
          <w:rFonts w:asciiTheme="minorHAnsi" w:hAnsiTheme="minorHAnsi"/>
          <w:lang w:val="en-US"/>
        </w:rPr>
        <w:t xml:space="preserve">nal potential of the method to </w:t>
      </w:r>
      <w:r w:rsidR="001400F6" w:rsidRPr="001872BB">
        <w:rPr>
          <w:rFonts w:asciiTheme="minorHAnsi" w:hAnsiTheme="minorHAnsi"/>
          <w:lang w:val="en-US"/>
        </w:rPr>
        <w:t>understand pathophysiology of diseases</w:t>
      </w:r>
      <w:r w:rsidR="00E5345F" w:rsidRPr="001872BB">
        <w:rPr>
          <w:rFonts w:asciiTheme="minorHAnsi" w:hAnsiTheme="minorHAnsi"/>
          <w:lang w:val="en-US"/>
        </w:rPr>
        <w:t xml:space="preserve"> in the abstract and discussion </w:t>
      </w:r>
      <w:r w:rsidR="003C4C8D" w:rsidRPr="001872BB">
        <w:rPr>
          <w:rFonts w:asciiTheme="minorHAnsi" w:hAnsiTheme="minorHAnsi"/>
          <w:lang w:val="en-US"/>
        </w:rPr>
        <w:t xml:space="preserve">as suggested by the referee. </w:t>
      </w:r>
    </w:p>
    <w:p w14:paraId="71F89BEE" w14:textId="4B52A4F2" w:rsidR="003C4C8D" w:rsidRDefault="00157660" w:rsidP="003C4C8D">
      <w:pPr>
        <w:autoSpaceDE w:val="0"/>
        <w:autoSpaceDN w:val="0"/>
        <w:adjustRightInd w:val="0"/>
        <w:jc w:val="both"/>
        <w:rPr>
          <w:rFonts w:asciiTheme="minorHAnsi" w:hAnsiTheme="minorHAnsi"/>
          <w:color w:val="FF0000"/>
          <w:lang w:val="en-US"/>
        </w:rPr>
      </w:pPr>
      <w:r w:rsidRPr="00157660">
        <w:rPr>
          <w:rFonts w:asciiTheme="minorHAnsi" w:hAnsiTheme="minorHAnsi"/>
          <w:lang w:val="en-US"/>
        </w:rPr>
        <w:br/>
      </w:r>
      <w:r w:rsidR="00EB4DBB" w:rsidRPr="00EB4DBB">
        <w:rPr>
          <w:rFonts w:asciiTheme="minorHAnsi" w:hAnsiTheme="minorHAnsi"/>
          <w:color w:val="0070C0"/>
          <w:lang w:val="en-US"/>
        </w:rPr>
        <w:t xml:space="preserve">1. The section 4.2 Multiomics of the methods should be improved. Authors should provide all necessary experimental details namely for proteomics analysis (column, solvent system for LC-MS/MS, </w:t>
      </w:r>
      <w:proofErr w:type="spellStart"/>
      <w:r w:rsidR="00EB4DBB" w:rsidRPr="00EB4DBB">
        <w:rPr>
          <w:rFonts w:asciiTheme="minorHAnsi" w:hAnsiTheme="minorHAnsi"/>
          <w:color w:val="0070C0"/>
          <w:lang w:val="en-US"/>
        </w:rPr>
        <w:t>etc</w:t>
      </w:r>
      <w:proofErr w:type="spellEnd"/>
      <w:r w:rsidR="00EB4DBB" w:rsidRPr="00EB4DBB">
        <w:rPr>
          <w:rFonts w:asciiTheme="minorHAnsi" w:hAnsiTheme="minorHAnsi"/>
          <w:color w:val="0070C0"/>
          <w:lang w:val="en-US"/>
        </w:rPr>
        <w:t xml:space="preserve">). Also, how protein extraction was performed? It was used the pellet obtained with the adapted SIMPLEX two-phase extraction preparation (as reported in page 10, line 351) or proteins were (further) extracted using guanidine chloride/HEPES buffer followed by precipitation in methanol/chloroform/water mixture as reported in page 10, line 373 and 374? The parameters </w:t>
      </w:r>
    </w:p>
    <w:p w14:paraId="5FF85027" w14:textId="77777777" w:rsidR="003C4C8D" w:rsidRDefault="00EB4DBB" w:rsidP="00157660">
      <w:pPr>
        <w:autoSpaceDE w:val="0"/>
        <w:autoSpaceDN w:val="0"/>
        <w:adjustRightInd w:val="0"/>
        <w:jc w:val="both"/>
        <w:rPr>
          <w:rFonts w:asciiTheme="minorHAnsi" w:hAnsiTheme="minorHAnsi"/>
          <w:color w:val="0070C0"/>
          <w:lang w:val="en-US"/>
        </w:rPr>
      </w:pPr>
      <w:proofErr w:type="gramStart"/>
      <w:r w:rsidRPr="00EB4DBB">
        <w:rPr>
          <w:rFonts w:asciiTheme="minorHAnsi" w:hAnsiTheme="minorHAnsi"/>
          <w:color w:val="0070C0"/>
          <w:lang w:val="en-US"/>
        </w:rPr>
        <w:t>of</w:t>
      </w:r>
      <w:proofErr w:type="gramEnd"/>
      <w:r w:rsidRPr="00EB4DBB">
        <w:rPr>
          <w:rFonts w:asciiTheme="minorHAnsi" w:hAnsiTheme="minorHAnsi"/>
          <w:color w:val="0070C0"/>
          <w:lang w:val="en-US"/>
        </w:rPr>
        <w:t xml:space="preserve"> MS part should be also completed, namely the cycle structure, type of ions analyzed, etc. </w:t>
      </w:r>
    </w:p>
    <w:p w14:paraId="40AD5BD6" w14:textId="2742B135" w:rsidR="00DB64A0" w:rsidRDefault="008D3B81" w:rsidP="00157660">
      <w:pPr>
        <w:autoSpaceDE w:val="0"/>
        <w:autoSpaceDN w:val="0"/>
        <w:adjustRightInd w:val="0"/>
        <w:jc w:val="both"/>
        <w:rPr>
          <w:rFonts w:asciiTheme="minorHAnsi" w:hAnsiTheme="minorHAnsi"/>
          <w:color w:val="000000" w:themeColor="text1"/>
          <w:lang w:val="en-US"/>
        </w:rPr>
      </w:pPr>
      <w:r w:rsidRPr="00BB122F">
        <w:rPr>
          <w:rFonts w:asciiTheme="minorHAnsi" w:hAnsiTheme="minorHAnsi"/>
          <w:color w:val="000000" w:themeColor="text1"/>
          <w:lang w:val="en-US"/>
        </w:rPr>
        <w:t xml:space="preserve">Thank you for the useful comment, we </w:t>
      </w:r>
      <w:r w:rsidR="001C05DF">
        <w:rPr>
          <w:rFonts w:asciiTheme="minorHAnsi" w:hAnsiTheme="minorHAnsi"/>
          <w:color w:val="000000" w:themeColor="text1"/>
          <w:lang w:val="en-US"/>
        </w:rPr>
        <w:t>included</w:t>
      </w:r>
      <w:r w:rsidRPr="00BB122F">
        <w:rPr>
          <w:rFonts w:asciiTheme="minorHAnsi" w:hAnsiTheme="minorHAnsi"/>
          <w:color w:val="000000" w:themeColor="text1"/>
          <w:lang w:val="en-US"/>
        </w:rPr>
        <w:t xml:space="preserve"> more detailed information</w:t>
      </w:r>
      <w:r w:rsidR="001C05DF">
        <w:rPr>
          <w:rFonts w:asciiTheme="minorHAnsi" w:hAnsiTheme="minorHAnsi"/>
          <w:color w:val="000000" w:themeColor="text1"/>
          <w:lang w:val="en-US"/>
        </w:rPr>
        <w:t xml:space="preserve"> in the new article version</w:t>
      </w:r>
      <w:r w:rsidRPr="00BB122F">
        <w:rPr>
          <w:rFonts w:asciiTheme="minorHAnsi" w:hAnsiTheme="minorHAnsi"/>
          <w:color w:val="000000" w:themeColor="text1"/>
          <w:lang w:val="en-US"/>
        </w:rPr>
        <w:t xml:space="preserve"> on</w:t>
      </w:r>
      <w:r w:rsidR="001C05DF">
        <w:rPr>
          <w:rFonts w:asciiTheme="minorHAnsi" w:hAnsiTheme="minorHAnsi"/>
          <w:color w:val="000000" w:themeColor="text1"/>
          <w:lang w:val="en-US"/>
        </w:rPr>
        <w:t xml:space="preserve"> (1)</w:t>
      </w:r>
      <w:r w:rsidRPr="00BB122F">
        <w:rPr>
          <w:rFonts w:asciiTheme="minorHAnsi" w:hAnsiTheme="minorHAnsi"/>
          <w:color w:val="000000" w:themeColor="text1"/>
          <w:lang w:val="en-US"/>
        </w:rPr>
        <w:t xml:space="preserve"> the HILIC-RP-MS dual injection setup (added in the </w:t>
      </w:r>
      <w:r w:rsidR="001C05DF">
        <w:rPr>
          <w:rFonts w:asciiTheme="minorHAnsi" w:hAnsiTheme="minorHAnsi"/>
          <w:color w:val="000000" w:themeColor="text1"/>
          <w:lang w:val="en-US"/>
        </w:rPr>
        <w:t>s</w:t>
      </w:r>
      <w:r w:rsidRPr="001C05DF">
        <w:rPr>
          <w:rFonts w:asciiTheme="minorHAnsi" w:hAnsiTheme="minorHAnsi"/>
          <w:color w:val="000000" w:themeColor="text1"/>
          <w:lang w:val="en-US"/>
        </w:rPr>
        <w:t>upplementary</w:t>
      </w:r>
      <w:r w:rsidR="00EC5719">
        <w:rPr>
          <w:rFonts w:asciiTheme="minorHAnsi" w:hAnsiTheme="minorHAnsi"/>
          <w:b/>
          <w:color w:val="000000" w:themeColor="text1"/>
          <w:lang w:val="en-US"/>
        </w:rPr>
        <w:t xml:space="preserve"> Appendix B</w:t>
      </w:r>
      <w:r w:rsidRPr="00BB122F">
        <w:rPr>
          <w:rFonts w:asciiTheme="minorHAnsi" w:hAnsiTheme="minorHAnsi"/>
          <w:color w:val="000000" w:themeColor="text1"/>
          <w:lang w:val="en-US"/>
        </w:rPr>
        <w:t>),</w:t>
      </w:r>
      <w:r w:rsidR="001C05DF">
        <w:rPr>
          <w:rFonts w:asciiTheme="minorHAnsi" w:hAnsiTheme="minorHAnsi"/>
          <w:color w:val="000000" w:themeColor="text1"/>
          <w:lang w:val="en-US"/>
        </w:rPr>
        <w:t xml:space="preserve"> (2)</w:t>
      </w:r>
      <w:r w:rsidRPr="00BB122F">
        <w:rPr>
          <w:rFonts w:asciiTheme="minorHAnsi" w:hAnsiTheme="minorHAnsi"/>
          <w:color w:val="000000" w:themeColor="text1"/>
          <w:lang w:val="en-US"/>
        </w:rPr>
        <w:t xml:space="preserve"> the extrac</w:t>
      </w:r>
      <w:r w:rsidR="00BB122F">
        <w:rPr>
          <w:rFonts w:asciiTheme="minorHAnsi" w:hAnsiTheme="minorHAnsi"/>
          <w:color w:val="000000" w:themeColor="text1"/>
          <w:lang w:val="en-US"/>
        </w:rPr>
        <w:t>tion procedure and the LC-MS/M</w:t>
      </w:r>
      <w:r w:rsidRPr="00BB122F">
        <w:rPr>
          <w:rFonts w:asciiTheme="minorHAnsi" w:hAnsiTheme="minorHAnsi"/>
          <w:color w:val="000000" w:themeColor="text1"/>
          <w:lang w:val="en-US"/>
        </w:rPr>
        <w:t xml:space="preserve">S shotgun proteomics </w:t>
      </w:r>
      <w:r w:rsidR="003F3833">
        <w:rPr>
          <w:rFonts w:asciiTheme="minorHAnsi" w:hAnsiTheme="minorHAnsi"/>
          <w:color w:val="000000" w:themeColor="text1"/>
          <w:lang w:val="en-US"/>
        </w:rPr>
        <w:t xml:space="preserve">(Material and methods, </w:t>
      </w:r>
      <w:proofErr w:type="spellStart"/>
      <w:r w:rsidR="003F3833">
        <w:rPr>
          <w:rFonts w:asciiTheme="minorHAnsi" w:hAnsiTheme="minorHAnsi"/>
          <w:color w:val="000000" w:themeColor="text1"/>
          <w:lang w:val="en-US"/>
        </w:rPr>
        <w:t>multiomics</w:t>
      </w:r>
      <w:proofErr w:type="spellEnd"/>
      <w:r w:rsidR="003F3833">
        <w:rPr>
          <w:rFonts w:asciiTheme="minorHAnsi" w:hAnsiTheme="minorHAnsi"/>
          <w:color w:val="000000" w:themeColor="text1"/>
          <w:lang w:val="en-US"/>
        </w:rPr>
        <w:t xml:space="preserve"> part) as well as</w:t>
      </w:r>
      <w:r w:rsidR="001C05DF">
        <w:rPr>
          <w:rFonts w:asciiTheme="minorHAnsi" w:hAnsiTheme="minorHAnsi"/>
          <w:color w:val="000000" w:themeColor="text1"/>
          <w:lang w:val="en-US"/>
        </w:rPr>
        <w:t xml:space="preserve"> (3)</w:t>
      </w:r>
      <w:r w:rsidR="003F3833">
        <w:rPr>
          <w:rFonts w:asciiTheme="minorHAnsi" w:hAnsiTheme="minorHAnsi"/>
          <w:color w:val="000000" w:themeColor="text1"/>
          <w:lang w:val="en-US"/>
        </w:rPr>
        <w:t xml:space="preserve"> a detailed table on the lipids/metabolites analyzed (including ion type</w:t>
      </w:r>
      <w:r w:rsidR="00B02557">
        <w:rPr>
          <w:rFonts w:asciiTheme="minorHAnsi" w:hAnsiTheme="minorHAnsi"/>
          <w:color w:val="000000" w:themeColor="text1"/>
          <w:lang w:val="en-US"/>
        </w:rPr>
        <w:t>s</w:t>
      </w:r>
      <w:r w:rsidR="003F3833">
        <w:rPr>
          <w:rFonts w:asciiTheme="minorHAnsi" w:hAnsiTheme="minorHAnsi"/>
          <w:color w:val="000000" w:themeColor="text1"/>
          <w:lang w:val="en-US"/>
        </w:rPr>
        <w:t xml:space="preserve">) and the proteins IDs (Supplementary </w:t>
      </w:r>
      <w:r w:rsidR="003F3833" w:rsidRPr="001C05DF">
        <w:rPr>
          <w:rFonts w:asciiTheme="minorHAnsi" w:hAnsiTheme="minorHAnsi"/>
          <w:b/>
          <w:color w:val="000000" w:themeColor="text1"/>
          <w:lang w:val="en-US"/>
        </w:rPr>
        <w:t>Table S1</w:t>
      </w:r>
      <w:r w:rsidR="003F3833">
        <w:rPr>
          <w:rFonts w:asciiTheme="minorHAnsi" w:hAnsiTheme="minorHAnsi"/>
          <w:color w:val="000000" w:themeColor="text1"/>
          <w:lang w:val="en-US"/>
        </w:rPr>
        <w:t>).</w:t>
      </w:r>
      <w:r w:rsidR="00DB64A0">
        <w:rPr>
          <w:rFonts w:asciiTheme="minorHAnsi" w:hAnsiTheme="minorHAnsi"/>
          <w:color w:val="000000" w:themeColor="text1"/>
          <w:lang w:val="en-US"/>
        </w:rPr>
        <w:t xml:space="preserve"> The proteins were analyzed by a state of the proteomics workflow as described using the additional precipitation/purification step with guanidine chloride/HEPES buffer and methanol/chloroform/water mixture.</w:t>
      </w:r>
      <w:r w:rsidR="003F3833">
        <w:rPr>
          <w:rFonts w:asciiTheme="minorHAnsi" w:hAnsiTheme="minorHAnsi"/>
          <w:color w:val="000000" w:themeColor="text1"/>
          <w:lang w:val="en-US"/>
        </w:rPr>
        <w:t xml:space="preserve"> </w:t>
      </w:r>
      <w:r w:rsidR="00DB64A0">
        <w:rPr>
          <w:rFonts w:asciiTheme="minorHAnsi" w:hAnsiTheme="minorHAnsi"/>
          <w:color w:val="000000" w:themeColor="text1"/>
          <w:lang w:val="en-US"/>
        </w:rPr>
        <w:t xml:space="preserve">However, the referee is right that direct analysis of the protein pellet would have been possible after the sequential </w:t>
      </w:r>
      <w:r w:rsidR="00DB64A0">
        <w:rPr>
          <w:rFonts w:asciiTheme="minorHAnsi" w:hAnsiTheme="minorHAnsi"/>
          <w:color w:val="000000" w:themeColor="text1"/>
          <w:lang w:val="en-US"/>
        </w:rPr>
        <w:lastRenderedPageBreak/>
        <w:t>extraction. It is already planned that the direct use of the protein pellet will be investigated in future experiments.</w:t>
      </w:r>
    </w:p>
    <w:p w14:paraId="7AE68CC8" w14:textId="77777777" w:rsidR="001C05DF" w:rsidRDefault="001C05DF" w:rsidP="00157660">
      <w:pPr>
        <w:autoSpaceDE w:val="0"/>
        <w:autoSpaceDN w:val="0"/>
        <w:adjustRightInd w:val="0"/>
        <w:jc w:val="both"/>
        <w:rPr>
          <w:rFonts w:asciiTheme="minorHAnsi" w:hAnsiTheme="minorHAnsi"/>
          <w:color w:val="0070C0"/>
          <w:lang w:val="en-US"/>
        </w:rPr>
      </w:pPr>
    </w:p>
    <w:p w14:paraId="7AE3FD6F" w14:textId="5427C60D" w:rsidR="001400F6" w:rsidRDefault="00EB4DBB" w:rsidP="00157660">
      <w:pPr>
        <w:autoSpaceDE w:val="0"/>
        <w:autoSpaceDN w:val="0"/>
        <w:adjustRightInd w:val="0"/>
        <w:jc w:val="both"/>
        <w:rPr>
          <w:rFonts w:asciiTheme="minorHAnsi" w:hAnsiTheme="minorHAnsi"/>
          <w:color w:val="0070C0"/>
          <w:lang w:val="en-US"/>
        </w:rPr>
      </w:pPr>
      <w:r w:rsidRPr="00EB4DBB">
        <w:rPr>
          <w:rFonts w:asciiTheme="minorHAnsi" w:hAnsiTheme="minorHAnsi"/>
          <w:color w:val="0070C0"/>
          <w:lang w:val="en-US"/>
        </w:rPr>
        <w:t>Why MS data used for quantification was acquired only in positive ion mode? Particularly, in the case of lipidome, negative ion mode is usually required for PI class. Moreover, the authors should clarify the composition of metabolites and lipids present in the multi mixes and all the standards used, and the range of dilutions used for external calibrations.</w:t>
      </w:r>
    </w:p>
    <w:p w14:paraId="4C2BF60D" w14:textId="73F61C73" w:rsidR="00240959" w:rsidRDefault="00FB60DC" w:rsidP="00E5237E">
      <w:pPr>
        <w:autoSpaceDE w:val="0"/>
        <w:autoSpaceDN w:val="0"/>
        <w:adjustRightInd w:val="0"/>
        <w:jc w:val="both"/>
        <w:rPr>
          <w:rFonts w:asciiTheme="minorHAnsi" w:hAnsiTheme="minorHAnsi"/>
          <w:lang w:val="en-US"/>
        </w:rPr>
      </w:pPr>
      <w:r w:rsidRPr="005854C0">
        <w:rPr>
          <w:rFonts w:asciiTheme="minorHAnsi" w:hAnsiTheme="minorHAnsi"/>
          <w:lang w:val="en-US"/>
        </w:rPr>
        <w:t>O</w:t>
      </w:r>
      <w:r>
        <w:rPr>
          <w:rFonts w:asciiTheme="minorHAnsi" w:hAnsiTheme="minorHAnsi"/>
          <w:lang w:val="en-US"/>
        </w:rPr>
        <w:t xml:space="preserve">ne of our major research goals is high-throughput analysis for fully automated LC-MS based diagnostic </w:t>
      </w:r>
      <w:proofErr w:type="gramStart"/>
      <w:r>
        <w:rPr>
          <w:rFonts w:asciiTheme="minorHAnsi" w:hAnsiTheme="minorHAnsi"/>
          <w:lang w:val="en-US"/>
        </w:rPr>
        <w:t>assays,</w:t>
      </w:r>
      <w:proofErr w:type="gramEnd"/>
      <w:r>
        <w:rPr>
          <w:rFonts w:asciiTheme="minorHAnsi" w:hAnsiTheme="minorHAnsi"/>
          <w:lang w:val="en-US"/>
        </w:rPr>
        <w:t xml:space="preserve"> hence we perform</w:t>
      </w:r>
      <w:r w:rsidR="00E5237E">
        <w:rPr>
          <w:rFonts w:asciiTheme="minorHAnsi" w:hAnsiTheme="minorHAnsi"/>
          <w:lang w:val="en-US"/>
        </w:rPr>
        <w:t>ed</w:t>
      </w:r>
      <w:r>
        <w:rPr>
          <w:rFonts w:asciiTheme="minorHAnsi" w:hAnsiTheme="minorHAnsi"/>
          <w:lang w:val="en-US"/>
        </w:rPr>
        <w:t xml:space="preserve"> dual-injection HILIC-RP separation followed by Full-MS quantification runs</w:t>
      </w:r>
      <w:r w:rsidR="00240959">
        <w:rPr>
          <w:rFonts w:asciiTheme="minorHAnsi" w:hAnsiTheme="minorHAnsi"/>
          <w:lang w:val="en-US"/>
        </w:rPr>
        <w:t xml:space="preserve"> in positive mode</w:t>
      </w:r>
      <w:r w:rsidR="00E5237E">
        <w:rPr>
          <w:rFonts w:asciiTheme="minorHAnsi" w:hAnsiTheme="minorHAnsi"/>
          <w:lang w:val="en-US"/>
        </w:rPr>
        <w:t xml:space="preserve"> for the analysis of MSCs and adipocytes</w:t>
      </w:r>
      <w:r>
        <w:rPr>
          <w:rFonts w:asciiTheme="minorHAnsi" w:hAnsiTheme="minorHAnsi"/>
          <w:lang w:val="en-US"/>
        </w:rPr>
        <w:t>.</w:t>
      </w:r>
      <w:r w:rsidR="00240959" w:rsidRPr="00240959">
        <w:rPr>
          <w:rFonts w:asciiTheme="minorHAnsi" w:hAnsiTheme="minorHAnsi"/>
          <w:lang w:val="en-US"/>
        </w:rPr>
        <w:t xml:space="preserve"> </w:t>
      </w:r>
      <w:r w:rsidR="00F70E3F">
        <w:rPr>
          <w:rFonts w:asciiTheme="minorHAnsi" w:hAnsiTheme="minorHAnsi"/>
          <w:lang w:val="en-US"/>
        </w:rPr>
        <w:t>Our working group could</w:t>
      </w:r>
      <w:r w:rsidR="00E5237E">
        <w:rPr>
          <w:rFonts w:asciiTheme="minorHAnsi" w:hAnsiTheme="minorHAnsi"/>
          <w:lang w:val="en-US"/>
        </w:rPr>
        <w:t xml:space="preserve"> </w:t>
      </w:r>
      <w:r w:rsidR="00F70E3F">
        <w:rPr>
          <w:rFonts w:asciiTheme="minorHAnsi" w:hAnsiTheme="minorHAnsi"/>
          <w:lang w:val="en-US"/>
        </w:rPr>
        <w:t xml:space="preserve">recently </w:t>
      </w:r>
      <w:r w:rsidR="00E5237E">
        <w:rPr>
          <w:rFonts w:asciiTheme="minorHAnsi" w:hAnsiTheme="minorHAnsi"/>
          <w:lang w:val="en-US"/>
        </w:rPr>
        <w:t>show that the</w:t>
      </w:r>
      <w:r w:rsidR="00AC274D">
        <w:rPr>
          <w:rFonts w:asciiTheme="minorHAnsi" w:hAnsiTheme="minorHAnsi"/>
          <w:lang w:val="en-US"/>
        </w:rPr>
        <w:t xml:space="preserve"> use of labeled metabolites/l</w:t>
      </w:r>
      <w:r w:rsidR="00E5237E">
        <w:rPr>
          <w:rFonts w:asciiTheme="minorHAnsi" w:hAnsiTheme="minorHAnsi"/>
          <w:lang w:val="en-US"/>
        </w:rPr>
        <w:t>ipids for standardization offers</w:t>
      </w:r>
      <w:r w:rsidR="00AC274D">
        <w:rPr>
          <w:rFonts w:asciiTheme="minorHAnsi" w:hAnsiTheme="minorHAnsi"/>
          <w:lang w:val="en-US"/>
        </w:rPr>
        <w:t xml:space="preserve"> the possibility to merge non-targeted screening with</w:t>
      </w:r>
      <w:r w:rsidR="00AC274D" w:rsidRPr="00AC274D">
        <w:rPr>
          <w:rFonts w:asciiTheme="minorHAnsi" w:hAnsiTheme="minorHAnsi"/>
          <w:lang w:val="en-US"/>
        </w:rPr>
        <w:t xml:space="preserve"> </w:t>
      </w:r>
      <w:r w:rsidR="00AC274D">
        <w:rPr>
          <w:rFonts w:asciiTheme="minorHAnsi" w:hAnsiTheme="minorHAnsi"/>
          <w:lang w:val="en-US"/>
        </w:rPr>
        <w:t>targeted quantification</w:t>
      </w:r>
      <w:r w:rsidR="00E5237E">
        <w:rPr>
          <w:rFonts w:asciiTheme="minorHAnsi" w:hAnsiTheme="minorHAnsi"/>
          <w:lang w:val="en-US"/>
        </w:rPr>
        <w:t xml:space="preserve"> (</w:t>
      </w:r>
      <w:proofErr w:type="spellStart"/>
      <w:r w:rsidR="003F3833">
        <w:rPr>
          <w:rFonts w:asciiTheme="minorHAnsi" w:hAnsiTheme="minorHAnsi"/>
          <w:lang w:val="en-US"/>
        </w:rPr>
        <w:t>Schwaiger</w:t>
      </w:r>
      <w:proofErr w:type="spellEnd"/>
      <w:r w:rsidR="003F3833">
        <w:rPr>
          <w:rFonts w:asciiTheme="minorHAnsi" w:hAnsiTheme="minorHAnsi"/>
          <w:lang w:val="en-US"/>
        </w:rPr>
        <w:t xml:space="preserve"> et al, </w:t>
      </w:r>
      <w:r w:rsidR="003F3833" w:rsidRPr="00E5237E">
        <w:rPr>
          <w:rFonts w:asciiTheme="minorHAnsi" w:hAnsiTheme="minorHAnsi"/>
          <w:lang w:val="en-US"/>
        </w:rPr>
        <w:t xml:space="preserve">Anion-Exchange Chromatography </w:t>
      </w:r>
      <w:r w:rsidR="003F3833">
        <w:rPr>
          <w:rFonts w:asciiTheme="minorHAnsi" w:hAnsiTheme="minorHAnsi"/>
          <w:lang w:val="en-US"/>
        </w:rPr>
        <w:t xml:space="preserve">Coupled to High-Resolution Mass </w:t>
      </w:r>
      <w:r w:rsidR="003F3833" w:rsidRPr="00E5237E">
        <w:rPr>
          <w:rFonts w:asciiTheme="minorHAnsi" w:hAnsiTheme="minorHAnsi"/>
          <w:lang w:val="en-US"/>
        </w:rPr>
        <w:t xml:space="preserve">Spectrometry: </w:t>
      </w:r>
      <w:r w:rsidR="003F3833" w:rsidRPr="00F70E3F">
        <w:rPr>
          <w:rFonts w:asciiTheme="minorHAnsi" w:hAnsiTheme="minorHAnsi"/>
          <w:i/>
          <w:lang w:val="en-US"/>
        </w:rPr>
        <w:t xml:space="preserve">A Powerful Tool for Merging Targeted and </w:t>
      </w:r>
      <w:proofErr w:type="spellStart"/>
      <w:r w:rsidR="003F3833" w:rsidRPr="00F70E3F">
        <w:rPr>
          <w:rFonts w:asciiTheme="minorHAnsi" w:hAnsiTheme="minorHAnsi"/>
          <w:i/>
          <w:lang w:val="en-US"/>
        </w:rPr>
        <w:t>Nontargeted</w:t>
      </w:r>
      <w:proofErr w:type="spellEnd"/>
      <w:r w:rsidR="003F3833" w:rsidRPr="00F70E3F">
        <w:rPr>
          <w:rFonts w:asciiTheme="minorHAnsi" w:hAnsiTheme="minorHAnsi"/>
          <w:i/>
          <w:lang w:val="en-US"/>
        </w:rPr>
        <w:t xml:space="preserve"> Metabolomics</w:t>
      </w:r>
      <w:r w:rsidR="003F3833">
        <w:rPr>
          <w:rFonts w:asciiTheme="minorHAnsi" w:hAnsiTheme="minorHAnsi"/>
          <w:lang w:val="en-US"/>
        </w:rPr>
        <w:t xml:space="preserve">, </w:t>
      </w:r>
      <w:r w:rsidR="003F3833" w:rsidRPr="00F70E3F">
        <w:rPr>
          <w:rFonts w:asciiTheme="minorHAnsi" w:hAnsiTheme="minorHAnsi"/>
          <w:b/>
          <w:lang w:val="en-US"/>
        </w:rPr>
        <w:t>Anal. Chem.</w:t>
      </w:r>
      <w:r w:rsidR="003F3833" w:rsidRPr="00E5237E">
        <w:rPr>
          <w:rFonts w:asciiTheme="minorHAnsi" w:hAnsiTheme="minorHAnsi"/>
          <w:lang w:val="en-US"/>
        </w:rPr>
        <w:t xml:space="preserve"> 2017, 89, 7667−7674</w:t>
      </w:r>
      <w:r w:rsidR="003F3833">
        <w:rPr>
          <w:rFonts w:asciiTheme="minorHAnsi" w:hAnsiTheme="minorHAnsi"/>
          <w:lang w:val="en-US"/>
        </w:rPr>
        <w:t xml:space="preserve">, </w:t>
      </w:r>
      <w:r w:rsidR="003F3833" w:rsidRPr="00E5237E">
        <w:rPr>
          <w:rFonts w:asciiTheme="minorHAnsi" w:hAnsiTheme="minorHAnsi"/>
          <w:lang w:val="en-US"/>
        </w:rPr>
        <w:t>DOI: 10.1021/acs.analchem.7b01624</w:t>
      </w:r>
      <w:r w:rsidR="003F3833">
        <w:rPr>
          <w:rFonts w:asciiTheme="minorHAnsi" w:hAnsiTheme="minorHAnsi"/>
          <w:lang w:val="en-US"/>
        </w:rPr>
        <w:t>; Rampler et al,</w:t>
      </w:r>
      <w:r w:rsidR="003F3833" w:rsidRPr="00F70E3F">
        <w:rPr>
          <w:lang w:val="en-US"/>
        </w:rPr>
        <w:t xml:space="preserve"> </w:t>
      </w:r>
      <w:r w:rsidR="003F3833" w:rsidRPr="00F70E3F">
        <w:rPr>
          <w:rFonts w:asciiTheme="minorHAnsi" w:hAnsiTheme="minorHAnsi"/>
          <w:i/>
          <w:lang w:val="en-US"/>
        </w:rPr>
        <w:t>A Novel Lipidomics Workflow for Improved Human Plasma Identification and Quantification Using RPLC-MSn Methods and Isotope Dilution Strategies</w:t>
      </w:r>
      <w:r w:rsidR="003F3833">
        <w:rPr>
          <w:rFonts w:asciiTheme="minorHAnsi" w:hAnsiTheme="minorHAnsi"/>
          <w:lang w:val="en-US"/>
        </w:rPr>
        <w:t xml:space="preserve">, </w:t>
      </w:r>
      <w:r w:rsidR="003F3833" w:rsidRPr="00F70E3F">
        <w:rPr>
          <w:rFonts w:asciiTheme="minorHAnsi" w:hAnsiTheme="minorHAnsi"/>
          <w:b/>
          <w:lang w:val="en-US"/>
        </w:rPr>
        <w:t>Anal Chem.</w:t>
      </w:r>
      <w:r w:rsidR="003F3833" w:rsidRPr="00F70E3F">
        <w:rPr>
          <w:rFonts w:asciiTheme="minorHAnsi" w:hAnsiTheme="minorHAnsi"/>
          <w:lang w:val="en-US"/>
        </w:rPr>
        <w:t xml:space="preserve"> </w:t>
      </w:r>
      <w:r w:rsidR="003F3833">
        <w:rPr>
          <w:rFonts w:asciiTheme="minorHAnsi" w:hAnsiTheme="minorHAnsi"/>
          <w:lang w:val="en-US"/>
        </w:rPr>
        <w:t>2018</w:t>
      </w:r>
      <w:r w:rsidR="00B02557">
        <w:rPr>
          <w:rFonts w:asciiTheme="minorHAnsi" w:hAnsiTheme="minorHAnsi"/>
          <w:lang w:val="en-US"/>
        </w:rPr>
        <w:t>,</w:t>
      </w:r>
      <w:r w:rsidR="003F3833">
        <w:rPr>
          <w:rFonts w:asciiTheme="minorHAnsi" w:hAnsiTheme="minorHAnsi"/>
          <w:lang w:val="en-US"/>
        </w:rPr>
        <w:t xml:space="preserve"> </w:t>
      </w:r>
      <w:r w:rsidR="00B02557">
        <w:rPr>
          <w:rFonts w:asciiTheme="minorHAnsi" w:hAnsiTheme="minorHAnsi"/>
          <w:lang w:val="en-US"/>
        </w:rPr>
        <w:t>90, 6494-6501,</w:t>
      </w:r>
      <w:r w:rsidR="003F3833" w:rsidRPr="00F70E3F">
        <w:rPr>
          <w:rFonts w:asciiTheme="minorHAnsi" w:hAnsiTheme="minorHAnsi"/>
          <w:lang w:val="en-US"/>
        </w:rPr>
        <w:t xml:space="preserve"> </w:t>
      </w:r>
      <w:proofErr w:type="spellStart"/>
      <w:r w:rsidR="003F3833" w:rsidRPr="00F70E3F">
        <w:rPr>
          <w:rFonts w:asciiTheme="minorHAnsi" w:hAnsiTheme="minorHAnsi"/>
          <w:lang w:val="en-US"/>
        </w:rPr>
        <w:t>do</w:t>
      </w:r>
      <w:r w:rsidR="003F3833">
        <w:rPr>
          <w:rFonts w:asciiTheme="minorHAnsi" w:hAnsiTheme="minorHAnsi"/>
          <w:lang w:val="en-US"/>
        </w:rPr>
        <w:t>i</w:t>
      </w:r>
      <w:proofErr w:type="spellEnd"/>
      <w:r w:rsidR="003F3833">
        <w:rPr>
          <w:rFonts w:asciiTheme="minorHAnsi" w:hAnsiTheme="minorHAnsi"/>
          <w:lang w:val="en-US"/>
        </w:rPr>
        <w:t>: 10.1021/acs.analchem.7b05382</w:t>
      </w:r>
      <w:r w:rsidR="00F70E3F">
        <w:rPr>
          <w:rFonts w:asciiTheme="minorHAnsi" w:hAnsiTheme="minorHAnsi"/>
          <w:lang w:val="en-US"/>
        </w:rPr>
        <w:t>)</w:t>
      </w:r>
      <w:r w:rsidR="00AC274D">
        <w:rPr>
          <w:rFonts w:asciiTheme="minorHAnsi" w:hAnsiTheme="minorHAnsi"/>
          <w:lang w:val="en-US"/>
        </w:rPr>
        <w:t xml:space="preserve">. </w:t>
      </w:r>
      <w:r w:rsidR="00F70E3F">
        <w:rPr>
          <w:rFonts w:asciiTheme="minorHAnsi" w:hAnsiTheme="minorHAnsi"/>
          <w:lang w:val="en-US"/>
        </w:rPr>
        <w:t>The presented workflows for MSC analysis also</w:t>
      </w:r>
      <w:r w:rsidR="00AC274D">
        <w:rPr>
          <w:rFonts w:asciiTheme="minorHAnsi" w:hAnsiTheme="minorHAnsi"/>
          <w:lang w:val="en-US"/>
        </w:rPr>
        <w:t xml:space="preserve"> included</w:t>
      </w:r>
      <w:r w:rsidR="00240959">
        <w:rPr>
          <w:rFonts w:asciiTheme="minorHAnsi" w:hAnsiTheme="minorHAnsi"/>
          <w:lang w:val="en-US"/>
        </w:rPr>
        <w:t xml:space="preserve"> identification runs (with sequential exclusion lists) for both negative and positive ion mode </w:t>
      </w:r>
      <w:r w:rsidR="00AC274D">
        <w:rPr>
          <w:rFonts w:asciiTheme="minorHAnsi" w:hAnsiTheme="minorHAnsi"/>
          <w:lang w:val="en-US"/>
        </w:rPr>
        <w:t>for</w:t>
      </w:r>
      <w:r w:rsidR="00240959">
        <w:rPr>
          <w:rFonts w:asciiTheme="minorHAnsi" w:hAnsiTheme="minorHAnsi"/>
          <w:lang w:val="en-US"/>
        </w:rPr>
        <w:t xml:space="preserve"> </w:t>
      </w:r>
      <w:r w:rsidR="00AC274D">
        <w:rPr>
          <w:rFonts w:asciiTheme="minorHAnsi" w:hAnsiTheme="minorHAnsi"/>
          <w:lang w:val="en-US"/>
        </w:rPr>
        <w:t xml:space="preserve">sample pools </w:t>
      </w:r>
      <w:r w:rsidR="00240959">
        <w:rPr>
          <w:rFonts w:asciiTheme="minorHAnsi" w:hAnsiTheme="minorHAnsi"/>
          <w:lang w:val="en-US"/>
        </w:rPr>
        <w:t xml:space="preserve">as </w:t>
      </w:r>
      <w:r w:rsidR="00F70E3F">
        <w:rPr>
          <w:rFonts w:asciiTheme="minorHAnsi" w:hAnsiTheme="minorHAnsi"/>
          <w:lang w:val="en-US"/>
        </w:rPr>
        <w:t>recommended for</w:t>
      </w:r>
      <w:r w:rsidR="00240959">
        <w:rPr>
          <w:rFonts w:asciiTheme="minorHAnsi" w:hAnsiTheme="minorHAnsi"/>
          <w:lang w:val="en-US"/>
        </w:rPr>
        <w:t xml:space="preserve"> state of the art metabolomics</w:t>
      </w:r>
      <w:r w:rsidR="00FF6A9A">
        <w:rPr>
          <w:rFonts w:asciiTheme="minorHAnsi" w:hAnsiTheme="minorHAnsi"/>
          <w:lang w:val="en-US"/>
        </w:rPr>
        <w:t>/lipidomics</w:t>
      </w:r>
      <w:r w:rsidR="00240959">
        <w:rPr>
          <w:rFonts w:asciiTheme="minorHAnsi" w:hAnsiTheme="minorHAnsi"/>
          <w:lang w:val="en-US"/>
        </w:rPr>
        <w:t xml:space="preserve"> workflows (</w:t>
      </w:r>
      <w:proofErr w:type="spellStart"/>
      <w:r w:rsidR="00541868">
        <w:rPr>
          <w:rFonts w:asciiTheme="minorHAnsi" w:hAnsiTheme="minorHAnsi"/>
          <w:lang w:val="en-US"/>
        </w:rPr>
        <w:t>Dudzik</w:t>
      </w:r>
      <w:proofErr w:type="spellEnd"/>
      <w:r w:rsidR="00541868">
        <w:rPr>
          <w:rFonts w:asciiTheme="minorHAnsi" w:hAnsiTheme="minorHAnsi"/>
          <w:lang w:val="en-US"/>
        </w:rPr>
        <w:t xml:space="preserve"> et al, </w:t>
      </w:r>
      <w:r w:rsidR="00541868" w:rsidRPr="00541868">
        <w:rPr>
          <w:rFonts w:asciiTheme="minorHAnsi" w:hAnsiTheme="minorHAnsi"/>
          <w:i/>
          <w:lang w:val="en-US"/>
        </w:rPr>
        <w:t>Quality assurance procedures for mass spectrometry untargeted metabolomics</w:t>
      </w:r>
      <w:r w:rsidR="00541868">
        <w:rPr>
          <w:rFonts w:asciiTheme="minorHAnsi" w:hAnsiTheme="minorHAnsi"/>
          <w:lang w:val="en-US"/>
        </w:rPr>
        <w:t xml:space="preserve">, </w:t>
      </w:r>
      <w:r w:rsidR="00541868" w:rsidRPr="00541868">
        <w:rPr>
          <w:rFonts w:asciiTheme="minorHAnsi" w:hAnsiTheme="minorHAnsi"/>
          <w:lang w:val="en-US"/>
        </w:rPr>
        <w:t>Journal of Pharmaceutic</w:t>
      </w:r>
      <w:r w:rsidR="00541868">
        <w:rPr>
          <w:rFonts w:asciiTheme="minorHAnsi" w:hAnsiTheme="minorHAnsi"/>
          <w:lang w:val="en-US"/>
        </w:rPr>
        <w:t>al and Biomedical Analysis 147, 2018,</w:t>
      </w:r>
      <w:r w:rsidR="00541868" w:rsidRPr="00541868">
        <w:rPr>
          <w:rFonts w:asciiTheme="minorHAnsi" w:hAnsiTheme="minorHAnsi"/>
          <w:lang w:val="en-US"/>
        </w:rPr>
        <w:t xml:space="preserve"> 149–173</w:t>
      </w:r>
      <w:r w:rsidR="00541868">
        <w:rPr>
          <w:rFonts w:asciiTheme="minorHAnsi" w:hAnsiTheme="minorHAnsi"/>
          <w:lang w:val="en-US"/>
        </w:rPr>
        <w:t xml:space="preserve">, </w:t>
      </w:r>
      <w:proofErr w:type="spellStart"/>
      <w:r w:rsidR="00541868">
        <w:rPr>
          <w:rFonts w:asciiTheme="minorHAnsi" w:hAnsiTheme="minorHAnsi"/>
          <w:lang w:val="en-US"/>
        </w:rPr>
        <w:t>doi</w:t>
      </w:r>
      <w:proofErr w:type="spellEnd"/>
      <w:r w:rsidR="00541868">
        <w:rPr>
          <w:rFonts w:asciiTheme="minorHAnsi" w:hAnsiTheme="minorHAnsi"/>
          <w:lang w:val="en-US"/>
        </w:rPr>
        <w:t xml:space="preserve">: </w:t>
      </w:r>
      <w:r w:rsidR="00541868" w:rsidRPr="00541868">
        <w:rPr>
          <w:rFonts w:asciiTheme="minorHAnsi" w:hAnsiTheme="minorHAnsi"/>
          <w:lang w:val="en-US"/>
        </w:rPr>
        <w:t>10.1016/j.jpba.2017.07.044</w:t>
      </w:r>
      <w:r w:rsidR="00541868">
        <w:rPr>
          <w:rFonts w:asciiTheme="minorHAnsi" w:hAnsiTheme="minorHAnsi"/>
          <w:lang w:val="en-US"/>
        </w:rPr>
        <w:t xml:space="preserve">; </w:t>
      </w:r>
      <w:r w:rsidR="009042E0">
        <w:rPr>
          <w:rFonts w:asciiTheme="minorHAnsi" w:hAnsiTheme="minorHAnsi"/>
          <w:lang w:val="en-US"/>
        </w:rPr>
        <w:t xml:space="preserve">Sangster et al, </w:t>
      </w:r>
      <w:r w:rsidR="009042E0" w:rsidRPr="009042E0">
        <w:rPr>
          <w:rFonts w:asciiTheme="minorHAnsi" w:hAnsiTheme="minorHAnsi"/>
          <w:i/>
          <w:lang w:val="en-US"/>
        </w:rPr>
        <w:t>A pragmatic and readily implemented quality control strategy for HPLC-MS and</w:t>
      </w:r>
      <w:r w:rsidR="00B73255">
        <w:rPr>
          <w:rFonts w:asciiTheme="minorHAnsi" w:hAnsiTheme="minorHAnsi"/>
          <w:i/>
          <w:lang w:val="en-US"/>
        </w:rPr>
        <w:t xml:space="preserve"> </w:t>
      </w:r>
      <w:r w:rsidR="009042E0" w:rsidRPr="009042E0">
        <w:rPr>
          <w:rFonts w:asciiTheme="minorHAnsi" w:hAnsiTheme="minorHAnsi"/>
          <w:i/>
          <w:lang w:val="en-US"/>
        </w:rPr>
        <w:t xml:space="preserve">GC-MS-based </w:t>
      </w:r>
      <w:proofErr w:type="spellStart"/>
      <w:r w:rsidR="009042E0" w:rsidRPr="009042E0">
        <w:rPr>
          <w:rFonts w:asciiTheme="minorHAnsi" w:hAnsiTheme="minorHAnsi"/>
          <w:i/>
          <w:lang w:val="en-US"/>
        </w:rPr>
        <w:t>metabonomic</w:t>
      </w:r>
      <w:proofErr w:type="spellEnd"/>
      <w:r w:rsidR="009042E0" w:rsidRPr="009042E0">
        <w:rPr>
          <w:rFonts w:asciiTheme="minorHAnsi" w:hAnsiTheme="minorHAnsi"/>
          <w:i/>
          <w:lang w:val="en-US"/>
        </w:rPr>
        <w:t xml:space="preserve"> analysis</w:t>
      </w:r>
      <w:r w:rsidR="009042E0">
        <w:rPr>
          <w:rFonts w:asciiTheme="minorHAnsi" w:hAnsiTheme="minorHAnsi"/>
          <w:lang w:val="en-US"/>
        </w:rPr>
        <w:t xml:space="preserve">, </w:t>
      </w:r>
      <w:r w:rsidR="009042E0" w:rsidRPr="00F70E3F">
        <w:rPr>
          <w:rFonts w:asciiTheme="minorHAnsi" w:hAnsiTheme="minorHAnsi"/>
          <w:b/>
          <w:lang w:val="en-US"/>
        </w:rPr>
        <w:t>Analyst</w:t>
      </w:r>
      <w:r w:rsidR="009042E0">
        <w:rPr>
          <w:rFonts w:asciiTheme="minorHAnsi" w:hAnsiTheme="minorHAnsi"/>
          <w:lang w:val="en-US"/>
        </w:rPr>
        <w:t>, 2006,131, 1075-1078. doi:</w:t>
      </w:r>
      <w:r w:rsidR="009042E0" w:rsidRPr="009042E0">
        <w:rPr>
          <w:rFonts w:asciiTheme="minorHAnsi" w:hAnsiTheme="minorHAnsi"/>
          <w:lang w:val="en-US"/>
        </w:rPr>
        <w:t>10.1039/B604498K</w:t>
      </w:r>
      <w:r w:rsidR="00EB025F">
        <w:rPr>
          <w:rFonts w:asciiTheme="minorHAnsi" w:hAnsiTheme="minorHAnsi"/>
          <w:lang w:val="en-US"/>
        </w:rPr>
        <w:t xml:space="preserve">; </w:t>
      </w:r>
      <w:r w:rsidR="009042E0">
        <w:rPr>
          <w:rFonts w:asciiTheme="minorHAnsi" w:hAnsiTheme="minorHAnsi"/>
          <w:lang w:val="en-US"/>
        </w:rPr>
        <w:t xml:space="preserve">Koemel et al, </w:t>
      </w:r>
      <w:r w:rsidR="009042E0" w:rsidRPr="009042E0">
        <w:rPr>
          <w:rFonts w:asciiTheme="minorHAnsi" w:hAnsiTheme="minorHAnsi"/>
          <w:i/>
          <w:lang w:val="en-US"/>
        </w:rPr>
        <w:t>Expanding lipidome coverage using LC-MS/MS data-dependent acquisition with automated exclusion list generation</w:t>
      </w:r>
      <w:r w:rsidR="009042E0">
        <w:rPr>
          <w:rFonts w:asciiTheme="minorHAnsi" w:hAnsiTheme="minorHAnsi"/>
          <w:i/>
          <w:lang w:val="en-US"/>
        </w:rPr>
        <w:t>,</w:t>
      </w:r>
      <w:r w:rsidR="009042E0">
        <w:rPr>
          <w:rFonts w:asciiTheme="minorHAnsi" w:hAnsiTheme="minorHAnsi"/>
          <w:lang w:val="en-US"/>
        </w:rPr>
        <w:t xml:space="preserve"> </w:t>
      </w:r>
      <w:r w:rsidR="009042E0" w:rsidRPr="00F70E3F">
        <w:rPr>
          <w:rFonts w:asciiTheme="minorHAnsi" w:hAnsiTheme="minorHAnsi"/>
          <w:b/>
          <w:lang w:val="en-US"/>
        </w:rPr>
        <w:t xml:space="preserve">J Am </w:t>
      </w:r>
      <w:proofErr w:type="spellStart"/>
      <w:r w:rsidR="009042E0" w:rsidRPr="00F70E3F">
        <w:rPr>
          <w:rFonts w:asciiTheme="minorHAnsi" w:hAnsiTheme="minorHAnsi"/>
          <w:b/>
          <w:lang w:val="en-US"/>
        </w:rPr>
        <w:t>Soc</w:t>
      </w:r>
      <w:proofErr w:type="spellEnd"/>
      <w:r w:rsidR="009042E0" w:rsidRPr="00F70E3F">
        <w:rPr>
          <w:rFonts w:asciiTheme="minorHAnsi" w:hAnsiTheme="minorHAnsi"/>
          <w:b/>
          <w:lang w:val="en-US"/>
        </w:rPr>
        <w:t xml:space="preserve"> Mass </w:t>
      </w:r>
      <w:proofErr w:type="spellStart"/>
      <w:r w:rsidR="009042E0" w:rsidRPr="00F70E3F">
        <w:rPr>
          <w:rFonts w:asciiTheme="minorHAnsi" w:hAnsiTheme="minorHAnsi"/>
          <w:b/>
          <w:lang w:val="en-US"/>
        </w:rPr>
        <w:t>Spectrom</w:t>
      </w:r>
      <w:proofErr w:type="spellEnd"/>
      <w:r w:rsidR="009042E0" w:rsidRPr="00F70E3F">
        <w:rPr>
          <w:rFonts w:asciiTheme="minorHAnsi" w:hAnsiTheme="minorHAnsi"/>
          <w:b/>
          <w:lang w:val="en-US"/>
        </w:rPr>
        <w:t>.</w:t>
      </w:r>
      <w:r w:rsidR="009042E0" w:rsidRPr="009042E0">
        <w:rPr>
          <w:rFonts w:asciiTheme="minorHAnsi" w:hAnsiTheme="minorHAnsi"/>
          <w:lang w:val="en-US"/>
        </w:rPr>
        <w:t xml:space="preserve"> 2017 May ; 28(5): 908–917</w:t>
      </w:r>
      <w:r w:rsidR="009042E0">
        <w:rPr>
          <w:rFonts w:asciiTheme="minorHAnsi" w:hAnsiTheme="minorHAnsi"/>
          <w:lang w:val="en-US"/>
        </w:rPr>
        <w:t>. doi:10.1007/s13361-017-1608-0</w:t>
      </w:r>
      <w:r w:rsidR="00240959">
        <w:rPr>
          <w:rFonts w:asciiTheme="minorHAnsi" w:hAnsiTheme="minorHAnsi"/>
          <w:lang w:val="en-US"/>
        </w:rPr>
        <w:t xml:space="preserve">). </w:t>
      </w:r>
      <w:r w:rsidR="00AC274D">
        <w:rPr>
          <w:rFonts w:asciiTheme="minorHAnsi" w:hAnsiTheme="minorHAnsi"/>
          <w:lang w:val="en-US"/>
        </w:rPr>
        <w:t>The use of p</w:t>
      </w:r>
      <w:r w:rsidR="00240959">
        <w:rPr>
          <w:rFonts w:asciiTheme="minorHAnsi" w:hAnsiTheme="minorHAnsi"/>
          <w:lang w:val="en-US"/>
        </w:rPr>
        <w:t xml:space="preserve">ositive ion mode </w:t>
      </w:r>
      <w:r w:rsidR="00AC274D">
        <w:rPr>
          <w:rFonts w:asciiTheme="minorHAnsi" w:hAnsiTheme="minorHAnsi"/>
          <w:lang w:val="en-US"/>
        </w:rPr>
        <w:t xml:space="preserve">for our all-in-one-run workflow </w:t>
      </w:r>
      <w:r w:rsidR="00240959">
        <w:rPr>
          <w:rFonts w:asciiTheme="minorHAnsi" w:hAnsiTheme="minorHAnsi"/>
          <w:lang w:val="en-US"/>
        </w:rPr>
        <w:t>is ideally suited for lipid analysis as most lipids including non-polar and polar lipids ionize in positive mode using our settings</w:t>
      </w:r>
      <w:r w:rsidR="00AC274D">
        <w:rPr>
          <w:rFonts w:asciiTheme="minorHAnsi" w:hAnsiTheme="minorHAnsi"/>
          <w:lang w:val="en-US"/>
        </w:rPr>
        <w:t xml:space="preserve">, which is not possible in negative ion mode </w:t>
      </w:r>
      <w:r w:rsidR="00FF6A9A">
        <w:rPr>
          <w:rFonts w:asciiTheme="minorHAnsi" w:hAnsiTheme="minorHAnsi"/>
          <w:lang w:val="en-US"/>
        </w:rPr>
        <w:t>as</w:t>
      </w:r>
      <w:r w:rsidR="00AC274D">
        <w:rPr>
          <w:rFonts w:asciiTheme="minorHAnsi" w:hAnsiTheme="minorHAnsi"/>
          <w:lang w:val="en-US"/>
        </w:rPr>
        <w:t xml:space="preserve"> the analysis</w:t>
      </w:r>
      <w:r w:rsidR="00FF6A9A">
        <w:rPr>
          <w:rFonts w:asciiTheme="minorHAnsi" w:hAnsiTheme="minorHAnsi"/>
          <w:lang w:val="en-US"/>
        </w:rPr>
        <w:t xml:space="preserve"> of</w:t>
      </w:r>
      <w:r w:rsidR="00AC274D">
        <w:rPr>
          <w:rFonts w:asciiTheme="minorHAnsi" w:hAnsiTheme="minorHAnsi"/>
          <w:lang w:val="en-US"/>
        </w:rPr>
        <w:t xml:space="preserve"> non-</w:t>
      </w:r>
      <w:r w:rsidR="00F70E3F">
        <w:rPr>
          <w:rFonts w:asciiTheme="minorHAnsi" w:hAnsiTheme="minorHAnsi"/>
          <w:lang w:val="en-US"/>
        </w:rPr>
        <w:t>polar lipids like TAGs and DAGs</w:t>
      </w:r>
      <w:r w:rsidR="00FF6A9A">
        <w:rPr>
          <w:rFonts w:asciiTheme="minorHAnsi" w:hAnsiTheme="minorHAnsi"/>
          <w:lang w:val="en-US"/>
        </w:rPr>
        <w:t xml:space="preserve"> is impeded</w:t>
      </w:r>
      <w:r w:rsidR="00240959">
        <w:rPr>
          <w:rFonts w:asciiTheme="minorHAnsi" w:hAnsiTheme="minorHAnsi"/>
          <w:lang w:val="en-US"/>
        </w:rPr>
        <w:t xml:space="preserve">. Although, the referee is right that negative </w:t>
      </w:r>
      <w:r w:rsidR="00AC274D">
        <w:rPr>
          <w:rFonts w:asciiTheme="minorHAnsi" w:hAnsiTheme="minorHAnsi"/>
          <w:lang w:val="en-US"/>
        </w:rPr>
        <w:t>mode</w:t>
      </w:r>
      <w:r w:rsidR="00240959">
        <w:rPr>
          <w:rFonts w:asciiTheme="minorHAnsi" w:hAnsiTheme="minorHAnsi"/>
          <w:lang w:val="en-US"/>
        </w:rPr>
        <w:t xml:space="preserve"> is better</w:t>
      </w:r>
      <w:r w:rsidR="00AC274D">
        <w:rPr>
          <w:rFonts w:asciiTheme="minorHAnsi" w:hAnsiTheme="minorHAnsi"/>
          <w:lang w:val="en-US"/>
        </w:rPr>
        <w:t xml:space="preserve"> suited for phospholipid analysis </w:t>
      </w:r>
      <w:r w:rsidR="00240959">
        <w:rPr>
          <w:rFonts w:asciiTheme="minorHAnsi" w:hAnsiTheme="minorHAnsi"/>
          <w:lang w:val="en-US"/>
        </w:rPr>
        <w:t>including PI</w:t>
      </w:r>
      <w:r w:rsidR="00300E33">
        <w:rPr>
          <w:rFonts w:asciiTheme="minorHAnsi" w:hAnsiTheme="minorHAnsi"/>
          <w:lang w:val="en-US"/>
        </w:rPr>
        <w:t xml:space="preserve"> leading to more potential identifications</w:t>
      </w:r>
      <w:r w:rsidR="00240959">
        <w:rPr>
          <w:rFonts w:asciiTheme="minorHAnsi" w:hAnsiTheme="minorHAnsi"/>
          <w:lang w:val="en-US"/>
        </w:rPr>
        <w:t xml:space="preserve">, positive ion mode of PI </w:t>
      </w:r>
      <w:r w:rsidR="00DE27C7">
        <w:rPr>
          <w:rFonts w:asciiTheme="minorHAnsi" w:hAnsiTheme="minorHAnsi"/>
          <w:lang w:val="en-US"/>
        </w:rPr>
        <w:t>using NH</w:t>
      </w:r>
      <w:r w:rsidR="00DE27C7" w:rsidRPr="00DE27C7">
        <w:rPr>
          <w:rFonts w:asciiTheme="minorHAnsi" w:hAnsiTheme="minorHAnsi"/>
          <w:kern w:val="24"/>
          <w:vertAlign w:val="subscript"/>
          <w:lang w:val="en-US"/>
        </w:rPr>
        <w:t>4</w:t>
      </w:r>
      <w:r w:rsidR="00DE27C7">
        <w:rPr>
          <w:rFonts w:asciiTheme="minorHAnsi" w:hAnsiTheme="minorHAnsi"/>
          <w:lang w:val="en-US"/>
        </w:rPr>
        <w:t xml:space="preserve"> or Na adducts </w:t>
      </w:r>
      <w:r w:rsidR="00CA0AB8">
        <w:rPr>
          <w:rFonts w:asciiTheme="minorHAnsi" w:hAnsiTheme="minorHAnsi"/>
          <w:lang w:val="en-US"/>
        </w:rPr>
        <w:t>was</w:t>
      </w:r>
      <w:r w:rsidR="00240959">
        <w:rPr>
          <w:rFonts w:asciiTheme="minorHAnsi" w:hAnsiTheme="minorHAnsi"/>
          <w:lang w:val="en-US"/>
        </w:rPr>
        <w:t xml:space="preserve"> possibl</w:t>
      </w:r>
      <w:r w:rsidR="00AC274D">
        <w:rPr>
          <w:rFonts w:asciiTheme="minorHAnsi" w:hAnsiTheme="minorHAnsi"/>
          <w:lang w:val="en-US"/>
        </w:rPr>
        <w:t>e</w:t>
      </w:r>
      <w:r w:rsidR="00CA0AB8">
        <w:rPr>
          <w:rFonts w:asciiTheme="minorHAnsi" w:hAnsiTheme="minorHAnsi"/>
          <w:lang w:val="en-US"/>
        </w:rPr>
        <w:t xml:space="preserve"> in our samples</w:t>
      </w:r>
      <w:r w:rsidR="00AC274D">
        <w:rPr>
          <w:rFonts w:asciiTheme="minorHAnsi" w:hAnsiTheme="minorHAnsi"/>
          <w:lang w:val="en-US"/>
        </w:rPr>
        <w:t xml:space="preserve"> (see </w:t>
      </w:r>
      <w:r w:rsidR="00AC274D" w:rsidRPr="00AC274D">
        <w:rPr>
          <w:rFonts w:asciiTheme="minorHAnsi" w:hAnsiTheme="minorHAnsi"/>
          <w:b/>
          <w:lang w:val="en-US"/>
        </w:rPr>
        <w:t xml:space="preserve">Figure 1 </w:t>
      </w:r>
      <w:r w:rsidR="00AC274D">
        <w:rPr>
          <w:rFonts w:asciiTheme="minorHAnsi" w:hAnsiTheme="minorHAnsi"/>
          <w:lang w:val="en-US"/>
        </w:rPr>
        <w:t xml:space="preserve">and </w:t>
      </w:r>
      <w:r w:rsidR="00AC274D" w:rsidRPr="00AC274D">
        <w:rPr>
          <w:rFonts w:asciiTheme="minorHAnsi" w:hAnsiTheme="minorHAnsi"/>
          <w:b/>
          <w:lang w:val="en-US"/>
        </w:rPr>
        <w:t>Table 1</w:t>
      </w:r>
      <w:r w:rsidR="00AC274D">
        <w:rPr>
          <w:rFonts w:asciiTheme="minorHAnsi" w:hAnsiTheme="minorHAnsi"/>
          <w:lang w:val="en-US"/>
        </w:rPr>
        <w:t xml:space="preserve">). </w:t>
      </w:r>
      <w:r w:rsidR="00CA0AB8">
        <w:rPr>
          <w:rFonts w:asciiTheme="minorHAnsi" w:hAnsiTheme="minorHAnsi"/>
          <w:lang w:val="en-US"/>
        </w:rPr>
        <w:t>We further confirmed this finding by the measurement of PI standards in positive ion mode (</w:t>
      </w:r>
      <w:r w:rsidR="00CA0AB8" w:rsidRPr="00CA0AB8">
        <w:rPr>
          <w:rFonts w:asciiTheme="minorHAnsi" w:hAnsiTheme="minorHAnsi"/>
          <w:b/>
          <w:lang w:val="en-US"/>
        </w:rPr>
        <w:t>Figure 2</w:t>
      </w:r>
      <w:r w:rsidR="00CA0AB8">
        <w:rPr>
          <w:rFonts w:asciiTheme="minorHAnsi" w:hAnsiTheme="minorHAnsi"/>
          <w:lang w:val="en-US"/>
        </w:rPr>
        <w:t>).</w:t>
      </w:r>
    </w:p>
    <w:p w14:paraId="2C8120A6" w14:textId="77777777" w:rsidR="00240959" w:rsidRDefault="00240959" w:rsidP="00FB60DC">
      <w:pPr>
        <w:autoSpaceDE w:val="0"/>
        <w:autoSpaceDN w:val="0"/>
        <w:adjustRightInd w:val="0"/>
        <w:jc w:val="both"/>
        <w:rPr>
          <w:rFonts w:asciiTheme="minorHAnsi" w:hAnsiTheme="minorHAnsi"/>
          <w:lang w:val="en-US"/>
        </w:rPr>
      </w:pPr>
    </w:p>
    <w:p w14:paraId="3770AD43" w14:textId="642A7807" w:rsidR="00240959" w:rsidRDefault="00240959" w:rsidP="00FB60DC">
      <w:pPr>
        <w:autoSpaceDE w:val="0"/>
        <w:autoSpaceDN w:val="0"/>
        <w:adjustRightInd w:val="0"/>
        <w:jc w:val="both"/>
        <w:rPr>
          <w:rFonts w:asciiTheme="minorHAnsi" w:hAnsiTheme="minorHAnsi"/>
          <w:lang w:val="en-US"/>
        </w:rPr>
      </w:pPr>
      <w:r>
        <w:rPr>
          <w:noProof/>
          <w:lang w:val="de-DE" w:eastAsia="de-DE" w:bidi="ar-SA"/>
        </w:rPr>
        <w:lastRenderedPageBreak/>
        <w:drawing>
          <wp:inline distT="0" distB="0" distL="0" distR="0" wp14:anchorId="4C4B808E" wp14:editId="078FA387">
            <wp:extent cx="5943600" cy="37033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703320"/>
                    </a:xfrm>
                    <a:prstGeom prst="rect">
                      <a:avLst/>
                    </a:prstGeom>
                  </pic:spPr>
                </pic:pic>
              </a:graphicData>
            </a:graphic>
          </wp:inline>
        </w:drawing>
      </w:r>
    </w:p>
    <w:p w14:paraId="6F3B0D03" w14:textId="69B4061A" w:rsidR="001E283B" w:rsidRDefault="001E283B" w:rsidP="00FB60DC">
      <w:pPr>
        <w:autoSpaceDE w:val="0"/>
        <w:autoSpaceDN w:val="0"/>
        <w:adjustRightInd w:val="0"/>
        <w:jc w:val="both"/>
        <w:rPr>
          <w:rFonts w:asciiTheme="minorHAnsi" w:hAnsiTheme="minorHAnsi"/>
          <w:lang w:val="en-US"/>
        </w:rPr>
      </w:pPr>
      <w:proofErr w:type="gramStart"/>
      <w:r>
        <w:rPr>
          <w:rFonts w:asciiTheme="minorHAnsi" w:hAnsiTheme="minorHAnsi"/>
          <w:b/>
          <w:lang w:val="en-US"/>
        </w:rPr>
        <w:t>Figure 1.</w:t>
      </w:r>
      <w:proofErr w:type="gramEnd"/>
      <w:r>
        <w:rPr>
          <w:rFonts w:asciiTheme="minorHAnsi" w:hAnsiTheme="minorHAnsi"/>
          <w:b/>
          <w:lang w:val="en-US"/>
        </w:rPr>
        <w:t xml:space="preserve"> </w:t>
      </w:r>
      <w:r w:rsidR="00240959">
        <w:rPr>
          <w:rFonts w:asciiTheme="minorHAnsi" w:hAnsiTheme="minorHAnsi"/>
          <w:lang w:val="en-US"/>
        </w:rPr>
        <w:t xml:space="preserve">Lipid Search 4.2 output for an exemplary PI measured in positive mode. </w:t>
      </w:r>
      <w:r w:rsidR="00240959" w:rsidRPr="001E283B">
        <w:rPr>
          <w:rFonts w:asciiTheme="minorHAnsi" w:hAnsiTheme="minorHAnsi"/>
          <w:b/>
          <w:lang w:val="en-US"/>
        </w:rPr>
        <w:t>A</w:t>
      </w:r>
      <w:r>
        <w:rPr>
          <w:rFonts w:asciiTheme="minorHAnsi" w:hAnsiTheme="minorHAnsi"/>
          <w:b/>
          <w:lang w:val="en-US"/>
        </w:rPr>
        <w:t>.</w:t>
      </w:r>
      <w:r w:rsidR="00240959" w:rsidRPr="001E283B">
        <w:rPr>
          <w:rFonts w:asciiTheme="minorHAnsi" w:hAnsiTheme="minorHAnsi"/>
          <w:b/>
          <w:lang w:val="en-US"/>
        </w:rPr>
        <w:t xml:space="preserve"> </w:t>
      </w:r>
      <w:r>
        <w:rPr>
          <w:rFonts w:asciiTheme="minorHAnsi" w:hAnsiTheme="minorHAnsi"/>
          <w:lang w:val="en-US"/>
        </w:rPr>
        <w:t>C</w:t>
      </w:r>
      <w:r w:rsidR="00240959">
        <w:rPr>
          <w:rFonts w:asciiTheme="minorHAnsi" w:hAnsiTheme="minorHAnsi"/>
          <w:lang w:val="en-US"/>
        </w:rPr>
        <w:t xml:space="preserve">hromatogram of </w:t>
      </w:r>
      <w:proofErr w:type="gramStart"/>
      <w:r w:rsidR="00240959">
        <w:rPr>
          <w:rFonts w:asciiTheme="minorHAnsi" w:hAnsiTheme="minorHAnsi"/>
          <w:lang w:val="en-US"/>
        </w:rPr>
        <w:t>PI(</w:t>
      </w:r>
      <w:proofErr w:type="gramEnd"/>
      <w:r w:rsidR="00240959">
        <w:rPr>
          <w:rFonts w:asciiTheme="minorHAnsi" w:hAnsiTheme="minorHAnsi"/>
          <w:lang w:val="en-US"/>
        </w:rPr>
        <w:t>18:0_20:4)</w:t>
      </w:r>
      <w:r>
        <w:rPr>
          <w:rFonts w:asciiTheme="minorHAnsi" w:hAnsiTheme="minorHAnsi"/>
          <w:lang w:val="en-US"/>
        </w:rPr>
        <w:t xml:space="preserve">. </w:t>
      </w:r>
      <w:r w:rsidRPr="001E283B">
        <w:rPr>
          <w:rFonts w:asciiTheme="minorHAnsi" w:hAnsiTheme="minorHAnsi"/>
          <w:b/>
          <w:lang w:val="en-US"/>
        </w:rPr>
        <w:t>B.</w:t>
      </w:r>
      <w:r>
        <w:rPr>
          <w:rFonts w:asciiTheme="minorHAnsi" w:hAnsiTheme="minorHAnsi"/>
          <w:lang w:val="en-US"/>
        </w:rPr>
        <w:t xml:space="preserve"> MS2 fragmentation spectra of </w:t>
      </w:r>
      <w:proofErr w:type="gramStart"/>
      <w:r>
        <w:rPr>
          <w:rFonts w:asciiTheme="minorHAnsi" w:hAnsiTheme="minorHAnsi"/>
          <w:lang w:val="en-US"/>
        </w:rPr>
        <w:t>PI(</w:t>
      </w:r>
      <w:proofErr w:type="gramEnd"/>
      <w:r>
        <w:rPr>
          <w:rFonts w:asciiTheme="minorHAnsi" w:hAnsiTheme="minorHAnsi"/>
          <w:lang w:val="en-US"/>
        </w:rPr>
        <w:t>18:0_20:4).</w:t>
      </w:r>
    </w:p>
    <w:p w14:paraId="0ADB7AD9" w14:textId="77777777" w:rsidR="001E283B" w:rsidRDefault="001E283B" w:rsidP="00FB60DC">
      <w:pPr>
        <w:autoSpaceDE w:val="0"/>
        <w:autoSpaceDN w:val="0"/>
        <w:adjustRightInd w:val="0"/>
        <w:jc w:val="both"/>
        <w:rPr>
          <w:rFonts w:asciiTheme="minorHAnsi" w:hAnsiTheme="minorHAnsi"/>
          <w:lang w:val="en-US"/>
        </w:rPr>
      </w:pPr>
    </w:p>
    <w:p w14:paraId="78B3C6C4" w14:textId="0EEA35A1" w:rsidR="00240959" w:rsidRDefault="00240959" w:rsidP="00FB60DC">
      <w:pPr>
        <w:autoSpaceDE w:val="0"/>
        <w:autoSpaceDN w:val="0"/>
        <w:adjustRightInd w:val="0"/>
        <w:jc w:val="both"/>
        <w:rPr>
          <w:rFonts w:asciiTheme="minorHAnsi" w:hAnsiTheme="minorHAnsi"/>
          <w:lang w:val="en-US"/>
        </w:rPr>
      </w:pPr>
      <w:proofErr w:type="gramStart"/>
      <w:r w:rsidRPr="001E283B">
        <w:rPr>
          <w:rFonts w:asciiTheme="minorHAnsi" w:hAnsiTheme="minorHAnsi"/>
          <w:b/>
          <w:lang w:val="en-US"/>
        </w:rPr>
        <w:t>Table</w:t>
      </w:r>
      <w:r w:rsidR="001E283B">
        <w:rPr>
          <w:rFonts w:asciiTheme="minorHAnsi" w:hAnsiTheme="minorHAnsi"/>
          <w:b/>
          <w:lang w:val="en-US"/>
        </w:rPr>
        <w:t xml:space="preserve"> 1.</w:t>
      </w:r>
      <w:proofErr w:type="gramEnd"/>
      <w:r w:rsidR="001E283B">
        <w:rPr>
          <w:rFonts w:asciiTheme="minorHAnsi" w:hAnsiTheme="minorHAnsi"/>
          <w:lang w:val="en-US"/>
        </w:rPr>
        <w:t xml:space="preserve"> Observed MS2 fragments exported from Lipid Search 4.2. The table shows observed m/z, abundance of fragments in percentage (calculated setting the highest abundant fragment as 100%), fragments assigned by the in silico database, mass difference in Da.</w:t>
      </w:r>
    </w:p>
    <w:tbl>
      <w:tblPr>
        <w:tblW w:w="6460" w:type="dxa"/>
        <w:tblInd w:w="55" w:type="dxa"/>
        <w:tblCellMar>
          <w:left w:w="70" w:type="dxa"/>
          <w:right w:w="70" w:type="dxa"/>
        </w:tblCellMar>
        <w:tblLook w:val="04A0" w:firstRow="1" w:lastRow="0" w:firstColumn="1" w:lastColumn="0" w:noHBand="0" w:noVBand="1"/>
      </w:tblPr>
      <w:tblGrid>
        <w:gridCol w:w="1200"/>
        <w:gridCol w:w="1200"/>
        <w:gridCol w:w="1200"/>
        <w:gridCol w:w="1660"/>
        <w:gridCol w:w="1200"/>
      </w:tblGrid>
      <w:tr w:rsidR="00240959" w:rsidRPr="00240959" w14:paraId="1611B14E" w14:textId="77777777" w:rsidTr="00240959">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3D7BE" w14:textId="77777777" w:rsidR="00240959" w:rsidRPr="00240959" w:rsidRDefault="00240959" w:rsidP="00240959">
            <w:pPr>
              <w:widowControl/>
              <w:suppressAutoHyphens w:val="0"/>
              <w:jc w:val="center"/>
              <w:rPr>
                <w:rFonts w:ascii="Calibri" w:hAnsi="Calibri"/>
                <w:b/>
                <w:bCs/>
                <w:color w:val="000000"/>
                <w:kern w:val="0"/>
                <w:sz w:val="22"/>
                <w:szCs w:val="22"/>
                <w:lang w:val="en-US" w:eastAsia="de-DE" w:bidi="ar-SA"/>
              </w:rPr>
            </w:pPr>
            <w:proofErr w:type="spellStart"/>
            <w:r w:rsidRPr="00240959">
              <w:rPr>
                <w:rFonts w:ascii="Calibri" w:hAnsi="Calibri"/>
                <w:b/>
                <w:bCs/>
                <w:color w:val="000000"/>
                <w:kern w:val="0"/>
                <w:sz w:val="22"/>
                <w:szCs w:val="22"/>
                <w:lang w:val="en-US" w:eastAsia="de-DE" w:bidi="ar-SA"/>
              </w:rPr>
              <w:t>ObsMz</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5185C08" w14:textId="77777777" w:rsidR="00240959" w:rsidRPr="00240959" w:rsidRDefault="00240959" w:rsidP="00240959">
            <w:pPr>
              <w:widowControl/>
              <w:suppressAutoHyphens w:val="0"/>
              <w:jc w:val="center"/>
              <w:rPr>
                <w:rFonts w:ascii="Calibri" w:hAnsi="Calibri"/>
                <w:b/>
                <w:bCs/>
                <w:color w:val="000000"/>
                <w:kern w:val="0"/>
                <w:sz w:val="22"/>
                <w:szCs w:val="22"/>
                <w:lang w:val="en-US" w:eastAsia="de-DE" w:bidi="ar-SA"/>
              </w:rPr>
            </w:pPr>
            <w:r w:rsidRPr="00240959">
              <w:rPr>
                <w:rFonts w:ascii="Calibri" w:hAnsi="Calibri"/>
                <w:b/>
                <w:bCs/>
                <w:color w:val="000000"/>
                <w:kern w:val="0"/>
                <w:sz w:val="22"/>
                <w:szCs w:val="22"/>
                <w:lang w:val="en-US" w:eastAsia="de-DE" w:bidi="ar-SA"/>
              </w:rPr>
              <w:t>Type</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528F67BC" w14:textId="77777777" w:rsidR="00240959" w:rsidRPr="00240959" w:rsidRDefault="00240959" w:rsidP="00240959">
            <w:pPr>
              <w:widowControl/>
              <w:suppressAutoHyphens w:val="0"/>
              <w:jc w:val="center"/>
              <w:rPr>
                <w:rFonts w:ascii="Calibri" w:hAnsi="Calibri"/>
                <w:b/>
                <w:bCs/>
                <w:color w:val="000000"/>
                <w:kern w:val="0"/>
                <w:sz w:val="22"/>
                <w:szCs w:val="22"/>
                <w:lang w:val="en-US" w:eastAsia="de-DE" w:bidi="ar-SA"/>
              </w:rPr>
            </w:pPr>
            <w:r w:rsidRPr="00240959">
              <w:rPr>
                <w:rFonts w:ascii="Calibri" w:hAnsi="Calibri"/>
                <w:b/>
                <w:bCs/>
                <w:color w:val="000000"/>
                <w:kern w:val="0"/>
                <w:sz w:val="22"/>
                <w:szCs w:val="22"/>
                <w:lang w:val="en-US" w:eastAsia="de-DE" w:bidi="ar-SA"/>
              </w:rPr>
              <w:t>It</w:t>
            </w:r>
            <w:proofErr w:type="gramStart"/>
            <w:r w:rsidRPr="00240959">
              <w:rPr>
                <w:rFonts w:ascii="Calibri" w:hAnsi="Calibri"/>
                <w:b/>
                <w:bCs/>
                <w:color w:val="000000"/>
                <w:kern w:val="0"/>
                <w:sz w:val="22"/>
                <w:szCs w:val="22"/>
                <w:lang w:val="en-US" w:eastAsia="de-DE" w:bidi="ar-SA"/>
              </w:rPr>
              <w:t>.(</w:t>
            </w:r>
            <w:proofErr w:type="gramEnd"/>
            <w:r w:rsidRPr="00240959">
              <w:rPr>
                <w:rFonts w:ascii="Calibri" w:hAnsi="Calibri"/>
                <w:b/>
                <w:bCs/>
                <w:color w:val="000000"/>
                <w:kern w:val="0"/>
                <w:sz w:val="22"/>
                <w:szCs w:val="22"/>
                <w:lang w:val="en-US" w:eastAsia="de-DE" w:bidi="ar-SA"/>
              </w:rPr>
              <w:t>%)</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628B866A" w14:textId="39944859" w:rsidR="00240959" w:rsidRPr="00240959" w:rsidRDefault="001E283B" w:rsidP="00240959">
            <w:pPr>
              <w:widowControl/>
              <w:suppressAutoHyphens w:val="0"/>
              <w:jc w:val="center"/>
              <w:rPr>
                <w:rFonts w:ascii="Calibri" w:hAnsi="Calibri"/>
                <w:b/>
                <w:bCs/>
                <w:color w:val="000000"/>
                <w:kern w:val="0"/>
                <w:sz w:val="22"/>
                <w:szCs w:val="22"/>
                <w:lang w:val="en-US" w:eastAsia="de-DE" w:bidi="ar-SA"/>
              </w:rPr>
            </w:pPr>
            <w:r>
              <w:rPr>
                <w:rFonts w:ascii="Calibri" w:hAnsi="Calibri"/>
                <w:b/>
                <w:bCs/>
                <w:color w:val="000000"/>
                <w:kern w:val="0"/>
                <w:sz w:val="22"/>
                <w:szCs w:val="22"/>
                <w:lang w:val="en-US" w:eastAsia="de-DE" w:bidi="ar-SA"/>
              </w:rPr>
              <w:t>Fragment</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1DB078A9" w14:textId="77777777" w:rsidR="00240959" w:rsidRPr="00240959" w:rsidRDefault="00240959" w:rsidP="00240959">
            <w:pPr>
              <w:widowControl/>
              <w:suppressAutoHyphens w:val="0"/>
              <w:jc w:val="center"/>
              <w:rPr>
                <w:rFonts w:ascii="Calibri" w:hAnsi="Calibri"/>
                <w:b/>
                <w:bCs/>
                <w:color w:val="000000"/>
                <w:kern w:val="0"/>
                <w:sz w:val="22"/>
                <w:szCs w:val="22"/>
                <w:lang w:val="en-US" w:eastAsia="de-DE" w:bidi="ar-SA"/>
              </w:rPr>
            </w:pPr>
            <w:r w:rsidRPr="00240959">
              <w:rPr>
                <w:rFonts w:ascii="Calibri" w:hAnsi="Calibri"/>
                <w:b/>
                <w:bCs/>
                <w:color w:val="000000"/>
                <w:kern w:val="0"/>
                <w:sz w:val="22"/>
                <w:szCs w:val="22"/>
                <w:lang w:val="en-US" w:eastAsia="de-DE" w:bidi="ar-SA"/>
              </w:rPr>
              <w:t>Delta(Da)</w:t>
            </w:r>
          </w:p>
        </w:tc>
      </w:tr>
      <w:tr w:rsidR="00240959" w:rsidRPr="00240959" w14:paraId="286C6205"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FCBC2DF"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63.2217</w:t>
            </w:r>
          </w:p>
        </w:tc>
        <w:tc>
          <w:tcPr>
            <w:tcW w:w="1200" w:type="dxa"/>
            <w:tcBorders>
              <w:top w:val="nil"/>
              <w:left w:val="nil"/>
              <w:bottom w:val="single" w:sz="4" w:space="0" w:color="auto"/>
              <w:right w:val="single" w:sz="4" w:space="0" w:color="auto"/>
            </w:tcBorders>
            <w:shd w:val="clear" w:color="auto" w:fill="auto"/>
            <w:noWrap/>
            <w:vAlign w:val="bottom"/>
            <w:hideMark/>
          </w:tcPr>
          <w:p w14:paraId="06FFAE12"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9C59FD7"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1.153</w:t>
            </w:r>
          </w:p>
        </w:tc>
        <w:tc>
          <w:tcPr>
            <w:tcW w:w="1660" w:type="dxa"/>
            <w:tcBorders>
              <w:top w:val="nil"/>
              <w:left w:val="nil"/>
              <w:bottom w:val="single" w:sz="4" w:space="0" w:color="auto"/>
              <w:right w:val="single" w:sz="4" w:space="0" w:color="auto"/>
            </w:tcBorders>
            <w:shd w:val="clear" w:color="auto" w:fill="auto"/>
            <w:noWrap/>
            <w:vAlign w:val="bottom"/>
            <w:hideMark/>
          </w:tcPr>
          <w:p w14:paraId="4D91B087"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692E1870"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r>
      <w:tr w:rsidR="00240959" w:rsidRPr="00240959" w14:paraId="5833B5D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0F931C8"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66.5329</w:t>
            </w:r>
          </w:p>
        </w:tc>
        <w:tc>
          <w:tcPr>
            <w:tcW w:w="1200" w:type="dxa"/>
            <w:tcBorders>
              <w:top w:val="nil"/>
              <w:left w:val="nil"/>
              <w:bottom w:val="single" w:sz="4" w:space="0" w:color="auto"/>
              <w:right w:val="single" w:sz="4" w:space="0" w:color="auto"/>
            </w:tcBorders>
            <w:shd w:val="clear" w:color="auto" w:fill="auto"/>
            <w:noWrap/>
            <w:vAlign w:val="bottom"/>
            <w:hideMark/>
          </w:tcPr>
          <w:p w14:paraId="52F7A8EF"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0218CC85"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1.136</w:t>
            </w:r>
          </w:p>
        </w:tc>
        <w:tc>
          <w:tcPr>
            <w:tcW w:w="1660" w:type="dxa"/>
            <w:tcBorders>
              <w:top w:val="nil"/>
              <w:left w:val="nil"/>
              <w:bottom w:val="single" w:sz="4" w:space="0" w:color="auto"/>
              <w:right w:val="single" w:sz="4" w:space="0" w:color="auto"/>
            </w:tcBorders>
            <w:shd w:val="clear" w:color="auto" w:fill="auto"/>
            <w:noWrap/>
            <w:vAlign w:val="bottom"/>
            <w:hideMark/>
          </w:tcPr>
          <w:p w14:paraId="0C6AA8D1"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2DB0AA1"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r>
      <w:tr w:rsidR="00240959" w:rsidRPr="00240959" w14:paraId="1872D591"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2D4EC39"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66.9297</w:t>
            </w:r>
          </w:p>
        </w:tc>
        <w:tc>
          <w:tcPr>
            <w:tcW w:w="1200" w:type="dxa"/>
            <w:tcBorders>
              <w:top w:val="nil"/>
              <w:left w:val="nil"/>
              <w:bottom w:val="single" w:sz="4" w:space="0" w:color="auto"/>
              <w:right w:val="single" w:sz="4" w:space="0" w:color="auto"/>
            </w:tcBorders>
            <w:shd w:val="clear" w:color="auto" w:fill="auto"/>
            <w:noWrap/>
            <w:vAlign w:val="bottom"/>
            <w:hideMark/>
          </w:tcPr>
          <w:p w14:paraId="4D773A19"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1FCA06E"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1.085</w:t>
            </w:r>
          </w:p>
        </w:tc>
        <w:tc>
          <w:tcPr>
            <w:tcW w:w="1660" w:type="dxa"/>
            <w:tcBorders>
              <w:top w:val="nil"/>
              <w:left w:val="nil"/>
              <w:bottom w:val="single" w:sz="4" w:space="0" w:color="auto"/>
              <w:right w:val="single" w:sz="4" w:space="0" w:color="auto"/>
            </w:tcBorders>
            <w:shd w:val="clear" w:color="auto" w:fill="auto"/>
            <w:noWrap/>
            <w:vAlign w:val="bottom"/>
            <w:hideMark/>
          </w:tcPr>
          <w:p w14:paraId="03A38384"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2F913A1"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 </w:t>
            </w:r>
          </w:p>
        </w:tc>
      </w:tr>
      <w:tr w:rsidR="00240959" w:rsidRPr="00240959" w14:paraId="594FDB3D"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877D97F"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67.0546</w:t>
            </w:r>
          </w:p>
        </w:tc>
        <w:tc>
          <w:tcPr>
            <w:tcW w:w="1200" w:type="dxa"/>
            <w:tcBorders>
              <w:top w:val="nil"/>
              <w:left w:val="nil"/>
              <w:bottom w:val="single" w:sz="4" w:space="0" w:color="auto"/>
              <w:right w:val="single" w:sz="4" w:space="0" w:color="auto"/>
            </w:tcBorders>
            <w:shd w:val="clear" w:color="auto" w:fill="auto"/>
            <w:noWrap/>
            <w:vAlign w:val="bottom"/>
            <w:hideMark/>
          </w:tcPr>
          <w:p w14:paraId="78DF8AFD" w14:textId="77777777" w:rsidR="00240959" w:rsidRPr="00240959" w:rsidRDefault="00240959" w:rsidP="00240959">
            <w:pPr>
              <w:widowControl/>
              <w:suppressAutoHyphens w:val="0"/>
              <w:jc w:val="center"/>
              <w:rPr>
                <w:rFonts w:ascii="Calibri" w:hAnsi="Calibri"/>
                <w:color w:val="000000"/>
                <w:kern w:val="0"/>
                <w:sz w:val="22"/>
                <w:szCs w:val="22"/>
                <w:lang w:val="en-US" w:eastAsia="de-DE" w:bidi="ar-SA"/>
              </w:rPr>
            </w:pPr>
            <w:r w:rsidRPr="00240959">
              <w:rPr>
                <w:rFonts w:ascii="Calibri" w:hAnsi="Calibri"/>
                <w:color w:val="000000"/>
                <w:kern w:val="0"/>
                <w:sz w:val="22"/>
                <w:szCs w:val="22"/>
                <w:lang w:val="en-US"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2E4126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en-US" w:eastAsia="de-DE" w:bidi="ar-SA"/>
              </w:rPr>
              <w:t>3.14</w:t>
            </w:r>
            <w:r w:rsidRPr="00240959">
              <w:rPr>
                <w:rFonts w:ascii="Calibri" w:hAnsi="Calibri"/>
                <w:color w:val="000000"/>
                <w:kern w:val="0"/>
                <w:sz w:val="22"/>
                <w:szCs w:val="22"/>
                <w:lang w:val="de-DE" w:eastAsia="de-DE" w:bidi="ar-SA"/>
              </w:rPr>
              <w:t>1</w:t>
            </w:r>
          </w:p>
        </w:tc>
        <w:tc>
          <w:tcPr>
            <w:tcW w:w="1660" w:type="dxa"/>
            <w:tcBorders>
              <w:top w:val="nil"/>
              <w:left w:val="nil"/>
              <w:bottom w:val="single" w:sz="4" w:space="0" w:color="auto"/>
              <w:right w:val="single" w:sz="4" w:space="0" w:color="auto"/>
            </w:tcBorders>
            <w:shd w:val="clear" w:color="auto" w:fill="auto"/>
            <w:noWrap/>
            <w:vAlign w:val="bottom"/>
            <w:hideMark/>
          </w:tcPr>
          <w:p w14:paraId="72A2FB6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194175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19B437C9"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79A986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69.0702</w:t>
            </w:r>
          </w:p>
        </w:tc>
        <w:tc>
          <w:tcPr>
            <w:tcW w:w="1200" w:type="dxa"/>
            <w:tcBorders>
              <w:top w:val="nil"/>
              <w:left w:val="nil"/>
              <w:bottom w:val="single" w:sz="4" w:space="0" w:color="auto"/>
              <w:right w:val="single" w:sz="4" w:space="0" w:color="auto"/>
            </w:tcBorders>
            <w:shd w:val="clear" w:color="auto" w:fill="auto"/>
            <w:noWrap/>
            <w:vAlign w:val="bottom"/>
            <w:hideMark/>
          </w:tcPr>
          <w:p w14:paraId="30D4F70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515214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1.072</w:t>
            </w:r>
          </w:p>
        </w:tc>
        <w:tc>
          <w:tcPr>
            <w:tcW w:w="1660" w:type="dxa"/>
            <w:tcBorders>
              <w:top w:val="nil"/>
              <w:left w:val="nil"/>
              <w:bottom w:val="single" w:sz="4" w:space="0" w:color="auto"/>
              <w:right w:val="single" w:sz="4" w:space="0" w:color="auto"/>
            </w:tcBorders>
            <w:shd w:val="clear" w:color="auto" w:fill="auto"/>
            <w:noWrap/>
            <w:vAlign w:val="bottom"/>
            <w:hideMark/>
          </w:tcPr>
          <w:p w14:paraId="46A99B6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C5H9</w:t>
            </w:r>
          </w:p>
        </w:tc>
        <w:tc>
          <w:tcPr>
            <w:tcW w:w="1200" w:type="dxa"/>
            <w:tcBorders>
              <w:top w:val="nil"/>
              <w:left w:val="nil"/>
              <w:bottom w:val="single" w:sz="4" w:space="0" w:color="auto"/>
              <w:right w:val="single" w:sz="4" w:space="0" w:color="auto"/>
            </w:tcBorders>
            <w:shd w:val="clear" w:color="auto" w:fill="auto"/>
            <w:noWrap/>
            <w:vAlign w:val="bottom"/>
            <w:hideMark/>
          </w:tcPr>
          <w:p w14:paraId="73BC4BC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06D3026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1CCE4E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71.0857</w:t>
            </w:r>
          </w:p>
        </w:tc>
        <w:tc>
          <w:tcPr>
            <w:tcW w:w="1200" w:type="dxa"/>
            <w:tcBorders>
              <w:top w:val="nil"/>
              <w:left w:val="nil"/>
              <w:bottom w:val="single" w:sz="4" w:space="0" w:color="auto"/>
              <w:right w:val="single" w:sz="4" w:space="0" w:color="auto"/>
            </w:tcBorders>
            <w:shd w:val="clear" w:color="auto" w:fill="auto"/>
            <w:noWrap/>
            <w:vAlign w:val="bottom"/>
            <w:hideMark/>
          </w:tcPr>
          <w:p w14:paraId="1C752A7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55EAB67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4.455</w:t>
            </w:r>
          </w:p>
        </w:tc>
        <w:tc>
          <w:tcPr>
            <w:tcW w:w="1660" w:type="dxa"/>
            <w:tcBorders>
              <w:top w:val="nil"/>
              <w:left w:val="nil"/>
              <w:bottom w:val="single" w:sz="4" w:space="0" w:color="auto"/>
              <w:right w:val="single" w:sz="4" w:space="0" w:color="auto"/>
            </w:tcBorders>
            <w:shd w:val="clear" w:color="auto" w:fill="auto"/>
            <w:noWrap/>
            <w:vAlign w:val="bottom"/>
            <w:hideMark/>
          </w:tcPr>
          <w:p w14:paraId="2867365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C5H11</w:t>
            </w:r>
          </w:p>
        </w:tc>
        <w:tc>
          <w:tcPr>
            <w:tcW w:w="1200" w:type="dxa"/>
            <w:tcBorders>
              <w:top w:val="nil"/>
              <w:left w:val="nil"/>
              <w:bottom w:val="single" w:sz="4" w:space="0" w:color="auto"/>
              <w:right w:val="single" w:sz="4" w:space="0" w:color="auto"/>
            </w:tcBorders>
            <w:shd w:val="clear" w:color="auto" w:fill="auto"/>
            <w:noWrap/>
            <w:vAlign w:val="bottom"/>
            <w:hideMark/>
          </w:tcPr>
          <w:p w14:paraId="1A9CA78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0.0002</w:t>
            </w:r>
          </w:p>
        </w:tc>
      </w:tr>
      <w:tr w:rsidR="00240959" w:rsidRPr="00240959" w14:paraId="42D41EB2"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80F79D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71.9972</w:t>
            </w:r>
          </w:p>
        </w:tc>
        <w:tc>
          <w:tcPr>
            <w:tcW w:w="1200" w:type="dxa"/>
            <w:tcBorders>
              <w:top w:val="nil"/>
              <w:left w:val="nil"/>
              <w:bottom w:val="single" w:sz="4" w:space="0" w:color="auto"/>
              <w:right w:val="single" w:sz="4" w:space="0" w:color="auto"/>
            </w:tcBorders>
            <w:shd w:val="clear" w:color="auto" w:fill="auto"/>
            <w:noWrap/>
            <w:vAlign w:val="bottom"/>
            <w:hideMark/>
          </w:tcPr>
          <w:p w14:paraId="34C1F9D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09A3A3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1.055</w:t>
            </w:r>
          </w:p>
        </w:tc>
        <w:tc>
          <w:tcPr>
            <w:tcW w:w="1660" w:type="dxa"/>
            <w:tcBorders>
              <w:top w:val="nil"/>
              <w:left w:val="nil"/>
              <w:bottom w:val="single" w:sz="4" w:space="0" w:color="auto"/>
              <w:right w:val="single" w:sz="4" w:space="0" w:color="auto"/>
            </w:tcBorders>
            <w:shd w:val="clear" w:color="auto" w:fill="auto"/>
            <w:noWrap/>
            <w:vAlign w:val="bottom"/>
            <w:hideMark/>
          </w:tcPr>
          <w:p w14:paraId="07B8480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C5H11 [isotope]</w:t>
            </w:r>
          </w:p>
        </w:tc>
        <w:tc>
          <w:tcPr>
            <w:tcW w:w="1200" w:type="dxa"/>
            <w:tcBorders>
              <w:top w:val="nil"/>
              <w:left w:val="nil"/>
              <w:bottom w:val="single" w:sz="4" w:space="0" w:color="auto"/>
              <w:right w:val="single" w:sz="4" w:space="0" w:color="auto"/>
            </w:tcBorders>
            <w:shd w:val="clear" w:color="auto" w:fill="auto"/>
            <w:noWrap/>
            <w:vAlign w:val="bottom"/>
            <w:hideMark/>
          </w:tcPr>
          <w:p w14:paraId="43AF9AD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0.9117</w:t>
            </w:r>
          </w:p>
        </w:tc>
      </w:tr>
      <w:tr w:rsidR="00240959" w:rsidRPr="00240959" w14:paraId="7E66020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EAA5E6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75.1039</w:t>
            </w:r>
          </w:p>
        </w:tc>
        <w:tc>
          <w:tcPr>
            <w:tcW w:w="1200" w:type="dxa"/>
            <w:tcBorders>
              <w:top w:val="nil"/>
              <w:left w:val="nil"/>
              <w:bottom w:val="single" w:sz="4" w:space="0" w:color="auto"/>
              <w:right w:val="single" w:sz="4" w:space="0" w:color="auto"/>
            </w:tcBorders>
            <w:shd w:val="clear" w:color="auto" w:fill="auto"/>
            <w:noWrap/>
            <w:vAlign w:val="bottom"/>
            <w:hideMark/>
          </w:tcPr>
          <w:p w14:paraId="48F4FAD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94837B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1.018</w:t>
            </w:r>
          </w:p>
        </w:tc>
        <w:tc>
          <w:tcPr>
            <w:tcW w:w="1660" w:type="dxa"/>
            <w:tcBorders>
              <w:top w:val="nil"/>
              <w:left w:val="nil"/>
              <w:bottom w:val="single" w:sz="4" w:space="0" w:color="auto"/>
              <w:right w:val="single" w:sz="4" w:space="0" w:color="auto"/>
            </w:tcBorders>
            <w:shd w:val="clear" w:color="auto" w:fill="auto"/>
            <w:noWrap/>
            <w:vAlign w:val="bottom"/>
            <w:hideMark/>
          </w:tcPr>
          <w:p w14:paraId="628E3BF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05A0A1A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58FE24D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A6853C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77.3534</w:t>
            </w:r>
          </w:p>
        </w:tc>
        <w:tc>
          <w:tcPr>
            <w:tcW w:w="1200" w:type="dxa"/>
            <w:tcBorders>
              <w:top w:val="nil"/>
              <w:left w:val="nil"/>
              <w:bottom w:val="single" w:sz="4" w:space="0" w:color="auto"/>
              <w:right w:val="single" w:sz="4" w:space="0" w:color="auto"/>
            </w:tcBorders>
            <w:shd w:val="clear" w:color="auto" w:fill="auto"/>
            <w:noWrap/>
            <w:vAlign w:val="bottom"/>
            <w:hideMark/>
          </w:tcPr>
          <w:p w14:paraId="7F63E58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668F76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1.118</w:t>
            </w:r>
          </w:p>
        </w:tc>
        <w:tc>
          <w:tcPr>
            <w:tcW w:w="1660" w:type="dxa"/>
            <w:tcBorders>
              <w:top w:val="nil"/>
              <w:left w:val="nil"/>
              <w:bottom w:val="single" w:sz="4" w:space="0" w:color="auto"/>
              <w:right w:val="single" w:sz="4" w:space="0" w:color="auto"/>
            </w:tcBorders>
            <w:shd w:val="clear" w:color="auto" w:fill="auto"/>
            <w:noWrap/>
            <w:vAlign w:val="bottom"/>
            <w:hideMark/>
          </w:tcPr>
          <w:p w14:paraId="73E9282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52B731C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4B71DE95"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8D9369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79.0544</w:t>
            </w:r>
          </w:p>
        </w:tc>
        <w:tc>
          <w:tcPr>
            <w:tcW w:w="1200" w:type="dxa"/>
            <w:tcBorders>
              <w:top w:val="nil"/>
              <w:left w:val="nil"/>
              <w:bottom w:val="single" w:sz="4" w:space="0" w:color="auto"/>
              <w:right w:val="single" w:sz="4" w:space="0" w:color="auto"/>
            </w:tcBorders>
            <w:shd w:val="clear" w:color="auto" w:fill="auto"/>
            <w:noWrap/>
            <w:vAlign w:val="bottom"/>
            <w:hideMark/>
          </w:tcPr>
          <w:p w14:paraId="3010CFF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0073A0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1.422</w:t>
            </w:r>
          </w:p>
        </w:tc>
        <w:tc>
          <w:tcPr>
            <w:tcW w:w="1660" w:type="dxa"/>
            <w:tcBorders>
              <w:top w:val="nil"/>
              <w:left w:val="nil"/>
              <w:bottom w:val="single" w:sz="4" w:space="0" w:color="auto"/>
              <w:right w:val="single" w:sz="4" w:space="0" w:color="auto"/>
            </w:tcBorders>
            <w:shd w:val="clear" w:color="auto" w:fill="auto"/>
            <w:noWrap/>
            <w:vAlign w:val="bottom"/>
            <w:hideMark/>
          </w:tcPr>
          <w:p w14:paraId="00491B3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C6H7</w:t>
            </w:r>
          </w:p>
        </w:tc>
        <w:tc>
          <w:tcPr>
            <w:tcW w:w="1200" w:type="dxa"/>
            <w:tcBorders>
              <w:top w:val="nil"/>
              <w:left w:val="nil"/>
              <w:bottom w:val="single" w:sz="4" w:space="0" w:color="auto"/>
              <w:right w:val="single" w:sz="4" w:space="0" w:color="auto"/>
            </w:tcBorders>
            <w:shd w:val="clear" w:color="auto" w:fill="auto"/>
            <w:noWrap/>
            <w:vAlign w:val="bottom"/>
            <w:hideMark/>
          </w:tcPr>
          <w:p w14:paraId="0FA5170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0.0002</w:t>
            </w:r>
          </w:p>
        </w:tc>
      </w:tr>
      <w:tr w:rsidR="00240959" w:rsidRPr="00240959" w14:paraId="0B3BA206"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74DD5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81.0702</w:t>
            </w:r>
          </w:p>
        </w:tc>
        <w:tc>
          <w:tcPr>
            <w:tcW w:w="1200" w:type="dxa"/>
            <w:tcBorders>
              <w:top w:val="nil"/>
              <w:left w:val="nil"/>
              <w:bottom w:val="single" w:sz="4" w:space="0" w:color="auto"/>
              <w:right w:val="single" w:sz="4" w:space="0" w:color="auto"/>
            </w:tcBorders>
            <w:shd w:val="clear" w:color="auto" w:fill="auto"/>
            <w:noWrap/>
            <w:vAlign w:val="bottom"/>
            <w:hideMark/>
          </w:tcPr>
          <w:p w14:paraId="205B3AA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66E5E46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5.305</w:t>
            </w:r>
          </w:p>
        </w:tc>
        <w:tc>
          <w:tcPr>
            <w:tcW w:w="1660" w:type="dxa"/>
            <w:tcBorders>
              <w:top w:val="nil"/>
              <w:left w:val="nil"/>
              <w:bottom w:val="single" w:sz="4" w:space="0" w:color="auto"/>
              <w:right w:val="single" w:sz="4" w:space="0" w:color="auto"/>
            </w:tcBorders>
            <w:shd w:val="clear" w:color="auto" w:fill="auto"/>
            <w:noWrap/>
            <w:vAlign w:val="bottom"/>
            <w:hideMark/>
          </w:tcPr>
          <w:p w14:paraId="1C78CF3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C6H9</w:t>
            </w:r>
          </w:p>
        </w:tc>
        <w:tc>
          <w:tcPr>
            <w:tcW w:w="1200" w:type="dxa"/>
            <w:tcBorders>
              <w:top w:val="nil"/>
              <w:left w:val="nil"/>
              <w:bottom w:val="single" w:sz="4" w:space="0" w:color="auto"/>
              <w:right w:val="single" w:sz="4" w:space="0" w:color="auto"/>
            </w:tcBorders>
            <w:shd w:val="clear" w:color="auto" w:fill="auto"/>
            <w:noWrap/>
            <w:vAlign w:val="bottom"/>
            <w:hideMark/>
          </w:tcPr>
          <w:p w14:paraId="61B22B7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5E0EC4C6"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9C36F7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83.0858</w:t>
            </w:r>
          </w:p>
        </w:tc>
        <w:tc>
          <w:tcPr>
            <w:tcW w:w="1200" w:type="dxa"/>
            <w:tcBorders>
              <w:top w:val="nil"/>
              <w:left w:val="nil"/>
              <w:bottom w:val="single" w:sz="4" w:space="0" w:color="auto"/>
              <w:right w:val="single" w:sz="4" w:space="0" w:color="auto"/>
            </w:tcBorders>
            <w:shd w:val="clear" w:color="auto" w:fill="auto"/>
            <w:noWrap/>
            <w:vAlign w:val="bottom"/>
            <w:hideMark/>
          </w:tcPr>
          <w:p w14:paraId="2997CCF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F9E39E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1.533</w:t>
            </w:r>
          </w:p>
        </w:tc>
        <w:tc>
          <w:tcPr>
            <w:tcW w:w="1660" w:type="dxa"/>
            <w:tcBorders>
              <w:top w:val="nil"/>
              <w:left w:val="nil"/>
              <w:bottom w:val="single" w:sz="4" w:space="0" w:color="auto"/>
              <w:right w:val="single" w:sz="4" w:space="0" w:color="auto"/>
            </w:tcBorders>
            <w:shd w:val="clear" w:color="auto" w:fill="auto"/>
            <w:noWrap/>
            <w:vAlign w:val="bottom"/>
            <w:hideMark/>
          </w:tcPr>
          <w:p w14:paraId="3420328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C6H11</w:t>
            </w:r>
          </w:p>
        </w:tc>
        <w:tc>
          <w:tcPr>
            <w:tcW w:w="1200" w:type="dxa"/>
            <w:tcBorders>
              <w:top w:val="nil"/>
              <w:left w:val="nil"/>
              <w:bottom w:val="single" w:sz="4" w:space="0" w:color="auto"/>
              <w:right w:val="single" w:sz="4" w:space="0" w:color="auto"/>
            </w:tcBorders>
            <w:shd w:val="clear" w:color="auto" w:fill="auto"/>
            <w:noWrap/>
            <w:vAlign w:val="bottom"/>
            <w:hideMark/>
          </w:tcPr>
          <w:p w14:paraId="523F363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3D6DB8D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79FCB0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83.422</w:t>
            </w:r>
          </w:p>
        </w:tc>
        <w:tc>
          <w:tcPr>
            <w:tcW w:w="1200" w:type="dxa"/>
            <w:tcBorders>
              <w:top w:val="nil"/>
              <w:left w:val="nil"/>
              <w:bottom w:val="single" w:sz="4" w:space="0" w:color="auto"/>
              <w:right w:val="single" w:sz="4" w:space="0" w:color="auto"/>
            </w:tcBorders>
            <w:shd w:val="clear" w:color="auto" w:fill="auto"/>
            <w:noWrap/>
            <w:vAlign w:val="bottom"/>
            <w:hideMark/>
          </w:tcPr>
          <w:p w14:paraId="483BAE7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4A1FC6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1.135</w:t>
            </w:r>
          </w:p>
        </w:tc>
        <w:tc>
          <w:tcPr>
            <w:tcW w:w="1660" w:type="dxa"/>
            <w:tcBorders>
              <w:top w:val="nil"/>
              <w:left w:val="nil"/>
              <w:bottom w:val="single" w:sz="4" w:space="0" w:color="auto"/>
              <w:right w:val="single" w:sz="4" w:space="0" w:color="auto"/>
            </w:tcBorders>
            <w:shd w:val="clear" w:color="auto" w:fill="auto"/>
            <w:noWrap/>
            <w:vAlign w:val="bottom"/>
            <w:hideMark/>
          </w:tcPr>
          <w:p w14:paraId="455CD31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151ABA6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40C88ACC"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559E00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85.1014</w:t>
            </w:r>
          </w:p>
        </w:tc>
        <w:tc>
          <w:tcPr>
            <w:tcW w:w="1200" w:type="dxa"/>
            <w:tcBorders>
              <w:top w:val="nil"/>
              <w:left w:val="nil"/>
              <w:bottom w:val="single" w:sz="4" w:space="0" w:color="auto"/>
              <w:right w:val="single" w:sz="4" w:space="0" w:color="auto"/>
            </w:tcBorders>
            <w:shd w:val="clear" w:color="auto" w:fill="auto"/>
            <w:noWrap/>
            <w:vAlign w:val="bottom"/>
            <w:hideMark/>
          </w:tcPr>
          <w:p w14:paraId="53F391E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423046D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2.917</w:t>
            </w:r>
          </w:p>
        </w:tc>
        <w:tc>
          <w:tcPr>
            <w:tcW w:w="1660" w:type="dxa"/>
            <w:tcBorders>
              <w:top w:val="nil"/>
              <w:left w:val="nil"/>
              <w:bottom w:val="single" w:sz="4" w:space="0" w:color="auto"/>
              <w:right w:val="single" w:sz="4" w:space="0" w:color="auto"/>
            </w:tcBorders>
            <w:shd w:val="clear" w:color="auto" w:fill="auto"/>
            <w:noWrap/>
            <w:vAlign w:val="bottom"/>
            <w:hideMark/>
          </w:tcPr>
          <w:p w14:paraId="5119B73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C6H13</w:t>
            </w:r>
          </w:p>
        </w:tc>
        <w:tc>
          <w:tcPr>
            <w:tcW w:w="1200" w:type="dxa"/>
            <w:tcBorders>
              <w:top w:val="nil"/>
              <w:left w:val="nil"/>
              <w:bottom w:val="single" w:sz="4" w:space="0" w:color="auto"/>
              <w:right w:val="single" w:sz="4" w:space="0" w:color="auto"/>
            </w:tcBorders>
            <w:shd w:val="clear" w:color="auto" w:fill="auto"/>
            <w:noWrap/>
            <w:vAlign w:val="bottom"/>
            <w:hideMark/>
          </w:tcPr>
          <w:p w14:paraId="6296730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0.0002</w:t>
            </w:r>
          </w:p>
        </w:tc>
      </w:tr>
      <w:tr w:rsidR="00240959" w:rsidRPr="00240959" w14:paraId="20A29F3D"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8817C1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91.0546</w:t>
            </w:r>
          </w:p>
        </w:tc>
        <w:tc>
          <w:tcPr>
            <w:tcW w:w="1200" w:type="dxa"/>
            <w:tcBorders>
              <w:top w:val="nil"/>
              <w:left w:val="nil"/>
              <w:bottom w:val="single" w:sz="4" w:space="0" w:color="auto"/>
              <w:right w:val="single" w:sz="4" w:space="0" w:color="auto"/>
            </w:tcBorders>
            <w:shd w:val="clear" w:color="auto" w:fill="auto"/>
            <w:noWrap/>
            <w:vAlign w:val="bottom"/>
            <w:hideMark/>
          </w:tcPr>
          <w:p w14:paraId="4A8353B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B2FF5B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3.167</w:t>
            </w:r>
          </w:p>
        </w:tc>
        <w:tc>
          <w:tcPr>
            <w:tcW w:w="1660" w:type="dxa"/>
            <w:tcBorders>
              <w:top w:val="nil"/>
              <w:left w:val="nil"/>
              <w:bottom w:val="single" w:sz="4" w:space="0" w:color="auto"/>
              <w:right w:val="single" w:sz="4" w:space="0" w:color="auto"/>
            </w:tcBorders>
            <w:shd w:val="clear" w:color="auto" w:fill="auto"/>
            <w:noWrap/>
            <w:vAlign w:val="bottom"/>
            <w:hideMark/>
          </w:tcPr>
          <w:p w14:paraId="69F1491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688DBD4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51498F68"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9C3B03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93.0702</w:t>
            </w:r>
          </w:p>
        </w:tc>
        <w:tc>
          <w:tcPr>
            <w:tcW w:w="1200" w:type="dxa"/>
            <w:tcBorders>
              <w:top w:val="nil"/>
              <w:left w:val="nil"/>
              <w:bottom w:val="single" w:sz="4" w:space="0" w:color="auto"/>
              <w:right w:val="single" w:sz="4" w:space="0" w:color="auto"/>
            </w:tcBorders>
            <w:shd w:val="clear" w:color="auto" w:fill="auto"/>
            <w:noWrap/>
            <w:vAlign w:val="bottom"/>
            <w:hideMark/>
          </w:tcPr>
          <w:p w14:paraId="034C0BA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7676E5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2.552</w:t>
            </w:r>
          </w:p>
        </w:tc>
        <w:tc>
          <w:tcPr>
            <w:tcW w:w="1660" w:type="dxa"/>
            <w:tcBorders>
              <w:top w:val="nil"/>
              <w:left w:val="nil"/>
              <w:bottom w:val="single" w:sz="4" w:space="0" w:color="auto"/>
              <w:right w:val="single" w:sz="4" w:space="0" w:color="auto"/>
            </w:tcBorders>
            <w:shd w:val="clear" w:color="auto" w:fill="auto"/>
            <w:noWrap/>
            <w:vAlign w:val="bottom"/>
            <w:hideMark/>
          </w:tcPr>
          <w:p w14:paraId="7601D32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C7H9</w:t>
            </w:r>
          </w:p>
        </w:tc>
        <w:tc>
          <w:tcPr>
            <w:tcW w:w="1200" w:type="dxa"/>
            <w:tcBorders>
              <w:top w:val="nil"/>
              <w:left w:val="nil"/>
              <w:bottom w:val="single" w:sz="4" w:space="0" w:color="auto"/>
              <w:right w:val="single" w:sz="4" w:space="0" w:color="auto"/>
            </w:tcBorders>
            <w:shd w:val="clear" w:color="auto" w:fill="auto"/>
            <w:noWrap/>
            <w:vAlign w:val="bottom"/>
            <w:hideMark/>
          </w:tcPr>
          <w:p w14:paraId="3F0F840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7191E947"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0F7AD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95.0858</w:t>
            </w:r>
          </w:p>
        </w:tc>
        <w:tc>
          <w:tcPr>
            <w:tcW w:w="1200" w:type="dxa"/>
            <w:tcBorders>
              <w:top w:val="nil"/>
              <w:left w:val="nil"/>
              <w:bottom w:val="single" w:sz="4" w:space="0" w:color="auto"/>
              <w:right w:val="single" w:sz="4" w:space="0" w:color="auto"/>
            </w:tcBorders>
            <w:shd w:val="clear" w:color="auto" w:fill="auto"/>
            <w:noWrap/>
            <w:vAlign w:val="bottom"/>
            <w:hideMark/>
          </w:tcPr>
          <w:p w14:paraId="02E7B5A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0E30F96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5.299</w:t>
            </w:r>
          </w:p>
        </w:tc>
        <w:tc>
          <w:tcPr>
            <w:tcW w:w="1660" w:type="dxa"/>
            <w:tcBorders>
              <w:top w:val="nil"/>
              <w:left w:val="nil"/>
              <w:bottom w:val="single" w:sz="4" w:space="0" w:color="auto"/>
              <w:right w:val="single" w:sz="4" w:space="0" w:color="auto"/>
            </w:tcBorders>
            <w:shd w:val="clear" w:color="auto" w:fill="auto"/>
            <w:noWrap/>
            <w:vAlign w:val="bottom"/>
            <w:hideMark/>
          </w:tcPr>
          <w:p w14:paraId="07DC923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C7H11</w:t>
            </w:r>
          </w:p>
        </w:tc>
        <w:tc>
          <w:tcPr>
            <w:tcW w:w="1200" w:type="dxa"/>
            <w:tcBorders>
              <w:top w:val="nil"/>
              <w:left w:val="nil"/>
              <w:bottom w:val="single" w:sz="4" w:space="0" w:color="auto"/>
              <w:right w:val="single" w:sz="4" w:space="0" w:color="auto"/>
            </w:tcBorders>
            <w:shd w:val="clear" w:color="auto" w:fill="auto"/>
            <w:noWrap/>
            <w:vAlign w:val="bottom"/>
            <w:hideMark/>
          </w:tcPr>
          <w:p w14:paraId="33E19EB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58686171"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AF481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lastRenderedPageBreak/>
              <w:t>97.1015</w:t>
            </w:r>
          </w:p>
        </w:tc>
        <w:tc>
          <w:tcPr>
            <w:tcW w:w="1200" w:type="dxa"/>
            <w:tcBorders>
              <w:top w:val="nil"/>
              <w:left w:val="nil"/>
              <w:bottom w:val="single" w:sz="4" w:space="0" w:color="auto"/>
              <w:right w:val="single" w:sz="4" w:space="0" w:color="auto"/>
            </w:tcBorders>
            <w:shd w:val="clear" w:color="auto" w:fill="auto"/>
            <w:noWrap/>
            <w:vAlign w:val="bottom"/>
            <w:hideMark/>
          </w:tcPr>
          <w:p w14:paraId="306DB1F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B50094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3.393</w:t>
            </w:r>
          </w:p>
        </w:tc>
        <w:tc>
          <w:tcPr>
            <w:tcW w:w="1660" w:type="dxa"/>
            <w:tcBorders>
              <w:top w:val="nil"/>
              <w:left w:val="nil"/>
              <w:bottom w:val="single" w:sz="4" w:space="0" w:color="auto"/>
              <w:right w:val="single" w:sz="4" w:space="0" w:color="auto"/>
            </w:tcBorders>
            <w:shd w:val="clear" w:color="auto" w:fill="auto"/>
            <w:noWrap/>
            <w:vAlign w:val="bottom"/>
            <w:hideMark/>
          </w:tcPr>
          <w:p w14:paraId="4880880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C7H13</w:t>
            </w:r>
          </w:p>
        </w:tc>
        <w:tc>
          <w:tcPr>
            <w:tcW w:w="1200" w:type="dxa"/>
            <w:tcBorders>
              <w:top w:val="nil"/>
              <w:left w:val="nil"/>
              <w:bottom w:val="single" w:sz="4" w:space="0" w:color="auto"/>
              <w:right w:val="single" w:sz="4" w:space="0" w:color="auto"/>
            </w:tcBorders>
            <w:shd w:val="clear" w:color="auto" w:fill="auto"/>
            <w:noWrap/>
            <w:vAlign w:val="bottom"/>
            <w:hideMark/>
          </w:tcPr>
          <w:p w14:paraId="05EFB7B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52D9935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76F041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105.0701</w:t>
            </w:r>
          </w:p>
        </w:tc>
        <w:tc>
          <w:tcPr>
            <w:tcW w:w="1200" w:type="dxa"/>
            <w:tcBorders>
              <w:top w:val="nil"/>
              <w:left w:val="nil"/>
              <w:bottom w:val="single" w:sz="4" w:space="0" w:color="auto"/>
              <w:right w:val="single" w:sz="4" w:space="0" w:color="auto"/>
            </w:tcBorders>
            <w:shd w:val="clear" w:color="auto" w:fill="auto"/>
            <w:noWrap/>
            <w:vAlign w:val="bottom"/>
            <w:hideMark/>
          </w:tcPr>
          <w:p w14:paraId="38FCD09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55DB938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3.468</w:t>
            </w:r>
          </w:p>
        </w:tc>
        <w:tc>
          <w:tcPr>
            <w:tcW w:w="1660" w:type="dxa"/>
            <w:tcBorders>
              <w:top w:val="nil"/>
              <w:left w:val="nil"/>
              <w:bottom w:val="single" w:sz="4" w:space="0" w:color="auto"/>
              <w:right w:val="single" w:sz="4" w:space="0" w:color="auto"/>
            </w:tcBorders>
            <w:shd w:val="clear" w:color="auto" w:fill="auto"/>
            <w:noWrap/>
            <w:vAlign w:val="bottom"/>
            <w:hideMark/>
          </w:tcPr>
          <w:p w14:paraId="63B6F42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CC2A8F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2BFDFE9"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FF5D7F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107.0857</w:t>
            </w:r>
          </w:p>
        </w:tc>
        <w:tc>
          <w:tcPr>
            <w:tcW w:w="1200" w:type="dxa"/>
            <w:tcBorders>
              <w:top w:val="nil"/>
              <w:left w:val="nil"/>
              <w:bottom w:val="single" w:sz="4" w:space="0" w:color="auto"/>
              <w:right w:val="single" w:sz="4" w:space="0" w:color="auto"/>
            </w:tcBorders>
            <w:shd w:val="clear" w:color="auto" w:fill="auto"/>
            <w:noWrap/>
            <w:vAlign w:val="bottom"/>
            <w:hideMark/>
          </w:tcPr>
          <w:p w14:paraId="156A8EB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3F1219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3.001</w:t>
            </w:r>
          </w:p>
        </w:tc>
        <w:tc>
          <w:tcPr>
            <w:tcW w:w="1660" w:type="dxa"/>
            <w:tcBorders>
              <w:top w:val="nil"/>
              <w:left w:val="nil"/>
              <w:bottom w:val="single" w:sz="4" w:space="0" w:color="auto"/>
              <w:right w:val="single" w:sz="4" w:space="0" w:color="auto"/>
            </w:tcBorders>
            <w:shd w:val="clear" w:color="auto" w:fill="auto"/>
            <w:noWrap/>
            <w:vAlign w:val="bottom"/>
            <w:hideMark/>
          </w:tcPr>
          <w:p w14:paraId="44A2C9B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C8H11</w:t>
            </w:r>
          </w:p>
        </w:tc>
        <w:tc>
          <w:tcPr>
            <w:tcW w:w="1200" w:type="dxa"/>
            <w:tcBorders>
              <w:top w:val="nil"/>
              <w:left w:val="nil"/>
              <w:bottom w:val="single" w:sz="4" w:space="0" w:color="auto"/>
              <w:right w:val="single" w:sz="4" w:space="0" w:color="auto"/>
            </w:tcBorders>
            <w:shd w:val="clear" w:color="auto" w:fill="auto"/>
            <w:noWrap/>
            <w:vAlign w:val="bottom"/>
            <w:hideMark/>
          </w:tcPr>
          <w:p w14:paraId="34224BB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0.0002</w:t>
            </w:r>
          </w:p>
        </w:tc>
      </w:tr>
      <w:tr w:rsidR="00240959" w:rsidRPr="00240959" w14:paraId="0D7327FF"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5FDB01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109.1016</w:t>
            </w:r>
          </w:p>
        </w:tc>
        <w:tc>
          <w:tcPr>
            <w:tcW w:w="1200" w:type="dxa"/>
            <w:tcBorders>
              <w:top w:val="nil"/>
              <w:left w:val="nil"/>
              <w:bottom w:val="single" w:sz="4" w:space="0" w:color="auto"/>
              <w:right w:val="single" w:sz="4" w:space="0" w:color="auto"/>
            </w:tcBorders>
            <w:shd w:val="clear" w:color="auto" w:fill="auto"/>
            <w:noWrap/>
            <w:vAlign w:val="bottom"/>
            <w:hideMark/>
          </w:tcPr>
          <w:p w14:paraId="6059DA1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20FAB5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3.922</w:t>
            </w:r>
          </w:p>
        </w:tc>
        <w:tc>
          <w:tcPr>
            <w:tcW w:w="1660" w:type="dxa"/>
            <w:tcBorders>
              <w:top w:val="nil"/>
              <w:left w:val="nil"/>
              <w:bottom w:val="single" w:sz="4" w:space="0" w:color="auto"/>
              <w:right w:val="single" w:sz="4" w:space="0" w:color="auto"/>
            </w:tcBorders>
            <w:shd w:val="clear" w:color="auto" w:fill="auto"/>
            <w:noWrap/>
            <w:vAlign w:val="bottom"/>
            <w:hideMark/>
          </w:tcPr>
          <w:p w14:paraId="5E2D41C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C8H13</w:t>
            </w:r>
          </w:p>
        </w:tc>
        <w:tc>
          <w:tcPr>
            <w:tcW w:w="1200" w:type="dxa"/>
            <w:tcBorders>
              <w:top w:val="nil"/>
              <w:left w:val="nil"/>
              <w:bottom w:val="single" w:sz="4" w:space="0" w:color="auto"/>
              <w:right w:val="single" w:sz="4" w:space="0" w:color="auto"/>
            </w:tcBorders>
            <w:shd w:val="clear" w:color="auto" w:fill="auto"/>
            <w:noWrap/>
            <w:vAlign w:val="bottom"/>
            <w:hideMark/>
          </w:tcPr>
          <w:p w14:paraId="094093C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0.0004</w:t>
            </w:r>
          </w:p>
        </w:tc>
      </w:tr>
      <w:tr w:rsidR="00240959" w:rsidRPr="00240959" w14:paraId="34AE0149"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5D2132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111.1172</w:t>
            </w:r>
          </w:p>
        </w:tc>
        <w:tc>
          <w:tcPr>
            <w:tcW w:w="1200" w:type="dxa"/>
            <w:tcBorders>
              <w:top w:val="nil"/>
              <w:left w:val="nil"/>
              <w:bottom w:val="single" w:sz="4" w:space="0" w:color="auto"/>
              <w:right w:val="single" w:sz="4" w:space="0" w:color="auto"/>
            </w:tcBorders>
            <w:shd w:val="clear" w:color="auto" w:fill="auto"/>
            <w:noWrap/>
            <w:vAlign w:val="bottom"/>
            <w:hideMark/>
          </w:tcPr>
          <w:p w14:paraId="37360E9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FD9C87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1.264</w:t>
            </w:r>
          </w:p>
        </w:tc>
        <w:tc>
          <w:tcPr>
            <w:tcW w:w="1660" w:type="dxa"/>
            <w:tcBorders>
              <w:top w:val="nil"/>
              <w:left w:val="nil"/>
              <w:bottom w:val="single" w:sz="4" w:space="0" w:color="auto"/>
              <w:right w:val="single" w:sz="4" w:space="0" w:color="auto"/>
            </w:tcBorders>
            <w:shd w:val="clear" w:color="auto" w:fill="auto"/>
            <w:noWrap/>
            <w:vAlign w:val="bottom"/>
            <w:hideMark/>
          </w:tcPr>
          <w:p w14:paraId="50ED27E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C8H15</w:t>
            </w:r>
          </w:p>
        </w:tc>
        <w:tc>
          <w:tcPr>
            <w:tcW w:w="1200" w:type="dxa"/>
            <w:tcBorders>
              <w:top w:val="nil"/>
              <w:left w:val="nil"/>
              <w:bottom w:val="single" w:sz="4" w:space="0" w:color="auto"/>
              <w:right w:val="single" w:sz="4" w:space="0" w:color="auto"/>
            </w:tcBorders>
            <w:shd w:val="clear" w:color="auto" w:fill="auto"/>
            <w:noWrap/>
            <w:vAlign w:val="bottom"/>
            <w:hideMark/>
          </w:tcPr>
          <w:p w14:paraId="352056C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0.0004</w:t>
            </w:r>
          </w:p>
        </w:tc>
      </w:tr>
      <w:tr w:rsidR="00240959" w:rsidRPr="00240959" w14:paraId="6AC0754A"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274241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117.0702</w:t>
            </w:r>
          </w:p>
        </w:tc>
        <w:tc>
          <w:tcPr>
            <w:tcW w:w="1200" w:type="dxa"/>
            <w:tcBorders>
              <w:top w:val="nil"/>
              <w:left w:val="nil"/>
              <w:bottom w:val="single" w:sz="4" w:space="0" w:color="auto"/>
              <w:right w:val="single" w:sz="4" w:space="0" w:color="auto"/>
            </w:tcBorders>
            <w:shd w:val="clear" w:color="auto" w:fill="auto"/>
            <w:noWrap/>
            <w:vAlign w:val="bottom"/>
            <w:hideMark/>
          </w:tcPr>
          <w:p w14:paraId="0C984BC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49A02CE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2.277</w:t>
            </w:r>
          </w:p>
        </w:tc>
        <w:tc>
          <w:tcPr>
            <w:tcW w:w="1660" w:type="dxa"/>
            <w:tcBorders>
              <w:top w:val="nil"/>
              <w:left w:val="nil"/>
              <w:bottom w:val="single" w:sz="4" w:space="0" w:color="auto"/>
              <w:right w:val="single" w:sz="4" w:space="0" w:color="auto"/>
            </w:tcBorders>
            <w:shd w:val="clear" w:color="auto" w:fill="auto"/>
            <w:noWrap/>
            <w:vAlign w:val="bottom"/>
            <w:hideMark/>
          </w:tcPr>
          <w:p w14:paraId="20E8177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02D9709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0CCC3440"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460996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119.0858</w:t>
            </w:r>
          </w:p>
        </w:tc>
        <w:tc>
          <w:tcPr>
            <w:tcW w:w="1200" w:type="dxa"/>
            <w:tcBorders>
              <w:top w:val="nil"/>
              <w:left w:val="nil"/>
              <w:bottom w:val="single" w:sz="4" w:space="0" w:color="auto"/>
              <w:right w:val="single" w:sz="4" w:space="0" w:color="auto"/>
            </w:tcBorders>
            <w:shd w:val="clear" w:color="auto" w:fill="auto"/>
            <w:noWrap/>
            <w:vAlign w:val="bottom"/>
            <w:hideMark/>
          </w:tcPr>
          <w:p w14:paraId="38EB2A5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0C41E8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4.147</w:t>
            </w:r>
          </w:p>
        </w:tc>
        <w:tc>
          <w:tcPr>
            <w:tcW w:w="1660" w:type="dxa"/>
            <w:tcBorders>
              <w:top w:val="nil"/>
              <w:left w:val="nil"/>
              <w:bottom w:val="single" w:sz="4" w:space="0" w:color="auto"/>
              <w:right w:val="single" w:sz="4" w:space="0" w:color="auto"/>
            </w:tcBorders>
            <w:shd w:val="clear" w:color="auto" w:fill="auto"/>
            <w:noWrap/>
            <w:vAlign w:val="bottom"/>
            <w:hideMark/>
          </w:tcPr>
          <w:p w14:paraId="6ED4E3F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83B0F7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6803D4BC"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0FD38C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121.1013</w:t>
            </w:r>
          </w:p>
        </w:tc>
        <w:tc>
          <w:tcPr>
            <w:tcW w:w="1200" w:type="dxa"/>
            <w:tcBorders>
              <w:top w:val="nil"/>
              <w:left w:val="nil"/>
              <w:bottom w:val="single" w:sz="4" w:space="0" w:color="auto"/>
              <w:right w:val="single" w:sz="4" w:space="0" w:color="auto"/>
            </w:tcBorders>
            <w:shd w:val="clear" w:color="auto" w:fill="auto"/>
            <w:noWrap/>
            <w:vAlign w:val="bottom"/>
            <w:hideMark/>
          </w:tcPr>
          <w:p w14:paraId="5D7795E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4FBEFC4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1.831</w:t>
            </w:r>
          </w:p>
        </w:tc>
        <w:tc>
          <w:tcPr>
            <w:tcW w:w="1660" w:type="dxa"/>
            <w:tcBorders>
              <w:top w:val="nil"/>
              <w:left w:val="nil"/>
              <w:bottom w:val="single" w:sz="4" w:space="0" w:color="auto"/>
              <w:right w:val="single" w:sz="4" w:space="0" w:color="auto"/>
            </w:tcBorders>
            <w:shd w:val="clear" w:color="auto" w:fill="auto"/>
            <w:noWrap/>
            <w:vAlign w:val="bottom"/>
            <w:hideMark/>
          </w:tcPr>
          <w:p w14:paraId="6CE0706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C9H13</w:t>
            </w:r>
          </w:p>
        </w:tc>
        <w:tc>
          <w:tcPr>
            <w:tcW w:w="1200" w:type="dxa"/>
            <w:tcBorders>
              <w:top w:val="nil"/>
              <w:left w:val="nil"/>
              <w:bottom w:val="single" w:sz="4" w:space="0" w:color="auto"/>
              <w:right w:val="single" w:sz="4" w:space="0" w:color="auto"/>
            </w:tcBorders>
            <w:shd w:val="clear" w:color="auto" w:fill="auto"/>
            <w:noWrap/>
            <w:vAlign w:val="bottom"/>
            <w:hideMark/>
          </w:tcPr>
          <w:p w14:paraId="794505F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0.0002</w:t>
            </w:r>
          </w:p>
        </w:tc>
      </w:tr>
      <w:tr w:rsidR="00240959" w:rsidRPr="00240959" w14:paraId="6467D5C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6052D0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123.1172</w:t>
            </w:r>
          </w:p>
        </w:tc>
        <w:tc>
          <w:tcPr>
            <w:tcW w:w="1200" w:type="dxa"/>
            <w:tcBorders>
              <w:top w:val="nil"/>
              <w:left w:val="nil"/>
              <w:bottom w:val="single" w:sz="4" w:space="0" w:color="auto"/>
              <w:right w:val="single" w:sz="4" w:space="0" w:color="auto"/>
            </w:tcBorders>
            <w:shd w:val="clear" w:color="auto" w:fill="auto"/>
            <w:noWrap/>
            <w:vAlign w:val="bottom"/>
            <w:hideMark/>
          </w:tcPr>
          <w:p w14:paraId="3F9E361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38F1A6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2.495</w:t>
            </w:r>
          </w:p>
        </w:tc>
        <w:tc>
          <w:tcPr>
            <w:tcW w:w="1660" w:type="dxa"/>
            <w:tcBorders>
              <w:top w:val="nil"/>
              <w:left w:val="nil"/>
              <w:bottom w:val="single" w:sz="4" w:space="0" w:color="auto"/>
              <w:right w:val="single" w:sz="4" w:space="0" w:color="auto"/>
            </w:tcBorders>
            <w:shd w:val="clear" w:color="auto" w:fill="auto"/>
            <w:noWrap/>
            <w:vAlign w:val="bottom"/>
            <w:hideMark/>
          </w:tcPr>
          <w:p w14:paraId="13F4C4C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C9H15</w:t>
            </w:r>
          </w:p>
        </w:tc>
        <w:tc>
          <w:tcPr>
            <w:tcW w:w="1200" w:type="dxa"/>
            <w:tcBorders>
              <w:top w:val="nil"/>
              <w:left w:val="nil"/>
              <w:bottom w:val="single" w:sz="4" w:space="0" w:color="auto"/>
              <w:right w:val="single" w:sz="4" w:space="0" w:color="auto"/>
            </w:tcBorders>
            <w:shd w:val="clear" w:color="auto" w:fill="auto"/>
            <w:noWrap/>
            <w:vAlign w:val="bottom"/>
            <w:hideMark/>
          </w:tcPr>
          <w:p w14:paraId="302DB43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0.0004</w:t>
            </w:r>
          </w:p>
        </w:tc>
      </w:tr>
      <w:tr w:rsidR="00240959" w:rsidRPr="00240959" w14:paraId="2D94D9AA"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E823DA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131.0859</w:t>
            </w:r>
          </w:p>
        </w:tc>
        <w:tc>
          <w:tcPr>
            <w:tcW w:w="1200" w:type="dxa"/>
            <w:tcBorders>
              <w:top w:val="nil"/>
              <w:left w:val="nil"/>
              <w:bottom w:val="single" w:sz="4" w:space="0" w:color="auto"/>
              <w:right w:val="single" w:sz="4" w:space="0" w:color="auto"/>
            </w:tcBorders>
            <w:shd w:val="clear" w:color="auto" w:fill="auto"/>
            <w:noWrap/>
            <w:vAlign w:val="bottom"/>
            <w:hideMark/>
          </w:tcPr>
          <w:p w14:paraId="6583957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0408FA6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2.139</w:t>
            </w:r>
          </w:p>
        </w:tc>
        <w:tc>
          <w:tcPr>
            <w:tcW w:w="1660" w:type="dxa"/>
            <w:tcBorders>
              <w:top w:val="nil"/>
              <w:left w:val="nil"/>
              <w:bottom w:val="single" w:sz="4" w:space="0" w:color="auto"/>
              <w:right w:val="single" w:sz="4" w:space="0" w:color="auto"/>
            </w:tcBorders>
            <w:shd w:val="clear" w:color="auto" w:fill="auto"/>
            <w:noWrap/>
            <w:vAlign w:val="bottom"/>
            <w:hideMark/>
          </w:tcPr>
          <w:p w14:paraId="677A050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F2084D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7E07A197"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26F130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133.1015</w:t>
            </w:r>
          </w:p>
        </w:tc>
        <w:tc>
          <w:tcPr>
            <w:tcW w:w="1200" w:type="dxa"/>
            <w:tcBorders>
              <w:top w:val="nil"/>
              <w:left w:val="nil"/>
              <w:bottom w:val="single" w:sz="4" w:space="0" w:color="auto"/>
              <w:right w:val="single" w:sz="4" w:space="0" w:color="auto"/>
            </w:tcBorders>
            <w:shd w:val="clear" w:color="auto" w:fill="auto"/>
            <w:noWrap/>
            <w:vAlign w:val="bottom"/>
            <w:hideMark/>
          </w:tcPr>
          <w:p w14:paraId="3A396C8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4804417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4.43</w:t>
            </w:r>
          </w:p>
        </w:tc>
        <w:tc>
          <w:tcPr>
            <w:tcW w:w="1660" w:type="dxa"/>
            <w:tcBorders>
              <w:top w:val="nil"/>
              <w:left w:val="nil"/>
              <w:bottom w:val="single" w:sz="4" w:space="0" w:color="auto"/>
              <w:right w:val="single" w:sz="4" w:space="0" w:color="auto"/>
            </w:tcBorders>
            <w:shd w:val="clear" w:color="auto" w:fill="auto"/>
            <w:noWrap/>
            <w:vAlign w:val="bottom"/>
            <w:hideMark/>
          </w:tcPr>
          <w:p w14:paraId="6651543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5917B85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4C4D89D"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CF22B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137.133</w:t>
            </w:r>
          </w:p>
        </w:tc>
        <w:tc>
          <w:tcPr>
            <w:tcW w:w="1200" w:type="dxa"/>
            <w:tcBorders>
              <w:top w:val="nil"/>
              <w:left w:val="nil"/>
              <w:bottom w:val="single" w:sz="4" w:space="0" w:color="auto"/>
              <w:right w:val="single" w:sz="4" w:space="0" w:color="auto"/>
            </w:tcBorders>
            <w:shd w:val="clear" w:color="auto" w:fill="auto"/>
            <w:noWrap/>
            <w:vAlign w:val="bottom"/>
            <w:hideMark/>
          </w:tcPr>
          <w:p w14:paraId="76732F2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BE5BEB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1.693</w:t>
            </w:r>
          </w:p>
        </w:tc>
        <w:tc>
          <w:tcPr>
            <w:tcW w:w="1660" w:type="dxa"/>
            <w:tcBorders>
              <w:top w:val="nil"/>
              <w:left w:val="nil"/>
              <w:bottom w:val="single" w:sz="4" w:space="0" w:color="auto"/>
              <w:right w:val="single" w:sz="4" w:space="0" w:color="auto"/>
            </w:tcBorders>
            <w:shd w:val="clear" w:color="auto" w:fill="auto"/>
            <w:noWrap/>
            <w:vAlign w:val="bottom"/>
            <w:hideMark/>
          </w:tcPr>
          <w:p w14:paraId="77D3605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C10H17</w:t>
            </w:r>
          </w:p>
        </w:tc>
        <w:tc>
          <w:tcPr>
            <w:tcW w:w="1200" w:type="dxa"/>
            <w:tcBorders>
              <w:top w:val="nil"/>
              <w:left w:val="nil"/>
              <w:bottom w:val="single" w:sz="4" w:space="0" w:color="auto"/>
              <w:right w:val="single" w:sz="4" w:space="0" w:color="auto"/>
            </w:tcBorders>
            <w:shd w:val="clear" w:color="auto" w:fill="auto"/>
            <w:noWrap/>
            <w:vAlign w:val="bottom"/>
            <w:hideMark/>
          </w:tcPr>
          <w:p w14:paraId="03245B0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0.0005</w:t>
            </w:r>
          </w:p>
        </w:tc>
      </w:tr>
      <w:tr w:rsidR="00240959" w:rsidRPr="00240959" w14:paraId="321AA9CA"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EB6B3F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138.5383</w:t>
            </w:r>
          </w:p>
        </w:tc>
        <w:tc>
          <w:tcPr>
            <w:tcW w:w="1200" w:type="dxa"/>
            <w:tcBorders>
              <w:top w:val="nil"/>
              <w:left w:val="nil"/>
              <w:bottom w:val="single" w:sz="4" w:space="0" w:color="auto"/>
              <w:right w:val="single" w:sz="4" w:space="0" w:color="auto"/>
            </w:tcBorders>
            <w:shd w:val="clear" w:color="auto" w:fill="auto"/>
            <w:noWrap/>
            <w:vAlign w:val="bottom"/>
            <w:hideMark/>
          </w:tcPr>
          <w:p w14:paraId="3221D1C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567AC0F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1.119</w:t>
            </w:r>
          </w:p>
        </w:tc>
        <w:tc>
          <w:tcPr>
            <w:tcW w:w="1660" w:type="dxa"/>
            <w:tcBorders>
              <w:top w:val="nil"/>
              <w:left w:val="nil"/>
              <w:bottom w:val="single" w:sz="4" w:space="0" w:color="auto"/>
              <w:right w:val="single" w:sz="4" w:space="0" w:color="auto"/>
            </w:tcBorders>
            <w:shd w:val="clear" w:color="auto" w:fill="auto"/>
            <w:noWrap/>
            <w:vAlign w:val="bottom"/>
            <w:hideMark/>
          </w:tcPr>
          <w:p w14:paraId="3E49007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11A2EAE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0A5C1918"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3F0664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147.1172</w:t>
            </w:r>
          </w:p>
        </w:tc>
        <w:tc>
          <w:tcPr>
            <w:tcW w:w="1200" w:type="dxa"/>
            <w:tcBorders>
              <w:top w:val="nil"/>
              <w:left w:val="nil"/>
              <w:bottom w:val="single" w:sz="4" w:space="0" w:color="auto"/>
              <w:right w:val="single" w:sz="4" w:space="0" w:color="auto"/>
            </w:tcBorders>
            <w:shd w:val="clear" w:color="auto" w:fill="auto"/>
            <w:noWrap/>
            <w:vAlign w:val="bottom"/>
            <w:hideMark/>
          </w:tcPr>
          <w:p w14:paraId="788F841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4CBFE5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1.888</w:t>
            </w:r>
          </w:p>
        </w:tc>
        <w:tc>
          <w:tcPr>
            <w:tcW w:w="1660" w:type="dxa"/>
            <w:tcBorders>
              <w:top w:val="nil"/>
              <w:left w:val="nil"/>
              <w:bottom w:val="single" w:sz="4" w:space="0" w:color="auto"/>
              <w:right w:val="single" w:sz="4" w:space="0" w:color="auto"/>
            </w:tcBorders>
            <w:shd w:val="clear" w:color="auto" w:fill="auto"/>
            <w:noWrap/>
            <w:vAlign w:val="bottom"/>
            <w:hideMark/>
          </w:tcPr>
          <w:p w14:paraId="10EA07A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C11H15</w:t>
            </w:r>
          </w:p>
        </w:tc>
        <w:tc>
          <w:tcPr>
            <w:tcW w:w="1200" w:type="dxa"/>
            <w:tcBorders>
              <w:top w:val="nil"/>
              <w:left w:val="nil"/>
              <w:bottom w:val="single" w:sz="4" w:space="0" w:color="auto"/>
              <w:right w:val="single" w:sz="4" w:space="0" w:color="auto"/>
            </w:tcBorders>
            <w:shd w:val="clear" w:color="auto" w:fill="auto"/>
            <w:noWrap/>
            <w:vAlign w:val="bottom"/>
            <w:hideMark/>
          </w:tcPr>
          <w:p w14:paraId="7D358C8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0.0003</w:t>
            </w:r>
          </w:p>
        </w:tc>
      </w:tr>
      <w:tr w:rsidR="00240959" w:rsidRPr="00240959" w14:paraId="0EFCB46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A3B544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161.1326</w:t>
            </w:r>
          </w:p>
        </w:tc>
        <w:tc>
          <w:tcPr>
            <w:tcW w:w="1200" w:type="dxa"/>
            <w:tcBorders>
              <w:top w:val="nil"/>
              <w:left w:val="nil"/>
              <w:bottom w:val="single" w:sz="4" w:space="0" w:color="auto"/>
              <w:right w:val="single" w:sz="4" w:space="0" w:color="auto"/>
            </w:tcBorders>
            <w:shd w:val="clear" w:color="auto" w:fill="auto"/>
            <w:noWrap/>
            <w:vAlign w:val="bottom"/>
            <w:hideMark/>
          </w:tcPr>
          <w:p w14:paraId="211E231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C34A1F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1.467</w:t>
            </w:r>
          </w:p>
        </w:tc>
        <w:tc>
          <w:tcPr>
            <w:tcW w:w="1660" w:type="dxa"/>
            <w:tcBorders>
              <w:top w:val="nil"/>
              <w:left w:val="nil"/>
              <w:bottom w:val="single" w:sz="4" w:space="0" w:color="auto"/>
              <w:right w:val="single" w:sz="4" w:space="0" w:color="auto"/>
            </w:tcBorders>
            <w:shd w:val="clear" w:color="auto" w:fill="auto"/>
            <w:noWrap/>
            <w:vAlign w:val="bottom"/>
            <w:hideMark/>
          </w:tcPr>
          <w:p w14:paraId="2A354EB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C12H17</w:t>
            </w:r>
          </w:p>
        </w:tc>
        <w:tc>
          <w:tcPr>
            <w:tcW w:w="1200" w:type="dxa"/>
            <w:tcBorders>
              <w:top w:val="nil"/>
              <w:left w:val="nil"/>
              <w:bottom w:val="single" w:sz="4" w:space="0" w:color="auto"/>
              <w:right w:val="single" w:sz="4" w:space="0" w:color="auto"/>
            </w:tcBorders>
            <w:shd w:val="clear" w:color="auto" w:fill="auto"/>
            <w:noWrap/>
            <w:vAlign w:val="bottom"/>
            <w:hideMark/>
          </w:tcPr>
          <w:p w14:paraId="5A19130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0.0001</w:t>
            </w:r>
          </w:p>
        </w:tc>
      </w:tr>
      <w:tr w:rsidR="00240959" w:rsidRPr="00240959" w14:paraId="481F92C0"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FA10B9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163.1478</w:t>
            </w:r>
          </w:p>
        </w:tc>
        <w:tc>
          <w:tcPr>
            <w:tcW w:w="1200" w:type="dxa"/>
            <w:tcBorders>
              <w:top w:val="nil"/>
              <w:left w:val="nil"/>
              <w:bottom w:val="single" w:sz="4" w:space="0" w:color="auto"/>
              <w:right w:val="single" w:sz="4" w:space="0" w:color="auto"/>
            </w:tcBorders>
            <w:shd w:val="clear" w:color="auto" w:fill="auto"/>
            <w:noWrap/>
            <w:vAlign w:val="bottom"/>
            <w:hideMark/>
          </w:tcPr>
          <w:p w14:paraId="304565B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15CAFA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1.244</w:t>
            </w:r>
          </w:p>
        </w:tc>
        <w:tc>
          <w:tcPr>
            <w:tcW w:w="1660" w:type="dxa"/>
            <w:tcBorders>
              <w:top w:val="nil"/>
              <w:left w:val="nil"/>
              <w:bottom w:val="single" w:sz="4" w:space="0" w:color="auto"/>
              <w:right w:val="single" w:sz="4" w:space="0" w:color="auto"/>
            </w:tcBorders>
            <w:shd w:val="clear" w:color="auto" w:fill="auto"/>
            <w:noWrap/>
            <w:vAlign w:val="bottom"/>
            <w:hideMark/>
          </w:tcPr>
          <w:p w14:paraId="0BCB185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0970D17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30977B5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E4D9A2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171.1173</w:t>
            </w:r>
          </w:p>
        </w:tc>
        <w:tc>
          <w:tcPr>
            <w:tcW w:w="1200" w:type="dxa"/>
            <w:tcBorders>
              <w:top w:val="nil"/>
              <w:left w:val="nil"/>
              <w:bottom w:val="single" w:sz="4" w:space="0" w:color="auto"/>
              <w:right w:val="single" w:sz="4" w:space="0" w:color="auto"/>
            </w:tcBorders>
            <w:shd w:val="clear" w:color="auto" w:fill="auto"/>
            <w:noWrap/>
            <w:vAlign w:val="bottom"/>
            <w:hideMark/>
          </w:tcPr>
          <w:p w14:paraId="021FB22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502F9F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2.672</w:t>
            </w:r>
          </w:p>
        </w:tc>
        <w:tc>
          <w:tcPr>
            <w:tcW w:w="1660" w:type="dxa"/>
            <w:tcBorders>
              <w:top w:val="nil"/>
              <w:left w:val="nil"/>
              <w:bottom w:val="single" w:sz="4" w:space="0" w:color="auto"/>
              <w:right w:val="single" w:sz="4" w:space="0" w:color="auto"/>
            </w:tcBorders>
            <w:shd w:val="clear" w:color="auto" w:fill="auto"/>
            <w:noWrap/>
            <w:vAlign w:val="bottom"/>
            <w:hideMark/>
          </w:tcPr>
          <w:p w14:paraId="2E3BF9C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DEA4CF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08336B16"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64A49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172.8861</w:t>
            </w:r>
          </w:p>
        </w:tc>
        <w:tc>
          <w:tcPr>
            <w:tcW w:w="1200" w:type="dxa"/>
            <w:tcBorders>
              <w:top w:val="nil"/>
              <w:left w:val="nil"/>
              <w:bottom w:val="single" w:sz="4" w:space="0" w:color="auto"/>
              <w:right w:val="single" w:sz="4" w:space="0" w:color="auto"/>
            </w:tcBorders>
            <w:shd w:val="clear" w:color="auto" w:fill="auto"/>
            <w:noWrap/>
            <w:vAlign w:val="bottom"/>
            <w:hideMark/>
          </w:tcPr>
          <w:p w14:paraId="360BB7E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A9A305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1.083</w:t>
            </w:r>
          </w:p>
        </w:tc>
        <w:tc>
          <w:tcPr>
            <w:tcW w:w="1660" w:type="dxa"/>
            <w:tcBorders>
              <w:top w:val="nil"/>
              <w:left w:val="nil"/>
              <w:bottom w:val="single" w:sz="4" w:space="0" w:color="auto"/>
              <w:right w:val="single" w:sz="4" w:space="0" w:color="auto"/>
            </w:tcBorders>
            <w:shd w:val="clear" w:color="auto" w:fill="auto"/>
            <w:noWrap/>
            <w:vAlign w:val="bottom"/>
            <w:hideMark/>
          </w:tcPr>
          <w:p w14:paraId="083C7DC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13B0FF0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0BC604A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79FD46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176.3995</w:t>
            </w:r>
          </w:p>
        </w:tc>
        <w:tc>
          <w:tcPr>
            <w:tcW w:w="1200" w:type="dxa"/>
            <w:tcBorders>
              <w:top w:val="nil"/>
              <w:left w:val="nil"/>
              <w:bottom w:val="single" w:sz="4" w:space="0" w:color="auto"/>
              <w:right w:val="single" w:sz="4" w:space="0" w:color="auto"/>
            </w:tcBorders>
            <w:shd w:val="clear" w:color="auto" w:fill="auto"/>
            <w:noWrap/>
            <w:vAlign w:val="bottom"/>
            <w:hideMark/>
          </w:tcPr>
          <w:p w14:paraId="09A5449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44563B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1.11</w:t>
            </w:r>
          </w:p>
        </w:tc>
        <w:tc>
          <w:tcPr>
            <w:tcW w:w="1660" w:type="dxa"/>
            <w:tcBorders>
              <w:top w:val="nil"/>
              <w:left w:val="nil"/>
              <w:bottom w:val="single" w:sz="4" w:space="0" w:color="auto"/>
              <w:right w:val="single" w:sz="4" w:space="0" w:color="auto"/>
            </w:tcBorders>
            <w:shd w:val="clear" w:color="auto" w:fill="auto"/>
            <w:noWrap/>
            <w:vAlign w:val="bottom"/>
            <w:hideMark/>
          </w:tcPr>
          <w:p w14:paraId="151058C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2F2A7B3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4CA7522E"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6ACAD4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185.1327</w:t>
            </w:r>
          </w:p>
        </w:tc>
        <w:tc>
          <w:tcPr>
            <w:tcW w:w="1200" w:type="dxa"/>
            <w:tcBorders>
              <w:top w:val="nil"/>
              <w:left w:val="nil"/>
              <w:bottom w:val="single" w:sz="4" w:space="0" w:color="auto"/>
              <w:right w:val="single" w:sz="4" w:space="0" w:color="auto"/>
            </w:tcBorders>
            <w:shd w:val="clear" w:color="auto" w:fill="auto"/>
            <w:noWrap/>
            <w:vAlign w:val="bottom"/>
            <w:hideMark/>
          </w:tcPr>
          <w:p w14:paraId="697FF18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6C62A4F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1.249</w:t>
            </w:r>
          </w:p>
        </w:tc>
        <w:tc>
          <w:tcPr>
            <w:tcW w:w="1660" w:type="dxa"/>
            <w:tcBorders>
              <w:top w:val="nil"/>
              <w:left w:val="nil"/>
              <w:bottom w:val="single" w:sz="4" w:space="0" w:color="auto"/>
              <w:right w:val="single" w:sz="4" w:space="0" w:color="auto"/>
            </w:tcBorders>
            <w:shd w:val="clear" w:color="auto" w:fill="auto"/>
            <w:noWrap/>
            <w:vAlign w:val="bottom"/>
            <w:hideMark/>
          </w:tcPr>
          <w:p w14:paraId="1F602D9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7C0DB3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11E9413"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A08903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185.8718</w:t>
            </w:r>
          </w:p>
        </w:tc>
        <w:tc>
          <w:tcPr>
            <w:tcW w:w="1200" w:type="dxa"/>
            <w:tcBorders>
              <w:top w:val="nil"/>
              <w:left w:val="nil"/>
              <w:bottom w:val="single" w:sz="4" w:space="0" w:color="auto"/>
              <w:right w:val="single" w:sz="4" w:space="0" w:color="auto"/>
            </w:tcBorders>
            <w:shd w:val="clear" w:color="auto" w:fill="auto"/>
            <w:noWrap/>
            <w:vAlign w:val="bottom"/>
            <w:hideMark/>
          </w:tcPr>
          <w:p w14:paraId="45908DB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55990D6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1.338</w:t>
            </w:r>
          </w:p>
        </w:tc>
        <w:tc>
          <w:tcPr>
            <w:tcW w:w="1660" w:type="dxa"/>
            <w:tcBorders>
              <w:top w:val="nil"/>
              <w:left w:val="nil"/>
              <w:bottom w:val="single" w:sz="4" w:space="0" w:color="auto"/>
              <w:right w:val="single" w:sz="4" w:space="0" w:color="auto"/>
            </w:tcBorders>
            <w:shd w:val="clear" w:color="auto" w:fill="auto"/>
            <w:noWrap/>
            <w:vAlign w:val="bottom"/>
            <w:hideMark/>
          </w:tcPr>
          <w:p w14:paraId="6BA5030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472547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67B9BD1D"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D235DA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203.18</w:t>
            </w:r>
          </w:p>
        </w:tc>
        <w:tc>
          <w:tcPr>
            <w:tcW w:w="1200" w:type="dxa"/>
            <w:tcBorders>
              <w:top w:val="nil"/>
              <w:left w:val="nil"/>
              <w:bottom w:val="single" w:sz="4" w:space="0" w:color="auto"/>
              <w:right w:val="single" w:sz="4" w:space="0" w:color="auto"/>
            </w:tcBorders>
            <w:shd w:val="clear" w:color="auto" w:fill="auto"/>
            <w:noWrap/>
            <w:vAlign w:val="bottom"/>
            <w:hideMark/>
          </w:tcPr>
          <w:p w14:paraId="40CC340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4F47CA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9.203</w:t>
            </w:r>
          </w:p>
        </w:tc>
        <w:tc>
          <w:tcPr>
            <w:tcW w:w="1660" w:type="dxa"/>
            <w:tcBorders>
              <w:top w:val="nil"/>
              <w:left w:val="nil"/>
              <w:bottom w:val="single" w:sz="4" w:space="0" w:color="auto"/>
              <w:right w:val="single" w:sz="4" w:space="0" w:color="auto"/>
            </w:tcBorders>
            <w:shd w:val="clear" w:color="auto" w:fill="auto"/>
            <w:noWrap/>
            <w:vAlign w:val="bottom"/>
            <w:hideMark/>
          </w:tcPr>
          <w:p w14:paraId="6260096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1954DD4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7939BA72"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B98F6F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209.1325</w:t>
            </w:r>
          </w:p>
        </w:tc>
        <w:tc>
          <w:tcPr>
            <w:tcW w:w="1200" w:type="dxa"/>
            <w:tcBorders>
              <w:top w:val="nil"/>
              <w:left w:val="nil"/>
              <w:bottom w:val="single" w:sz="4" w:space="0" w:color="auto"/>
              <w:right w:val="single" w:sz="4" w:space="0" w:color="auto"/>
            </w:tcBorders>
            <w:shd w:val="clear" w:color="auto" w:fill="auto"/>
            <w:noWrap/>
            <w:vAlign w:val="bottom"/>
            <w:hideMark/>
          </w:tcPr>
          <w:p w14:paraId="164693F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CA6E30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1.289</w:t>
            </w:r>
          </w:p>
        </w:tc>
        <w:tc>
          <w:tcPr>
            <w:tcW w:w="1660" w:type="dxa"/>
            <w:tcBorders>
              <w:top w:val="nil"/>
              <w:left w:val="nil"/>
              <w:bottom w:val="single" w:sz="4" w:space="0" w:color="auto"/>
              <w:right w:val="single" w:sz="4" w:space="0" w:color="auto"/>
            </w:tcBorders>
            <w:shd w:val="clear" w:color="auto" w:fill="auto"/>
            <w:noWrap/>
            <w:vAlign w:val="bottom"/>
            <w:hideMark/>
          </w:tcPr>
          <w:p w14:paraId="195FCF1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0B989FD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5509444B"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6B2AD7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267.2689</w:t>
            </w:r>
          </w:p>
        </w:tc>
        <w:tc>
          <w:tcPr>
            <w:tcW w:w="1200" w:type="dxa"/>
            <w:tcBorders>
              <w:top w:val="nil"/>
              <w:left w:val="nil"/>
              <w:bottom w:val="single" w:sz="4" w:space="0" w:color="auto"/>
              <w:right w:val="single" w:sz="4" w:space="0" w:color="auto"/>
            </w:tcBorders>
            <w:shd w:val="clear" w:color="auto" w:fill="auto"/>
            <w:noWrap/>
            <w:vAlign w:val="bottom"/>
            <w:hideMark/>
          </w:tcPr>
          <w:p w14:paraId="7FB5600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6C32F14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4.795</w:t>
            </w:r>
          </w:p>
        </w:tc>
        <w:tc>
          <w:tcPr>
            <w:tcW w:w="1660" w:type="dxa"/>
            <w:tcBorders>
              <w:top w:val="nil"/>
              <w:left w:val="nil"/>
              <w:bottom w:val="single" w:sz="4" w:space="0" w:color="auto"/>
              <w:right w:val="single" w:sz="4" w:space="0" w:color="auto"/>
            </w:tcBorders>
            <w:shd w:val="clear" w:color="auto" w:fill="auto"/>
            <w:noWrap/>
            <w:vAlign w:val="bottom"/>
            <w:hideMark/>
          </w:tcPr>
          <w:p w14:paraId="795ECB6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4ADA7C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37F9F405"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F8DDF6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269.2267</w:t>
            </w:r>
          </w:p>
        </w:tc>
        <w:tc>
          <w:tcPr>
            <w:tcW w:w="1200" w:type="dxa"/>
            <w:tcBorders>
              <w:top w:val="nil"/>
              <w:left w:val="nil"/>
              <w:bottom w:val="single" w:sz="4" w:space="0" w:color="auto"/>
              <w:right w:val="single" w:sz="4" w:space="0" w:color="auto"/>
            </w:tcBorders>
            <w:shd w:val="clear" w:color="auto" w:fill="auto"/>
            <w:noWrap/>
            <w:vAlign w:val="bottom"/>
            <w:hideMark/>
          </w:tcPr>
          <w:p w14:paraId="60BFD99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B0C578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5.934</w:t>
            </w:r>
          </w:p>
        </w:tc>
        <w:tc>
          <w:tcPr>
            <w:tcW w:w="1660" w:type="dxa"/>
            <w:tcBorders>
              <w:top w:val="nil"/>
              <w:left w:val="nil"/>
              <w:bottom w:val="single" w:sz="4" w:space="0" w:color="auto"/>
              <w:right w:val="single" w:sz="4" w:space="0" w:color="auto"/>
            </w:tcBorders>
            <w:shd w:val="clear" w:color="auto" w:fill="auto"/>
            <w:noWrap/>
            <w:vAlign w:val="bottom"/>
            <w:hideMark/>
          </w:tcPr>
          <w:p w14:paraId="638649F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1D0F2A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1CC01872"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B13274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315.9689</w:t>
            </w:r>
          </w:p>
        </w:tc>
        <w:tc>
          <w:tcPr>
            <w:tcW w:w="1200" w:type="dxa"/>
            <w:tcBorders>
              <w:top w:val="nil"/>
              <w:left w:val="nil"/>
              <w:bottom w:val="single" w:sz="4" w:space="0" w:color="auto"/>
              <w:right w:val="single" w:sz="4" w:space="0" w:color="auto"/>
            </w:tcBorders>
            <w:shd w:val="clear" w:color="auto" w:fill="auto"/>
            <w:noWrap/>
            <w:vAlign w:val="bottom"/>
            <w:hideMark/>
          </w:tcPr>
          <w:p w14:paraId="78D5AE5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88F507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1.43</w:t>
            </w:r>
          </w:p>
        </w:tc>
        <w:tc>
          <w:tcPr>
            <w:tcW w:w="1660" w:type="dxa"/>
            <w:tcBorders>
              <w:top w:val="nil"/>
              <w:left w:val="nil"/>
              <w:bottom w:val="single" w:sz="4" w:space="0" w:color="auto"/>
              <w:right w:val="single" w:sz="4" w:space="0" w:color="auto"/>
            </w:tcBorders>
            <w:shd w:val="clear" w:color="auto" w:fill="auto"/>
            <w:noWrap/>
            <w:vAlign w:val="bottom"/>
            <w:hideMark/>
          </w:tcPr>
          <w:p w14:paraId="6D0F036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402714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1A4C89A8"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0767FB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337.9509</w:t>
            </w:r>
          </w:p>
        </w:tc>
        <w:tc>
          <w:tcPr>
            <w:tcW w:w="1200" w:type="dxa"/>
            <w:tcBorders>
              <w:top w:val="nil"/>
              <w:left w:val="nil"/>
              <w:bottom w:val="single" w:sz="4" w:space="0" w:color="auto"/>
              <w:right w:val="single" w:sz="4" w:space="0" w:color="auto"/>
            </w:tcBorders>
            <w:shd w:val="clear" w:color="auto" w:fill="auto"/>
            <w:noWrap/>
            <w:vAlign w:val="bottom"/>
            <w:hideMark/>
          </w:tcPr>
          <w:p w14:paraId="2D0D7E9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9BD75A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w:t>
            </w:r>
          </w:p>
        </w:tc>
        <w:tc>
          <w:tcPr>
            <w:tcW w:w="1660" w:type="dxa"/>
            <w:tcBorders>
              <w:top w:val="nil"/>
              <w:left w:val="nil"/>
              <w:bottom w:val="single" w:sz="4" w:space="0" w:color="auto"/>
              <w:right w:val="single" w:sz="4" w:space="0" w:color="auto"/>
            </w:tcBorders>
            <w:shd w:val="clear" w:color="auto" w:fill="auto"/>
            <w:noWrap/>
            <w:vAlign w:val="bottom"/>
            <w:hideMark/>
          </w:tcPr>
          <w:p w14:paraId="7456DCC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361CEE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67E1CB61"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49BBE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341.3058</w:t>
            </w:r>
          </w:p>
        </w:tc>
        <w:tc>
          <w:tcPr>
            <w:tcW w:w="1200" w:type="dxa"/>
            <w:tcBorders>
              <w:top w:val="nil"/>
              <w:left w:val="nil"/>
              <w:bottom w:val="single" w:sz="4" w:space="0" w:color="auto"/>
              <w:right w:val="single" w:sz="4" w:space="0" w:color="auto"/>
            </w:tcBorders>
            <w:shd w:val="clear" w:color="auto" w:fill="auto"/>
            <w:noWrap/>
            <w:vAlign w:val="bottom"/>
            <w:hideMark/>
          </w:tcPr>
          <w:p w14:paraId="78BAB73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E14274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65.187</w:t>
            </w:r>
          </w:p>
        </w:tc>
        <w:tc>
          <w:tcPr>
            <w:tcW w:w="1660" w:type="dxa"/>
            <w:tcBorders>
              <w:top w:val="nil"/>
              <w:left w:val="nil"/>
              <w:bottom w:val="single" w:sz="4" w:space="0" w:color="auto"/>
              <w:right w:val="single" w:sz="4" w:space="0" w:color="auto"/>
            </w:tcBorders>
            <w:shd w:val="clear" w:color="auto" w:fill="auto"/>
            <w:noWrap/>
            <w:vAlign w:val="bottom"/>
            <w:hideMark/>
          </w:tcPr>
          <w:p w14:paraId="5632B3C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MG(18:0)-OH</w:t>
            </w:r>
          </w:p>
        </w:tc>
        <w:tc>
          <w:tcPr>
            <w:tcW w:w="1200" w:type="dxa"/>
            <w:tcBorders>
              <w:top w:val="nil"/>
              <w:left w:val="nil"/>
              <w:bottom w:val="single" w:sz="4" w:space="0" w:color="auto"/>
              <w:right w:val="single" w:sz="4" w:space="0" w:color="auto"/>
            </w:tcBorders>
            <w:shd w:val="clear" w:color="auto" w:fill="auto"/>
            <w:noWrap/>
            <w:vAlign w:val="bottom"/>
            <w:hideMark/>
          </w:tcPr>
          <w:p w14:paraId="7227472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0.0007</w:t>
            </w:r>
          </w:p>
        </w:tc>
      </w:tr>
      <w:tr w:rsidR="00240959" w:rsidRPr="00240959" w14:paraId="3FA341E9"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C44403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395.3159</w:t>
            </w:r>
          </w:p>
        </w:tc>
        <w:tc>
          <w:tcPr>
            <w:tcW w:w="1200" w:type="dxa"/>
            <w:tcBorders>
              <w:top w:val="nil"/>
              <w:left w:val="nil"/>
              <w:bottom w:val="single" w:sz="4" w:space="0" w:color="auto"/>
              <w:right w:val="single" w:sz="4" w:space="0" w:color="auto"/>
            </w:tcBorders>
            <w:shd w:val="clear" w:color="auto" w:fill="auto"/>
            <w:noWrap/>
            <w:vAlign w:val="bottom"/>
            <w:hideMark/>
          </w:tcPr>
          <w:p w14:paraId="415FB6F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0FFA5AA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3.805</w:t>
            </w:r>
          </w:p>
        </w:tc>
        <w:tc>
          <w:tcPr>
            <w:tcW w:w="1660" w:type="dxa"/>
            <w:tcBorders>
              <w:top w:val="nil"/>
              <w:left w:val="nil"/>
              <w:bottom w:val="single" w:sz="4" w:space="0" w:color="auto"/>
              <w:right w:val="single" w:sz="4" w:space="0" w:color="auto"/>
            </w:tcBorders>
            <w:shd w:val="clear" w:color="auto" w:fill="auto"/>
            <w:noWrap/>
            <w:vAlign w:val="bottom"/>
            <w:hideMark/>
          </w:tcPr>
          <w:p w14:paraId="1273778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72BC5F5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62E8E02"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5245A4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467.4361</w:t>
            </w:r>
          </w:p>
        </w:tc>
        <w:tc>
          <w:tcPr>
            <w:tcW w:w="1200" w:type="dxa"/>
            <w:tcBorders>
              <w:top w:val="nil"/>
              <w:left w:val="nil"/>
              <w:bottom w:val="single" w:sz="4" w:space="0" w:color="auto"/>
              <w:right w:val="single" w:sz="4" w:space="0" w:color="auto"/>
            </w:tcBorders>
            <w:shd w:val="clear" w:color="auto" w:fill="auto"/>
            <w:noWrap/>
            <w:vAlign w:val="bottom"/>
            <w:hideMark/>
          </w:tcPr>
          <w:p w14:paraId="0EA8B02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7879EDE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1.359</w:t>
            </w:r>
          </w:p>
        </w:tc>
        <w:tc>
          <w:tcPr>
            <w:tcW w:w="1660" w:type="dxa"/>
            <w:tcBorders>
              <w:top w:val="nil"/>
              <w:left w:val="nil"/>
              <w:bottom w:val="single" w:sz="4" w:space="0" w:color="auto"/>
              <w:right w:val="single" w:sz="4" w:space="0" w:color="auto"/>
            </w:tcBorders>
            <w:shd w:val="clear" w:color="auto" w:fill="auto"/>
            <w:noWrap/>
            <w:vAlign w:val="bottom"/>
            <w:hideMark/>
          </w:tcPr>
          <w:p w14:paraId="78A7AF4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53FCD97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10EE92C5"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30AA0E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492.2711</w:t>
            </w:r>
          </w:p>
        </w:tc>
        <w:tc>
          <w:tcPr>
            <w:tcW w:w="1200" w:type="dxa"/>
            <w:tcBorders>
              <w:top w:val="nil"/>
              <w:left w:val="nil"/>
              <w:bottom w:val="single" w:sz="4" w:space="0" w:color="auto"/>
              <w:right w:val="single" w:sz="4" w:space="0" w:color="auto"/>
            </w:tcBorders>
            <w:shd w:val="clear" w:color="auto" w:fill="auto"/>
            <w:noWrap/>
            <w:vAlign w:val="bottom"/>
            <w:hideMark/>
          </w:tcPr>
          <w:p w14:paraId="29CC281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82A061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1.321</w:t>
            </w:r>
          </w:p>
        </w:tc>
        <w:tc>
          <w:tcPr>
            <w:tcW w:w="1660" w:type="dxa"/>
            <w:tcBorders>
              <w:top w:val="nil"/>
              <w:left w:val="nil"/>
              <w:bottom w:val="single" w:sz="4" w:space="0" w:color="auto"/>
              <w:right w:val="single" w:sz="4" w:space="0" w:color="auto"/>
            </w:tcBorders>
            <w:shd w:val="clear" w:color="auto" w:fill="auto"/>
            <w:noWrap/>
            <w:vAlign w:val="bottom"/>
            <w:hideMark/>
          </w:tcPr>
          <w:p w14:paraId="1F37979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2C028E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77B1513C"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B81496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587.8475</w:t>
            </w:r>
          </w:p>
        </w:tc>
        <w:tc>
          <w:tcPr>
            <w:tcW w:w="1200" w:type="dxa"/>
            <w:tcBorders>
              <w:top w:val="nil"/>
              <w:left w:val="nil"/>
              <w:bottom w:val="single" w:sz="4" w:space="0" w:color="auto"/>
              <w:right w:val="single" w:sz="4" w:space="0" w:color="auto"/>
            </w:tcBorders>
            <w:shd w:val="clear" w:color="auto" w:fill="auto"/>
            <w:noWrap/>
            <w:vAlign w:val="bottom"/>
            <w:hideMark/>
          </w:tcPr>
          <w:p w14:paraId="19EA23A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4667783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1.245</w:t>
            </w:r>
          </w:p>
        </w:tc>
        <w:tc>
          <w:tcPr>
            <w:tcW w:w="1660" w:type="dxa"/>
            <w:tcBorders>
              <w:top w:val="nil"/>
              <w:left w:val="nil"/>
              <w:bottom w:val="single" w:sz="4" w:space="0" w:color="auto"/>
              <w:right w:val="single" w:sz="4" w:space="0" w:color="auto"/>
            </w:tcBorders>
            <w:shd w:val="clear" w:color="auto" w:fill="auto"/>
            <w:noWrap/>
            <w:vAlign w:val="bottom"/>
            <w:hideMark/>
          </w:tcPr>
          <w:p w14:paraId="0A7BC40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491CFA0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F6B93A6"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886517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627.5363</w:t>
            </w:r>
          </w:p>
        </w:tc>
        <w:tc>
          <w:tcPr>
            <w:tcW w:w="1200" w:type="dxa"/>
            <w:tcBorders>
              <w:top w:val="nil"/>
              <w:left w:val="nil"/>
              <w:bottom w:val="single" w:sz="4" w:space="0" w:color="auto"/>
              <w:right w:val="single" w:sz="4" w:space="0" w:color="auto"/>
            </w:tcBorders>
            <w:shd w:val="clear" w:color="auto" w:fill="auto"/>
            <w:noWrap/>
            <w:vAlign w:val="bottom"/>
            <w:hideMark/>
          </w:tcPr>
          <w:p w14:paraId="03EF7CE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59842E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100</w:t>
            </w:r>
          </w:p>
        </w:tc>
        <w:tc>
          <w:tcPr>
            <w:tcW w:w="1660" w:type="dxa"/>
            <w:tcBorders>
              <w:top w:val="nil"/>
              <w:left w:val="nil"/>
              <w:bottom w:val="single" w:sz="4" w:space="0" w:color="auto"/>
              <w:right w:val="single" w:sz="4" w:space="0" w:color="auto"/>
            </w:tcBorders>
            <w:shd w:val="clear" w:color="auto" w:fill="auto"/>
            <w:noWrap/>
            <w:vAlign w:val="bottom"/>
            <w:hideMark/>
          </w:tcPr>
          <w:p w14:paraId="0D4B513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NL[PI,+NH4]+H</w:t>
            </w:r>
          </w:p>
        </w:tc>
        <w:tc>
          <w:tcPr>
            <w:tcW w:w="1200" w:type="dxa"/>
            <w:tcBorders>
              <w:top w:val="nil"/>
              <w:left w:val="nil"/>
              <w:bottom w:val="single" w:sz="4" w:space="0" w:color="auto"/>
              <w:right w:val="single" w:sz="4" w:space="0" w:color="auto"/>
            </w:tcBorders>
            <w:shd w:val="clear" w:color="auto" w:fill="auto"/>
            <w:noWrap/>
            <w:vAlign w:val="bottom"/>
            <w:hideMark/>
          </w:tcPr>
          <w:p w14:paraId="1D78694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0.0016</w:t>
            </w:r>
          </w:p>
        </w:tc>
      </w:tr>
      <w:tr w:rsidR="00240959" w:rsidRPr="00240959" w14:paraId="2F6D6B2D"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D0C0C63"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663.3145</w:t>
            </w:r>
          </w:p>
        </w:tc>
        <w:tc>
          <w:tcPr>
            <w:tcW w:w="1200" w:type="dxa"/>
            <w:tcBorders>
              <w:top w:val="nil"/>
              <w:left w:val="nil"/>
              <w:bottom w:val="single" w:sz="4" w:space="0" w:color="auto"/>
              <w:right w:val="single" w:sz="4" w:space="0" w:color="auto"/>
            </w:tcBorders>
            <w:shd w:val="clear" w:color="auto" w:fill="auto"/>
            <w:noWrap/>
            <w:vAlign w:val="bottom"/>
            <w:hideMark/>
          </w:tcPr>
          <w:p w14:paraId="62441DEF"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6A3D503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1.248</w:t>
            </w:r>
          </w:p>
        </w:tc>
        <w:tc>
          <w:tcPr>
            <w:tcW w:w="1660" w:type="dxa"/>
            <w:tcBorders>
              <w:top w:val="nil"/>
              <w:left w:val="nil"/>
              <w:bottom w:val="single" w:sz="4" w:space="0" w:color="auto"/>
              <w:right w:val="single" w:sz="4" w:space="0" w:color="auto"/>
            </w:tcBorders>
            <w:shd w:val="clear" w:color="auto" w:fill="auto"/>
            <w:noWrap/>
            <w:vAlign w:val="bottom"/>
            <w:hideMark/>
          </w:tcPr>
          <w:p w14:paraId="4D3B012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6BA837B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5D0112B8"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3B56A27"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666.0008</w:t>
            </w:r>
          </w:p>
        </w:tc>
        <w:tc>
          <w:tcPr>
            <w:tcW w:w="1200" w:type="dxa"/>
            <w:tcBorders>
              <w:top w:val="nil"/>
              <w:left w:val="nil"/>
              <w:bottom w:val="single" w:sz="4" w:space="0" w:color="auto"/>
              <w:right w:val="single" w:sz="4" w:space="0" w:color="auto"/>
            </w:tcBorders>
            <w:shd w:val="clear" w:color="auto" w:fill="auto"/>
            <w:noWrap/>
            <w:vAlign w:val="bottom"/>
            <w:hideMark/>
          </w:tcPr>
          <w:p w14:paraId="31B6149D"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3141989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1.191</w:t>
            </w:r>
          </w:p>
        </w:tc>
        <w:tc>
          <w:tcPr>
            <w:tcW w:w="1660" w:type="dxa"/>
            <w:tcBorders>
              <w:top w:val="nil"/>
              <w:left w:val="nil"/>
              <w:bottom w:val="single" w:sz="4" w:space="0" w:color="auto"/>
              <w:right w:val="single" w:sz="4" w:space="0" w:color="auto"/>
            </w:tcBorders>
            <w:shd w:val="clear" w:color="auto" w:fill="auto"/>
            <w:noWrap/>
            <w:vAlign w:val="bottom"/>
            <w:hideMark/>
          </w:tcPr>
          <w:p w14:paraId="3C878C4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71C8AAE"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59E1D815"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D38111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746.8816</w:t>
            </w:r>
          </w:p>
        </w:tc>
        <w:tc>
          <w:tcPr>
            <w:tcW w:w="1200" w:type="dxa"/>
            <w:tcBorders>
              <w:top w:val="nil"/>
              <w:left w:val="nil"/>
              <w:bottom w:val="single" w:sz="4" w:space="0" w:color="auto"/>
              <w:right w:val="single" w:sz="4" w:space="0" w:color="auto"/>
            </w:tcBorders>
            <w:shd w:val="clear" w:color="auto" w:fill="auto"/>
            <w:noWrap/>
            <w:vAlign w:val="bottom"/>
            <w:hideMark/>
          </w:tcPr>
          <w:p w14:paraId="3AF33BB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04708CB"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1.581</w:t>
            </w:r>
          </w:p>
        </w:tc>
        <w:tc>
          <w:tcPr>
            <w:tcW w:w="1660" w:type="dxa"/>
            <w:tcBorders>
              <w:top w:val="nil"/>
              <w:left w:val="nil"/>
              <w:bottom w:val="single" w:sz="4" w:space="0" w:color="auto"/>
              <w:right w:val="single" w:sz="4" w:space="0" w:color="auto"/>
            </w:tcBorders>
            <w:shd w:val="clear" w:color="auto" w:fill="auto"/>
            <w:noWrap/>
            <w:vAlign w:val="bottom"/>
            <w:hideMark/>
          </w:tcPr>
          <w:p w14:paraId="60290C6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21CD3E75"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00CB5754"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82B85B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781.6358</w:t>
            </w:r>
          </w:p>
        </w:tc>
        <w:tc>
          <w:tcPr>
            <w:tcW w:w="1200" w:type="dxa"/>
            <w:tcBorders>
              <w:top w:val="nil"/>
              <w:left w:val="nil"/>
              <w:bottom w:val="single" w:sz="4" w:space="0" w:color="auto"/>
              <w:right w:val="single" w:sz="4" w:space="0" w:color="auto"/>
            </w:tcBorders>
            <w:shd w:val="clear" w:color="auto" w:fill="auto"/>
            <w:noWrap/>
            <w:vAlign w:val="bottom"/>
            <w:hideMark/>
          </w:tcPr>
          <w:p w14:paraId="48B52FB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69F38951"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1.323</w:t>
            </w:r>
          </w:p>
        </w:tc>
        <w:tc>
          <w:tcPr>
            <w:tcW w:w="1660" w:type="dxa"/>
            <w:tcBorders>
              <w:top w:val="nil"/>
              <w:left w:val="nil"/>
              <w:bottom w:val="single" w:sz="4" w:space="0" w:color="auto"/>
              <w:right w:val="single" w:sz="4" w:space="0" w:color="auto"/>
            </w:tcBorders>
            <w:shd w:val="clear" w:color="auto" w:fill="auto"/>
            <w:noWrap/>
            <w:vAlign w:val="bottom"/>
            <w:hideMark/>
          </w:tcPr>
          <w:p w14:paraId="3EE7D77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5F41F7C6"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2F70A60C"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3E1D05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839.4292</w:t>
            </w:r>
          </w:p>
        </w:tc>
        <w:tc>
          <w:tcPr>
            <w:tcW w:w="1200" w:type="dxa"/>
            <w:tcBorders>
              <w:top w:val="nil"/>
              <w:left w:val="nil"/>
              <w:bottom w:val="single" w:sz="4" w:space="0" w:color="auto"/>
              <w:right w:val="single" w:sz="4" w:space="0" w:color="auto"/>
            </w:tcBorders>
            <w:shd w:val="clear" w:color="auto" w:fill="auto"/>
            <w:noWrap/>
            <w:vAlign w:val="bottom"/>
            <w:hideMark/>
          </w:tcPr>
          <w:p w14:paraId="590159A4"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23D8BFFC"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1.13</w:t>
            </w:r>
          </w:p>
        </w:tc>
        <w:tc>
          <w:tcPr>
            <w:tcW w:w="1660" w:type="dxa"/>
            <w:tcBorders>
              <w:top w:val="nil"/>
              <w:left w:val="nil"/>
              <w:bottom w:val="single" w:sz="4" w:space="0" w:color="auto"/>
              <w:right w:val="single" w:sz="4" w:space="0" w:color="auto"/>
            </w:tcBorders>
            <w:shd w:val="clear" w:color="auto" w:fill="auto"/>
            <w:noWrap/>
            <w:vAlign w:val="bottom"/>
            <w:hideMark/>
          </w:tcPr>
          <w:p w14:paraId="4D49E8C8"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2774306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r w:rsidR="00240959" w:rsidRPr="00240959" w14:paraId="1F04C872" w14:textId="77777777" w:rsidTr="00240959">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F9EE5AA"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875.7505</w:t>
            </w:r>
          </w:p>
        </w:tc>
        <w:tc>
          <w:tcPr>
            <w:tcW w:w="1200" w:type="dxa"/>
            <w:tcBorders>
              <w:top w:val="nil"/>
              <w:left w:val="nil"/>
              <w:bottom w:val="single" w:sz="4" w:space="0" w:color="auto"/>
              <w:right w:val="single" w:sz="4" w:space="0" w:color="auto"/>
            </w:tcBorders>
            <w:shd w:val="clear" w:color="auto" w:fill="auto"/>
            <w:noWrap/>
            <w:vAlign w:val="bottom"/>
            <w:hideMark/>
          </w:tcPr>
          <w:p w14:paraId="5DDD7349"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MS2</w:t>
            </w:r>
          </w:p>
        </w:tc>
        <w:tc>
          <w:tcPr>
            <w:tcW w:w="1200" w:type="dxa"/>
            <w:tcBorders>
              <w:top w:val="nil"/>
              <w:left w:val="nil"/>
              <w:bottom w:val="single" w:sz="4" w:space="0" w:color="auto"/>
              <w:right w:val="single" w:sz="4" w:space="0" w:color="auto"/>
            </w:tcBorders>
            <w:shd w:val="clear" w:color="auto" w:fill="auto"/>
            <w:noWrap/>
            <w:vAlign w:val="bottom"/>
            <w:hideMark/>
          </w:tcPr>
          <w:p w14:paraId="139CB12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1.332</w:t>
            </w:r>
          </w:p>
        </w:tc>
        <w:tc>
          <w:tcPr>
            <w:tcW w:w="1660" w:type="dxa"/>
            <w:tcBorders>
              <w:top w:val="nil"/>
              <w:left w:val="nil"/>
              <w:bottom w:val="single" w:sz="4" w:space="0" w:color="auto"/>
              <w:right w:val="single" w:sz="4" w:space="0" w:color="auto"/>
            </w:tcBorders>
            <w:shd w:val="clear" w:color="auto" w:fill="auto"/>
            <w:noWrap/>
            <w:vAlign w:val="bottom"/>
            <w:hideMark/>
          </w:tcPr>
          <w:p w14:paraId="7D441142"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3756FBC0" w14:textId="77777777" w:rsidR="00240959" w:rsidRPr="00240959" w:rsidRDefault="00240959" w:rsidP="00240959">
            <w:pPr>
              <w:widowControl/>
              <w:suppressAutoHyphens w:val="0"/>
              <w:jc w:val="center"/>
              <w:rPr>
                <w:rFonts w:ascii="Calibri" w:hAnsi="Calibri"/>
                <w:color w:val="000000"/>
                <w:kern w:val="0"/>
                <w:sz w:val="22"/>
                <w:szCs w:val="22"/>
                <w:lang w:val="de-DE" w:eastAsia="de-DE" w:bidi="ar-SA"/>
              </w:rPr>
            </w:pPr>
            <w:r w:rsidRPr="00240959">
              <w:rPr>
                <w:rFonts w:ascii="Calibri" w:hAnsi="Calibri"/>
                <w:color w:val="000000"/>
                <w:kern w:val="0"/>
                <w:sz w:val="22"/>
                <w:szCs w:val="22"/>
                <w:lang w:val="de-DE" w:eastAsia="de-DE" w:bidi="ar-SA"/>
              </w:rPr>
              <w:t> </w:t>
            </w:r>
          </w:p>
        </w:tc>
      </w:tr>
    </w:tbl>
    <w:p w14:paraId="5EE87E4D" w14:textId="77777777" w:rsidR="00181D46" w:rsidRPr="00A20722" w:rsidRDefault="00181D46" w:rsidP="00FB60DC">
      <w:pPr>
        <w:autoSpaceDE w:val="0"/>
        <w:autoSpaceDN w:val="0"/>
        <w:adjustRightInd w:val="0"/>
        <w:jc w:val="both"/>
        <w:rPr>
          <w:rFonts w:asciiTheme="minorHAnsi" w:hAnsiTheme="minorHAnsi"/>
        </w:rPr>
      </w:pPr>
    </w:p>
    <w:p w14:paraId="2624E39A" w14:textId="413445D4" w:rsidR="00CA0AB8" w:rsidRDefault="00CA0AB8" w:rsidP="00FB60DC">
      <w:pPr>
        <w:autoSpaceDE w:val="0"/>
        <w:autoSpaceDN w:val="0"/>
        <w:adjustRightInd w:val="0"/>
        <w:jc w:val="both"/>
        <w:rPr>
          <w:rFonts w:asciiTheme="minorHAnsi" w:hAnsiTheme="minorHAnsi"/>
          <w:lang w:val="en-US"/>
        </w:rPr>
      </w:pPr>
      <w:r>
        <w:rPr>
          <w:noProof/>
          <w:lang w:val="de-DE" w:eastAsia="de-DE" w:bidi="ar-SA"/>
        </w:rPr>
        <w:lastRenderedPageBreak/>
        <w:drawing>
          <wp:inline distT="0" distB="0" distL="0" distR="0" wp14:anchorId="0D67C058" wp14:editId="604A99C7">
            <wp:extent cx="5943600" cy="5979160"/>
            <wp:effectExtent l="0" t="0" r="0" b="254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a:off x="0" y="0"/>
                      <a:ext cx="5943600" cy="5979160"/>
                    </a:xfrm>
                    <a:prstGeom prst="rect">
                      <a:avLst/>
                    </a:prstGeom>
                  </pic:spPr>
                </pic:pic>
              </a:graphicData>
            </a:graphic>
          </wp:inline>
        </w:drawing>
      </w:r>
    </w:p>
    <w:p w14:paraId="5256042B" w14:textId="2493CAB8" w:rsidR="00CA0AB8" w:rsidRDefault="00CA0AB8" w:rsidP="00CA0AB8">
      <w:pPr>
        <w:autoSpaceDE w:val="0"/>
        <w:autoSpaceDN w:val="0"/>
        <w:adjustRightInd w:val="0"/>
        <w:jc w:val="both"/>
        <w:rPr>
          <w:rFonts w:asciiTheme="minorHAnsi" w:hAnsiTheme="minorHAnsi"/>
          <w:lang w:val="en-US"/>
        </w:rPr>
      </w:pPr>
      <w:proofErr w:type="gramStart"/>
      <w:r>
        <w:rPr>
          <w:rFonts w:asciiTheme="minorHAnsi" w:hAnsiTheme="minorHAnsi"/>
          <w:b/>
          <w:lang w:val="en-US"/>
        </w:rPr>
        <w:t>Figure 2.</w:t>
      </w:r>
      <w:proofErr w:type="gramEnd"/>
      <w:r>
        <w:rPr>
          <w:rFonts w:asciiTheme="minorHAnsi" w:hAnsiTheme="minorHAnsi"/>
          <w:b/>
          <w:lang w:val="en-US"/>
        </w:rPr>
        <w:t xml:space="preserve"> </w:t>
      </w:r>
      <w:r>
        <w:rPr>
          <w:rFonts w:asciiTheme="minorHAnsi" w:hAnsiTheme="minorHAnsi"/>
          <w:lang w:val="en-US"/>
        </w:rPr>
        <w:t xml:space="preserve">Lipid Search 4.2 output for </w:t>
      </w:r>
      <w:proofErr w:type="gramStart"/>
      <w:r>
        <w:rPr>
          <w:rFonts w:asciiTheme="minorHAnsi" w:hAnsiTheme="minorHAnsi"/>
          <w:lang w:val="en-US"/>
        </w:rPr>
        <w:t>an</w:t>
      </w:r>
      <w:proofErr w:type="gramEnd"/>
      <w:r>
        <w:rPr>
          <w:rFonts w:asciiTheme="minorHAnsi" w:hAnsiTheme="minorHAnsi"/>
          <w:lang w:val="en-US"/>
        </w:rPr>
        <w:t xml:space="preserve"> 25 µM PI (16:0/18:1) standard measured in positive mode. </w:t>
      </w:r>
      <w:r w:rsidRPr="001E283B">
        <w:rPr>
          <w:rFonts w:asciiTheme="minorHAnsi" w:hAnsiTheme="minorHAnsi"/>
          <w:b/>
          <w:lang w:val="en-US"/>
        </w:rPr>
        <w:t>A</w:t>
      </w:r>
      <w:r>
        <w:rPr>
          <w:rFonts w:asciiTheme="minorHAnsi" w:hAnsiTheme="minorHAnsi"/>
          <w:b/>
          <w:lang w:val="en-US"/>
        </w:rPr>
        <w:t>.</w:t>
      </w:r>
      <w:r w:rsidRPr="001E283B">
        <w:rPr>
          <w:rFonts w:asciiTheme="minorHAnsi" w:hAnsiTheme="minorHAnsi"/>
          <w:b/>
          <w:lang w:val="en-US"/>
        </w:rPr>
        <w:t xml:space="preserve"> </w:t>
      </w:r>
      <w:r>
        <w:rPr>
          <w:rFonts w:asciiTheme="minorHAnsi" w:hAnsiTheme="minorHAnsi"/>
          <w:lang w:val="en-US"/>
        </w:rPr>
        <w:t xml:space="preserve">Chromatogram of </w:t>
      </w:r>
      <w:proofErr w:type="gramStart"/>
      <w:r>
        <w:rPr>
          <w:rFonts w:asciiTheme="minorHAnsi" w:hAnsiTheme="minorHAnsi"/>
          <w:lang w:val="en-US"/>
        </w:rPr>
        <w:t>PI(</w:t>
      </w:r>
      <w:proofErr w:type="gramEnd"/>
      <w:r>
        <w:rPr>
          <w:rFonts w:asciiTheme="minorHAnsi" w:hAnsiTheme="minorHAnsi"/>
          <w:lang w:val="en-US"/>
        </w:rPr>
        <w:t xml:space="preserve">16:0_18:1). </w:t>
      </w:r>
      <w:r w:rsidRPr="001E283B">
        <w:rPr>
          <w:rFonts w:asciiTheme="minorHAnsi" w:hAnsiTheme="minorHAnsi"/>
          <w:b/>
          <w:lang w:val="en-US"/>
        </w:rPr>
        <w:t>B.</w:t>
      </w:r>
      <w:r>
        <w:rPr>
          <w:rFonts w:asciiTheme="minorHAnsi" w:hAnsiTheme="minorHAnsi"/>
          <w:lang w:val="en-US"/>
        </w:rPr>
        <w:t xml:space="preserve"> MS2 fragmentation spectra of </w:t>
      </w:r>
      <w:proofErr w:type="gramStart"/>
      <w:r>
        <w:rPr>
          <w:rFonts w:asciiTheme="minorHAnsi" w:hAnsiTheme="minorHAnsi"/>
          <w:lang w:val="en-US"/>
        </w:rPr>
        <w:t>PI(</w:t>
      </w:r>
      <w:proofErr w:type="gramEnd"/>
      <w:r>
        <w:rPr>
          <w:rFonts w:asciiTheme="minorHAnsi" w:hAnsiTheme="minorHAnsi"/>
          <w:lang w:val="en-US"/>
        </w:rPr>
        <w:t>16:0_18:1).</w:t>
      </w:r>
    </w:p>
    <w:p w14:paraId="09425F7D" w14:textId="77777777" w:rsidR="00CA0AB8" w:rsidRDefault="00CA0AB8" w:rsidP="00FB60DC">
      <w:pPr>
        <w:autoSpaceDE w:val="0"/>
        <w:autoSpaceDN w:val="0"/>
        <w:adjustRightInd w:val="0"/>
        <w:jc w:val="both"/>
        <w:rPr>
          <w:rFonts w:asciiTheme="minorHAnsi" w:hAnsiTheme="minorHAnsi"/>
          <w:lang w:val="en-US"/>
        </w:rPr>
      </w:pPr>
    </w:p>
    <w:p w14:paraId="70CE5964" w14:textId="08BC3726" w:rsidR="00240959" w:rsidRPr="00A20722" w:rsidRDefault="003F3833" w:rsidP="00FB60DC">
      <w:pPr>
        <w:autoSpaceDE w:val="0"/>
        <w:autoSpaceDN w:val="0"/>
        <w:adjustRightInd w:val="0"/>
        <w:jc w:val="both"/>
        <w:rPr>
          <w:rFonts w:asciiTheme="minorHAnsi" w:hAnsiTheme="minorHAnsi"/>
          <w:lang w:val="en-US"/>
        </w:rPr>
      </w:pPr>
      <w:r>
        <w:rPr>
          <w:rFonts w:asciiTheme="minorHAnsi" w:hAnsiTheme="minorHAnsi"/>
          <w:lang w:val="en-US"/>
        </w:rPr>
        <w:t>An additional strategy represent</w:t>
      </w:r>
      <w:r w:rsidR="001C05DF">
        <w:rPr>
          <w:rFonts w:asciiTheme="minorHAnsi" w:hAnsiTheme="minorHAnsi"/>
          <w:lang w:val="en-US"/>
        </w:rPr>
        <w:t>s</w:t>
      </w:r>
      <w:r>
        <w:rPr>
          <w:rFonts w:asciiTheme="minorHAnsi" w:hAnsiTheme="minorHAnsi"/>
          <w:lang w:val="en-US"/>
        </w:rPr>
        <w:t xml:space="preserve"> the use of polarity switching methods, which is generally possible, however data points per peak are reduced (which are essential for quantification) and evaluation of data acquired in polarity switching </w:t>
      </w:r>
      <w:r w:rsidR="005C1126">
        <w:rPr>
          <w:rFonts w:asciiTheme="minorHAnsi" w:hAnsiTheme="minorHAnsi"/>
          <w:lang w:val="en-US"/>
        </w:rPr>
        <w:t xml:space="preserve">mode </w:t>
      </w:r>
      <w:r>
        <w:rPr>
          <w:rFonts w:asciiTheme="minorHAnsi" w:hAnsiTheme="minorHAnsi"/>
          <w:lang w:val="en-US"/>
        </w:rPr>
        <w:t xml:space="preserve">is still challenging. </w:t>
      </w:r>
      <w:r w:rsidR="00181D46" w:rsidRPr="00A20722">
        <w:rPr>
          <w:rFonts w:asciiTheme="minorHAnsi" w:hAnsiTheme="minorHAnsi"/>
          <w:lang w:val="en-US"/>
        </w:rPr>
        <w:t>As suggested by the referee, we added the information on the</w:t>
      </w:r>
      <w:r w:rsidR="00513F1A" w:rsidRPr="00A20722">
        <w:rPr>
          <w:rFonts w:asciiTheme="minorHAnsi" w:hAnsiTheme="minorHAnsi"/>
          <w:lang w:val="en-US"/>
        </w:rPr>
        <w:t xml:space="preserve"> number (148</w:t>
      </w:r>
      <w:r w:rsidR="0004317D" w:rsidRPr="00A20722">
        <w:rPr>
          <w:rFonts w:asciiTheme="minorHAnsi" w:hAnsiTheme="minorHAnsi"/>
          <w:lang w:val="en-US"/>
        </w:rPr>
        <w:t xml:space="preserve"> metabolites, 7</w:t>
      </w:r>
      <w:r w:rsidR="00DF0D9D" w:rsidRPr="00A20722">
        <w:rPr>
          <w:rFonts w:asciiTheme="minorHAnsi" w:hAnsiTheme="minorHAnsi"/>
          <w:lang w:val="en-US"/>
        </w:rPr>
        <w:t>6 lipids) and</w:t>
      </w:r>
      <w:r w:rsidR="00181D46" w:rsidRPr="00A20722">
        <w:rPr>
          <w:rFonts w:asciiTheme="minorHAnsi" w:hAnsiTheme="minorHAnsi"/>
          <w:lang w:val="en-US"/>
        </w:rPr>
        <w:t xml:space="preserve"> composition of metabolites and lipids</w:t>
      </w:r>
      <w:r w:rsidR="00A20722" w:rsidRPr="00A20722">
        <w:rPr>
          <w:rFonts w:asciiTheme="minorHAnsi" w:hAnsiTheme="minorHAnsi"/>
          <w:lang w:val="en-US"/>
        </w:rPr>
        <w:t xml:space="preserve"> (Supplementary Table S1)</w:t>
      </w:r>
      <w:r w:rsidR="00181D46" w:rsidRPr="00A20722">
        <w:rPr>
          <w:rFonts w:asciiTheme="minorHAnsi" w:hAnsiTheme="minorHAnsi"/>
          <w:lang w:val="en-US"/>
        </w:rPr>
        <w:t xml:space="preserve"> present in the multi mixes and all the standards used, and the range of dilutions used for external calibrations</w:t>
      </w:r>
      <w:r w:rsidR="00B02557">
        <w:rPr>
          <w:rFonts w:asciiTheme="minorHAnsi" w:hAnsiTheme="minorHAnsi"/>
          <w:lang w:val="en-US"/>
        </w:rPr>
        <w:t xml:space="preserve"> (m</w:t>
      </w:r>
      <w:r>
        <w:rPr>
          <w:rFonts w:asciiTheme="minorHAnsi" w:hAnsiTheme="minorHAnsi"/>
          <w:lang w:val="en-US"/>
        </w:rPr>
        <w:t xml:space="preserve">aterial and methods, </w:t>
      </w:r>
      <w:proofErr w:type="spellStart"/>
      <w:r>
        <w:rPr>
          <w:rFonts w:asciiTheme="minorHAnsi" w:hAnsiTheme="minorHAnsi"/>
          <w:lang w:val="en-US"/>
        </w:rPr>
        <w:t>multiomics</w:t>
      </w:r>
      <w:proofErr w:type="spellEnd"/>
      <w:r>
        <w:rPr>
          <w:rFonts w:asciiTheme="minorHAnsi" w:hAnsiTheme="minorHAnsi"/>
          <w:lang w:val="en-US"/>
        </w:rPr>
        <w:t>)</w:t>
      </w:r>
      <w:r w:rsidR="00181D46" w:rsidRPr="00A20722">
        <w:rPr>
          <w:rFonts w:asciiTheme="minorHAnsi" w:hAnsiTheme="minorHAnsi"/>
          <w:lang w:val="en-US"/>
        </w:rPr>
        <w:t>.</w:t>
      </w:r>
    </w:p>
    <w:p w14:paraId="40928A69" w14:textId="77777777" w:rsidR="001400F6" w:rsidRPr="001400F6" w:rsidRDefault="001400F6" w:rsidP="00157660">
      <w:pPr>
        <w:autoSpaceDE w:val="0"/>
        <w:autoSpaceDN w:val="0"/>
        <w:adjustRightInd w:val="0"/>
        <w:jc w:val="both"/>
        <w:rPr>
          <w:rFonts w:asciiTheme="minorHAnsi" w:hAnsiTheme="minorHAnsi"/>
          <w:color w:val="FF0000"/>
          <w:lang w:val="en-US"/>
        </w:rPr>
      </w:pPr>
    </w:p>
    <w:p w14:paraId="50D4C060" w14:textId="77777777" w:rsidR="001400F6" w:rsidRDefault="00EB4DBB" w:rsidP="00B26BBB">
      <w:pPr>
        <w:autoSpaceDE w:val="0"/>
        <w:autoSpaceDN w:val="0"/>
        <w:adjustRightInd w:val="0"/>
        <w:jc w:val="both"/>
        <w:rPr>
          <w:rFonts w:asciiTheme="minorHAnsi" w:hAnsiTheme="minorHAnsi"/>
          <w:color w:val="0070C0"/>
          <w:lang w:val="en-US"/>
        </w:rPr>
      </w:pPr>
      <w:r w:rsidRPr="00EB4DBB">
        <w:rPr>
          <w:rFonts w:asciiTheme="minorHAnsi" w:hAnsiTheme="minorHAnsi"/>
          <w:color w:val="0070C0"/>
          <w:lang w:val="en-US"/>
        </w:rPr>
        <w:t xml:space="preserve">2. As stated above, the number of samples analyzed is very small (n=5) and in some analysis only n=3 and n=2 are used. The n=3 used for targeted analysis of lipids and metabolites (section 2.2) and the n=2 used for proteomics analysis (section 2.4) are highly small sample sizes to statistical </w:t>
      </w:r>
      <w:r w:rsidRPr="00EB4DBB">
        <w:rPr>
          <w:rFonts w:asciiTheme="minorHAnsi" w:hAnsiTheme="minorHAnsi"/>
          <w:color w:val="0070C0"/>
          <w:lang w:val="en-US"/>
        </w:rPr>
        <w:lastRenderedPageBreak/>
        <w:t>analysis and (analytical and biological) validation. In this way, with the data available is precocious to claim on biological and analytical validation. In the case of n=2, validation is not achievable.</w:t>
      </w:r>
    </w:p>
    <w:p w14:paraId="35BF4586" w14:textId="684D4973" w:rsidR="008D4FBD" w:rsidRDefault="003F3833" w:rsidP="00DA5032">
      <w:pPr>
        <w:autoSpaceDE w:val="0"/>
        <w:autoSpaceDN w:val="0"/>
        <w:adjustRightInd w:val="0"/>
        <w:jc w:val="both"/>
        <w:rPr>
          <w:rFonts w:asciiTheme="minorHAnsi" w:hAnsiTheme="minorHAnsi"/>
          <w:lang w:val="en-US"/>
        </w:rPr>
      </w:pPr>
      <w:r>
        <w:rPr>
          <w:rFonts w:asciiTheme="minorHAnsi" w:hAnsiTheme="minorHAnsi"/>
          <w:lang w:val="en-US"/>
        </w:rPr>
        <w:t xml:space="preserve">The presented results are a proof of principle for the capability of LC-MS based </w:t>
      </w:r>
      <w:proofErr w:type="spellStart"/>
      <w:r>
        <w:rPr>
          <w:rFonts w:asciiTheme="minorHAnsi" w:hAnsiTheme="minorHAnsi"/>
          <w:lang w:val="en-US"/>
        </w:rPr>
        <w:t>multiomics</w:t>
      </w:r>
      <w:proofErr w:type="spellEnd"/>
      <w:r>
        <w:rPr>
          <w:rFonts w:asciiTheme="minorHAnsi" w:hAnsiTheme="minorHAnsi"/>
          <w:lang w:val="en-US"/>
        </w:rPr>
        <w:t xml:space="preserve"> workflows tested on the example of human adipogenesis. The experiments were performed on 6-well plates, including 5 samples and 1 blank extraction </w:t>
      </w:r>
      <w:r w:rsidR="005C1126">
        <w:rPr>
          <w:rFonts w:asciiTheme="minorHAnsi" w:hAnsiTheme="minorHAnsi"/>
          <w:lang w:val="en-US"/>
        </w:rPr>
        <w:t xml:space="preserve">per condition </w:t>
      </w:r>
      <w:r>
        <w:rPr>
          <w:rFonts w:asciiTheme="minorHAnsi" w:hAnsiTheme="minorHAnsi"/>
          <w:lang w:val="en-US"/>
        </w:rPr>
        <w:t xml:space="preserve">for MSCs and adipocytes (differentiated for 21 days). 3 samples were spiked with the </w:t>
      </w:r>
      <w:r w:rsidRPr="00BA72AB">
        <w:rPr>
          <w:rFonts w:asciiTheme="minorHAnsi" w:hAnsiTheme="minorHAnsi"/>
          <w:vertAlign w:val="superscript"/>
          <w:lang w:val="en-US"/>
        </w:rPr>
        <w:t>13</w:t>
      </w:r>
      <w:r>
        <w:rPr>
          <w:rFonts w:asciiTheme="minorHAnsi" w:hAnsiTheme="minorHAnsi"/>
          <w:lang w:val="en-US"/>
        </w:rPr>
        <w:t>C labeled metabolite/lipid extract and used for targeted analysis with protein normalization (meaning that all three protein fractions were determined by Bradford and used for normalization</w:t>
      </w:r>
      <w:r w:rsidRPr="00BB122F">
        <w:rPr>
          <w:rFonts w:asciiTheme="minorHAnsi" w:hAnsiTheme="minorHAnsi"/>
          <w:color w:val="000000" w:themeColor="text1"/>
          <w:lang w:val="en-US"/>
        </w:rPr>
        <w:t xml:space="preserve">). Our previous work revealed that </w:t>
      </w:r>
      <w:r w:rsidRPr="00BB122F">
        <w:rPr>
          <w:rFonts w:asciiTheme="minorHAnsi" w:hAnsiTheme="minorHAnsi"/>
          <w:color w:val="000000" w:themeColor="text1"/>
          <w:vertAlign w:val="superscript"/>
          <w:lang w:val="en-US"/>
        </w:rPr>
        <w:t>13</w:t>
      </w:r>
      <w:r w:rsidRPr="00BB122F">
        <w:rPr>
          <w:rFonts w:asciiTheme="minorHAnsi" w:hAnsiTheme="minorHAnsi"/>
          <w:color w:val="000000" w:themeColor="text1"/>
          <w:lang w:val="en-US"/>
        </w:rPr>
        <w:t>C-labeled metabolites and lipids do not represent an issue for identification workflows (</w:t>
      </w:r>
      <w:proofErr w:type="spellStart"/>
      <w:r>
        <w:rPr>
          <w:rFonts w:asciiTheme="minorHAnsi" w:hAnsiTheme="minorHAnsi"/>
          <w:lang w:val="en-US"/>
        </w:rPr>
        <w:t>Schwaiger</w:t>
      </w:r>
      <w:proofErr w:type="spellEnd"/>
      <w:r>
        <w:rPr>
          <w:rFonts w:asciiTheme="minorHAnsi" w:hAnsiTheme="minorHAnsi"/>
          <w:lang w:val="en-US"/>
        </w:rPr>
        <w:t xml:space="preserve"> et al, </w:t>
      </w:r>
      <w:r w:rsidRPr="00E5237E">
        <w:rPr>
          <w:rFonts w:asciiTheme="minorHAnsi" w:hAnsiTheme="minorHAnsi"/>
          <w:lang w:val="en-US"/>
        </w:rPr>
        <w:t xml:space="preserve">Anion-Exchange Chromatography </w:t>
      </w:r>
      <w:r>
        <w:rPr>
          <w:rFonts w:asciiTheme="minorHAnsi" w:hAnsiTheme="minorHAnsi"/>
          <w:lang w:val="en-US"/>
        </w:rPr>
        <w:t xml:space="preserve">Coupled to High-Resolution Mass </w:t>
      </w:r>
      <w:r w:rsidRPr="00E5237E">
        <w:rPr>
          <w:rFonts w:asciiTheme="minorHAnsi" w:hAnsiTheme="minorHAnsi"/>
          <w:lang w:val="en-US"/>
        </w:rPr>
        <w:t xml:space="preserve">Spectrometry: </w:t>
      </w:r>
      <w:r w:rsidRPr="00F70E3F">
        <w:rPr>
          <w:rFonts w:asciiTheme="minorHAnsi" w:hAnsiTheme="minorHAnsi"/>
          <w:i/>
          <w:lang w:val="en-US"/>
        </w:rPr>
        <w:t xml:space="preserve">A Powerful Tool for Merging Targeted and </w:t>
      </w:r>
      <w:proofErr w:type="spellStart"/>
      <w:r w:rsidRPr="00F70E3F">
        <w:rPr>
          <w:rFonts w:asciiTheme="minorHAnsi" w:hAnsiTheme="minorHAnsi"/>
          <w:i/>
          <w:lang w:val="en-US"/>
        </w:rPr>
        <w:t>Nontargeted</w:t>
      </w:r>
      <w:proofErr w:type="spellEnd"/>
      <w:r w:rsidRPr="00F70E3F">
        <w:rPr>
          <w:rFonts w:asciiTheme="minorHAnsi" w:hAnsiTheme="minorHAnsi"/>
          <w:i/>
          <w:lang w:val="en-US"/>
        </w:rPr>
        <w:t xml:space="preserve"> Metabolomics</w:t>
      </w:r>
      <w:r>
        <w:rPr>
          <w:rFonts w:asciiTheme="minorHAnsi" w:hAnsiTheme="minorHAnsi"/>
          <w:lang w:val="en-US"/>
        </w:rPr>
        <w:t xml:space="preserve">, </w:t>
      </w:r>
      <w:r w:rsidRPr="00F70E3F">
        <w:rPr>
          <w:rFonts w:asciiTheme="minorHAnsi" w:hAnsiTheme="minorHAnsi"/>
          <w:b/>
          <w:lang w:val="en-US"/>
        </w:rPr>
        <w:t>Anal. Chem.</w:t>
      </w:r>
      <w:r w:rsidRPr="00E5237E">
        <w:rPr>
          <w:rFonts w:asciiTheme="minorHAnsi" w:hAnsiTheme="minorHAnsi"/>
          <w:lang w:val="en-US"/>
        </w:rPr>
        <w:t xml:space="preserve"> 2017, 89, 7667−7674</w:t>
      </w:r>
      <w:r>
        <w:rPr>
          <w:rFonts w:asciiTheme="minorHAnsi" w:hAnsiTheme="minorHAnsi"/>
          <w:lang w:val="en-US"/>
        </w:rPr>
        <w:t xml:space="preserve">, </w:t>
      </w:r>
      <w:r w:rsidRPr="00E5237E">
        <w:rPr>
          <w:rFonts w:asciiTheme="minorHAnsi" w:hAnsiTheme="minorHAnsi"/>
          <w:lang w:val="en-US"/>
        </w:rPr>
        <w:t>DOI: 10.1021/acs.analchem.7b01624</w:t>
      </w:r>
      <w:r>
        <w:rPr>
          <w:rFonts w:asciiTheme="minorHAnsi" w:hAnsiTheme="minorHAnsi"/>
          <w:lang w:val="en-US"/>
        </w:rPr>
        <w:t>; Rampler et al,</w:t>
      </w:r>
      <w:r w:rsidRPr="00F70E3F">
        <w:rPr>
          <w:lang w:val="en-US"/>
        </w:rPr>
        <w:t xml:space="preserve"> </w:t>
      </w:r>
      <w:r w:rsidRPr="00F70E3F">
        <w:rPr>
          <w:rFonts w:asciiTheme="minorHAnsi" w:hAnsiTheme="minorHAnsi"/>
          <w:i/>
          <w:lang w:val="en-US"/>
        </w:rPr>
        <w:t>A Novel Lipidomics Workflow for Improved Human Plasma Identification and Quantification Using RPLC-MSn Methods and Isotope Dilution Strategies</w:t>
      </w:r>
      <w:r>
        <w:rPr>
          <w:rFonts w:asciiTheme="minorHAnsi" w:hAnsiTheme="minorHAnsi"/>
          <w:lang w:val="en-US"/>
        </w:rPr>
        <w:t xml:space="preserve">, </w:t>
      </w:r>
      <w:r w:rsidRPr="00F70E3F">
        <w:rPr>
          <w:rFonts w:asciiTheme="minorHAnsi" w:hAnsiTheme="minorHAnsi"/>
          <w:b/>
          <w:lang w:val="en-US"/>
        </w:rPr>
        <w:t>Anal Chem.</w:t>
      </w:r>
      <w:r w:rsidRPr="00F70E3F">
        <w:rPr>
          <w:rFonts w:asciiTheme="minorHAnsi" w:hAnsiTheme="minorHAnsi"/>
          <w:lang w:val="en-US"/>
        </w:rPr>
        <w:t xml:space="preserve"> </w:t>
      </w:r>
      <w:r>
        <w:rPr>
          <w:rFonts w:asciiTheme="minorHAnsi" w:hAnsiTheme="minorHAnsi"/>
          <w:lang w:val="en-US"/>
        </w:rPr>
        <w:t xml:space="preserve">2018 </w:t>
      </w:r>
      <w:r w:rsidRPr="00F70E3F">
        <w:rPr>
          <w:rFonts w:asciiTheme="minorHAnsi" w:hAnsiTheme="minorHAnsi"/>
          <w:lang w:val="en-US"/>
        </w:rPr>
        <w:t xml:space="preserve">5;90(11):6494-6501. </w:t>
      </w:r>
      <w:proofErr w:type="spellStart"/>
      <w:proofErr w:type="gramStart"/>
      <w:r w:rsidRPr="00F70E3F">
        <w:rPr>
          <w:rFonts w:asciiTheme="minorHAnsi" w:hAnsiTheme="minorHAnsi"/>
          <w:lang w:val="en-US"/>
        </w:rPr>
        <w:t>do</w:t>
      </w:r>
      <w:r>
        <w:rPr>
          <w:rFonts w:asciiTheme="minorHAnsi" w:hAnsiTheme="minorHAnsi"/>
          <w:lang w:val="en-US"/>
        </w:rPr>
        <w:t>i</w:t>
      </w:r>
      <w:proofErr w:type="spellEnd"/>
      <w:proofErr w:type="gramEnd"/>
      <w:r>
        <w:rPr>
          <w:rFonts w:asciiTheme="minorHAnsi" w:hAnsiTheme="minorHAnsi"/>
          <w:lang w:val="en-US"/>
        </w:rPr>
        <w:t>: 10.1021/acs.analchem.7b05382</w:t>
      </w:r>
      <w:r w:rsidRPr="00BB122F">
        <w:rPr>
          <w:rFonts w:asciiTheme="minorHAnsi" w:hAnsiTheme="minorHAnsi"/>
          <w:color w:val="000000" w:themeColor="text1"/>
          <w:lang w:val="en-US"/>
        </w:rPr>
        <w:t>) so that merging non-targeted screening and targeted quantification is enabled</w:t>
      </w:r>
      <w:r>
        <w:rPr>
          <w:rFonts w:asciiTheme="minorHAnsi" w:hAnsiTheme="minorHAnsi"/>
          <w:color w:val="000000" w:themeColor="text1"/>
          <w:lang w:val="en-US"/>
        </w:rPr>
        <w:t xml:space="preserve">. </w:t>
      </w:r>
      <w:r>
        <w:rPr>
          <w:rFonts w:asciiTheme="minorHAnsi" w:hAnsiTheme="minorHAnsi"/>
          <w:lang w:val="en-US"/>
        </w:rPr>
        <w:t xml:space="preserve">The remaining </w:t>
      </w:r>
      <w:proofErr w:type="spellStart"/>
      <w:r>
        <w:rPr>
          <w:rFonts w:asciiTheme="minorHAnsi" w:hAnsiTheme="minorHAnsi"/>
          <w:lang w:val="en-US"/>
        </w:rPr>
        <w:t>unspiked</w:t>
      </w:r>
      <w:proofErr w:type="spellEnd"/>
      <w:r>
        <w:rPr>
          <w:rFonts w:asciiTheme="minorHAnsi" w:hAnsiTheme="minorHAnsi"/>
          <w:lang w:val="en-US"/>
        </w:rPr>
        <w:t xml:space="preserve"> samples (n=2) were analyzed via shotgun proteomics. The referee is right that the sample size is too low for proper peptide quantification based on statistical analysis. However, </w:t>
      </w:r>
      <w:r w:rsidRPr="001872BB">
        <w:rPr>
          <w:rFonts w:asciiTheme="minorHAnsi" w:hAnsiTheme="minorHAnsi"/>
          <w:lang w:val="en-US"/>
        </w:rPr>
        <w:t xml:space="preserve">the </w:t>
      </w:r>
      <w:r>
        <w:rPr>
          <w:rFonts w:asciiTheme="minorHAnsi" w:hAnsiTheme="minorHAnsi"/>
          <w:lang w:val="en-US"/>
        </w:rPr>
        <w:t xml:space="preserve">produced </w:t>
      </w:r>
      <w:r w:rsidRPr="001872BB">
        <w:rPr>
          <w:rFonts w:asciiTheme="minorHAnsi" w:hAnsiTheme="minorHAnsi"/>
          <w:lang w:val="en-US"/>
        </w:rPr>
        <w:t xml:space="preserve">proteomics data was solely interpreted </w:t>
      </w:r>
      <w:r>
        <w:rPr>
          <w:rFonts w:asciiTheme="minorHAnsi" w:hAnsiTheme="minorHAnsi"/>
          <w:lang w:val="en-US"/>
        </w:rPr>
        <w:t>in combination with the Recon 2.4</w:t>
      </w:r>
      <w:r w:rsidRPr="001872BB">
        <w:rPr>
          <w:rFonts w:asciiTheme="minorHAnsi" w:hAnsiTheme="minorHAnsi"/>
          <w:lang w:val="en-US"/>
        </w:rPr>
        <w:t xml:space="preserve"> – an </w:t>
      </w:r>
      <w:r>
        <w:rPr>
          <w:rFonts w:asciiTheme="minorHAnsi" w:hAnsiTheme="minorHAnsi"/>
          <w:lang w:val="en-US"/>
        </w:rPr>
        <w:t xml:space="preserve">up-to-date </w:t>
      </w:r>
      <w:r w:rsidRPr="001872BB">
        <w:rPr>
          <w:rFonts w:asciiTheme="minorHAnsi" w:hAnsiTheme="minorHAnsi"/>
          <w:lang w:val="en-US"/>
        </w:rPr>
        <w:t xml:space="preserve">accepted consensus models for human genomic sequences- </w:t>
      </w:r>
      <w:r>
        <w:rPr>
          <w:rFonts w:asciiTheme="minorHAnsi" w:hAnsiTheme="minorHAnsi"/>
          <w:lang w:val="en-US"/>
        </w:rPr>
        <w:t>and/</w:t>
      </w:r>
      <w:r w:rsidRPr="001872BB">
        <w:rPr>
          <w:rFonts w:asciiTheme="minorHAnsi" w:hAnsiTheme="minorHAnsi"/>
          <w:lang w:val="en-US"/>
        </w:rPr>
        <w:t>o</w:t>
      </w:r>
      <w:r w:rsidR="00B02557">
        <w:rPr>
          <w:rFonts w:asciiTheme="minorHAnsi" w:hAnsiTheme="minorHAnsi"/>
          <w:lang w:val="en-US"/>
        </w:rPr>
        <w:t xml:space="preserve">r the metabolite/lipid samples </w:t>
      </w:r>
      <w:r w:rsidRPr="001872BB">
        <w:rPr>
          <w:rFonts w:asciiTheme="minorHAnsi" w:hAnsiTheme="minorHAnsi"/>
          <w:lang w:val="en-US"/>
        </w:rPr>
        <w:t xml:space="preserve">combining targeted (n=3) and non-targeted (n=5) information with sufficient sample size. </w:t>
      </w:r>
      <w:r w:rsidR="00DA5032">
        <w:rPr>
          <w:rFonts w:asciiTheme="minorHAnsi" w:hAnsiTheme="minorHAnsi"/>
          <w:lang w:val="en-US"/>
        </w:rPr>
        <w:t>In the new manuscript version, we also performed a comparison to a</w:t>
      </w:r>
      <w:r w:rsidR="00DA5032" w:rsidRPr="00DA5032">
        <w:rPr>
          <w:rFonts w:asciiTheme="minorHAnsi" w:hAnsiTheme="minorHAnsi"/>
          <w:lang w:val="en-US"/>
        </w:rPr>
        <w:t xml:space="preserve"> proteomics analysis of MSCs and adipocytes (</w:t>
      </w:r>
      <w:proofErr w:type="spellStart"/>
      <w:r w:rsidR="00DA5032" w:rsidRPr="00DA5032">
        <w:rPr>
          <w:rFonts w:asciiTheme="minorHAnsi" w:hAnsiTheme="minorHAnsi"/>
          <w:lang w:val="en-US"/>
        </w:rPr>
        <w:t>DeLany</w:t>
      </w:r>
      <w:proofErr w:type="spellEnd"/>
      <w:r w:rsidR="00DA5032" w:rsidRPr="00DA5032">
        <w:rPr>
          <w:rFonts w:asciiTheme="minorHAnsi" w:hAnsiTheme="minorHAnsi"/>
          <w:lang w:val="en-US"/>
        </w:rPr>
        <w:t xml:space="preserve"> et al, Proteomic Analysis of Primary Cultures of Human Adipose-derived Stem Cells, </w:t>
      </w:r>
      <w:r w:rsidR="00DA5032" w:rsidRPr="00DA5032">
        <w:rPr>
          <w:rFonts w:asciiTheme="minorHAnsi" w:hAnsiTheme="minorHAnsi"/>
          <w:b/>
          <w:lang w:val="en-US"/>
        </w:rPr>
        <w:t>Molecular &amp; Cellular Proteomics</w:t>
      </w:r>
      <w:r w:rsidR="00DA5032">
        <w:rPr>
          <w:rFonts w:asciiTheme="minorHAnsi" w:hAnsiTheme="minorHAnsi"/>
          <w:b/>
          <w:lang w:val="en-US"/>
        </w:rPr>
        <w:t>,</w:t>
      </w:r>
      <w:r w:rsidR="00DA5032" w:rsidRPr="00DA5032">
        <w:rPr>
          <w:rFonts w:asciiTheme="minorHAnsi" w:hAnsiTheme="minorHAnsi"/>
          <w:lang w:val="en-US"/>
        </w:rPr>
        <w:t xml:space="preserve"> 4:731–740, 2005, </w:t>
      </w:r>
      <w:proofErr w:type="spellStart"/>
      <w:r w:rsidR="00DA5032" w:rsidRPr="00DA5032">
        <w:rPr>
          <w:rFonts w:asciiTheme="minorHAnsi" w:hAnsiTheme="minorHAnsi"/>
          <w:lang w:val="en-US"/>
        </w:rPr>
        <w:t>doi</w:t>
      </w:r>
      <w:proofErr w:type="spellEnd"/>
      <w:r w:rsidR="00DA5032" w:rsidRPr="00DA5032">
        <w:rPr>
          <w:rFonts w:asciiTheme="minorHAnsi" w:hAnsiTheme="minorHAnsi"/>
          <w:lang w:val="en-US"/>
        </w:rPr>
        <w:t xml:space="preserve">: 10.1074/mcp.M400198-MCP200). </w:t>
      </w:r>
      <w:r w:rsidR="00DA5032">
        <w:rPr>
          <w:rFonts w:asciiTheme="minorHAnsi" w:hAnsiTheme="minorHAnsi"/>
          <w:lang w:val="en-US"/>
        </w:rPr>
        <w:t>Ma</w:t>
      </w:r>
      <w:r w:rsidR="00DA5032" w:rsidRPr="00DA5032">
        <w:rPr>
          <w:rFonts w:asciiTheme="minorHAnsi" w:hAnsiTheme="minorHAnsi"/>
          <w:lang w:val="en-US"/>
        </w:rPr>
        <w:t xml:space="preserve">tching protein regulation trends </w:t>
      </w:r>
      <w:r w:rsidR="00DA5032">
        <w:rPr>
          <w:rFonts w:asciiTheme="minorHAnsi" w:hAnsiTheme="minorHAnsi"/>
          <w:lang w:val="en-US"/>
        </w:rPr>
        <w:t xml:space="preserve">to </w:t>
      </w:r>
      <w:r w:rsidR="00DA5032" w:rsidRPr="00DA5032">
        <w:rPr>
          <w:rFonts w:asciiTheme="minorHAnsi" w:hAnsiTheme="minorHAnsi"/>
          <w:lang w:val="en-US"/>
        </w:rPr>
        <w:t xml:space="preserve">our study </w:t>
      </w:r>
      <w:r w:rsidR="00DA5032">
        <w:rPr>
          <w:rFonts w:asciiTheme="minorHAnsi" w:hAnsiTheme="minorHAnsi"/>
          <w:lang w:val="en-US"/>
        </w:rPr>
        <w:t>were observed with</w:t>
      </w:r>
      <w:r w:rsidR="00DA5032" w:rsidRPr="00DA5032">
        <w:rPr>
          <w:rFonts w:asciiTheme="minorHAnsi" w:hAnsiTheme="minorHAnsi"/>
          <w:lang w:val="en-US"/>
        </w:rPr>
        <w:t xml:space="preserve"> upregulation of apolipoprotein, fatty acid binding protein, glycerol-3-phosphate dehydrogenase, fatty acid synthase, phosphoglycerate synthase</w:t>
      </w:r>
      <w:r w:rsidR="005C1126">
        <w:rPr>
          <w:rFonts w:asciiTheme="minorHAnsi" w:hAnsiTheme="minorHAnsi"/>
          <w:lang w:val="en-US"/>
        </w:rPr>
        <w:t xml:space="preserve"> and downregulation of platelet</w:t>
      </w:r>
      <w:r w:rsidR="00DA5032" w:rsidRPr="00DA5032">
        <w:rPr>
          <w:rFonts w:asciiTheme="minorHAnsi" w:hAnsiTheme="minorHAnsi"/>
          <w:lang w:val="en-US"/>
        </w:rPr>
        <w:t xml:space="preserve"> activa</w:t>
      </w:r>
      <w:r w:rsidR="005C1126">
        <w:rPr>
          <w:rFonts w:asciiTheme="minorHAnsi" w:hAnsiTheme="minorHAnsi"/>
          <w:lang w:val="en-US"/>
        </w:rPr>
        <w:t xml:space="preserve">ting factor, </w:t>
      </w:r>
      <w:proofErr w:type="spellStart"/>
      <w:r w:rsidR="005C1126">
        <w:rPr>
          <w:rFonts w:asciiTheme="minorHAnsi" w:hAnsiTheme="minorHAnsi"/>
          <w:lang w:val="en-US"/>
        </w:rPr>
        <w:t>acetylhydrolase</w:t>
      </w:r>
      <w:proofErr w:type="spellEnd"/>
      <w:r w:rsidR="005C1126">
        <w:rPr>
          <w:rFonts w:asciiTheme="minorHAnsi" w:hAnsiTheme="minorHAnsi"/>
          <w:lang w:val="en-US"/>
        </w:rPr>
        <w:t xml:space="preserve"> 1B and</w:t>
      </w:r>
      <w:r w:rsidR="00DA5032" w:rsidRPr="00DA5032">
        <w:rPr>
          <w:rFonts w:asciiTheme="minorHAnsi" w:hAnsiTheme="minorHAnsi"/>
          <w:lang w:val="en-US"/>
        </w:rPr>
        <w:t xml:space="preserve"> </w:t>
      </w:r>
      <w:proofErr w:type="spellStart"/>
      <w:r w:rsidR="00DA5032" w:rsidRPr="00DA5032">
        <w:rPr>
          <w:rFonts w:asciiTheme="minorHAnsi" w:hAnsiTheme="minorHAnsi"/>
          <w:lang w:val="en-US"/>
        </w:rPr>
        <w:t>annexin</w:t>
      </w:r>
      <w:proofErr w:type="spellEnd"/>
      <w:r w:rsidR="00DA5032" w:rsidRPr="00DA5032">
        <w:rPr>
          <w:rFonts w:asciiTheme="minorHAnsi" w:hAnsiTheme="minorHAnsi"/>
          <w:lang w:val="en-US"/>
        </w:rPr>
        <w:t>.  The upregulation of glycerol-3-phosphate dehydrogenase and fatty acid synthase was also reported previously as</w:t>
      </w:r>
      <w:r w:rsidR="005C1126">
        <w:rPr>
          <w:rFonts w:asciiTheme="minorHAnsi" w:hAnsiTheme="minorHAnsi"/>
          <w:lang w:val="en-US"/>
        </w:rPr>
        <w:t xml:space="preserve"> a</w:t>
      </w:r>
      <w:r w:rsidR="00DA5032" w:rsidRPr="00DA5032">
        <w:rPr>
          <w:rFonts w:asciiTheme="minorHAnsi" w:hAnsiTheme="minorHAnsi"/>
          <w:lang w:val="en-US"/>
        </w:rPr>
        <w:t xml:space="preserve"> consequence </w:t>
      </w:r>
      <w:r w:rsidR="005C1126">
        <w:rPr>
          <w:rFonts w:asciiTheme="minorHAnsi" w:hAnsiTheme="minorHAnsi"/>
          <w:lang w:val="en-US"/>
        </w:rPr>
        <w:t>of</w:t>
      </w:r>
      <w:r w:rsidR="00DA5032" w:rsidRPr="00DA5032">
        <w:rPr>
          <w:rFonts w:asciiTheme="minorHAnsi" w:hAnsiTheme="minorHAnsi"/>
          <w:lang w:val="en-US"/>
        </w:rPr>
        <w:t xml:space="preserve"> the increased triacylglycerol metabolism upon lipid droplet formation in adipocytes</w:t>
      </w:r>
      <w:r w:rsidR="00DA5032">
        <w:rPr>
          <w:rFonts w:asciiTheme="minorHAnsi" w:hAnsiTheme="minorHAnsi"/>
          <w:lang w:val="en-US"/>
        </w:rPr>
        <w:t xml:space="preserve"> (</w:t>
      </w:r>
      <w:proofErr w:type="spellStart"/>
      <w:r w:rsidR="00DA5032" w:rsidRPr="00DA5032">
        <w:rPr>
          <w:rFonts w:asciiTheme="minorHAnsi" w:hAnsiTheme="minorHAnsi"/>
          <w:lang w:val="en-US"/>
        </w:rPr>
        <w:t>Gr</w:t>
      </w:r>
      <w:r w:rsidR="00DA5032">
        <w:rPr>
          <w:rFonts w:asciiTheme="minorHAnsi" w:hAnsiTheme="minorHAnsi"/>
          <w:lang w:val="en-US"/>
        </w:rPr>
        <w:t>egoire</w:t>
      </w:r>
      <w:proofErr w:type="spellEnd"/>
      <w:r w:rsidR="00DA5032">
        <w:rPr>
          <w:rFonts w:asciiTheme="minorHAnsi" w:hAnsiTheme="minorHAnsi"/>
          <w:lang w:val="en-US"/>
        </w:rPr>
        <w:t xml:space="preserve"> et al,</w:t>
      </w:r>
      <w:r w:rsidR="00DA5032" w:rsidRPr="00DA5032">
        <w:rPr>
          <w:rFonts w:asciiTheme="minorHAnsi" w:hAnsiTheme="minorHAnsi"/>
          <w:lang w:val="en-US"/>
        </w:rPr>
        <w:t xml:space="preserve"> </w:t>
      </w:r>
      <w:r w:rsidR="00DA5032" w:rsidRPr="00DA5032">
        <w:rPr>
          <w:rFonts w:asciiTheme="minorHAnsi" w:hAnsiTheme="minorHAnsi"/>
          <w:i/>
          <w:lang w:val="en-US"/>
        </w:rPr>
        <w:t>Understanding adipocyte differentiation</w:t>
      </w:r>
      <w:r w:rsidR="00DA5032" w:rsidRPr="00DA5032">
        <w:rPr>
          <w:rFonts w:asciiTheme="minorHAnsi" w:hAnsiTheme="minorHAnsi"/>
          <w:lang w:val="en-US"/>
        </w:rPr>
        <w:t xml:space="preserve">. </w:t>
      </w:r>
      <w:proofErr w:type="gramStart"/>
      <w:r w:rsidR="00DA5032" w:rsidRPr="00DA5032">
        <w:rPr>
          <w:rFonts w:asciiTheme="minorHAnsi" w:hAnsiTheme="minorHAnsi"/>
          <w:b/>
          <w:lang w:val="en-US"/>
        </w:rPr>
        <w:t>Physiol. Rev.</w:t>
      </w:r>
      <w:r w:rsidR="00DA5032">
        <w:rPr>
          <w:rFonts w:asciiTheme="minorHAnsi" w:hAnsiTheme="minorHAnsi"/>
          <w:lang w:val="en-US"/>
        </w:rPr>
        <w:t xml:space="preserve"> 1998, 78, 783–809</w:t>
      </w:r>
      <w:r w:rsidR="007F5E96">
        <w:rPr>
          <w:rFonts w:asciiTheme="minorHAnsi" w:hAnsiTheme="minorHAnsi"/>
          <w:lang w:val="en-US"/>
        </w:rPr>
        <w:t>, doi:</w:t>
      </w:r>
      <w:r w:rsidR="007F5E96" w:rsidRPr="007F5E96">
        <w:rPr>
          <w:rFonts w:asciiTheme="minorHAnsi" w:hAnsiTheme="minorHAnsi"/>
          <w:lang w:val="en-US"/>
        </w:rPr>
        <w:t>10.1152/physrev.1998.78.3.783</w:t>
      </w:r>
      <w:r w:rsidR="00DA5032">
        <w:rPr>
          <w:rFonts w:asciiTheme="minorHAnsi" w:hAnsiTheme="minorHAnsi"/>
          <w:lang w:val="en-US"/>
        </w:rPr>
        <w:t>)</w:t>
      </w:r>
      <w:r w:rsidR="00DA5032" w:rsidRPr="00DA5032">
        <w:rPr>
          <w:rFonts w:asciiTheme="minorHAnsi" w:hAnsiTheme="minorHAnsi"/>
          <w:lang w:val="en-US"/>
        </w:rPr>
        <w:t>.</w:t>
      </w:r>
      <w:proofErr w:type="gramEnd"/>
      <w:r w:rsidR="00DA5032" w:rsidRPr="00DA5032">
        <w:rPr>
          <w:rFonts w:asciiTheme="minorHAnsi" w:hAnsiTheme="minorHAnsi"/>
          <w:lang w:val="en-US"/>
        </w:rPr>
        <w:t xml:space="preserve"> These finding</w:t>
      </w:r>
      <w:r w:rsidR="00DA5032">
        <w:rPr>
          <w:rFonts w:asciiTheme="minorHAnsi" w:hAnsiTheme="minorHAnsi"/>
          <w:lang w:val="en-US"/>
        </w:rPr>
        <w:t>s</w:t>
      </w:r>
      <w:r w:rsidR="00DA5032" w:rsidRPr="00DA5032">
        <w:rPr>
          <w:rFonts w:asciiTheme="minorHAnsi" w:hAnsiTheme="minorHAnsi"/>
          <w:lang w:val="en-US"/>
        </w:rPr>
        <w:t xml:space="preserve"> further support our proteomics data</w:t>
      </w:r>
      <w:r w:rsidR="00DA5032">
        <w:rPr>
          <w:rFonts w:asciiTheme="minorHAnsi" w:hAnsiTheme="minorHAnsi"/>
          <w:lang w:val="en-US"/>
        </w:rPr>
        <w:t xml:space="preserve"> </w:t>
      </w:r>
      <w:r w:rsidR="00DA5032" w:rsidRPr="00DA5032">
        <w:rPr>
          <w:rFonts w:asciiTheme="minorHAnsi" w:hAnsiTheme="minorHAnsi"/>
          <w:lang w:val="en-US"/>
        </w:rPr>
        <w:t xml:space="preserve">and </w:t>
      </w:r>
      <w:r w:rsidR="00DA5032">
        <w:rPr>
          <w:rFonts w:asciiTheme="minorHAnsi" w:hAnsiTheme="minorHAnsi"/>
          <w:lang w:val="en-US"/>
        </w:rPr>
        <w:t>show that our</w:t>
      </w:r>
      <w:r w:rsidRPr="001872BB">
        <w:rPr>
          <w:rFonts w:asciiTheme="minorHAnsi" w:hAnsiTheme="minorHAnsi"/>
          <w:lang w:val="en-US"/>
        </w:rPr>
        <w:t xml:space="preserve"> observed pathways are consistent with literature findings</w:t>
      </w:r>
      <w:r w:rsidR="00DA5032">
        <w:rPr>
          <w:rFonts w:asciiTheme="minorHAnsi" w:hAnsiTheme="minorHAnsi"/>
          <w:lang w:val="en-US"/>
        </w:rPr>
        <w:t xml:space="preserve">. Hence, </w:t>
      </w:r>
      <w:r w:rsidRPr="001872BB">
        <w:rPr>
          <w:rFonts w:asciiTheme="minorHAnsi" w:hAnsiTheme="minorHAnsi"/>
          <w:lang w:val="en-US"/>
        </w:rPr>
        <w:t xml:space="preserve">we conclude that </w:t>
      </w:r>
      <w:r w:rsidR="008D4FBD">
        <w:rPr>
          <w:rFonts w:asciiTheme="minorHAnsi" w:hAnsiTheme="minorHAnsi"/>
          <w:lang w:val="en-US"/>
        </w:rPr>
        <w:t xml:space="preserve">biological validation was successfully performed and </w:t>
      </w:r>
      <w:r w:rsidRPr="001872BB">
        <w:rPr>
          <w:rFonts w:asciiTheme="minorHAnsi" w:hAnsiTheme="minorHAnsi"/>
          <w:lang w:val="en-US"/>
        </w:rPr>
        <w:t xml:space="preserve">the proteomics data can be still included in our proof of principle </w:t>
      </w:r>
      <w:proofErr w:type="spellStart"/>
      <w:r w:rsidRPr="001872BB">
        <w:rPr>
          <w:rFonts w:asciiTheme="minorHAnsi" w:hAnsiTheme="minorHAnsi"/>
          <w:lang w:val="en-US"/>
        </w:rPr>
        <w:t>multiomics</w:t>
      </w:r>
      <w:proofErr w:type="spellEnd"/>
      <w:r w:rsidRPr="001872BB">
        <w:rPr>
          <w:rFonts w:asciiTheme="minorHAnsi" w:hAnsiTheme="minorHAnsi"/>
          <w:lang w:val="en-US"/>
        </w:rPr>
        <w:t xml:space="preserve"> workflow</w:t>
      </w:r>
      <w:r w:rsidR="00DA5032">
        <w:rPr>
          <w:rFonts w:asciiTheme="minorHAnsi" w:hAnsiTheme="minorHAnsi"/>
          <w:lang w:val="en-US"/>
        </w:rPr>
        <w:t xml:space="preserve"> despite the low sample size</w:t>
      </w:r>
      <w:r w:rsidRPr="001872BB">
        <w:rPr>
          <w:rFonts w:asciiTheme="minorHAnsi" w:hAnsiTheme="minorHAnsi"/>
          <w:lang w:val="en-US"/>
        </w:rPr>
        <w:t>.</w:t>
      </w:r>
      <w:r w:rsidR="008D4FBD">
        <w:rPr>
          <w:rFonts w:asciiTheme="minorHAnsi" w:hAnsiTheme="minorHAnsi"/>
          <w:lang w:val="en-US"/>
        </w:rPr>
        <w:t xml:space="preserve"> Thorough analytical validation of the dual-injection HILIC-RP-MS setup was performed in our original publication (</w:t>
      </w:r>
      <w:proofErr w:type="spellStart"/>
      <w:r w:rsidR="008D4FBD">
        <w:rPr>
          <w:rFonts w:asciiTheme="minorHAnsi" w:hAnsiTheme="minorHAnsi"/>
          <w:lang w:val="en-US"/>
        </w:rPr>
        <w:t>Schwaiger</w:t>
      </w:r>
      <w:proofErr w:type="spellEnd"/>
      <w:r w:rsidR="008D4FBD">
        <w:rPr>
          <w:rFonts w:asciiTheme="minorHAnsi" w:hAnsiTheme="minorHAnsi"/>
          <w:lang w:val="en-US"/>
        </w:rPr>
        <w:t xml:space="preserve"> et al, </w:t>
      </w:r>
      <w:r w:rsidR="008D4FBD" w:rsidRPr="00DA5032">
        <w:rPr>
          <w:rFonts w:asciiTheme="minorHAnsi" w:hAnsiTheme="minorHAnsi"/>
          <w:i/>
          <w:lang w:val="en-US"/>
        </w:rPr>
        <w:t>Merging metabolomics and lipidomics into one analytical run</w:t>
      </w:r>
      <w:r w:rsidR="008D4FBD">
        <w:rPr>
          <w:rFonts w:asciiTheme="minorHAnsi" w:hAnsiTheme="minorHAnsi"/>
          <w:lang w:val="en-US"/>
        </w:rPr>
        <w:t xml:space="preserve">, </w:t>
      </w:r>
      <w:r w:rsidR="008D4FBD" w:rsidRPr="00DA5032">
        <w:rPr>
          <w:rFonts w:asciiTheme="minorHAnsi" w:hAnsiTheme="minorHAnsi"/>
          <w:b/>
          <w:lang w:val="en-US"/>
        </w:rPr>
        <w:t>Analyst</w:t>
      </w:r>
      <w:r w:rsidR="00DA5032" w:rsidRPr="00DA5032">
        <w:rPr>
          <w:rFonts w:asciiTheme="minorHAnsi" w:hAnsiTheme="minorHAnsi"/>
          <w:lang w:val="en-US"/>
        </w:rPr>
        <w:t>, 2019,144, 220-229</w:t>
      </w:r>
      <w:r w:rsidR="00DA5032">
        <w:rPr>
          <w:rFonts w:asciiTheme="minorHAnsi" w:hAnsiTheme="minorHAnsi"/>
          <w:lang w:val="en-US"/>
        </w:rPr>
        <w:t xml:space="preserve">, </w:t>
      </w:r>
      <w:proofErr w:type="spellStart"/>
      <w:r w:rsidR="00DA5032">
        <w:rPr>
          <w:rFonts w:asciiTheme="minorHAnsi" w:hAnsiTheme="minorHAnsi"/>
          <w:lang w:val="en-US"/>
        </w:rPr>
        <w:t>doi</w:t>
      </w:r>
      <w:proofErr w:type="spellEnd"/>
      <w:r w:rsidR="00DA5032">
        <w:rPr>
          <w:rFonts w:asciiTheme="minorHAnsi" w:hAnsiTheme="minorHAnsi"/>
          <w:lang w:val="en-US"/>
        </w:rPr>
        <w:t>:</w:t>
      </w:r>
      <w:r w:rsidR="00DA5032" w:rsidRPr="00DA5032">
        <w:rPr>
          <w:lang w:val="en-US"/>
        </w:rPr>
        <w:t xml:space="preserve"> </w:t>
      </w:r>
      <w:r w:rsidR="00DA5032" w:rsidRPr="00DA5032">
        <w:rPr>
          <w:rFonts w:asciiTheme="minorHAnsi" w:hAnsiTheme="minorHAnsi"/>
          <w:lang w:val="en-US"/>
        </w:rPr>
        <w:t>10.1039/C8AN01219A</w:t>
      </w:r>
      <w:r w:rsidR="008D4FBD">
        <w:rPr>
          <w:rFonts w:asciiTheme="minorHAnsi" w:hAnsiTheme="minorHAnsi"/>
          <w:lang w:val="en-US"/>
        </w:rPr>
        <w:t>) and was further validated by (1) analytical figures of merit, (2)</w:t>
      </w:r>
      <w:r w:rsidR="008D4FBD" w:rsidRPr="008D4FBD">
        <w:rPr>
          <w:rFonts w:asciiTheme="minorHAnsi" w:hAnsiTheme="minorHAnsi"/>
          <w:lang w:val="en-US"/>
        </w:rPr>
        <w:t xml:space="preserve"> use of commercially available standards as well as in-house produced </w:t>
      </w:r>
      <w:r w:rsidR="008D4FBD">
        <w:rPr>
          <w:rFonts w:asciiTheme="minorHAnsi" w:hAnsiTheme="minorHAnsi"/>
          <w:lang w:val="en-US"/>
        </w:rPr>
        <w:t xml:space="preserve">labeled metabolites and lipids, (3) </w:t>
      </w:r>
      <w:r w:rsidR="008D4FBD" w:rsidRPr="008D4FBD">
        <w:rPr>
          <w:rFonts w:asciiTheme="minorHAnsi" w:hAnsiTheme="minorHAnsi"/>
          <w:lang w:val="en-US"/>
        </w:rPr>
        <w:t xml:space="preserve">database annotation based on RT, </w:t>
      </w:r>
      <w:r w:rsidR="008D4FBD">
        <w:rPr>
          <w:rFonts w:asciiTheme="minorHAnsi" w:hAnsiTheme="minorHAnsi"/>
          <w:lang w:val="en-US"/>
        </w:rPr>
        <w:t xml:space="preserve">(4) </w:t>
      </w:r>
      <w:r w:rsidR="008D4FBD" w:rsidRPr="008D4FBD">
        <w:rPr>
          <w:rFonts w:asciiTheme="minorHAnsi" w:hAnsiTheme="minorHAnsi"/>
          <w:lang w:val="en-US"/>
        </w:rPr>
        <w:t>accurate</w:t>
      </w:r>
      <w:r w:rsidR="008D4FBD">
        <w:rPr>
          <w:rFonts w:asciiTheme="minorHAnsi" w:hAnsiTheme="minorHAnsi"/>
          <w:lang w:val="en-US"/>
        </w:rPr>
        <w:t xml:space="preserve"> mass and fragmentation pattern, (5)</w:t>
      </w:r>
      <w:r w:rsidR="008D4FBD" w:rsidRPr="008D4FBD">
        <w:rPr>
          <w:rFonts w:asciiTheme="minorHAnsi" w:hAnsiTheme="minorHAnsi"/>
          <w:lang w:val="en-US"/>
        </w:rPr>
        <w:t xml:space="preserve"> additional manual curation</w:t>
      </w:r>
      <w:r w:rsidR="008D4FBD">
        <w:rPr>
          <w:rFonts w:asciiTheme="minorHAnsi" w:hAnsiTheme="minorHAnsi"/>
          <w:lang w:val="en-US"/>
        </w:rPr>
        <w:t xml:space="preserve"> in the presented </w:t>
      </w:r>
      <w:proofErr w:type="spellStart"/>
      <w:r w:rsidR="008D4FBD">
        <w:rPr>
          <w:rFonts w:asciiTheme="minorHAnsi" w:hAnsiTheme="minorHAnsi"/>
          <w:lang w:val="en-US"/>
        </w:rPr>
        <w:t>multiomics</w:t>
      </w:r>
      <w:proofErr w:type="spellEnd"/>
      <w:r w:rsidR="008D4FBD">
        <w:rPr>
          <w:rFonts w:asciiTheme="minorHAnsi" w:hAnsiTheme="minorHAnsi"/>
          <w:lang w:val="en-US"/>
        </w:rPr>
        <w:t xml:space="preserve"> study on </w:t>
      </w:r>
      <w:proofErr w:type="spellStart"/>
      <w:r w:rsidR="008D4FBD">
        <w:rPr>
          <w:rFonts w:asciiTheme="minorHAnsi" w:hAnsiTheme="minorHAnsi"/>
          <w:lang w:val="en-US"/>
        </w:rPr>
        <w:t>adipogenic</w:t>
      </w:r>
      <w:proofErr w:type="spellEnd"/>
      <w:r w:rsidR="008D4FBD">
        <w:rPr>
          <w:rFonts w:asciiTheme="minorHAnsi" w:hAnsiTheme="minorHAnsi"/>
          <w:lang w:val="en-US"/>
        </w:rPr>
        <w:t xml:space="preserve"> differentiation.</w:t>
      </w:r>
    </w:p>
    <w:p w14:paraId="37E320C3" w14:textId="77777777" w:rsidR="006136A3" w:rsidRDefault="006136A3" w:rsidP="00157660">
      <w:pPr>
        <w:autoSpaceDE w:val="0"/>
        <w:autoSpaceDN w:val="0"/>
        <w:adjustRightInd w:val="0"/>
        <w:jc w:val="both"/>
        <w:rPr>
          <w:rFonts w:asciiTheme="minorHAnsi" w:hAnsiTheme="minorHAnsi"/>
          <w:lang w:val="en-US"/>
        </w:rPr>
      </w:pPr>
    </w:p>
    <w:p w14:paraId="1F6C9ED4" w14:textId="77777777" w:rsidR="0031264D" w:rsidRDefault="00EB4DBB" w:rsidP="00157660">
      <w:pPr>
        <w:autoSpaceDE w:val="0"/>
        <w:autoSpaceDN w:val="0"/>
        <w:adjustRightInd w:val="0"/>
        <w:jc w:val="both"/>
        <w:rPr>
          <w:rFonts w:asciiTheme="minorHAnsi" w:hAnsiTheme="minorHAnsi"/>
          <w:color w:val="0070C0"/>
          <w:lang w:val="en-US"/>
        </w:rPr>
      </w:pPr>
      <w:r w:rsidRPr="00EB4DBB">
        <w:rPr>
          <w:rFonts w:asciiTheme="minorHAnsi" w:hAnsiTheme="minorHAnsi"/>
          <w:color w:val="0070C0"/>
          <w:lang w:val="en-US"/>
        </w:rPr>
        <w:t>3. What were the 12 lipids and 54 metabolites used for targeted analysis? What was the criteria for their selection? Additionally, the MSC 21 samples were highly heterogeneous and disperse in the PC1 (44.9%) (Figure 2 A). In fact. MSC 0 and MSC 21 are only separated in PC 2, with 25.8% of the variance. Authors should provide further statistical analysis data since the PCA is not sufficient.</w:t>
      </w:r>
    </w:p>
    <w:p w14:paraId="4D11594B" w14:textId="51FC0840" w:rsidR="001B76F0" w:rsidRPr="001B76F0" w:rsidRDefault="00F70E3F" w:rsidP="005630EA">
      <w:pPr>
        <w:autoSpaceDE w:val="0"/>
        <w:autoSpaceDN w:val="0"/>
        <w:adjustRightInd w:val="0"/>
        <w:jc w:val="both"/>
        <w:rPr>
          <w:rFonts w:asciiTheme="minorHAnsi" w:hAnsiTheme="minorHAnsi"/>
          <w:color w:val="000000" w:themeColor="text1"/>
          <w:lang w:val="en-US"/>
        </w:rPr>
      </w:pPr>
      <w:r>
        <w:rPr>
          <w:rFonts w:asciiTheme="minorHAnsi" w:hAnsiTheme="minorHAnsi"/>
          <w:color w:val="000000" w:themeColor="text1"/>
          <w:lang w:val="en-US"/>
        </w:rPr>
        <w:lastRenderedPageBreak/>
        <w:t xml:space="preserve">We thank the referee for the useful comment and </w:t>
      </w:r>
      <w:r w:rsidR="00C04248">
        <w:rPr>
          <w:rFonts w:asciiTheme="minorHAnsi" w:hAnsiTheme="minorHAnsi"/>
          <w:color w:val="000000" w:themeColor="text1"/>
          <w:lang w:val="en-US"/>
        </w:rPr>
        <w:t>referenced</w:t>
      </w:r>
      <w:r>
        <w:rPr>
          <w:rFonts w:asciiTheme="minorHAnsi" w:hAnsiTheme="minorHAnsi"/>
          <w:color w:val="000000" w:themeColor="text1"/>
          <w:lang w:val="en-US"/>
        </w:rPr>
        <w:t xml:space="preserve"> the information on the selected targeted </w:t>
      </w:r>
      <w:proofErr w:type="spellStart"/>
      <w:r>
        <w:rPr>
          <w:rFonts w:asciiTheme="minorHAnsi" w:hAnsiTheme="minorHAnsi"/>
          <w:color w:val="000000" w:themeColor="text1"/>
          <w:lang w:val="en-US"/>
        </w:rPr>
        <w:t>analytes</w:t>
      </w:r>
      <w:proofErr w:type="spellEnd"/>
      <w:r w:rsidR="00181D46">
        <w:rPr>
          <w:rFonts w:asciiTheme="minorHAnsi" w:hAnsiTheme="minorHAnsi"/>
          <w:color w:val="000000" w:themeColor="text1"/>
          <w:lang w:val="en-US"/>
        </w:rPr>
        <w:t xml:space="preserve"> in </w:t>
      </w:r>
      <w:r w:rsidR="00C04248" w:rsidRPr="00C04248">
        <w:rPr>
          <w:rFonts w:asciiTheme="minorHAnsi" w:hAnsiTheme="minorHAnsi"/>
          <w:b/>
          <w:color w:val="000000" w:themeColor="text1"/>
          <w:lang w:val="en-US"/>
        </w:rPr>
        <w:t>Table S1</w:t>
      </w:r>
      <w:r w:rsidR="00C04248">
        <w:rPr>
          <w:rFonts w:asciiTheme="minorHAnsi" w:hAnsiTheme="minorHAnsi"/>
          <w:color w:val="000000" w:themeColor="text1"/>
          <w:lang w:val="en-US"/>
        </w:rPr>
        <w:t xml:space="preserve"> (panel: </w:t>
      </w:r>
      <w:proofErr w:type="spellStart"/>
      <w:r w:rsidR="00C04248">
        <w:rPr>
          <w:rFonts w:asciiTheme="minorHAnsi" w:hAnsiTheme="minorHAnsi"/>
          <w:color w:val="000000" w:themeColor="text1"/>
          <w:lang w:val="en-US"/>
        </w:rPr>
        <w:t>MetabolitesLipids_OmicsNet</w:t>
      </w:r>
      <w:proofErr w:type="spellEnd"/>
      <w:r w:rsidR="00C04248">
        <w:rPr>
          <w:rFonts w:asciiTheme="minorHAnsi" w:hAnsiTheme="minorHAnsi"/>
          <w:color w:val="000000" w:themeColor="text1"/>
          <w:lang w:val="en-US"/>
        </w:rPr>
        <w:t>, green labeled metabolites/lipids).</w:t>
      </w:r>
      <w:r w:rsidR="006A4713">
        <w:rPr>
          <w:rFonts w:asciiTheme="minorHAnsi" w:hAnsiTheme="minorHAnsi"/>
          <w:color w:val="000000" w:themeColor="text1"/>
          <w:lang w:val="en-US"/>
        </w:rPr>
        <w:t xml:space="preserve"> </w:t>
      </w:r>
      <w:r w:rsidRPr="006A4713">
        <w:rPr>
          <w:rFonts w:asciiTheme="minorHAnsi" w:hAnsiTheme="minorHAnsi"/>
          <w:lang w:val="en-US"/>
        </w:rPr>
        <w:t xml:space="preserve">The selection of the </w:t>
      </w:r>
      <w:proofErr w:type="spellStart"/>
      <w:r w:rsidRPr="006A4713">
        <w:rPr>
          <w:rFonts w:asciiTheme="minorHAnsi" w:hAnsiTheme="minorHAnsi"/>
          <w:lang w:val="en-US"/>
        </w:rPr>
        <w:t>analytes</w:t>
      </w:r>
      <w:proofErr w:type="spellEnd"/>
      <w:r w:rsidRPr="006A4713">
        <w:rPr>
          <w:rFonts w:asciiTheme="minorHAnsi" w:hAnsiTheme="minorHAnsi"/>
          <w:lang w:val="en-US"/>
        </w:rPr>
        <w:t xml:space="preserve"> was performed on the</w:t>
      </w:r>
      <w:r w:rsidR="006A4713" w:rsidRPr="006A4713">
        <w:rPr>
          <w:rFonts w:asciiTheme="minorHAnsi" w:hAnsiTheme="minorHAnsi"/>
          <w:lang w:val="en-US"/>
        </w:rPr>
        <w:t xml:space="preserve"> compound presence in MSC/adipocyte samples and</w:t>
      </w:r>
      <w:r w:rsidRPr="006A4713">
        <w:rPr>
          <w:rFonts w:asciiTheme="minorHAnsi" w:hAnsiTheme="minorHAnsi"/>
          <w:lang w:val="en-US"/>
        </w:rPr>
        <w:t xml:space="preserve"> available standards mixes </w:t>
      </w:r>
      <w:r w:rsidR="006A4713" w:rsidRPr="006A4713">
        <w:rPr>
          <w:rFonts w:asciiTheme="minorHAnsi" w:hAnsiTheme="minorHAnsi"/>
          <w:lang w:val="en-US"/>
        </w:rPr>
        <w:t>with</w:t>
      </w:r>
      <w:r w:rsidRPr="006A4713">
        <w:rPr>
          <w:rFonts w:asciiTheme="minorHAnsi" w:hAnsiTheme="minorHAnsi"/>
          <w:lang w:val="en-US"/>
        </w:rPr>
        <w:t xml:space="preserve"> corresponding </w:t>
      </w:r>
      <w:r w:rsidRPr="006A4713">
        <w:rPr>
          <w:rFonts w:asciiTheme="minorHAnsi" w:hAnsiTheme="minorHAnsi"/>
          <w:kern w:val="24"/>
          <w:vertAlign w:val="superscript"/>
          <w:lang w:val="en-US"/>
        </w:rPr>
        <w:t>13</w:t>
      </w:r>
      <w:r w:rsidRPr="006A4713">
        <w:rPr>
          <w:rFonts w:asciiTheme="minorHAnsi" w:hAnsiTheme="minorHAnsi"/>
          <w:lang w:val="en-US"/>
        </w:rPr>
        <w:t>C labeled lipids/</w:t>
      </w:r>
      <w:r w:rsidRPr="001B76F0">
        <w:rPr>
          <w:rFonts w:asciiTheme="minorHAnsi" w:hAnsiTheme="minorHAnsi"/>
          <w:color w:val="000000" w:themeColor="text1"/>
          <w:lang w:val="en-US"/>
        </w:rPr>
        <w:t xml:space="preserve">metabolites. </w:t>
      </w:r>
      <w:r w:rsidR="001B76F0" w:rsidRPr="001B76F0">
        <w:rPr>
          <w:rFonts w:asciiTheme="minorHAnsi" w:hAnsiTheme="minorHAnsi"/>
          <w:color w:val="000000" w:themeColor="text1"/>
          <w:lang w:val="en-US"/>
        </w:rPr>
        <w:t>The reviewer is right in highlighting the necessity to discuss the PCA output in more detail. We have added a paragraph which explains that the low sample number reduces the statistical significance of our findings. However, we also highlighted that MSC differentiation might lead to a more diverse metabolome and lipidome (explained by PC1) and has to be statistically validated in future studies (</w:t>
      </w:r>
      <w:r w:rsidR="00051759" w:rsidRPr="00051759">
        <w:rPr>
          <w:rFonts w:asciiTheme="minorHAnsi" w:hAnsiTheme="minorHAnsi"/>
          <w:color w:val="000000" w:themeColor="text1"/>
          <w:lang w:val="en-US"/>
        </w:rPr>
        <w:t>Targeted lipidomics and metabolomics comparing MSCs and adipocytes</w:t>
      </w:r>
      <w:r w:rsidR="001B76F0" w:rsidRPr="001B76F0">
        <w:rPr>
          <w:rFonts w:asciiTheme="minorHAnsi" w:hAnsiTheme="minorHAnsi"/>
          <w:color w:val="000000" w:themeColor="text1"/>
          <w:lang w:val="en-US"/>
        </w:rPr>
        <w:t xml:space="preserve">).  </w:t>
      </w:r>
    </w:p>
    <w:p w14:paraId="7CEA13B4" w14:textId="77777777" w:rsidR="008D4FBD" w:rsidRDefault="008D4FBD" w:rsidP="005630EA">
      <w:pPr>
        <w:autoSpaceDE w:val="0"/>
        <w:autoSpaceDN w:val="0"/>
        <w:adjustRightInd w:val="0"/>
        <w:jc w:val="both"/>
        <w:rPr>
          <w:rFonts w:asciiTheme="minorHAnsi" w:hAnsiTheme="minorHAnsi"/>
          <w:color w:val="0070C0"/>
          <w:lang w:val="en-US"/>
        </w:rPr>
      </w:pPr>
    </w:p>
    <w:p w14:paraId="532D97A2" w14:textId="263746BA" w:rsidR="005630EA" w:rsidRPr="00300E33" w:rsidRDefault="00EB4DBB" w:rsidP="00EB4D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Theme="minorHAnsi" w:hAnsiTheme="minorHAnsi"/>
          <w:color w:val="0070C0"/>
          <w:lang w:val="en-US"/>
        </w:rPr>
      </w:pPr>
      <w:r>
        <w:rPr>
          <w:rFonts w:asciiTheme="minorHAnsi" w:hAnsiTheme="minorHAnsi"/>
          <w:color w:val="0070C0"/>
          <w:lang w:val="en-US"/>
        </w:rPr>
        <w:t xml:space="preserve">4. </w:t>
      </w:r>
      <w:r w:rsidRPr="00EB4DBB">
        <w:rPr>
          <w:rFonts w:asciiTheme="minorHAnsi" w:hAnsiTheme="minorHAnsi"/>
          <w:color w:val="0070C0"/>
          <w:lang w:val="en-US"/>
        </w:rPr>
        <w:t xml:space="preserve">What was the sample size used for non-targeted analysis? It was </w:t>
      </w:r>
      <w:proofErr w:type="gramStart"/>
      <w:r w:rsidRPr="00EB4DBB">
        <w:rPr>
          <w:rFonts w:asciiTheme="minorHAnsi" w:hAnsiTheme="minorHAnsi"/>
          <w:color w:val="0070C0"/>
          <w:lang w:val="en-US"/>
        </w:rPr>
        <w:t>a</w:t>
      </w:r>
      <w:proofErr w:type="gramEnd"/>
      <w:r w:rsidRPr="00EB4DBB">
        <w:rPr>
          <w:rFonts w:asciiTheme="minorHAnsi" w:hAnsiTheme="minorHAnsi"/>
          <w:color w:val="0070C0"/>
          <w:lang w:val="en-US"/>
        </w:rPr>
        <w:t xml:space="preserve"> n=3 samples? Did the authors </w:t>
      </w:r>
      <w:proofErr w:type="gramStart"/>
      <w:r w:rsidRPr="00EB4DBB">
        <w:rPr>
          <w:rFonts w:asciiTheme="minorHAnsi" w:hAnsiTheme="minorHAnsi"/>
          <w:color w:val="0070C0"/>
          <w:lang w:val="en-US"/>
        </w:rPr>
        <w:t>performed</w:t>
      </w:r>
      <w:proofErr w:type="gramEnd"/>
      <w:r w:rsidRPr="00EB4DBB">
        <w:rPr>
          <w:rFonts w:asciiTheme="minorHAnsi" w:hAnsiTheme="minorHAnsi"/>
          <w:color w:val="0070C0"/>
          <w:lang w:val="en-US"/>
        </w:rPr>
        <w:t xml:space="preserve"> any normalization of the chromatographic peak areas using non-endogenous internal standards to eliminate instrumental or analytical interferences in this case of non-targeted analysis? As stated in the section 4.2 Multiomics of the methods the MS data used for quantification was acquired only in positive ion mode. In this way, how did the authors quantified the </w:t>
      </w:r>
      <w:r w:rsidRPr="00300E33">
        <w:rPr>
          <w:rFonts w:asciiTheme="minorHAnsi" w:hAnsiTheme="minorHAnsi"/>
          <w:color w:val="0070C0"/>
          <w:lang w:val="en-US"/>
        </w:rPr>
        <w:t xml:space="preserve">variations in PI levels? What </w:t>
      </w:r>
      <w:proofErr w:type="gramStart"/>
      <w:r w:rsidRPr="00300E33">
        <w:rPr>
          <w:rFonts w:asciiTheme="minorHAnsi" w:hAnsiTheme="minorHAnsi"/>
          <w:color w:val="0070C0"/>
          <w:lang w:val="en-US"/>
        </w:rPr>
        <w:t>type of ions were</w:t>
      </w:r>
      <w:proofErr w:type="gramEnd"/>
      <w:r w:rsidRPr="00300E33">
        <w:rPr>
          <w:rFonts w:asciiTheme="minorHAnsi" w:hAnsiTheme="minorHAnsi"/>
          <w:color w:val="0070C0"/>
          <w:lang w:val="en-US"/>
        </w:rPr>
        <w:t xml:space="preserve"> analyzed?</w:t>
      </w:r>
    </w:p>
    <w:p w14:paraId="5086C211" w14:textId="04BE9FAF" w:rsidR="00F1670E" w:rsidRDefault="00723754" w:rsidP="00272F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Calibri" w:hAnsi="Calibri" w:cs="Courier New"/>
          <w:kern w:val="0"/>
          <w:lang w:val="en-US" w:eastAsia="en-US" w:bidi="ar-SA"/>
        </w:rPr>
      </w:pPr>
      <w:r>
        <w:rPr>
          <w:rFonts w:ascii="Calibri" w:hAnsi="Calibri" w:cs="Courier New"/>
          <w:kern w:val="0"/>
          <w:lang w:val="en-US" w:eastAsia="en-US" w:bidi="ar-SA"/>
        </w:rPr>
        <w:t xml:space="preserve">The sample size used for non-targeted analysis was n=5 (as explained above). Normalization of the non-targeted data was performed using </w:t>
      </w:r>
      <w:r w:rsidR="007A4D16" w:rsidRPr="007A4D16">
        <w:rPr>
          <w:rFonts w:ascii="Calibri" w:hAnsi="Calibri" w:cs="Courier New"/>
          <w:kern w:val="0"/>
          <w:lang w:val="en-US" w:eastAsia="en-US" w:bidi="ar-SA"/>
        </w:rPr>
        <w:t>mean-centered and divided by standard deviation</w:t>
      </w:r>
      <w:r w:rsidR="007A4D16">
        <w:rPr>
          <w:rFonts w:ascii="Calibri" w:hAnsi="Calibri" w:cs="Courier New"/>
          <w:kern w:val="0"/>
          <w:lang w:val="en-US" w:eastAsia="en-US" w:bidi="ar-SA"/>
        </w:rPr>
        <w:t xml:space="preserve"> (</w:t>
      </w:r>
      <w:r>
        <w:rPr>
          <w:rFonts w:ascii="Calibri" w:hAnsi="Calibri" w:cs="Courier New"/>
          <w:kern w:val="0"/>
          <w:lang w:val="en-US" w:eastAsia="en-US" w:bidi="ar-SA"/>
        </w:rPr>
        <w:t>auto-scaling</w:t>
      </w:r>
      <w:r w:rsidR="007A4D16">
        <w:rPr>
          <w:rFonts w:ascii="Calibri" w:hAnsi="Calibri" w:cs="Courier New"/>
          <w:kern w:val="0"/>
          <w:lang w:val="en-US" w:eastAsia="en-US" w:bidi="ar-SA"/>
        </w:rPr>
        <w:t xml:space="preserve"> option)</w:t>
      </w:r>
      <w:r>
        <w:rPr>
          <w:rFonts w:ascii="Calibri" w:hAnsi="Calibri" w:cs="Courier New"/>
          <w:kern w:val="0"/>
          <w:lang w:val="en-US" w:eastAsia="en-US" w:bidi="ar-SA"/>
        </w:rPr>
        <w:t xml:space="preserve"> </w:t>
      </w:r>
      <w:r w:rsidR="007A4D16">
        <w:rPr>
          <w:rFonts w:ascii="Calibri" w:hAnsi="Calibri" w:cs="Courier New"/>
          <w:kern w:val="0"/>
          <w:lang w:val="en-US" w:eastAsia="en-US" w:bidi="ar-SA"/>
        </w:rPr>
        <w:t>in</w:t>
      </w:r>
      <w:r>
        <w:rPr>
          <w:rFonts w:ascii="Calibri" w:hAnsi="Calibri" w:cs="Courier New"/>
          <w:kern w:val="0"/>
          <w:lang w:val="en-US" w:eastAsia="en-US" w:bidi="ar-SA"/>
        </w:rPr>
        <w:t xml:space="preserve"> </w:t>
      </w:r>
      <w:proofErr w:type="spellStart"/>
      <w:r>
        <w:rPr>
          <w:rFonts w:ascii="Calibri" w:hAnsi="Calibri" w:cs="Courier New"/>
          <w:kern w:val="0"/>
          <w:lang w:val="en-US" w:eastAsia="en-US" w:bidi="ar-SA"/>
        </w:rPr>
        <w:t>MetaboAanlyst</w:t>
      </w:r>
      <w:proofErr w:type="spellEnd"/>
      <w:r w:rsidR="002E539E">
        <w:rPr>
          <w:rFonts w:ascii="Calibri" w:hAnsi="Calibri" w:cs="Courier New"/>
          <w:kern w:val="0"/>
          <w:lang w:val="en-US" w:eastAsia="en-US" w:bidi="ar-SA"/>
        </w:rPr>
        <w:t xml:space="preserve"> </w:t>
      </w:r>
      <w:r w:rsidR="007A4D16">
        <w:rPr>
          <w:rFonts w:ascii="Calibri" w:hAnsi="Calibri" w:cs="Courier New"/>
          <w:kern w:val="0"/>
          <w:lang w:val="en-US" w:eastAsia="en-US" w:bidi="ar-SA"/>
        </w:rPr>
        <w:t>4.0</w:t>
      </w:r>
      <w:r>
        <w:rPr>
          <w:rFonts w:ascii="Calibri" w:hAnsi="Calibri" w:cs="Courier New"/>
          <w:kern w:val="0"/>
          <w:lang w:val="en-US" w:eastAsia="en-US" w:bidi="ar-SA"/>
        </w:rPr>
        <w:t xml:space="preserve">. In this study the </w:t>
      </w:r>
      <w:r w:rsidRPr="0022426A">
        <w:rPr>
          <w:rFonts w:ascii="Calibri" w:hAnsi="Calibri" w:cs="Courier New"/>
          <w:kern w:val="0"/>
          <w:vertAlign w:val="superscript"/>
          <w:lang w:val="en-US" w:eastAsia="en-US" w:bidi="ar-SA"/>
        </w:rPr>
        <w:t>13</w:t>
      </w:r>
      <w:r>
        <w:rPr>
          <w:rFonts w:ascii="Calibri" w:hAnsi="Calibri" w:cs="Courier New"/>
          <w:kern w:val="0"/>
          <w:lang w:val="en-US" w:eastAsia="en-US" w:bidi="ar-SA"/>
        </w:rPr>
        <w:t xml:space="preserve">C labeled internal standards were applied </w:t>
      </w:r>
      <w:r w:rsidR="0022426A">
        <w:rPr>
          <w:rFonts w:ascii="Calibri" w:hAnsi="Calibri" w:cs="Courier New"/>
          <w:kern w:val="0"/>
          <w:lang w:val="en-US" w:eastAsia="en-US" w:bidi="ar-SA"/>
        </w:rPr>
        <w:t xml:space="preserve">for targeted quantification only </w:t>
      </w:r>
      <w:r>
        <w:rPr>
          <w:rFonts w:ascii="Calibri" w:hAnsi="Calibri" w:cs="Courier New"/>
          <w:kern w:val="0"/>
          <w:lang w:val="en-US" w:eastAsia="en-US" w:bidi="ar-SA"/>
        </w:rPr>
        <w:t>if they were present as labeled counterparts of our endogenous standards (originating from our lipid and metabolite mixes)</w:t>
      </w:r>
      <w:r w:rsidR="0022426A">
        <w:rPr>
          <w:rFonts w:ascii="Calibri" w:hAnsi="Calibri" w:cs="Courier New"/>
          <w:kern w:val="0"/>
          <w:lang w:val="en-US" w:eastAsia="en-US" w:bidi="ar-SA"/>
        </w:rPr>
        <w:t xml:space="preserve"> so that compound-specific isotope dilution is possible</w:t>
      </w:r>
      <w:r>
        <w:rPr>
          <w:rFonts w:ascii="Calibri" w:hAnsi="Calibri" w:cs="Courier New"/>
          <w:kern w:val="0"/>
          <w:lang w:val="en-US" w:eastAsia="en-US" w:bidi="ar-SA"/>
        </w:rPr>
        <w:t xml:space="preserve">. </w:t>
      </w:r>
      <w:r w:rsidR="0022426A">
        <w:rPr>
          <w:rFonts w:ascii="Calibri" w:hAnsi="Calibri" w:cs="Courier New"/>
          <w:kern w:val="0"/>
          <w:lang w:val="en-US" w:eastAsia="en-US" w:bidi="ar-SA"/>
        </w:rPr>
        <w:t xml:space="preserve">However, the referee is right that the labeled metabolites/lipids </w:t>
      </w:r>
      <w:r w:rsidR="00272FBC">
        <w:rPr>
          <w:rFonts w:ascii="Calibri" w:hAnsi="Calibri" w:cs="Courier New"/>
          <w:kern w:val="0"/>
          <w:lang w:val="en-US" w:eastAsia="en-US" w:bidi="ar-SA"/>
        </w:rPr>
        <w:t>can</w:t>
      </w:r>
      <w:r w:rsidR="0022426A">
        <w:rPr>
          <w:rFonts w:ascii="Calibri" w:hAnsi="Calibri" w:cs="Courier New"/>
          <w:kern w:val="0"/>
          <w:lang w:val="en-US" w:eastAsia="en-US" w:bidi="ar-SA"/>
        </w:rPr>
        <w:t xml:space="preserve"> </w:t>
      </w:r>
      <w:r w:rsidR="00272FBC">
        <w:rPr>
          <w:rFonts w:ascii="Calibri" w:hAnsi="Calibri" w:cs="Courier New"/>
          <w:kern w:val="0"/>
          <w:lang w:val="en-US" w:eastAsia="en-US" w:bidi="ar-SA"/>
        </w:rPr>
        <w:t xml:space="preserve">be </w:t>
      </w:r>
      <w:r w:rsidR="0022426A">
        <w:rPr>
          <w:rFonts w:ascii="Calibri" w:hAnsi="Calibri" w:cs="Courier New"/>
          <w:kern w:val="0"/>
          <w:lang w:val="en-US" w:eastAsia="en-US" w:bidi="ar-SA"/>
        </w:rPr>
        <w:t>potentially used for normalization of non-targeted data e.g. by class or retention-time specific quantification</w:t>
      </w:r>
      <w:r w:rsidR="007A4D16">
        <w:rPr>
          <w:rFonts w:ascii="Calibri" w:hAnsi="Calibri" w:cs="Courier New"/>
          <w:kern w:val="0"/>
          <w:lang w:val="en-US" w:eastAsia="en-US" w:bidi="ar-SA"/>
        </w:rPr>
        <w:t xml:space="preserve"> for large scale datasets (in the presented study only a small sample set was analyzed)</w:t>
      </w:r>
      <w:r w:rsidR="0022426A">
        <w:rPr>
          <w:rFonts w:ascii="Calibri" w:hAnsi="Calibri" w:cs="Courier New"/>
          <w:kern w:val="0"/>
          <w:lang w:val="en-US" w:eastAsia="en-US" w:bidi="ar-SA"/>
        </w:rPr>
        <w:t xml:space="preserve">. </w:t>
      </w:r>
      <w:r w:rsidR="00272FBC">
        <w:rPr>
          <w:rFonts w:ascii="Calibri" w:hAnsi="Calibri" w:cs="Courier New"/>
          <w:kern w:val="0"/>
          <w:lang w:val="en-US" w:eastAsia="en-US" w:bidi="ar-SA"/>
        </w:rPr>
        <w:t>This is also a hot research topic at the moment and</w:t>
      </w:r>
      <w:r w:rsidR="00F1670E">
        <w:rPr>
          <w:rFonts w:ascii="Calibri" w:hAnsi="Calibri" w:cs="Courier New"/>
          <w:kern w:val="0"/>
          <w:lang w:val="en-US" w:eastAsia="en-US" w:bidi="ar-SA"/>
        </w:rPr>
        <w:t xml:space="preserve"> there has been an interesting paper </w:t>
      </w:r>
      <w:r w:rsidR="00272FBC">
        <w:rPr>
          <w:rFonts w:ascii="Calibri" w:hAnsi="Calibri" w:cs="Courier New"/>
          <w:kern w:val="0"/>
          <w:lang w:val="en-US" w:eastAsia="en-US" w:bidi="ar-SA"/>
        </w:rPr>
        <w:t xml:space="preserve">from June 2019 in Analytical Chemistry </w:t>
      </w:r>
      <w:r w:rsidR="00F1670E">
        <w:rPr>
          <w:rFonts w:ascii="Calibri" w:hAnsi="Calibri" w:cs="Courier New"/>
          <w:kern w:val="0"/>
          <w:lang w:val="en-US" w:eastAsia="en-US" w:bidi="ar-SA"/>
        </w:rPr>
        <w:t xml:space="preserve">on how to perform such normalization approaches using </w:t>
      </w:r>
      <w:r w:rsidR="00272FBC">
        <w:rPr>
          <w:rFonts w:ascii="Calibri" w:hAnsi="Calibri" w:cs="Courier New"/>
          <w:kern w:val="0"/>
          <w:lang w:val="en-US" w:eastAsia="en-US" w:bidi="ar-SA"/>
        </w:rPr>
        <w:t xml:space="preserve">labeled </w:t>
      </w:r>
      <w:r w:rsidR="00F1670E">
        <w:rPr>
          <w:rFonts w:ascii="Calibri" w:hAnsi="Calibri" w:cs="Courier New"/>
          <w:kern w:val="0"/>
          <w:lang w:val="en-US" w:eastAsia="en-US" w:bidi="ar-SA"/>
        </w:rPr>
        <w:t xml:space="preserve">internal standards in non-targeted analysis </w:t>
      </w:r>
      <w:r w:rsidR="00272FBC">
        <w:rPr>
          <w:rFonts w:ascii="Calibri" w:hAnsi="Calibri" w:cs="Courier New"/>
          <w:kern w:val="0"/>
          <w:lang w:val="en-US" w:eastAsia="en-US" w:bidi="ar-SA"/>
        </w:rPr>
        <w:t>in lipidomics (</w:t>
      </w:r>
      <w:proofErr w:type="spellStart"/>
      <w:r w:rsidR="00272FBC">
        <w:rPr>
          <w:rFonts w:ascii="Calibri" w:hAnsi="Calibri" w:cs="Courier New"/>
          <w:kern w:val="0"/>
          <w:lang w:val="en-US" w:eastAsia="en-US" w:bidi="ar-SA"/>
        </w:rPr>
        <w:t>Drotleff</w:t>
      </w:r>
      <w:proofErr w:type="spellEnd"/>
      <w:r w:rsidR="00272FBC">
        <w:rPr>
          <w:rFonts w:ascii="Calibri" w:hAnsi="Calibri" w:cs="Courier New"/>
          <w:kern w:val="0"/>
          <w:lang w:val="en-US" w:eastAsia="en-US" w:bidi="ar-SA"/>
        </w:rPr>
        <w:t xml:space="preserve"> and </w:t>
      </w:r>
      <w:proofErr w:type="spellStart"/>
      <w:r w:rsidR="00272FBC">
        <w:rPr>
          <w:rFonts w:ascii="Calibri" w:hAnsi="Calibri" w:cs="Courier New"/>
          <w:kern w:val="0"/>
          <w:lang w:val="en-US" w:eastAsia="en-US" w:bidi="ar-SA"/>
        </w:rPr>
        <w:t>Lämmerhofer</w:t>
      </w:r>
      <w:proofErr w:type="spellEnd"/>
      <w:r w:rsidR="00272FBC">
        <w:rPr>
          <w:rFonts w:ascii="Calibri" w:hAnsi="Calibri" w:cs="Courier New"/>
          <w:kern w:val="0"/>
          <w:lang w:val="en-US" w:eastAsia="en-US" w:bidi="ar-SA"/>
        </w:rPr>
        <w:t xml:space="preserve">, </w:t>
      </w:r>
      <w:r w:rsidR="00272FBC" w:rsidRPr="00272FBC">
        <w:rPr>
          <w:rFonts w:ascii="Calibri" w:hAnsi="Calibri" w:cs="Courier New"/>
          <w:i/>
          <w:kern w:val="0"/>
          <w:lang w:val="en-US" w:eastAsia="en-US" w:bidi="ar-SA"/>
        </w:rPr>
        <w:t>Guidelines for Selection of Internal Standard-Based Normalization Strategies</w:t>
      </w:r>
      <w:r w:rsidR="00272FBC">
        <w:rPr>
          <w:rFonts w:ascii="Calibri" w:hAnsi="Calibri" w:cs="Courier New"/>
          <w:kern w:val="0"/>
          <w:lang w:val="en-US" w:eastAsia="en-US" w:bidi="ar-SA"/>
        </w:rPr>
        <w:t xml:space="preserve">, </w:t>
      </w:r>
      <w:r w:rsidR="00272FBC" w:rsidRPr="00272FBC">
        <w:rPr>
          <w:rFonts w:ascii="Calibri" w:hAnsi="Calibri" w:cs="Courier New"/>
          <w:b/>
          <w:kern w:val="0"/>
          <w:lang w:val="en-US" w:eastAsia="en-US" w:bidi="ar-SA"/>
        </w:rPr>
        <w:t>Analytical Chemistry</w:t>
      </w:r>
      <w:r w:rsidR="00272FBC">
        <w:rPr>
          <w:rFonts w:ascii="Calibri" w:hAnsi="Calibri" w:cs="Courier New"/>
          <w:kern w:val="0"/>
          <w:lang w:val="en-US" w:eastAsia="en-US" w:bidi="ar-SA"/>
        </w:rPr>
        <w:t xml:space="preserve">, 2029. 91, 9836-9843, </w:t>
      </w:r>
      <w:proofErr w:type="spellStart"/>
      <w:r w:rsidR="00272FBC">
        <w:rPr>
          <w:rFonts w:ascii="Calibri" w:hAnsi="Calibri" w:cs="Courier New"/>
          <w:kern w:val="0"/>
          <w:lang w:val="en-US" w:eastAsia="en-US" w:bidi="ar-SA"/>
        </w:rPr>
        <w:t>doi</w:t>
      </w:r>
      <w:proofErr w:type="spellEnd"/>
      <w:r w:rsidR="00272FBC" w:rsidRPr="00272FBC">
        <w:rPr>
          <w:rFonts w:ascii="Calibri" w:hAnsi="Calibri" w:cs="Courier New"/>
          <w:kern w:val="0"/>
          <w:lang w:val="en-US" w:eastAsia="en-US" w:bidi="ar-SA"/>
        </w:rPr>
        <w:t>: 10.1021/acs.analchem.9b01505</w:t>
      </w:r>
      <w:r w:rsidR="00272FBC">
        <w:rPr>
          <w:rFonts w:ascii="Calibri" w:hAnsi="Calibri" w:cs="Courier New"/>
          <w:kern w:val="0"/>
          <w:lang w:val="en-US" w:eastAsia="en-US" w:bidi="ar-SA"/>
        </w:rPr>
        <w:t>)</w:t>
      </w:r>
      <w:r w:rsidR="00F1670E">
        <w:rPr>
          <w:rFonts w:ascii="Calibri" w:hAnsi="Calibri" w:cs="Courier New"/>
          <w:kern w:val="0"/>
          <w:lang w:val="en-US" w:eastAsia="en-US" w:bidi="ar-SA"/>
        </w:rPr>
        <w:t xml:space="preserve"> </w:t>
      </w:r>
      <w:r w:rsidR="00F1670E" w:rsidRPr="00272FBC">
        <w:rPr>
          <w:rFonts w:ascii="Calibri" w:hAnsi="Calibri" w:cs="Courier New"/>
          <w:kern w:val="0"/>
          <w:lang w:val="en-US" w:eastAsia="en-US" w:bidi="ar-SA"/>
        </w:rPr>
        <w:t>However, t</w:t>
      </w:r>
      <w:r w:rsidR="0022426A" w:rsidRPr="00272FBC">
        <w:rPr>
          <w:rFonts w:ascii="Calibri" w:hAnsi="Calibri" w:cs="Courier New"/>
          <w:kern w:val="0"/>
          <w:lang w:val="en-US" w:eastAsia="en-US" w:bidi="ar-SA"/>
        </w:rPr>
        <w:t>he rules</w:t>
      </w:r>
      <w:r w:rsidR="00F1670E" w:rsidRPr="00272FBC">
        <w:rPr>
          <w:rFonts w:ascii="Calibri" w:hAnsi="Calibri" w:cs="Courier New"/>
          <w:kern w:val="0"/>
          <w:lang w:val="en-US" w:eastAsia="en-US" w:bidi="ar-SA"/>
        </w:rPr>
        <w:t xml:space="preserve"> and</w:t>
      </w:r>
      <w:r w:rsidR="00272FBC" w:rsidRPr="00272FBC">
        <w:rPr>
          <w:rFonts w:ascii="Calibri" w:hAnsi="Calibri" w:cs="Courier New"/>
          <w:kern w:val="0"/>
          <w:lang w:val="en-US" w:eastAsia="en-US" w:bidi="ar-SA"/>
        </w:rPr>
        <w:t xml:space="preserve"> </w:t>
      </w:r>
      <w:r w:rsidR="00D46C80">
        <w:rPr>
          <w:rFonts w:ascii="Calibri" w:hAnsi="Calibri" w:cs="Courier New"/>
          <w:kern w:val="0"/>
          <w:lang w:val="en-US" w:eastAsia="en-US" w:bidi="ar-SA"/>
        </w:rPr>
        <w:t xml:space="preserve">data evaluation </w:t>
      </w:r>
      <w:r w:rsidR="00F1670E" w:rsidRPr="00272FBC">
        <w:rPr>
          <w:rFonts w:ascii="Calibri" w:hAnsi="Calibri" w:cs="Courier New"/>
          <w:kern w:val="0"/>
          <w:lang w:val="en-US" w:eastAsia="en-US" w:bidi="ar-SA"/>
        </w:rPr>
        <w:t>programs</w:t>
      </w:r>
      <w:r w:rsidR="0022426A" w:rsidRPr="00272FBC">
        <w:rPr>
          <w:rFonts w:ascii="Calibri" w:hAnsi="Calibri" w:cs="Courier New"/>
          <w:kern w:val="0"/>
          <w:lang w:val="en-US" w:eastAsia="en-US" w:bidi="ar-SA"/>
        </w:rPr>
        <w:t xml:space="preserve"> of how to choose and apply such internal standards in non-targeted </w:t>
      </w:r>
      <w:proofErr w:type="spellStart"/>
      <w:r w:rsidR="00272FBC" w:rsidRPr="00272FBC">
        <w:rPr>
          <w:rFonts w:ascii="Calibri" w:hAnsi="Calibri" w:cs="Courier New"/>
          <w:kern w:val="0"/>
          <w:lang w:val="en-US" w:eastAsia="en-US" w:bidi="ar-SA"/>
        </w:rPr>
        <w:t>multiomics</w:t>
      </w:r>
      <w:proofErr w:type="spellEnd"/>
      <w:r w:rsidR="0022426A" w:rsidRPr="00272FBC">
        <w:rPr>
          <w:rFonts w:ascii="Calibri" w:hAnsi="Calibri" w:cs="Courier New"/>
          <w:kern w:val="0"/>
          <w:lang w:val="en-US" w:eastAsia="en-US" w:bidi="ar-SA"/>
        </w:rPr>
        <w:t xml:space="preserve"> is challenging</w:t>
      </w:r>
      <w:r w:rsidR="007A4D16" w:rsidRPr="00272FBC">
        <w:rPr>
          <w:rFonts w:ascii="Calibri" w:hAnsi="Calibri" w:cs="Courier New"/>
          <w:kern w:val="0"/>
          <w:lang w:val="en-US" w:eastAsia="en-US" w:bidi="ar-SA"/>
        </w:rPr>
        <w:t xml:space="preserve"> (e.g. RT-time or class-specific normalization, </w:t>
      </w:r>
      <w:r w:rsidR="00272FBC" w:rsidRPr="00272FBC">
        <w:rPr>
          <w:rFonts w:ascii="Calibri" w:hAnsi="Calibri" w:cs="Courier New"/>
          <w:kern w:val="0"/>
          <w:lang w:val="en-US" w:eastAsia="en-US" w:bidi="ar-SA"/>
        </w:rPr>
        <w:t>different strategies in metabolomics/lipidomics/proteomics</w:t>
      </w:r>
      <w:r w:rsidR="00D46C80">
        <w:rPr>
          <w:rFonts w:ascii="Calibri" w:hAnsi="Calibri" w:cs="Courier New"/>
          <w:kern w:val="0"/>
          <w:lang w:val="en-US" w:eastAsia="en-US" w:bidi="ar-SA"/>
        </w:rPr>
        <w:t>,</w:t>
      </w:r>
      <w:r w:rsidR="007A4D16" w:rsidRPr="00272FBC">
        <w:rPr>
          <w:rFonts w:ascii="Calibri" w:hAnsi="Calibri" w:cs="Courier New"/>
          <w:kern w:val="0"/>
          <w:lang w:val="en-US" w:eastAsia="en-US" w:bidi="ar-SA"/>
        </w:rPr>
        <w:t xml:space="preserve"> </w:t>
      </w:r>
      <w:r w:rsidR="00D46C80" w:rsidRPr="00272FBC">
        <w:rPr>
          <w:rFonts w:ascii="Calibri" w:hAnsi="Calibri" w:cs="Courier New"/>
          <w:kern w:val="0"/>
          <w:lang w:val="en-US" w:eastAsia="en-US" w:bidi="ar-SA"/>
        </w:rPr>
        <w:t xml:space="preserve">how to treat different cell types, </w:t>
      </w:r>
      <w:r w:rsidR="007A4D16" w:rsidRPr="00272FBC">
        <w:rPr>
          <w:rFonts w:ascii="Calibri" w:hAnsi="Calibri" w:cs="Courier New"/>
          <w:kern w:val="0"/>
          <w:lang w:val="en-US" w:eastAsia="en-US" w:bidi="ar-SA"/>
        </w:rPr>
        <w:t xml:space="preserve">etc.) </w:t>
      </w:r>
      <w:r w:rsidR="0022426A" w:rsidRPr="00272FBC">
        <w:rPr>
          <w:rFonts w:ascii="Calibri" w:hAnsi="Calibri" w:cs="Courier New"/>
          <w:kern w:val="0"/>
          <w:lang w:val="en-US" w:eastAsia="en-US" w:bidi="ar-SA"/>
        </w:rPr>
        <w:t xml:space="preserve">and </w:t>
      </w:r>
      <w:r w:rsidR="00272FBC" w:rsidRPr="00272FBC">
        <w:rPr>
          <w:rFonts w:ascii="Calibri" w:hAnsi="Calibri" w:cs="Courier New"/>
          <w:kern w:val="0"/>
          <w:lang w:val="en-US" w:eastAsia="en-US" w:bidi="ar-SA"/>
        </w:rPr>
        <w:t xml:space="preserve">is </w:t>
      </w:r>
      <w:r w:rsidR="0022426A" w:rsidRPr="00272FBC">
        <w:rPr>
          <w:rFonts w:ascii="Calibri" w:hAnsi="Calibri" w:cs="Courier New"/>
          <w:kern w:val="0"/>
          <w:lang w:val="en-US" w:eastAsia="en-US" w:bidi="ar-SA"/>
        </w:rPr>
        <w:t xml:space="preserve">ongoing research in our working group. </w:t>
      </w:r>
      <w:r w:rsidR="00272FBC">
        <w:rPr>
          <w:rFonts w:ascii="Calibri" w:hAnsi="Calibri" w:cs="Courier New"/>
          <w:kern w:val="0"/>
          <w:lang w:val="en-US" w:eastAsia="en-US" w:bidi="ar-SA"/>
        </w:rPr>
        <w:t>W</w:t>
      </w:r>
      <w:r w:rsidR="00D46C80">
        <w:rPr>
          <w:rFonts w:ascii="Calibri" w:hAnsi="Calibri" w:cs="Courier New"/>
          <w:kern w:val="0"/>
          <w:lang w:val="en-US" w:eastAsia="en-US" w:bidi="ar-SA"/>
        </w:rPr>
        <w:t>e al</w:t>
      </w:r>
      <w:r w:rsidR="00272FBC">
        <w:rPr>
          <w:rFonts w:ascii="Calibri" w:hAnsi="Calibri" w:cs="Courier New"/>
          <w:kern w:val="0"/>
          <w:lang w:val="en-US" w:eastAsia="en-US" w:bidi="ar-SA"/>
        </w:rPr>
        <w:t>s</w:t>
      </w:r>
      <w:r w:rsidR="00D46C80">
        <w:rPr>
          <w:rFonts w:ascii="Calibri" w:hAnsi="Calibri" w:cs="Courier New"/>
          <w:kern w:val="0"/>
          <w:lang w:val="en-US" w:eastAsia="en-US" w:bidi="ar-SA"/>
        </w:rPr>
        <w:t>o</w:t>
      </w:r>
      <w:r w:rsidR="00272FBC">
        <w:rPr>
          <w:rFonts w:ascii="Calibri" w:hAnsi="Calibri" w:cs="Courier New"/>
          <w:kern w:val="0"/>
          <w:lang w:val="en-US" w:eastAsia="en-US" w:bidi="ar-SA"/>
        </w:rPr>
        <w:t xml:space="preserve"> </w:t>
      </w:r>
      <w:r w:rsidR="00D46C80">
        <w:rPr>
          <w:rFonts w:ascii="Calibri" w:hAnsi="Calibri" w:cs="Courier New"/>
          <w:kern w:val="0"/>
          <w:lang w:val="en-US" w:eastAsia="en-US" w:bidi="ar-SA"/>
        </w:rPr>
        <w:t xml:space="preserve">state </w:t>
      </w:r>
      <w:r w:rsidR="00272FBC">
        <w:rPr>
          <w:rFonts w:ascii="Calibri" w:hAnsi="Calibri" w:cs="Courier New"/>
          <w:kern w:val="0"/>
          <w:lang w:val="en-US" w:eastAsia="en-US" w:bidi="ar-SA"/>
        </w:rPr>
        <w:t>this possibilit</w:t>
      </w:r>
      <w:r w:rsidR="00D46C80">
        <w:rPr>
          <w:rFonts w:ascii="Calibri" w:hAnsi="Calibri" w:cs="Courier New"/>
          <w:kern w:val="0"/>
          <w:lang w:val="en-US" w:eastAsia="en-US" w:bidi="ar-SA"/>
        </w:rPr>
        <w:t>y</w:t>
      </w:r>
      <w:r w:rsidR="00272FBC">
        <w:rPr>
          <w:rFonts w:ascii="Calibri" w:hAnsi="Calibri" w:cs="Courier New"/>
          <w:kern w:val="0"/>
          <w:lang w:val="en-US" w:eastAsia="en-US" w:bidi="ar-SA"/>
        </w:rPr>
        <w:t xml:space="preserve"> in the discussion part of the new article version.</w:t>
      </w:r>
    </w:p>
    <w:p w14:paraId="4A209F86" w14:textId="4EA78E8E" w:rsidR="0022426A" w:rsidRPr="005C1126" w:rsidRDefault="0022426A" w:rsidP="00CD2A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Calibri" w:hAnsi="Calibri" w:cs="Courier New"/>
          <w:kern w:val="0"/>
          <w:lang w:val="en-US" w:eastAsia="en-US" w:bidi="ar-SA"/>
        </w:rPr>
      </w:pPr>
      <w:r>
        <w:rPr>
          <w:rFonts w:ascii="Calibri" w:hAnsi="Calibri" w:cs="Courier New"/>
          <w:kern w:val="0"/>
          <w:lang w:val="en-US" w:eastAsia="en-US" w:bidi="ar-SA"/>
        </w:rPr>
        <w:t>The PI variation</w:t>
      </w:r>
      <w:r w:rsidR="003F5031">
        <w:rPr>
          <w:rFonts w:ascii="Calibri" w:hAnsi="Calibri" w:cs="Courier New"/>
          <w:kern w:val="0"/>
          <w:lang w:val="en-US" w:eastAsia="en-US" w:bidi="ar-SA"/>
        </w:rPr>
        <w:t xml:space="preserve"> between the samples</w:t>
      </w:r>
      <w:r>
        <w:rPr>
          <w:rFonts w:ascii="Calibri" w:hAnsi="Calibri" w:cs="Courier New"/>
          <w:kern w:val="0"/>
          <w:lang w:val="en-US" w:eastAsia="en-US" w:bidi="ar-SA"/>
        </w:rPr>
        <w:t xml:space="preserve"> was determined using summed areas </w:t>
      </w:r>
      <w:r w:rsidR="003F5031">
        <w:rPr>
          <w:rFonts w:ascii="Calibri" w:hAnsi="Calibri" w:cs="Courier New"/>
          <w:kern w:val="0"/>
          <w:lang w:val="en-US" w:eastAsia="en-US" w:bidi="ar-SA"/>
        </w:rPr>
        <w:t>of the</w:t>
      </w:r>
      <w:r>
        <w:rPr>
          <w:rFonts w:ascii="Calibri" w:hAnsi="Calibri" w:cs="Courier New"/>
          <w:kern w:val="0"/>
          <w:lang w:val="en-US" w:eastAsia="en-US" w:bidi="ar-SA"/>
        </w:rPr>
        <w:t xml:space="preserve"> non-targeted analysis</w:t>
      </w:r>
      <w:r w:rsidR="003F5031">
        <w:rPr>
          <w:rFonts w:ascii="Calibri" w:hAnsi="Calibri" w:cs="Courier New"/>
          <w:kern w:val="0"/>
          <w:lang w:val="en-US" w:eastAsia="en-US" w:bidi="ar-SA"/>
        </w:rPr>
        <w:t xml:space="preserve"> (</w:t>
      </w:r>
      <w:r w:rsidR="003F5031" w:rsidRPr="003F5031">
        <w:rPr>
          <w:rFonts w:ascii="Calibri" w:hAnsi="Calibri" w:cs="Courier New"/>
          <w:b/>
          <w:kern w:val="0"/>
          <w:lang w:val="en-US" w:eastAsia="en-US" w:bidi="ar-SA"/>
        </w:rPr>
        <w:t>Table S1</w:t>
      </w:r>
      <w:r w:rsidR="003F5031">
        <w:rPr>
          <w:rFonts w:ascii="Calibri" w:hAnsi="Calibri" w:cs="Courier New"/>
          <w:kern w:val="0"/>
          <w:lang w:val="en-US" w:eastAsia="en-US" w:bidi="ar-SA"/>
        </w:rPr>
        <w:t>)</w:t>
      </w:r>
      <w:r>
        <w:rPr>
          <w:rFonts w:ascii="Calibri" w:hAnsi="Calibri" w:cs="Courier New"/>
          <w:kern w:val="0"/>
          <w:lang w:val="en-US" w:eastAsia="en-US" w:bidi="ar-SA"/>
        </w:rPr>
        <w:t xml:space="preserve"> </w:t>
      </w:r>
      <w:r w:rsidR="003F5031">
        <w:rPr>
          <w:rFonts w:ascii="Calibri" w:hAnsi="Calibri" w:cs="Courier New"/>
          <w:kern w:val="0"/>
          <w:lang w:val="en-US" w:eastAsia="en-US" w:bidi="ar-SA"/>
        </w:rPr>
        <w:t xml:space="preserve">performed </w:t>
      </w:r>
      <w:r>
        <w:rPr>
          <w:rFonts w:ascii="Calibri" w:hAnsi="Calibri" w:cs="Courier New"/>
          <w:kern w:val="0"/>
          <w:lang w:val="en-US" w:eastAsia="en-US" w:bidi="ar-SA"/>
        </w:rPr>
        <w:t>by Lipid Search</w:t>
      </w:r>
      <w:r w:rsidR="001C05DF">
        <w:rPr>
          <w:rFonts w:ascii="Calibri" w:hAnsi="Calibri" w:cs="Courier New"/>
          <w:kern w:val="0"/>
          <w:lang w:val="en-US" w:eastAsia="en-US" w:bidi="ar-SA"/>
        </w:rPr>
        <w:t xml:space="preserve"> 4.2</w:t>
      </w:r>
      <w:r w:rsidR="003F5031">
        <w:rPr>
          <w:rFonts w:ascii="Calibri" w:hAnsi="Calibri" w:cs="Courier New"/>
          <w:kern w:val="0"/>
          <w:lang w:val="en-US" w:eastAsia="en-US" w:bidi="ar-SA"/>
        </w:rPr>
        <w:t xml:space="preserve">. As </w:t>
      </w:r>
      <w:r>
        <w:rPr>
          <w:rFonts w:ascii="Calibri" w:hAnsi="Calibri" w:cs="Courier New"/>
          <w:kern w:val="0"/>
          <w:lang w:val="en-US" w:eastAsia="en-US" w:bidi="ar-SA"/>
        </w:rPr>
        <w:t xml:space="preserve">stated above this </w:t>
      </w:r>
      <w:r w:rsidR="001C05DF">
        <w:rPr>
          <w:rFonts w:ascii="Calibri" w:hAnsi="Calibri" w:cs="Courier New"/>
          <w:kern w:val="0"/>
          <w:lang w:val="en-US" w:eastAsia="en-US" w:bidi="ar-SA"/>
        </w:rPr>
        <w:t xml:space="preserve">is </w:t>
      </w:r>
      <w:r>
        <w:rPr>
          <w:rFonts w:ascii="Calibri" w:hAnsi="Calibri" w:cs="Courier New"/>
          <w:kern w:val="0"/>
          <w:lang w:val="en-US" w:eastAsia="en-US" w:bidi="ar-SA"/>
        </w:rPr>
        <w:t xml:space="preserve">also possible using positive mode </w:t>
      </w:r>
      <w:r w:rsidR="001C05DF">
        <w:rPr>
          <w:rFonts w:ascii="Calibri" w:hAnsi="Calibri" w:cs="Courier New"/>
          <w:kern w:val="0"/>
          <w:lang w:val="en-US" w:eastAsia="en-US" w:bidi="ar-SA"/>
        </w:rPr>
        <w:t>and ammonium or sodium adduct detection</w:t>
      </w:r>
      <w:r>
        <w:rPr>
          <w:rFonts w:ascii="Calibri" w:hAnsi="Calibri" w:cs="Courier New"/>
          <w:kern w:val="0"/>
          <w:lang w:val="en-US" w:eastAsia="en-US" w:bidi="ar-SA"/>
        </w:rPr>
        <w:t>. In the case of our workflow for MSC and adipocyte analysis, only ammonium adducts were identified.</w:t>
      </w:r>
      <w:r w:rsidR="00CD2A1B">
        <w:rPr>
          <w:rFonts w:ascii="Calibri" w:hAnsi="Calibri" w:cs="Courier New"/>
          <w:kern w:val="0"/>
          <w:lang w:val="en-US" w:eastAsia="en-US" w:bidi="ar-SA"/>
        </w:rPr>
        <w:t xml:space="preserve"> Due to the high</w:t>
      </w:r>
      <w:r w:rsidR="003B7E30">
        <w:rPr>
          <w:rFonts w:ascii="Calibri" w:hAnsi="Calibri" w:cs="Courier New"/>
          <w:kern w:val="0"/>
          <w:lang w:val="en-US" w:eastAsia="en-US" w:bidi="ar-SA"/>
        </w:rPr>
        <w:t>er</w:t>
      </w:r>
      <w:r w:rsidR="00CD2A1B">
        <w:rPr>
          <w:rFonts w:ascii="Calibri" w:hAnsi="Calibri" w:cs="Courier New"/>
          <w:kern w:val="0"/>
          <w:lang w:val="en-US" w:eastAsia="en-US" w:bidi="ar-SA"/>
        </w:rPr>
        <w:t xml:space="preserve"> variation within the adipocyte (MSC21) group</w:t>
      </w:r>
      <w:r w:rsidR="00B17FF4">
        <w:rPr>
          <w:rFonts w:ascii="Calibri" w:hAnsi="Calibri" w:cs="Courier New"/>
          <w:kern w:val="0"/>
          <w:lang w:val="en-US" w:eastAsia="en-US" w:bidi="ar-SA"/>
        </w:rPr>
        <w:t xml:space="preserve"> (</w:t>
      </w:r>
      <w:r w:rsidR="00B17FF4" w:rsidRPr="00CD2A1B">
        <w:rPr>
          <w:rFonts w:ascii="Calibri" w:hAnsi="Calibri" w:cs="Courier New"/>
          <w:b/>
          <w:kern w:val="0"/>
          <w:lang w:val="en-US" w:eastAsia="en-US" w:bidi="ar-SA"/>
        </w:rPr>
        <w:t>Figure A4</w:t>
      </w:r>
      <w:proofErr w:type="gramStart"/>
      <w:r w:rsidR="00B17FF4">
        <w:rPr>
          <w:rFonts w:ascii="Calibri" w:hAnsi="Calibri" w:cs="Courier New"/>
          <w:kern w:val="0"/>
          <w:lang w:val="en-US" w:eastAsia="en-US" w:bidi="ar-SA"/>
        </w:rPr>
        <w:t>)</w:t>
      </w:r>
      <w:r w:rsidR="005C1126">
        <w:rPr>
          <w:rFonts w:ascii="Calibri" w:hAnsi="Calibri" w:cs="Courier New"/>
          <w:kern w:val="0"/>
          <w:lang w:val="en-US" w:eastAsia="en-US" w:bidi="ar-SA"/>
        </w:rPr>
        <w:t>-</w:t>
      </w:r>
      <w:proofErr w:type="gramEnd"/>
      <w:r w:rsidR="00C63D87">
        <w:rPr>
          <w:rFonts w:ascii="Calibri" w:hAnsi="Calibri" w:cs="Courier New"/>
          <w:kern w:val="0"/>
          <w:lang w:val="en-US" w:eastAsia="en-US" w:bidi="ar-SA"/>
        </w:rPr>
        <w:t xml:space="preserve"> despite decreased summed area of the PI class</w:t>
      </w:r>
      <w:r w:rsidR="00B17FF4">
        <w:rPr>
          <w:rFonts w:ascii="Calibri" w:hAnsi="Calibri" w:cs="Courier New"/>
          <w:kern w:val="0"/>
          <w:lang w:val="en-US" w:eastAsia="en-US" w:bidi="ar-SA"/>
        </w:rPr>
        <w:t xml:space="preserve"> (</w:t>
      </w:r>
      <w:r w:rsidR="00B17FF4" w:rsidRPr="00B17FF4">
        <w:rPr>
          <w:rFonts w:ascii="Calibri" w:hAnsi="Calibri" w:cs="Courier New"/>
          <w:b/>
          <w:kern w:val="0"/>
          <w:lang w:val="en-US" w:eastAsia="en-US" w:bidi="ar-SA"/>
        </w:rPr>
        <w:t>Tables S1</w:t>
      </w:r>
      <w:r w:rsidR="005C1126">
        <w:rPr>
          <w:rFonts w:ascii="Calibri" w:hAnsi="Calibri" w:cs="Courier New"/>
          <w:kern w:val="0"/>
          <w:lang w:val="en-US" w:eastAsia="en-US" w:bidi="ar-SA"/>
        </w:rPr>
        <w:t>)-</w:t>
      </w:r>
      <w:r w:rsidR="00CD2A1B">
        <w:rPr>
          <w:rFonts w:ascii="Calibri" w:hAnsi="Calibri" w:cs="Courier New"/>
          <w:kern w:val="0"/>
          <w:lang w:val="en-US" w:eastAsia="en-US" w:bidi="ar-SA"/>
        </w:rPr>
        <w:t xml:space="preserve"> no significant differences in PI levels were determined (</w:t>
      </w:r>
      <w:r w:rsidR="003B7E30" w:rsidRPr="003B7E30">
        <w:rPr>
          <w:rFonts w:ascii="Calibri" w:hAnsi="Calibri" w:cs="Courier New"/>
          <w:b/>
          <w:kern w:val="0"/>
          <w:lang w:val="en-US" w:eastAsia="en-US" w:bidi="ar-SA"/>
        </w:rPr>
        <w:t>Figure 2</w:t>
      </w:r>
      <w:r w:rsidR="00C63D87">
        <w:rPr>
          <w:rFonts w:ascii="Calibri" w:hAnsi="Calibri" w:cs="Courier New"/>
          <w:kern w:val="0"/>
          <w:lang w:val="en-US" w:eastAsia="en-US" w:bidi="ar-SA"/>
        </w:rPr>
        <w:t>)</w:t>
      </w:r>
      <w:r w:rsidR="00B17FF4">
        <w:rPr>
          <w:rFonts w:ascii="Calibri" w:hAnsi="Calibri" w:cs="Courier New"/>
          <w:kern w:val="0"/>
          <w:lang w:val="en-US" w:eastAsia="en-US" w:bidi="ar-SA"/>
        </w:rPr>
        <w:t>. I</w:t>
      </w:r>
      <w:r w:rsidR="00C63D87">
        <w:rPr>
          <w:rFonts w:ascii="Calibri" w:hAnsi="Calibri" w:cs="Courier New"/>
          <w:kern w:val="0"/>
          <w:lang w:val="en-US" w:eastAsia="en-US" w:bidi="ar-SA"/>
        </w:rPr>
        <w:t>n the new manuscript version</w:t>
      </w:r>
      <w:r w:rsidR="00B17FF4">
        <w:rPr>
          <w:rFonts w:ascii="Calibri" w:hAnsi="Calibri" w:cs="Courier New"/>
          <w:kern w:val="0"/>
          <w:lang w:val="en-US" w:eastAsia="en-US" w:bidi="ar-SA"/>
        </w:rPr>
        <w:t xml:space="preserve"> this is now indicated </w:t>
      </w:r>
      <w:r w:rsidR="00051759">
        <w:rPr>
          <w:rFonts w:ascii="Calibri" w:hAnsi="Calibri" w:cs="Courier New"/>
          <w:kern w:val="0"/>
          <w:lang w:val="en-US" w:eastAsia="en-US" w:bidi="ar-SA"/>
        </w:rPr>
        <w:t>as a general trend</w:t>
      </w:r>
      <w:r w:rsidR="00051759" w:rsidRPr="00051759">
        <w:rPr>
          <w:rFonts w:ascii="Calibri" w:hAnsi="Calibri" w:cs="Courier New"/>
          <w:kern w:val="0"/>
          <w:lang w:val="en-US" w:eastAsia="en-US" w:bidi="ar-SA"/>
        </w:rPr>
        <w:t xml:space="preserve"> towards phospholipid remodeling </w:t>
      </w:r>
      <w:r w:rsidR="00051759">
        <w:rPr>
          <w:rFonts w:ascii="Calibri" w:hAnsi="Calibri" w:cs="Courier New"/>
          <w:kern w:val="0"/>
          <w:lang w:val="en-US" w:eastAsia="en-US" w:bidi="ar-SA"/>
        </w:rPr>
        <w:t xml:space="preserve">upon </w:t>
      </w:r>
      <w:proofErr w:type="spellStart"/>
      <w:r w:rsidR="00051759" w:rsidRPr="00051759">
        <w:rPr>
          <w:rFonts w:ascii="Calibri" w:hAnsi="Calibri" w:cs="Courier New"/>
          <w:kern w:val="0"/>
          <w:lang w:val="en-US" w:eastAsia="en-US" w:bidi="ar-SA"/>
        </w:rPr>
        <w:t>adipogenic</w:t>
      </w:r>
      <w:proofErr w:type="spellEnd"/>
      <w:r w:rsidR="00051759" w:rsidRPr="00051759">
        <w:rPr>
          <w:rFonts w:ascii="Calibri" w:hAnsi="Calibri" w:cs="Courier New"/>
          <w:kern w:val="0"/>
          <w:lang w:val="en-US" w:eastAsia="en-US" w:bidi="ar-SA"/>
        </w:rPr>
        <w:t xml:space="preserve"> differen</w:t>
      </w:r>
      <w:r w:rsidR="00051759">
        <w:rPr>
          <w:rFonts w:ascii="Calibri" w:hAnsi="Calibri" w:cs="Courier New"/>
          <w:kern w:val="0"/>
          <w:lang w:val="en-US" w:eastAsia="en-US" w:bidi="ar-SA"/>
        </w:rPr>
        <w:t>tiation/lipid droplet formation</w:t>
      </w:r>
      <w:r w:rsidR="00C63D87">
        <w:rPr>
          <w:rFonts w:ascii="Calibri" w:hAnsi="Calibri" w:cs="Courier New"/>
          <w:kern w:val="0"/>
          <w:lang w:val="en-US" w:eastAsia="en-US" w:bidi="ar-SA"/>
        </w:rPr>
        <w:t>.</w:t>
      </w:r>
      <w:r w:rsidR="003B7E30" w:rsidRPr="003B7E30">
        <w:rPr>
          <w:rFonts w:ascii="Calibri" w:hAnsi="Calibri" w:cs="Courier New"/>
          <w:kern w:val="0"/>
          <w:lang w:val="en-US" w:eastAsia="en-US" w:bidi="ar-SA"/>
        </w:rPr>
        <w:t xml:space="preserve"> Th</w:t>
      </w:r>
      <w:r w:rsidR="003B7E30">
        <w:rPr>
          <w:rFonts w:ascii="Calibri" w:hAnsi="Calibri" w:cs="Courier New"/>
          <w:kern w:val="0"/>
          <w:lang w:val="en-US" w:eastAsia="en-US" w:bidi="ar-SA"/>
        </w:rPr>
        <w:t>e higher variation</w:t>
      </w:r>
      <w:r w:rsidR="00C63D87">
        <w:rPr>
          <w:rFonts w:ascii="Calibri" w:hAnsi="Calibri" w:cs="Courier New"/>
          <w:kern w:val="0"/>
          <w:lang w:val="en-US" w:eastAsia="en-US" w:bidi="ar-SA"/>
        </w:rPr>
        <w:t xml:space="preserve"> within the adipocyte samples</w:t>
      </w:r>
      <w:r w:rsidR="003B7E30">
        <w:rPr>
          <w:rFonts w:ascii="Calibri" w:hAnsi="Calibri" w:cs="Courier New"/>
          <w:kern w:val="0"/>
          <w:lang w:val="en-US" w:eastAsia="en-US" w:bidi="ar-SA"/>
        </w:rPr>
        <w:t xml:space="preserve"> </w:t>
      </w:r>
      <w:r w:rsidR="003B7E30" w:rsidRPr="003B7E30">
        <w:rPr>
          <w:rFonts w:ascii="Calibri" w:hAnsi="Calibri" w:cs="Courier New"/>
          <w:kern w:val="0"/>
          <w:lang w:val="en-US" w:eastAsia="en-US" w:bidi="ar-SA"/>
        </w:rPr>
        <w:t>indicat</w:t>
      </w:r>
      <w:r w:rsidR="003B7E30">
        <w:rPr>
          <w:rFonts w:ascii="Calibri" w:hAnsi="Calibri" w:cs="Courier New"/>
          <w:kern w:val="0"/>
          <w:lang w:val="en-US" w:eastAsia="en-US" w:bidi="ar-SA"/>
        </w:rPr>
        <w:t>es</w:t>
      </w:r>
      <w:r w:rsidR="003B7E30" w:rsidRPr="003B7E30">
        <w:rPr>
          <w:rFonts w:ascii="Calibri" w:hAnsi="Calibri" w:cs="Courier New"/>
          <w:kern w:val="0"/>
          <w:lang w:val="en-US" w:eastAsia="en-US" w:bidi="ar-SA"/>
        </w:rPr>
        <w:t xml:space="preserve"> a diversification of </w:t>
      </w:r>
      <w:r w:rsidR="003B7E30">
        <w:rPr>
          <w:rFonts w:ascii="Calibri" w:hAnsi="Calibri" w:cs="Courier New"/>
          <w:kern w:val="0"/>
          <w:lang w:val="en-US" w:eastAsia="en-US" w:bidi="ar-SA"/>
        </w:rPr>
        <w:t>the</w:t>
      </w:r>
      <w:r w:rsidR="003B7E30" w:rsidRPr="003B7E30">
        <w:rPr>
          <w:rFonts w:ascii="Calibri" w:hAnsi="Calibri" w:cs="Courier New"/>
          <w:kern w:val="0"/>
          <w:lang w:val="en-US" w:eastAsia="en-US" w:bidi="ar-SA"/>
        </w:rPr>
        <w:t xml:space="preserve"> lipidome due to differentiation which remains to be tested for its significance in future studies</w:t>
      </w:r>
      <w:r w:rsidR="003B7E30">
        <w:rPr>
          <w:rFonts w:ascii="Calibri" w:hAnsi="Calibri" w:cs="Courier New"/>
          <w:kern w:val="0"/>
          <w:lang w:val="en-US" w:eastAsia="en-US" w:bidi="ar-SA"/>
        </w:rPr>
        <w:t xml:space="preserve"> and is also stated in the new manuscript version</w:t>
      </w:r>
      <w:r w:rsidR="003B7E30" w:rsidRPr="003B7E30">
        <w:rPr>
          <w:rFonts w:ascii="Calibri" w:hAnsi="Calibri" w:cs="Courier New"/>
          <w:kern w:val="0"/>
          <w:lang w:val="en-US" w:eastAsia="en-US" w:bidi="ar-SA"/>
        </w:rPr>
        <w:t>.</w:t>
      </w:r>
    </w:p>
    <w:p w14:paraId="113D0775" w14:textId="77777777" w:rsidR="001C05DF" w:rsidRPr="0022426A" w:rsidRDefault="001C05DF" w:rsidP="00EB4D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Calibri" w:hAnsi="Calibri" w:cs="Courier New"/>
          <w:color w:val="FF0000"/>
          <w:kern w:val="0"/>
          <w:lang w:val="en-US" w:eastAsia="en-US" w:bidi="ar-SA"/>
        </w:rPr>
      </w:pPr>
    </w:p>
    <w:p w14:paraId="1D7366E7" w14:textId="77777777" w:rsidR="00EB4DBB" w:rsidRDefault="00EB4DBB" w:rsidP="00157660">
      <w:pPr>
        <w:autoSpaceDE w:val="0"/>
        <w:autoSpaceDN w:val="0"/>
        <w:adjustRightInd w:val="0"/>
        <w:jc w:val="both"/>
        <w:rPr>
          <w:rFonts w:asciiTheme="minorHAnsi" w:hAnsiTheme="minorHAnsi"/>
          <w:color w:val="0070C0"/>
          <w:lang w:val="en-US"/>
        </w:rPr>
      </w:pPr>
      <w:r>
        <w:rPr>
          <w:rFonts w:asciiTheme="minorHAnsi" w:hAnsiTheme="minorHAnsi"/>
          <w:color w:val="0070C0"/>
          <w:lang w:val="en-US"/>
        </w:rPr>
        <w:t xml:space="preserve">5. </w:t>
      </w:r>
      <w:r w:rsidRPr="00EB4DBB">
        <w:rPr>
          <w:rFonts w:asciiTheme="minorHAnsi" w:hAnsiTheme="minorHAnsi"/>
          <w:color w:val="0070C0"/>
          <w:lang w:val="en-US"/>
        </w:rPr>
        <w:t>Did gangliosides were identified in the lipid fraction (upper phase) that corresponds to the organic layer or in the lower phase, which corresponds to the more polar layer? Gangliosides are complex and highly polar lipid compounds with relatively hydrophilic headgroups that are soluble in water and they are usually lost in the aqueous phase. Therefore, gangliosides analysis requires specialized lipid extraction methods since these lipids are not present in the organic layer where the other more simple lipids are recovered. In figure A7 A, the sphingosine d18:1-H2O (that should be assigned as [sphingosine d18:1-H2O+H</w:t>
      </w:r>
      <w:proofErr w:type="gramStart"/>
      <w:r w:rsidRPr="00EB4DBB">
        <w:rPr>
          <w:rFonts w:asciiTheme="minorHAnsi" w:hAnsiTheme="minorHAnsi"/>
          <w:color w:val="0070C0"/>
          <w:lang w:val="en-US"/>
        </w:rPr>
        <w:t>]+</w:t>
      </w:r>
      <w:proofErr w:type="gramEnd"/>
      <w:r w:rsidRPr="00EB4DBB">
        <w:rPr>
          <w:rFonts w:asciiTheme="minorHAnsi" w:hAnsiTheme="minorHAnsi"/>
          <w:color w:val="0070C0"/>
          <w:lang w:val="en-US"/>
        </w:rPr>
        <w:t>) is not attributed to any peak in spectrum, and the ions at m/z 520.5090 should be assigned as [ceramide d18:1-H2O+H]+ since the loss of hexose is from ceramide moiety and not from the all ganglioside structure, which can lead to misunderstandings. Ions at m/z 264.2687 should be assigned as [sphingosine d18:1-2H2O+H</w:t>
      </w:r>
      <w:proofErr w:type="gramStart"/>
      <w:r w:rsidRPr="00EB4DBB">
        <w:rPr>
          <w:rFonts w:asciiTheme="minorHAnsi" w:hAnsiTheme="minorHAnsi"/>
          <w:color w:val="0070C0"/>
          <w:lang w:val="en-US"/>
        </w:rPr>
        <w:t>]+</w:t>
      </w:r>
      <w:proofErr w:type="gramEnd"/>
      <w:r w:rsidRPr="00EB4DBB">
        <w:rPr>
          <w:rFonts w:asciiTheme="minorHAnsi" w:hAnsiTheme="minorHAnsi"/>
          <w:color w:val="0070C0"/>
          <w:lang w:val="en-US"/>
        </w:rPr>
        <w:t>. In spectrum A7 B, the ions at m/z 290.0878 should be assigned as [</w:t>
      </w:r>
      <w:proofErr w:type="spellStart"/>
      <w:r w:rsidRPr="00EB4DBB">
        <w:rPr>
          <w:rFonts w:asciiTheme="minorHAnsi" w:hAnsiTheme="minorHAnsi"/>
          <w:color w:val="0070C0"/>
          <w:lang w:val="en-US"/>
        </w:rPr>
        <w:t>NeuACres</w:t>
      </w:r>
      <w:proofErr w:type="spellEnd"/>
      <w:r w:rsidRPr="00EB4DBB">
        <w:rPr>
          <w:rFonts w:asciiTheme="minorHAnsi" w:hAnsiTheme="minorHAnsi"/>
          <w:color w:val="0070C0"/>
          <w:lang w:val="en-US"/>
        </w:rPr>
        <w:t>-H</w:t>
      </w:r>
      <w:proofErr w:type="gramStart"/>
      <w:r w:rsidRPr="00EB4DBB">
        <w:rPr>
          <w:rFonts w:asciiTheme="minorHAnsi" w:hAnsiTheme="minorHAnsi"/>
          <w:color w:val="0070C0"/>
          <w:lang w:val="en-US"/>
        </w:rPr>
        <w:t>]-</w:t>
      </w:r>
      <w:proofErr w:type="gramEnd"/>
      <w:r w:rsidRPr="00EB4DBB">
        <w:rPr>
          <w:rFonts w:asciiTheme="minorHAnsi" w:hAnsiTheme="minorHAnsi"/>
          <w:color w:val="0070C0"/>
          <w:lang w:val="en-US"/>
        </w:rPr>
        <w:t xml:space="preserve"> and the m/z of the ions corresponding to deprotonated galactose ([galactose-H]-) should be identified. Please clarify the identification of ions at m/z 87.0087 (C3H3O3).</w:t>
      </w:r>
    </w:p>
    <w:p w14:paraId="1214CE24" w14:textId="70155386" w:rsidR="001C05DF" w:rsidRDefault="006A000E" w:rsidP="006365D6">
      <w:pPr>
        <w:autoSpaceDE w:val="0"/>
        <w:autoSpaceDN w:val="0"/>
        <w:adjustRightInd w:val="0"/>
        <w:jc w:val="both"/>
        <w:rPr>
          <w:rFonts w:asciiTheme="minorHAnsi" w:hAnsiTheme="minorHAnsi"/>
          <w:lang w:val="en-US"/>
        </w:rPr>
      </w:pPr>
      <w:r>
        <w:rPr>
          <w:rFonts w:asciiTheme="minorHAnsi" w:hAnsiTheme="minorHAnsi"/>
          <w:noProof/>
          <w:lang w:val="en-US" w:eastAsia="de-DE"/>
        </w:rPr>
        <w:t>We thank the referee for</w:t>
      </w:r>
      <w:r w:rsidR="005F0AC7">
        <w:rPr>
          <w:rFonts w:asciiTheme="minorHAnsi" w:hAnsiTheme="minorHAnsi"/>
          <w:noProof/>
          <w:lang w:val="en-US" w:eastAsia="de-DE"/>
        </w:rPr>
        <w:t xml:space="preserve"> the</w:t>
      </w:r>
      <w:r w:rsidR="00BD4850">
        <w:rPr>
          <w:rFonts w:asciiTheme="minorHAnsi" w:hAnsiTheme="minorHAnsi"/>
          <w:noProof/>
          <w:lang w:val="en-US" w:eastAsia="de-DE"/>
        </w:rPr>
        <w:t xml:space="preserve"> careful review of our data. </w:t>
      </w:r>
      <w:r w:rsidR="00FE6F8E">
        <w:rPr>
          <w:rFonts w:asciiTheme="minorHAnsi" w:hAnsiTheme="minorHAnsi"/>
          <w:noProof/>
          <w:lang w:val="en-US" w:eastAsia="de-DE"/>
        </w:rPr>
        <w:t>We agree with the referee, that there are more specialized ganglioside sample preparation strategies available. Looking at our data from the sequential sub-ome extraction, we are certain that the identified molecules are gangliosides. The organic layer of the two-phase MTBE extraction was suf</w:t>
      </w:r>
      <w:r w:rsidR="005C1126">
        <w:rPr>
          <w:rFonts w:asciiTheme="minorHAnsi" w:hAnsiTheme="minorHAnsi"/>
          <w:noProof/>
          <w:lang w:val="en-US" w:eastAsia="de-DE"/>
        </w:rPr>
        <w:t>ficient to extract at least the</w:t>
      </w:r>
      <w:bookmarkStart w:id="0" w:name="_GoBack"/>
      <w:bookmarkEnd w:id="0"/>
      <w:r w:rsidR="00FE6F8E">
        <w:rPr>
          <w:rFonts w:asciiTheme="minorHAnsi" w:hAnsiTheme="minorHAnsi"/>
          <w:noProof/>
          <w:lang w:val="en-US" w:eastAsia="de-DE"/>
        </w:rPr>
        <w:t xml:space="preserve"> GM3 fraction of the gangliosides by the lipid part from MSCs/adipocytes. </w:t>
      </w:r>
      <w:r w:rsidR="00B02557">
        <w:rPr>
          <w:rFonts w:asciiTheme="minorHAnsi" w:hAnsiTheme="minorHAnsi"/>
          <w:noProof/>
          <w:lang w:val="en-US" w:eastAsia="de-DE"/>
        </w:rPr>
        <w:t>We are aware</w:t>
      </w:r>
      <w:r w:rsidR="00FE6F8E">
        <w:rPr>
          <w:rFonts w:asciiTheme="minorHAnsi" w:hAnsiTheme="minorHAnsi"/>
          <w:noProof/>
          <w:lang w:val="en-US" w:eastAsia="de-DE"/>
        </w:rPr>
        <w:t xml:space="preserve"> of the fact</w:t>
      </w:r>
      <w:r w:rsidR="00B02557">
        <w:rPr>
          <w:rFonts w:asciiTheme="minorHAnsi" w:hAnsiTheme="minorHAnsi"/>
          <w:noProof/>
          <w:lang w:val="en-US" w:eastAsia="de-DE"/>
        </w:rPr>
        <w:t xml:space="preserve"> that highly glyosylated gangliosides are usually expected in the water layer</w:t>
      </w:r>
      <w:r w:rsidR="00FE6F8E">
        <w:rPr>
          <w:rFonts w:asciiTheme="minorHAnsi" w:hAnsiTheme="minorHAnsi"/>
          <w:noProof/>
          <w:lang w:val="en-US" w:eastAsia="de-DE"/>
        </w:rPr>
        <w:t>.</w:t>
      </w:r>
      <w:r w:rsidR="00B02557">
        <w:rPr>
          <w:rFonts w:asciiTheme="minorHAnsi" w:hAnsiTheme="minorHAnsi"/>
          <w:noProof/>
          <w:lang w:val="en-US" w:eastAsia="de-DE"/>
        </w:rPr>
        <w:t xml:space="preserve"> </w:t>
      </w:r>
      <w:r w:rsidR="00FE6F8E">
        <w:rPr>
          <w:rFonts w:asciiTheme="minorHAnsi" w:hAnsiTheme="minorHAnsi"/>
          <w:noProof/>
          <w:lang w:val="en-US" w:eastAsia="de-DE"/>
        </w:rPr>
        <w:t>I</w:t>
      </w:r>
      <w:r w:rsidR="00B02557">
        <w:rPr>
          <w:rFonts w:asciiTheme="minorHAnsi" w:hAnsiTheme="minorHAnsi"/>
          <w:noProof/>
          <w:lang w:val="en-US" w:eastAsia="de-DE"/>
        </w:rPr>
        <w:t xml:space="preserve">n our opinion </w:t>
      </w:r>
      <w:r w:rsidR="00FE6F8E">
        <w:rPr>
          <w:rFonts w:asciiTheme="minorHAnsi" w:hAnsiTheme="minorHAnsi"/>
          <w:noProof/>
          <w:lang w:val="en-US" w:eastAsia="de-DE"/>
        </w:rPr>
        <w:t>one possible explaination for only identifying GM3</w:t>
      </w:r>
      <w:r w:rsidR="00B02557">
        <w:rPr>
          <w:rFonts w:asciiTheme="minorHAnsi" w:hAnsiTheme="minorHAnsi"/>
          <w:noProof/>
          <w:lang w:val="en-US" w:eastAsia="de-DE"/>
        </w:rPr>
        <w:t xml:space="preserve"> is that higher glyosylated gangliosides such as GM1 and GM2 </w:t>
      </w:r>
      <w:r w:rsidR="00FE6F8E">
        <w:rPr>
          <w:rFonts w:asciiTheme="minorHAnsi" w:hAnsiTheme="minorHAnsi"/>
          <w:noProof/>
          <w:lang w:val="en-US" w:eastAsia="de-DE"/>
        </w:rPr>
        <w:t>would be</w:t>
      </w:r>
      <w:r w:rsidR="00B02557">
        <w:rPr>
          <w:rFonts w:asciiTheme="minorHAnsi" w:hAnsiTheme="minorHAnsi"/>
          <w:noProof/>
          <w:lang w:val="en-US" w:eastAsia="de-DE"/>
        </w:rPr>
        <w:t xml:space="preserve"> extracted</w:t>
      </w:r>
      <w:r w:rsidR="00FE6F8E">
        <w:rPr>
          <w:rFonts w:asciiTheme="minorHAnsi" w:hAnsiTheme="minorHAnsi"/>
          <w:noProof/>
          <w:lang w:val="en-US" w:eastAsia="de-DE"/>
        </w:rPr>
        <w:t xml:space="preserve"> in the lower water fraction</w:t>
      </w:r>
      <w:r w:rsidR="00BD4850">
        <w:rPr>
          <w:rFonts w:asciiTheme="minorHAnsi" w:hAnsiTheme="minorHAnsi"/>
          <w:noProof/>
          <w:lang w:val="en-US" w:eastAsia="de-DE"/>
        </w:rPr>
        <w:t xml:space="preserve">. </w:t>
      </w:r>
      <w:r w:rsidR="00517214">
        <w:rPr>
          <w:rFonts w:asciiTheme="minorHAnsi" w:hAnsiTheme="minorHAnsi"/>
          <w:noProof/>
          <w:lang w:val="en-US" w:eastAsia="de-DE"/>
        </w:rPr>
        <w:t xml:space="preserve">As the ganglisoides were identified as being upregulated in adipocates compared to MSCs, </w:t>
      </w:r>
      <w:r w:rsidR="00BD4850">
        <w:rPr>
          <w:rFonts w:asciiTheme="minorHAnsi" w:hAnsiTheme="minorHAnsi"/>
          <w:noProof/>
          <w:lang w:val="en-US" w:eastAsia="de-DE"/>
        </w:rPr>
        <w:t>we will also continue to work on optimized ganglioside extraction</w:t>
      </w:r>
      <w:r w:rsidR="00517214">
        <w:rPr>
          <w:rFonts w:asciiTheme="minorHAnsi" w:hAnsiTheme="minorHAnsi"/>
          <w:noProof/>
          <w:lang w:val="en-US" w:eastAsia="de-DE"/>
        </w:rPr>
        <w:t xml:space="preserve"> procedure in our future project to investigate this effect in more detail</w:t>
      </w:r>
      <w:r w:rsidR="00BD4850">
        <w:rPr>
          <w:rFonts w:asciiTheme="minorHAnsi" w:hAnsiTheme="minorHAnsi"/>
          <w:noProof/>
          <w:lang w:val="en-US" w:eastAsia="de-DE"/>
        </w:rPr>
        <w:t xml:space="preserve">. </w:t>
      </w:r>
      <w:r w:rsidR="001C05DF">
        <w:rPr>
          <w:rFonts w:asciiTheme="minorHAnsi" w:hAnsiTheme="minorHAnsi"/>
          <w:lang w:val="en-US"/>
        </w:rPr>
        <w:t>Due to another referees comment, we further investigated ganglioside regulating proteins in our dataset and could successfully identify g</w:t>
      </w:r>
      <w:r w:rsidR="001C05DF" w:rsidRPr="00E64553">
        <w:rPr>
          <w:rFonts w:asciiTheme="minorHAnsi" w:hAnsiTheme="minorHAnsi"/>
          <w:lang w:val="en-US"/>
        </w:rPr>
        <w:t>anglioside GM2 activator</w:t>
      </w:r>
      <w:r w:rsidR="001C05DF">
        <w:rPr>
          <w:rFonts w:asciiTheme="minorHAnsi" w:hAnsiTheme="minorHAnsi"/>
          <w:lang w:val="en-US"/>
        </w:rPr>
        <w:t xml:space="preserve"> (P17900). G</w:t>
      </w:r>
      <w:r w:rsidR="001C05DF" w:rsidRPr="001C05DF">
        <w:rPr>
          <w:rFonts w:asciiTheme="minorHAnsi" w:hAnsiTheme="minorHAnsi"/>
          <w:lang w:val="en-US"/>
        </w:rPr>
        <w:t xml:space="preserve">anglioside GM2 activator </w:t>
      </w:r>
      <w:r w:rsidR="001C05DF">
        <w:rPr>
          <w:rFonts w:asciiTheme="minorHAnsi" w:hAnsiTheme="minorHAnsi"/>
          <w:lang w:val="en-US"/>
        </w:rPr>
        <w:t>was upregulated (factor 2) in adipocytes compared to MSC and is linked to the identified GM3 pathway as it can extract GM2 from me</w:t>
      </w:r>
      <w:r w:rsidR="00B51392">
        <w:rPr>
          <w:rFonts w:asciiTheme="minorHAnsi" w:hAnsiTheme="minorHAnsi"/>
          <w:lang w:val="en-US"/>
        </w:rPr>
        <w:t>m</w:t>
      </w:r>
      <w:r w:rsidR="001C05DF">
        <w:rPr>
          <w:rFonts w:asciiTheme="minorHAnsi" w:hAnsiTheme="minorHAnsi"/>
          <w:lang w:val="en-US"/>
        </w:rPr>
        <w:t>branes and hydrolyze them to GM3 further supporting our observation of GM3 regulation in adipocytes.</w:t>
      </w:r>
    </w:p>
    <w:p w14:paraId="6F3B2057" w14:textId="56E0EAB5" w:rsidR="00E97185" w:rsidRDefault="007036CB" w:rsidP="00FE6F8E">
      <w:pPr>
        <w:autoSpaceDE w:val="0"/>
        <w:autoSpaceDN w:val="0"/>
        <w:adjustRightInd w:val="0"/>
        <w:jc w:val="both"/>
        <w:rPr>
          <w:rFonts w:asciiTheme="minorHAnsi" w:hAnsiTheme="minorHAnsi"/>
          <w:noProof/>
          <w:lang w:val="en-US"/>
        </w:rPr>
      </w:pPr>
      <w:r>
        <w:rPr>
          <w:rFonts w:asciiTheme="minorHAnsi" w:hAnsiTheme="minorHAnsi"/>
          <w:noProof/>
          <w:lang w:val="en-US" w:eastAsia="de-DE"/>
        </w:rPr>
        <w:t xml:space="preserve">As suggested by the referee we assigned the GM3 fragmentation more carefully to make </w:t>
      </w:r>
      <w:r w:rsidRPr="00517214">
        <w:rPr>
          <w:rFonts w:asciiTheme="minorHAnsi" w:hAnsiTheme="minorHAnsi"/>
          <w:b/>
          <w:noProof/>
          <w:lang w:val="en-US" w:eastAsia="de-DE"/>
        </w:rPr>
        <w:t>Figure A7</w:t>
      </w:r>
      <w:r>
        <w:rPr>
          <w:rFonts w:asciiTheme="minorHAnsi" w:hAnsiTheme="minorHAnsi"/>
          <w:noProof/>
          <w:lang w:val="en-US" w:eastAsia="de-DE"/>
        </w:rPr>
        <w:t xml:space="preserve"> </w:t>
      </w:r>
      <w:r w:rsidR="00517214">
        <w:rPr>
          <w:rFonts w:asciiTheme="minorHAnsi" w:hAnsiTheme="minorHAnsi"/>
          <w:noProof/>
          <w:lang w:val="en-US" w:eastAsia="de-DE"/>
        </w:rPr>
        <w:t xml:space="preserve">(see below) </w:t>
      </w:r>
      <w:r>
        <w:rPr>
          <w:rFonts w:asciiTheme="minorHAnsi" w:hAnsiTheme="minorHAnsi"/>
          <w:noProof/>
          <w:lang w:val="en-US" w:eastAsia="de-DE"/>
        </w:rPr>
        <w:t>easier to follow for the reader and also added the liter</w:t>
      </w:r>
      <w:r w:rsidR="00983BB4">
        <w:rPr>
          <w:rFonts w:asciiTheme="minorHAnsi" w:hAnsiTheme="minorHAnsi"/>
          <w:noProof/>
          <w:lang w:val="en-US" w:eastAsia="de-DE"/>
        </w:rPr>
        <w:t>a</w:t>
      </w:r>
      <w:r>
        <w:rPr>
          <w:rFonts w:asciiTheme="minorHAnsi" w:hAnsiTheme="minorHAnsi"/>
          <w:noProof/>
          <w:lang w:val="en-US" w:eastAsia="de-DE"/>
        </w:rPr>
        <w:t xml:space="preserve">ture basis for our assignment (Domon and Castello, </w:t>
      </w:r>
      <w:r w:rsidRPr="00CE1365">
        <w:rPr>
          <w:rFonts w:asciiTheme="minorHAnsi" w:hAnsiTheme="minorHAnsi"/>
          <w:i/>
          <w:noProof/>
          <w:lang w:val="en-US" w:eastAsia="de-DE"/>
        </w:rPr>
        <w:t>Structure Elucidation of Glycosphingolipids and Gangliosides Using High-Performance Tandem Mass Spectrometry</w:t>
      </w:r>
      <w:r>
        <w:rPr>
          <w:rFonts w:asciiTheme="minorHAnsi" w:hAnsiTheme="minorHAnsi"/>
          <w:noProof/>
          <w:lang w:val="en-US" w:eastAsia="de-DE"/>
        </w:rPr>
        <w:t xml:space="preserve">, </w:t>
      </w:r>
      <w:r w:rsidRPr="007036CB">
        <w:rPr>
          <w:rFonts w:asciiTheme="minorHAnsi" w:hAnsiTheme="minorHAnsi"/>
          <w:noProof/>
          <w:lang w:val="en-US" w:eastAsia="de-DE"/>
        </w:rPr>
        <w:t>Biochemistry 1988, 27, 1534-1543</w:t>
      </w:r>
      <w:r>
        <w:rPr>
          <w:rFonts w:asciiTheme="minorHAnsi" w:hAnsiTheme="minorHAnsi"/>
          <w:noProof/>
          <w:lang w:val="en-US" w:eastAsia="de-DE"/>
        </w:rPr>
        <w:t xml:space="preserve">). The identification of </w:t>
      </w:r>
      <w:r w:rsidR="00983BB4">
        <w:rPr>
          <w:rFonts w:asciiTheme="minorHAnsi" w:hAnsiTheme="minorHAnsi"/>
          <w:noProof/>
          <w:lang w:val="en-US" w:eastAsia="de-DE"/>
        </w:rPr>
        <w:t xml:space="preserve">87 m/z </w:t>
      </w:r>
      <w:r w:rsidR="00983BB4" w:rsidRPr="00983BB4">
        <w:rPr>
          <w:rFonts w:asciiTheme="minorHAnsi" w:hAnsiTheme="minorHAnsi"/>
          <w:noProof/>
          <w:lang w:val="en-US"/>
        </w:rPr>
        <w:t>[fatty acid C</w:t>
      </w:r>
      <w:r w:rsidR="00983BB4" w:rsidRPr="00983BB4">
        <w:rPr>
          <w:rFonts w:asciiTheme="minorHAnsi" w:hAnsiTheme="minorHAnsi"/>
          <w:noProof/>
          <w:vertAlign w:val="subscript"/>
          <w:lang w:val="en-US"/>
        </w:rPr>
        <w:t>3</w:t>
      </w:r>
      <w:r w:rsidR="00983BB4" w:rsidRPr="00983BB4">
        <w:rPr>
          <w:rFonts w:asciiTheme="minorHAnsi" w:hAnsiTheme="minorHAnsi"/>
          <w:noProof/>
          <w:lang w:val="en-US"/>
        </w:rPr>
        <w:t>H</w:t>
      </w:r>
      <w:r w:rsidR="00983BB4" w:rsidRPr="00983BB4">
        <w:rPr>
          <w:rFonts w:asciiTheme="minorHAnsi" w:hAnsiTheme="minorHAnsi"/>
          <w:noProof/>
          <w:vertAlign w:val="subscript"/>
          <w:lang w:val="en-US"/>
        </w:rPr>
        <w:t>3</w:t>
      </w:r>
      <w:r w:rsidR="00983BB4" w:rsidRPr="00983BB4">
        <w:rPr>
          <w:rFonts w:asciiTheme="minorHAnsi" w:hAnsiTheme="minorHAnsi"/>
          <w:noProof/>
          <w:lang w:val="en-US"/>
        </w:rPr>
        <w:t>O</w:t>
      </w:r>
      <w:r w:rsidR="00983BB4" w:rsidRPr="00983BB4">
        <w:rPr>
          <w:rFonts w:asciiTheme="minorHAnsi" w:hAnsiTheme="minorHAnsi"/>
          <w:noProof/>
          <w:vertAlign w:val="subscript"/>
          <w:lang w:val="en-US"/>
        </w:rPr>
        <w:t>3</w:t>
      </w:r>
      <w:r w:rsidR="00983BB4" w:rsidRPr="00983BB4">
        <w:rPr>
          <w:rFonts w:asciiTheme="minorHAnsi" w:hAnsiTheme="minorHAnsi"/>
          <w:noProof/>
          <w:lang w:val="en-US"/>
        </w:rPr>
        <w:t>]</w:t>
      </w:r>
      <w:r w:rsidR="00983BB4" w:rsidRPr="00983BB4">
        <w:rPr>
          <w:rFonts w:asciiTheme="minorHAnsi" w:hAnsiTheme="minorHAnsi"/>
          <w:noProof/>
          <w:vertAlign w:val="superscript"/>
          <w:lang w:val="en-US"/>
        </w:rPr>
        <w:t>-</w:t>
      </w:r>
      <w:r w:rsidR="00983BB4" w:rsidRPr="00983BB4">
        <w:rPr>
          <w:rFonts w:asciiTheme="minorHAnsi" w:hAnsiTheme="minorHAnsi"/>
          <w:noProof/>
          <w:lang w:val="en-US"/>
        </w:rPr>
        <w:t xml:space="preserve"> </w:t>
      </w:r>
      <w:r>
        <w:rPr>
          <w:rFonts w:asciiTheme="minorHAnsi" w:hAnsiTheme="minorHAnsi"/>
          <w:noProof/>
          <w:lang w:val="en-US" w:eastAsia="de-DE"/>
        </w:rPr>
        <w:t xml:space="preserve">is </w:t>
      </w:r>
      <w:r w:rsidR="00983BB4">
        <w:rPr>
          <w:rFonts w:asciiTheme="minorHAnsi" w:hAnsiTheme="minorHAnsi"/>
          <w:noProof/>
          <w:lang w:val="en-US" w:eastAsia="de-DE"/>
        </w:rPr>
        <w:t>coming</w:t>
      </w:r>
      <w:r>
        <w:rPr>
          <w:rFonts w:asciiTheme="minorHAnsi" w:hAnsiTheme="minorHAnsi"/>
          <w:noProof/>
          <w:lang w:val="en-US" w:eastAsia="de-DE"/>
        </w:rPr>
        <w:t xml:space="preserve"> </w:t>
      </w:r>
      <w:r w:rsidR="00983BB4">
        <w:rPr>
          <w:rFonts w:asciiTheme="minorHAnsi" w:hAnsiTheme="minorHAnsi"/>
          <w:noProof/>
          <w:lang w:val="en-US" w:eastAsia="de-DE"/>
        </w:rPr>
        <w:t xml:space="preserve">from the ceramide backbone and an oxygen fragmentation series after </w:t>
      </w:r>
      <w:r w:rsidR="00983BB4" w:rsidRPr="006365D6">
        <w:rPr>
          <w:rFonts w:asciiTheme="minorHAnsi" w:hAnsiTheme="minorHAnsi"/>
          <w:noProof/>
          <w:lang w:val="en-US" w:eastAsia="de-DE"/>
        </w:rPr>
        <w:t xml:space="preserve">C–C bond </w:t>
      </w:r>
      <w:r w:rsidR="00983BB4">
        <w:rPr>
          <w:rFonts w:asciiTheme="minorHAnsi" w:hAnsiTheme="minorHAnsi"/>
          <w:noProof/>
          <w:lang w:val="en-US" w:eastAsia="de-DE"/>
        </w:rPr>
        <w:t xml:space="preserve">cleavage of </w:t>
      </w:r>
      <w:r w:rsidR="006365D6">
        <w:rPr>
          <w:rFonts w:asciiTheme="minorHAnsi" w:hAnsiTheme="minorHAnsi"/>
          <w:noProof/>
          <w:lang w:val="en-US" w:eastAsia="de-DE"/>
        </w:rPr>
        <w:t>long chain fatty acids</w:t>
      </w:r>
      <w:r w:rsidR="00983BB4">
        <w:rPr>
          <w:rFonts w:asciiTheme="minorHAnsi" w:hAnsiTheme="minorHAnsi"/>
          <w:noProof/>
          <w:lang w:val="en-US" w:eastAsia="de-DE"/>
        </w:rPr>
        <w:t>.</w:t>
      </w:r>
    </w:p>
    <w:p w14:paraId="3CA17A04" w14:textId="4D4843C1" w:rsidR="00517214" w:rsidRPr="004142D3" w:rsidRDefault="00927D94" w:rsidP="00517214">
      <w:pPr>
        <w:pStyle w:val="MDPI51figurecaption"/>
        <w:ind w:left="0"/>
        <w:rPr>
          <w:b/>
        </w:rPr>
      </w:pPr>
      <w:r>
        <w:rPr>
          <w:b/>
          <w:noProof/>
          <w:lang w:val="de-DE" w:bidi="ar-SA"/>
        </w:rPr>
        <w:lastRenderedPageBreak/>
        <w:drawing>
          <wp:inline distT="0" distB="0" distL="0" distR="0" wp14:anchorId="572371DE" wp14:editId="21492FE6">
            <wp:extent cx="5861714" cy="3713028"/>
            <wp:effectExtent l="0" t="0" r="0" b="190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3255" cy="3714004"/>
                    </a:xfrm>
                    <a:prstGeom prst="rect">
                      <a:avLst/>
                    </a:prstGeom>
                    <a:noFill/>
                  </pic:spPr>
                </pic:pic>
              </a:graphicData>
            </a:graphic>
          </wp:inline>
        </w:drawing>
      </w:r>
      <w:r w:rsidR="00517214" w:rsidRPr="0032358C">
        <w:rPr>
          <w:b/>
        </w:rPr>
        <w:t xml:space="preserve">Figure A7. </w:t>
      </w:r>
      <w:proofErr w:type="gramStart"/>
      <w:r w:rsidR="00517214" w:rsidRPr="004142D3">
        <w:rPr>
          <w:b/>
        </w:rPr>
        <w:t>MS2 spectra of predicted ganglioside.</w:t>
      </w:r>
      <w:proofErr w:type="gramEnd"/>
      <w:r w:rsidR="00517214" w:rsidRPr="004142D3">
        <w:t xml:space="preserve"> Fragmentation spectra (Thermo </w:t>
      </w:r>
      <w:proofErr w:type="spellStart"/>
      <w:r w:rsidR="00517214" w:rsidRPr="004142D3">
        <w:t>Xcalibur</w:t>
      </w:r>
      <w:proofErr w:type="spellEnd"/>
      <w:r w:rsidR="00517214" w:rsidRPr="004142D3">
        <w:t>) of regulated ganglioside GM3(d18:1/16:0) (sum formula, C</w:t>
      </w:r>
      <w:r w:rsidR="00517214" w:rsidRPr="004142D3">
        <w:rPr>
          <w:vertAlign w:val="subscript"/>
        </w:rPr>
        <w:t>57</w:t>
      </w:r>
      <w:r w:rsidR="00517214" w:rsidRPr="004142D3">
        <w:t>H</w:t>
      </w:r>
      <w:r w:rsidR="00517214" w:rsidRPr="004142D3">
        <w:rPr>
          <w:vertAlign w:val="subscript"/>
        </w:rPr>
        <w:t>104</w:t>
      </w:r>
      <w:r w:rsidR="00517214" w:rsidRPr="004142D3">
        <w:t>N</w:t>
      </w:r>
      <w:r w:rsidR="00517214" w:rsidRPr="004142D3">
        <w:rPr>
          <w:vertAlign w:val="subscript"/>
        </w:rPr>
        <w:t>2</w:t>
      </w:r>
      <w:r w:rsidR="00517214" w:rsidRPr="004142D3">
        <w:t>O</w:t>
      </w:r>
      <w:r w:rsidR="00517214" w:rsidRPr="004142D3">
        <w:rPr>
          <w:vertAlign w:val="subscript"/>
        </w:rPr>
        <w:t>21</w:t>
      </w:r>
      <w:r w:rsidR="00517214" w:rsidRPr="004142D3">
        <w:t>) show characteristic lipid fragments</w:t>
      </w:r>
      <w:r w:rsidR="00517214">
        <w:fldChar w:fldCharType="begin" w:fldLock="1"/>
      </w:r>
      <w:r w:rsidR="00517214">
        <w:instrText>ADDIN CSL_CITATION {"citationItems":[{"id":"ITEM-1","itemData":{"DOI":"10.1021/bi00405a021","ISSN":"15204995","abstract":"Glycosphingolipids and gangliosides have been investigated by using fast atom bombardment high-performance tandem mass spectrometry (FABMS/MS). Homologous compounds have been investigated in order to ascertain the fragmentation. Collision-induced dissociation spectra of the molecular species in the positive ion mode mainly afford information on the ceramide constitution (aglycon as a whole, N-acyl residue, and long-chain base), whereas negative ion spectra show fragments informative of the sugar sequence and the degree of branching of the carbohydrate. In the case of gangliosides carrying a complex oligosaccharide moiety, collision spectra of fragment ions have been performed in order to gain additional structural data. The advantage of tandem mass spectrometry over conventional fast atom bombardment mass spectrometry (FABMS) consists in the fact that collision spectra of the individual components from mixtures, as usually encountered with these kinds of samples, can be recorded. Furthermore, the exclusion of most of the interfering signals from the matrix allows the identification of pertinent fragments at low mass. © 1988, American Chemical Society. All rights reserved.","author":[{"dropping-particle":"","family":"Domon","given":"Bruno","non-dropping-particle":"","parse-names":false,"suffix":""},{"dropping-particle":"","family":"Costello","given":"Catherine E.","non-dropping-particle":"","parse-names":false,"suffix":""}],"container-title":"Biochemistry","id":"ITEM-1","issue":"5","issued":{"date-parts":[["1988"]]},"page":"1534-1543","title":"Structure Elucidation of Glycosphingolipids and Gangliosides Using High-Performance Tandem Mass Spectrometry","type":"article-journal","volume":"27"},"uris":["http://www.mendeley.com/documents/?uuid=833d0ed4-cc19-4bf9-bae1-bf4a13743e39"]}],"mendeley":{"formattedCitation":"[53]","plainTextFormattedCitation":"[53]","previouslyFormattedCitation":"[53]"},"properties":{"noteIndex":0},"schema":"https://github.com/citation-style-language/schema/raw/master/csl-citation.json"}</w:instrText>
      </w:r>
      <w:r w:rsidR="00517214">
        <w:fldChar w:fldCharType="separate"/>
      </w:r>
      <w:r w:rsidR="00517214" w:rsidRPr="001D7F3A">
        <w:rPr>
          <w:noProof/>
        </w:rPr>
        <w:t>[53]</w:t>
      </w:r>
      <w:r w:rsidR="00517214">
        <w:fldChar w:fldCharType="end"/>
      </w:r>
      <w:r w:rsidR="00517214" w:rsidRPr="004142D3">
        <w:t xml:space="preserve"> in the positive ion mode and characteristic glycan moieties in the negative ion mode</w:t>
      </w:r>
      <w:r w:rsidR="00517214">
        <w:t>.</w:t>
      </w:r>
    </w:p>
    <w:p w14:paraId="3D1266DF" w14:textId="76D0DC99" w:rsidR="001731D7" w:rsidRPr="00504210" w:rsidRDefault="001731D7" w:rsidP="00504210">
      <w:pPr>
        <w:autoSpaceDE w:val="0"/>
        <w:autoSpaceDN w:val="0"/>
        <w:adjustRightInd w:val="0"/>
        <w:jc w:val="both"/>
        <w:rPr>
          <w:rFonts w:asciiTheme="minorHAnsi" w:hAnsiTheme="minorHAnsi"/>
          <w:lang w:val="en-US"/>
        </w:rPr>
      </w:pPr>
    </w:p>
    <w:sectPr w:rsidR="001731D7" w:rsidRPr="00504210" w:rsidSect="007E44E7">
      <w:headerReference w:type="default" r:id="rId12"/>
      <w:footerReference w:type="default" r:id="rId13"/>
      <w:pgSz w:w="11906" w:h="16838"/>
      <w:pgMar w:top="2324" w:right="1134" w:bottom="1134" w:left="1134" w:header="85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496374" w15:done="0"/>
  <w15:commentEx w15:paraId="52D20C4E" w15:done="0"/>
  <w15:commentEx w15:paraId="5F2EE0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9FE83" w14:textId="77777777" w:rsidR="005273AA" w:rsidRDefault="005273AA" w:rsidP="007E44E7">
      <w:r>
        <w:separator/>
      </w:r>
    </w:p>
  </w:endnote>
  <w:endnote w:type="continuationSeparator" w:id="0">
    <w:p w14:paraId="344D71C4" w14:textId="77777777" w:rsidR="005273AA" w:rsidRDefault="005273AA" w:rsidP="007E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4499096"/>
      <w:docPartObj>
        <w:docPartGallery w:val="Page Numbers (Bottom of Page)"/>
        <w:docPartUnique/>
      </w:docPartObj>
    </w:sdtPr>
    <w:sdtEndPr/>
    <w:sdtContent>
      <w:p w14:paraId="46B9917F" w14:textId="77777777" w:rsidR="001C05DF" w:rsidRDefault="001C05DF">
        <w:pPr>
          <w:pStyle w:val="Fuzeile"/>
          <w:jc w:val="center"/>
        </w:pPr>
        <w:r>
          <w:fldChar w:fldCharType="begin"/>
        </w:r>
        <w:r>
          <w:instrText>PAGE   \* MERGEFORMAT</w:instrText>
        </w:r>
        <w:r>
          <w:fldChar w:fldCharType="separate"/>
        </w:r>
        <w:r w:rsidR="005C1126" w:rsidRPr="005C1126">
          <w:rPr>
            <w:noProof/>
            <w:lang w:val="de-DE"/>
          </w:rPr>
          <w:t>9</w:t>
        </w:r>
        <w:r>
          <w:fldChar w:fldCharType="end"/>
        </w:r>
      </w:p>
    </w:sdtContent>
  </w:sdt>
  <w:p w14:paraId="580F8AE4" w14:textId="77777777" w:rsidR="001C05DF" w:rsidRDefault="001C05D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AD5AFD" w14:textId="77777777" w:rsidR="005273AA" w:rsidRDefault="005273AA" w:rsidP="007E44E7">
      <w:r>
        <w:separator/>
      </w:r>
    </w:p>
  </w:footnote>
  <w:footnote w:type="continuationSeparator" w:id="0">
    <w:p w14:paraId="003D9BEF" w14:textId="77777777" w:rsidR="005273AA" w:rsidRDefault="005273AA" w:rsidP="007E4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B79AD" w14:textId="77777777" w:rsidR="001C05DF" w:rsidRDefault="001C05DF">
    <w:pPr>
      <w:spacing w:line="1191" w:lineRule="exact"/>
      <w:jc w:val="right"/>
    </w:pPr>
    <w:r>
      <w:rPr>
        <w:noProof/>
        <w:lang w:val="de-DE" w:eastAsia="de-DE" w:bidi="ar-SA"/>
      </w:rPr>
      <w:drawing>
        <wp:anchor distT="0" distB="0" distL="0" distR="0" simplePos="0" relativeHeight="251657728" behindDoc="0" locked="0" layoutInCell="1" allowOverlap="1" wp14:anchorId="09A07862" wp14:editId="6C36ED4A">
          <wp:simplePos x="0" y="0"/>
          <wp:positionH relativeFrom="column">
            <wp:posOffset>3418840</wp:posOffset>
          </wp:positionH>
          <wp:positionV relativeFrom="paragraph">
            <wp:posOffset>5080</wp:posOffset>
          </wp:positionV>
          <wp:extent cx="2691765" cy="748665"/>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1765" cy="7486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lang w:val="en-US" w:eastAsia="en-US" w:bidi="ar-SA"/>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F1C90"/>
    <w:multiLevelType w:val="hybridMultilevel"/>
    <w:tmpl w:val="01F67CD2"/>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ECE08D5"/>
    <w:multiLevelType w:val="hybridMultilevel"/>
    <w:tmpl w:val="11EAB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B937B2"/>
    <w:multiLevelType w:val="hybridMultilevel"/>
    <w:tmpl w:val="9402A328"/>
    <w:lvl w:ilvl="0" w:tplc="E52C4E98">
      <w:start w:val="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2CF44B2"/>
    <w:multiLevelType w:val="hybridMultilevel"/>
    <w:tmpl w:val="58F6454A"/>
    <w:lvl w:ilvl="0" w:tplc="5E8819AE">
      <w:start w:val="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AE541FC"/>
    <w:multiLevelType w:val="hybridMultilevel"/>
    <w:tmpl w:val="73CA9F74"/>
    <w:lvl w:ilvl="0" w:tplc="5E8819AE">
      <w:start w:val="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9AC7D21"/>
    <w:multiLevelType w:val="hybridMultilevel"/>
    <w:tmpl w:val="AE3EF56E"/>
    <w:lvl w:ilvl="0" w:tplc="A7CA5ED0">
      <w:start w:val="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EC2258D"/>
    <w:multiLevelType w:val="hybridMultilevel"/>
    <w:tmpl w:val="BCC2DC28"/>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6"/>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minik Egger (Boku)">
    <w15:presenceInfo w15:providerId="None" w15:userId="Dominik Egger (Bok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trictFirstAndLastChar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4E7"/>
    <w:rsid w:val="00011076"/>
    <w:rsid w:val="00012512"/>
    <w:rsid w:val="00031EA4"/>
    <w:rsid w:val="00037F6D"/>
    <w:rsid w:val="000422AF"/>
    <w:rsid w:val="00042E68"/>
    <w:rsid w:val="0004317D"/>
    <w:rsid w:val="00051759"/>
    <w:rsid w:val="000679DA"/>
    <w:rsid w:val="00074332"/>
    <w:rsid w:val="00091D97"/>
    <w:rsid w:val="00094091"/>
    <w:rsid w:val="00094BC0"/>
    <w:rsid w:val="000C1D49"/>
    <w:rsid w:val="000E361E"/>
    <w:rsid w:val="000E6C3B"/>
    <w:rsid w:val="000E7A59"/>
    <w:rsid w:val="000F1172"/>
    <w:rsid w:val="000F1961"/>
    <w:rsid w:val="0011332F"/>
    <w:rsid w:val="00117511"/>
    <w:rsid w:val="00120581"/>
    <w:rsid w:val="00122A60"/>
    <w:rsid w:val="001400F6"/>
    <w:rsid w:val="00140CB7"/>
    <w:rsid w:val="001420D7"/>
    <w:rsid w:val="0014246D"/>
    <w:rsid w:val="00146D7B"/>
    <w:rsid w:val="00157660"/>
    <w:rsid w:val="001731D7"/>
    <w:rsid w:val="00181D46"/>
    <w:rsid w:val="00181F2D"/>
    <w:rsid w:val="001872BB"/>
    <w:rsid w:val="00190EC0"/>
    <w:rsid w:val="001938FF"/>
    <w:rsid w:val="0019508E"/>
    <w:rsid w:val="001964A5"/>
    <w:rsid w:val="001A5CB0"/>
    <w:rsid w:val="001A6E57"/>
    <w:rsid w:val="001A6F3D"/>
    <w:rsid w:val="001B76F0"/>
    <w:rsid w:val="001B7C45"/>
    <w:rsid w:val="001C05DF"/>
    <w:rsid w:val="001C32F4"/>
    <w:rsid w:val="001C35DB"/>
    <w:rsid w:val="001D6094"/>
    <w:rsid w:val="001D7FFB"/>
    <w:rsid w:val="001E283B"/>
    <w:rsid w:val="001E613D"/>
    <w:rsid w:val="001F0459"/>
    <w:rsid w:val="001F1C33"/>
    <w:rsid w:val="001F3094"/>
    <w:rsid w:val="002017D6"/>
    <w:rsid w:val="00203566"/>
    <w:rsid w:val="00213206"/>
    <w:rsid w:val="002163C0"/>
    <w:rsid w:val="0022426A"/>
    <w:rsid w:val="00225E75"/>
    <w:rsid w:val="002277A3"/>
    <w:rsid w:val="002356E3"/>
    <w:rsid w:val="0023730E"/>
    <w:rsid w:val="00240959"/>
    <w:rsid w:val="00246F3C"/>
    <w:rsid w:val="00247068"/>
    <w:rsid w:val="00251DED"/>
    <w:rsid w:val="00254277"/>
    <w:rsid w:val="002726BA"/>
    <w:rsid w:val="00272FBC"/>
    <w:rsid w:val="00282B1A"/>
    <w:rsid w:val="00287632"/>
    <w:rsid w:val="002A2B11"/>
    <w:rsid w:val="002A5828"/>
    <w:rsid w:val="002C5AE0"/>
    <w:rsid w:val="002C6F3C"/>
    <w:rsid w:val="002D0E18"/>
    <w:rsid w:val="002E05FE"/>
    <w:rsid w:val="002E0FC6"/>
    <w:rsid w:val="002E35AC"/>
    <w:rsid w:val="002E539E"/>
    <w:rsid w:val="00300E33"/>
    <w:rsid w:val="0030639C"/>
    <w:rsid w:val="0031264D"/>
    <w:rsid w:val="00313113"/>
    <w:rsid w:val="00313E9F"/>
    <w:rsid w:val="0031613F"/>
    <w:rsid w:val="00337798"/>
    <w:rsid w:val="00344C4E"/>
    <w:rsid w:val="00346332"/>
    <w:rsid w:val="00350B81"/>
    <w:rsid w:val="00351772"/>
    <w:rsid w:val="00363343"/>
    <w:rsid w:val="00371C49"/>
    <w:rsid w:val="00373C05"/>
    <w:rsid w:val="00377BE0"/>
    <w:rsid w:val="003970D8"/>
    <w:rsid w:val="003A554C"/>
    <w:rsid w:val="003B3CAE"/>
    <w:rsid w:val="003B3F8C"/>
    <w:rsid w:val="003B53E6"/>
    <w:rsid w:val="003B7D80"/>
    <w:rsid w:val="003B7E30"/>
    <w:rsid w:val="003C2C5A"/>
    <w:rsid w:val="003C4C8D"/>
    <w:rsid w:val="003E7856"/>
    <w:rsid w:val="003F3833"/>
    <w:rsid w:val="003F5031"/>
    <w:rsid w:val="003F6C71"/>
    <w:rsid w:val="00407625"/>
    <w:rsid w:val="004117F6"/>
    <w:rsid w:val="00411EE9"/>
    <w:rsid w:val="0041368D"/>
    <w:rsid w:val="0041392E"/>
    <w:rsid w:val="004173FB"/>
    <w:rsid w:val="0042250D"/>
    <w:rsid w:val="00422B1C"/>
    <w:rsid w:val="00426993"/>
    <w:rsid w:val="004374F6"/>
    <w:rsid w:val="00446253"/>
    <w:rsid w:val="00446A04"/>
    <w:rsid w:val="00446C7B"/>
    <w:rsid w:val="00446DB5"/>
    <w:rsid w:val="004563C4"/>
    <w:rsid w:val="00456A34"/>
    <w:rsid w:val="0046770B"/>
    <w:rsid w:val="004709FE"/>
    <w:rsid w:val="0047100B"/>
    <w:rsid w:val="00484461"/>
    <w:rsid w:val="004940CC"/>
    <w:rsid w:val="004958A6"/>
    <w:rsid w:val="004A548C"/>
    <w:rsid w:val="004D4B28"/>
    <w:rsid w:val="004E1F3B"/>
    <w:rsid w:val="004F2F94"/>
    <w:rsid w:val="004F43F6"/>
    <w:rsid w:val="00504210"/>
    <w:rsid w:val="00506339"/>
    <w:rsid w:val="00507AF1"/>
    <w:rsid w:val="00511144"/>
    <w:rsid w:val="00513F1A"/>
    <w:rsid w:val="00516A93"/>
    <w:rsid w:val="00517214"/>
    <w:rsid w:val="00517A2D"/>
    <w:rsid w:val="005273AA"/>
    <w:rsid w:val="00541868"/>
    <w:rsid w:val="00550483"/>
    <w:rsid w:val="005544BC"/>
    <w:rsid w:val="0055521A"/>
    <w:rsid w:val="00561EAD"/>
    <w:rsid w:val="005630EA"/>
    <w:rsid w:val="0058059F"/>
    <w:rsid w:val="005812FD"/>
    <w:rsid w:val="005854C0"/>
    <w:rsid w:val="005976E6"/>
    <w:rsid w:val="005A37EC"/>
    <w:rsid w:val="005C1126"/>
    <w:rsid w:val="005C17BE"/>
    <w:rsid w:val="005F0AC7"/>
    <w:rsid w:val="00605D7E"/>
    <w:rsid w:val="006136A3"/>
    <w:rsid w:val="006173A5"/>
    <w:rsid w:val="00625788"/>
    <w:rsid w:val="00631968"/>
    <w:rsid w:val="006365D6"/>
    <w:rsid w:val="006525D8"/>
    <w:rsid w:val="006728C3"/>
    <w:rsid w:val="006830FC"/>
    <w:rsid w:val="006900E0"/>
    <w:rsid w:val="00692F9C"/>
    <w:rsid w:val="006A000E"/>
    <w:rsid w:val="006A4713"/>
    <w:rsid w:val="006A6365"/>
    <w:rsid w:val="006A6BF7"/>
    <w:rsid w:val="006B3F3C"/>
    <w:rsid w:val="006B3F69"/>
    <w:rsid w:val="006D51DB"/>
    <w:rsid w:val="006E505E"/>
    <w:rsid w:val="006E554B"/>
    <w:rsid w:val="006F3E82"/>
    <w:rsid w:val="006F4636"/>
    <w:rsid w:val="006F74D3"/>
    <w:rsid w:val="007036CB"/>
    <w:rsid w:val="007037EC"/>
    <w:rsid w:val="00710100"/>
    <w:rsid w:val="00712DA5"/>
    <w:rsid w:val="00717A9D"/>
    <w:rsid w:val="00723754"/>
    <w:rsid w:val="00736AB4"/>
    <w:rsid w:val="00752BF2"/>
    <w:rsid w:val="00754D36"/>
    <w:rsid w:val="00767A01"/>
    <w:rsid w:val="007723BB"/>
    <w:rsid w:val="007934D2"/>
    <w:rsid w:val="007977CA"/>
    <w:rsid w:val="007A1BDF"/>
    <w:rsid w:val="007A4D16"/>
    <w:rsid w:val="007A79BC"/>
    <w:rsid w:val="007B2D30"/>
    <w:rsid w:val="007B7753"/>
    <w:rsid w:val="007D2577"/>
    <w:rsid w:val="007D78DF"/>
    <w:rsid w:val="007E44E7"/>
    <w:rsid w:val="007E4D47"/>
    <w:rsid w:val="007F1C73"/>
    <w:rsid w:val="007F5E96"/>
    <w:rsid w:val="007F6C97"/>
    <w:rsid w:val="007F7661"/>
    <w:rsid w:val="00801EFF"/>
    <w:rsid w:val="00804E38"/>
    <w:rsid w:val="00807E5A"/>
    <w:rsid w:val="008138F8"/>
    <w:rsid w:val="00842DAE"/>
    <w:rsid w:val="0085556A"/>
    <w:rsid w:val="00857488"/>
    <w:rsid w:val="00864893"/>
    <w:rsid w:val="00866D00"/>
    <w:rsid w:val="00872112"/>
    <w:rsid w:val="0087453C"/>
    <w:rsid w:val="0087672C"/>
    <w:rsid w:val="0088197A"/>
    <w:rsid w:val="00881B90"/>
    <w:rsid w:val="00890CE6"/>
    <w:rsid w:val="00892877"/>
    <w:rsid w:val="00892E75"/>
    <w:rsid w:val="00894025"/>
    <w:rsid w:val="00897DE4"/>
    <w:rsid w:val="008A4546"/>
    <w:rsid w:val="008A6DB4"/>
    <w:rsid w:val="008A771D"/>
    <w:rsid w:val="008B378C"/>
    <w:rsid w:val="008C0A0D"/>
    <w:rsid w:val="008C7774"/>
    <w:rsid w:val="008D3B81"/>
    <w:rsid w:val="008D4FBD"/>
    <w:rsid w:val="009042E0"/>
    <w:rsid w:val="00906063"/>
    <w:rsid w:val="00927D94"/>
    <w:rsid w:val="009370F0"/>
    <w:rsid w:val="00947B84"/>
    <w:rsid w:val="00950DA3"/>
    <w:rsid w:val="0095317D"/>
    <w:rsid w:val="00953BB6"/>
    <w:rsid w:val="00956DF6"/>
    <w:rsid w:val="0097714D"/>
    <w:rsid w:val="00981B18"/>
    <w:rsid w:val="00983BB4"/>
    <w:rsid w:val="00996199"/>
    <w:rsid w:val="009A1BAC"/>
    <w:rsid w:val="009B09F0"/>
    <w:rsid w:val="009C6A9D"/>
    <w:rsid w:val="009D480F"/>
    <w:rsid w:val="009D6CA0"/>
    <w:rsid w:val="00A12472"/>
    <w:rsid w:val="00A20722"/>
    <w:rsid w:val="00A249C8"/>
    <w:rsid w:val="00A251F4"/>
    <w:rsid w:val="00A41C25"/>
    <w:rsid w:val="00A43EB2"/>
    <w:rsid w:val="00A54757"/>
    <w:rsid w:val="00A60F59"/>
    <w:rsid w:val="00A70DE4"/>
    <w:rsid w:val="00A9065B"/>
    <w:rsid w:val="00A90F73"/>
    <w:rsid w:val="00AB03CF"/>
    <w:rsid w:val="00AC01F1"/>
    <w:rsid w:val="00AC274D"/>
    <w:rsid w:val="00AD03EE"/>
    <w:rsid w:val="00AD099E"/>
    <w:rsid w:val="00AD670B"/>
    <w:rsid w:val="00B02557"/>
    <w:rsid w:val="00B035E0"/>
    <w:rsid w:val="00B10341"/>
    <w:rsid w:val="00B164AE"/>
    <w:rsid w:val="00B17FF4"/>
    <w:rsid w:val="00B2131D"/>
    <w:rsid w:val="00B26BBB"/>
    <w:rsid w:val="00B273C3"/>
    <w:rsid w:val="00B279B7"/>
    <w:rsid w:val="00B30946"/>
    <w:rsid w:val="00B342A1"/>
    <w:rsid w:val="00B37BFE"/>
    <w:rsid w:val="00B503D5"/>
    <w:rsid w:val="00B50F11"/>
    <w:rsid w:val="00B51392"/>
    <w:rsid w:val="00B53EDE"/>
    <w:rsid w:val="00B6381B"/>
    <w:rsid w:val="00B73255"/>
    <w:rsid w:val="00B803DC"/>
    <w:rsid w:val="00B8113E"/>
    <w:rsid w:val="00B865EB"/>
    <w:rsid w:val="00B92D5F"/>
    <w:rsid w:val="00B940C2"/>
    <w:rsid w:val="00B9711C"/>
    <w:rsid w:val="00BA2CD3"/>
    <w:rsid w:val="00BA72AB"/>
    <w:rsid w:val="00BB06D9"/>
    <w:rsid w:val="00BB122F"/>
    <w:rsid w:val="00BC0116"/>
    <w:rsid w:val="00BC1C2E"/>
    <w:rsid w:val="00BC1C2F"/>
    <w:rsid w:val="00BD09A5"/>
    <w:rsid w:val="00BD4850"/>
    <w:rsid w:val="00BE2A24"/>
    <w:rsid w:val="00C03F66"/>
    <w:rsid w:val="00C04248"/>
    <w:rsid w:val="00C06393"/>
    <w:rsid w:val="00C12395"/>
    <w:rsid w:val="00C179D7"/>
    <w:rsid w:val="00C252C3"/>
    <w:rsid w:val="00C32BBC"/>
    <w:rsid w:val="00C42858"/>
    <w:rsid w:val="00C4689C"/>
    <w:rsid w:val="00C51045"/>
    <w:rsid w:val="00C5482B"/>
    <w:rsid w:val="00C5553A"/>
    <w:rsid w:val="00C61EA2"/>
    <w:rsid w:val="00C63D87"/>
    <w:rsid w:val="00C84041"/>
    <w:rsid w:val="00C853C5"/>
    <w:rsid w:val="00C85E21"/>
    <w:rsid w:val="00C96A15"/>
    <w:rsid w:val="00CA0AB8"/>
    <w:rsid w:val="00CC0C38"/>
    <w:rsid w:val="00CC103B"/>
    <w:rsid w:val="00CC10EC"/>
    <w:rsid w:val="00CC46E8"/>
    <w:rsid w:val="00CD068E"/>
    <w:rsid w:val="00CD2A1B"/>
    <w:rsid w:val="00CE1365"/>
    <w:rsid w:val="00CF2623"/>
    <w:rsid w:val="00D14E58"/>
    <w:rsid w:val="00D214A1"/>
    <w:rsid w:val="00D217CE"/>
    <w:rsid w:val="00D2531E"/>
    <w:rsid w:val="00D26A02"/>
    <w:rsid w:val="00D300EE"/>
    <w:rsid w:val="00D3792E"/>
    <w:rsid w:val="00D45EE0"/>
    <w:rsid w:val="00D46C80"/>
    <w:rsid w:val="00D5089E"/>
    <w:rsid w:val="00D52232"/>
    <w:rsid w:val="00D630AA"/>
    <w:rsid w:val="00D72CB2"/>
    <w:rsid w:val="00D754E5"/>
    <w:rsid w:val="00D91990"/>
    <w:rsid w:val="00DA5032"/>
    <w:rsid w:val="00DB64A0"/>
    <w:rsid w:val="00DD1DE0"/>
    <w:rsid w:val="00DE27C7"/>
    <w:rsid w:val="00DF0D9D"/>
    <w:rsid w:val="00DF780C"/>
    <w:rsid w:val="00E040DA"/>
    <w:rsid w:val="00E045CC"/>
    <w:rsid w:val="00E06BFB"/>
    <w:rsid w:val="00E07065"/>
    <w:rsid w:val="00E10489"/>
    <w:rsid w:val="00E1255A"/>
    <w:rsid w:val="00E17589"/>
    <w:rsid w:val="00E405A2"/>
    <w:rsid w:val="00E421E9"/>
    <w:rsid w:val="00E43FA4"/>
    <w:rsid w:val="00E446E7"/>
    <w:rsid w:val="00E510C9"/>
    <w:rsid w:val="00E5237E"/>
    <w:rsid w:val="00E5345F"/>
    <w:rsid w:val="00E57A90"/>
    <w:rsid w:val="00E61319"/>
    <w:rsid w:val="00E64553"/>
    <w:rsid w:val="00E75AF9"/>
    <w:rsid w:val="00E86166"/>
    <w:rsid w:val="00E97185"/>
    <w:rsid w:val="00EA7D83"/>
    <w:rsid w:val="00EB025F"/>
    <w:rsid w:val="00EB4DBB"/>
    <w:rsid w:val="00EC2B7B"/>
    <w:rsid w:val="00EC4AA4"/>
    <w:rsid w:val="00EC5719"/>
    <w:rsid w:val="00EC63AC"/>
    <w:rsid w:val="00EC6BCF"/>
    <w:rsid w:val="00ED3846"/>
    <w:rsid w:val="00EE30BF"/>
    <w:rsid w:val="00EF6124"/>
    <w:rsid w:val="00F01077"/>
    <w:rsid w:val="00F02120"/>
    <w:rsid w:val="00F138B2"/>
    <w:rsid w:val="00F14385"/>
    <w:rsid w:val="00F1670E"/>
    <w:rsid w:val="00F17E8F"/>
    <w:rsid w:val="00F202AA"/>
    <w:rsid w:val="00F22451"/>
    <w:rsid w:val="00F30E1D"/>
    <w:rsid w:val="00F3147D"/>
    <w:rsid w:val="00F3275E"/>
    <w:rsid w:val="00F34D7F"/>
    <w:rsid w:val="00F4019D"/>
    <w:rsid w:val="00F433AE"/>
    <w:rsid w:val="00F54B0A"/>
    <w:rsid w:val="00F5625E"/>
    <w:rsid w:val="00F70E3F"/>
    <w:rsid w:val="00F807A1"/>
    <w:rsid w:val="00F939D7"/>
    <w:rsid w:val="00FA0701"/>
    <w:rsid w:val="00FA3F48"/>
    <w:rsid w:val="00FB3799"/>
    <w:rsid w:val="00FB55FC"/>
    <w:rsid w:val="00FB58C2"/>
    <w:rsid w:val="00FB60DC"/>
    <w:rsid w:val="00FD1452"/>
    <w:rsid w:val="00FE6F8E"/>
    <w:rsid w:val="00FF263A"/>
    <w:rsid w:val="00FF5B12"/>
    <w:rsid w:val="00FF5F2B"/>
    <w:rsid w:val="00FF6A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AD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semiHidden="0" w:unhideWhenUsed="0" w:qFormat="1"/>
    <w:lsdException w:name="Lis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F0459"/>
    <w:pPr>
      <w:widowControl w:val="0"/>
      <w:suppressAutoHyphens/>
    </w:pPr>
    <w:rPr>
      <w:rFonts w:ascii="Times New Roman" w:hAnsi="Times New Roman"/>
      <w:kern w:val="1"/>
      <w:sz w:val="24"/>
      <w:szCs w:val="24"/>
      <w:lang w:val="de-AT" w:eastAsia="hi-I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uiPriority w:val="99"/>
    <w:pPr>
      <w:keepNext/>
      <w:spacing w:before="240" w:after="120"/>
    </w:pPr>
    <w:rPr>
      <w:rFonts w:ascii="Arial" w:hAnsi="Arial" w:cs="Arial"/>
      <w:sz w:val="28"/>
      <w:szCs w:val="28"/>
    </w:rPr>
  </w:style>
  <w:style w:type="paragraph" w:styleId="Textkrper">
    <w:name w:val="Body Text"/>
    <w:basedOn w:val="Standard"/>
    <w:link w:val="TextkrperZchn"/>
    <w:uiPriority w:val="99"/>
    <w:pPr>
      <w:spacing w:after="120"/>
    </w:pPr>
  </w:style>
  <w:style w:type="character" w:customStyle="1" w:styleId="TextkrperZchn">
    <w:name w:val="Textkörper Zchn"/>
    <w:link w:val="Textkrper"/>
    <w:uiPriority w:val="99"/>
    <w:semiHidden/>
    <w:rsid w:val="007E44E7"/>
    <w:rPr>
      <w:rFonts w:ascii="Times New Roman" w:hAnsi="Times New Roman" w:cs="Mangal"/>
      <w:kern w:val="1"/>
      <w:sz w:val="24"/>
      <w:szCs w:val="21"/>
      <w:lang w:val="de-AT" w:eastAsia="hi-IN" w:bidi="hi-IN"/>
    </w:rPr>
  </w:style>
  <w:style w:type="paragraph" w:styleId="Liste">
    <w:name w:val="List"/>
    <w:basedOn w:val="Textkrper"/>
    <w:uiPriority w:val="99"/>
  </w:style>
  <w:style w:type="paragraph" w:styleId="Beschriftung">
    <w:name w:val="caption"/>
    <w:basedOn w:val="Standard"/>
    <w:uiPriority w:val="99"/>
    <w:qFormat/>
    <w:pPr>
      <w:suppressLineNumbers/>
      <w:spacing w:before="120" w:after="120"/>
    </w:pPr>
    <w:rPr>
      <w:i/>
      <w:iCs/>
    </w:rPr>
  </w:style>
  <w:style w:type="paragraph" w:customStyle="1" w:styleId="Verzeichnis">
    <w:name w:val="Verzeichnis"/>
    <w:basedOn w:val="Standard"/>
    <w:uiPriority w:val="99"/>
    <w:pPr>
      <w:suppressLineNumbers/>
    </w:pPr>
  </w:style>
  <w:style w:type="paragraph" w:styleId="Kopfzeile">
    <w:name w:val="header"/>
    <w:basedOn w:val="Standard"/>
    <w:link w:val="KopfzeileZchn"/>
    <w:uiPriority w:val="99"/>
    <w:pPr>
      <w:suppressLineNumbers/>
      <w:tabs>
        <w:tab w:val="center" w:pos="4819"/>
        <w:tab w:val="right" w:pos="9638"/>
      </w:tabs>
    </w:pPr>
  </w:style>
  <w:style w:type="character" w:customStyle="1" w:styleId="KopfzeileZchn">
    <w:name w:val="Kopfzeile Zchn"/>
    <w:link w:val="Kopfzeile"/>
    <w:uiPriority w:val="99"/>
    <w:semiHidden/>
    <w:rsid w:val="007E44E7"/>
    <w:rPr>
      <w:rFonts w:ascii="Times New Roman" w:hAnsi="Times New Roman" w:cs="Mangal"/>
      <w:kern w:val="1"/>
      <w:sz w:val="24"/>
      <w:szCs w:val="21"/>
      <w:lang w:val="de-AT" w:eastAsia="hi-IN" w:bidi="hi-IN"/>
    </w:rPr>
  </w:style>
  <w:style w:type="paragraph" w:customStyle="1" w:styleId="TabellenInhalt">
    <w:name w:val="Tabellen Inhalt"/>
    <w:basedOn w:val="Standard"/>
    <w:uiPriority w:val="99"/>
    <w:pPr>
      <w:suppressLineNumbers/>
    </w:pPr>
  </w:style>
  <w:style w:type="paragraph" w:styleId="Fuzeile">
    <w:name w:val="footer"/>
    <w:basedOn w:val="Standard"/>
    <w:link w:val="FuzeileZchn"/>
    <w:uiPriority w:val="99"/>
    <w:unhideWhenUsed/>
    <w:rsid w:val="00B9711C"/>
    <w:pPr>
      <w:tabs>
        <w:tab w:val="center" w:pos="4536"/>
        <w:tab w:val="right" w:pos="9072"/>
      </w:tabs>
    </w:pPr>
    <w:rPr>
      <w:rFonts w:cs="Mangal"/>
      <w:szCs w:val="21"/>
    </w:rPr>
  </w:style>
  <w:style w:type="character" w:customStyle="1" w:styleId="FuzeileZchn">
    <w:name w:val="Fußzeile Zchn"/>
    <w:link w:val="Fuzeile"/>
    <w:uiPriority w:val="99"/>
    <w:rsid w:val="00B9711C"/>
    <w:rPr>
      <w:rFonts w:ascii="Times New Roman" w:hAnsi="Times New Roman" w:cs="Mangal"/>
      <w:kern w:val="1"/>
      <w:sz w:val="24"/>
      <w:szCs w:val="21"/>
      <w:lang w:val="de-AT" w:eastAsia="hi-IN" w:bidi="hi-IN"/>
    </w:rPr>
  </w:style>
  <w:style w:type="character" w:styleId="Kommentarzeichen">
    <w:name w:val="annotation reference"/>
    <w:basedOn w:val="Absatz-Standardschriftart"/>
    <w:uiPriority w:val="99"/>
    <w:semiHidden/>
    <w:unhideWhenUsed/>
    <w:rsid w:val="004958A6"/>
    <w:rPr>
      <w:sz w:val="16"/>
      <w:szCs w:val="16"/>
    </w:rPr>
  </w:style>
  <w:style w:type="paragraph" w:styleId="Kommentartext">
    <w:name w:val="annotation text"/>
    <w:basedOn w:val="Standard"/>
    <w:link w:val="KommentartextZchn"/>
    <w:uiPriority w:val="99"/>
    <w:semiHidden/>
    <w:unhideWhenUsed/>
    <w:rsid w:val="004958A6"/>
    <w:rPr>
      <w:rFonts w:cs="Mangal"/>
      <w:sz w:val="20"/>
      <w:szCs w:val="18"/>
    </w:rPr>
  </w:style>
  <w:style w:type="character" w:customStyle="1" w:styleId="KommentartextZchn">
    <w:name w:val="Kommentartext Zchn"/>
    <w:basedOn w:val="Absatz-Standardschriftart"/>
    <w:link w:val="Kommentartext"/>
    <w:uiPriority w:val="99"/>
    <w:semiHidden/>
    <w:rsid w:val="004958A6"/>
    <w:rPr>
      <w:rFonts w:ascii="Times New Roman" w:hAnsi="Times New Roman" w:cs="Mangal"/>
      <w:kern w:val="1"/>
      <w:szCs w:val="18"/>
      <w:lang w:val="de-AT" w:eastAsia="hi-IN" w:bidi="hi-IN"/>
    </w:rPr>
  </w:style>
  <w:style w:type="paragraph" w:styleId="Kommentarthema">
    <w:name w:val="annotation subject"/>
    <w:basedOn w:val="Kommentartext"/>
    <w:next w:val="Kommentartext"/>
    <w:link w:val="KommentarthemaZchn"/>
    <w:uiPriority w:val="99"/>
    <w:semiHidden/>
    <w:unhideWhenUsed/>
    <w:rsid w:val="004958A6"/>
    <w:rPr>
      <w:b/>
      <w:bCs/>
    </w:rPr>
  </w:style>
  <w:style w:type="character" w:customStyle="1" w:styleId="KommentarthemaZchn">
    <w:name w:val="Kommentarthema Zchn"/>
    <w:basedOn w:val="KommentartextZchn"/>
    <w:link w:val="Kommentarthema"/>
    <w:uiPriority w:val="99"/>
    <w:semiHidden/>
    <w:rsid w:val="004958A6"/>
    <w:rPr>
      <w:rFonts w:ascii="Times New Roman" w:hAnsi="Times New Roman" w:cs="Mangal"/>
      <w:b/>
      <w:bCs/>
      <w:kern w:val="1"/>
      <w:szCs w:val="18"/>
      <w:lang w:val="de-AT" w:eastAsia="hi-IN" w:bidi="hi-IN"/>
    </w:rPr>
  </w:style>
  <w:style w:type="paragraph" w:styleId="Sprechblasentext">
    <w:name w:val="Balloon Text"/>
    <w:basedOn w:val="Standard"/>
    <w:link w:val="SprechblasentextZchn"/>
    <w:uiPriority w:val="99"/>
    <w:semiHidden/>
    <w:unhideWhenUsed/>
    <w:rsid w:val="004958A6"/>
    <w:rPr>
      <w:rFonts w:ascii="Tahoma" w:hAnsi="Tahoma" w:cs="Mangal"/>
      <w:sz w:val="16"/>
      <w:szCs w:val="14"/>
    </w:rPr>
  </w:style>
  <w:style w:type="character" w:customStyle="1" w:styleId="SprechblasentextZchn">
    <w:name w:val="Sprechblasentext Zchn"/>
    <w:basedOn w:val="Absatz-Standardschriftart"/>
    <w:link w:val="Sprechblasentext"/>
    <w:uiPriority w:val="99"/>
    <w:semiHidden/>
    <w:rsid w:val="004958A6"/>
    <w:rPr>
      <w:rFonts w:ascii="Tahoma" w:hAnsi="Tahoma" w:cs="Mangal"/>
      <w:kern w:val="1"/>
      <w:sz w:val="16"/>
      <w:szCs w:val="14"/>
      <w:lang w:val="de-AT" w:eastAsia="hi-IN" w:bidi="hi-IN"/>
    </w:rPr>
  </w:style>
  <w:style w:type="paragraph" w:styleId="Listenabsatz">
    <w:name w:val="List Paragraph"/>
    <w:basedOn w:val="Standard"/>
    <w:uiPriority w:val="34"/>
    <w:qFormat/>
    <w:rsid w:val="00D3792E"/>
    <w:pPr>
      <w:ind w:left="720"/>
      <w:contextualSpacing/>
    </w:pPr>
    <w:rPr>
      <w:rFonts w:cs="Mangal"/>
      <w:szCs w:val="21"/>
    </w:rPr>
  </w:style>
  <w:style w:type="character" w:customStyle="1" w:styleId="bibliographic-informationvalue">
    <w:name w:val="bibliographic-information__value"/>
    <w:basedOn w:val="Absatz-Standardschriftart"/>
    <w:rsid w:val="004F2F94"/>
  </w:style>
  <w:style w:type="character" w:styleId="Hyperlink">
    <w:name w:val="Hyperlink"/>
    <w:basedOn w:val="Absatz-Standardschriftart"/>
    <w:uiPriority w:val="99"/>
    <w:unhideWhenUsed/>
    <w:rsid w:val="00511144"/>
    <w:rPr>
      <w:color w:val="0000FF" w:themeColor="hyperlink"/>
      <w:u w:val="single"/>
    </w:rPr>
  </w:style>
  <w:style w:type="paragraph" w:styleId="StandardWeb">
    <w:name w:val="Normal (Web)"/>
    <w:basedOn w:val="Standard"/>
    <w:uiPriority w:val="99"/>
    <w:semiHidden/>
    <w:unhideWhenUsed/>
    <w:rsid w:val="00983BB4"/>
    <w:pPr>
      <w:widowControl/>
      <w:suppressAutoHyphens w:val="0"/>
      <w:spacing w:before="100" w:beforeAutospacing="1" w:after="100" w:afterAutospacing="1"/>
    </w:pPr>
    <w:rPr>
      <w:kern w:val="0"/>
      <w:lang w:val="de-DE" w:eastAsia="de-DE" w:bidi="ar-SA"/>
    </w:rPr>
  </w:style>
  <w:style w:type="paragraph" w:customStyle="1" w:styleId="MDPI51figurecaption">
    <w:name w:val="MDPI_5.1_figure_caption"/>
    <w:qFormat/>
    <w:rsid w:val="00517214"/>
    <w:pPr>
      <w:adjustRightInd w:val="0"/>
      <w:snapToGrid w:val="0"/>
      <w:spacing w:before="120" w:after="240" w:line="260" w:lineRule="atLeast"/>
      <w:ind w:left="425" w:right="425"/>
      <w:jc w:val="both"/>
    </w:pPr>
    <w:rPr>
      <w:rFonts w:ascii="Palatino Linotype" w:hAnsi="Palatino Linotype"/>
      <w:color w:val="000000"/>
      <w:sz w:val="1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semiHidden="0" w:unhideWhenUsed="0" w:qFormat="1"/>
    <w:lsdException w:name="Lis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F0459"/>
    <w:pPr>
      <w:widowControl w:val="0"/>
      <w:suppressAutoHyphens/>
    </w:pPr>
    <w:rPr>
      <w:rFonts w:ascii="Times New Roman" w:hAnsi="Times New Roman"/>
      <w:kern w:val="1"/>
      <w:sz w:val="24"/>
      <w:szCs w:val="24"/>
      <w:lang w:val="de-AT" w:eastAsia="hi-I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uiPriority w:val="99"/>
    <w:pPr>
      <w:keepNext/>
      <w:spacing w:before="240" w:after="120"/>
    </w:pPr>
    <w:rPr>
      <w:rFonts w:ascii="Arial" w:hAnsi="Arial" w:cs="Arial"/>
      <w:sz w:val="28"/>
      <w:szCs w:val="28"/>
    </w:rPr>
  </w:style>
  <w:style w:type="paragraph" w:styleId="Textkrper">
    <w:name w:val="Body Text"/>
    <w:basedOn w:val="Standard"/>
    <w:link w:val="TextkrperZchn"/>
    <w:uiPriority w:val="99"/>
    <w:pPr>
      <w:spacing w:after="120"/>
    </w:pPr>
  </w:style>
  <w:style w:type="character" w:customStyle="1" w:styleId="TextkrperZchn">
    <w:name w:val="Textkörper Zchn"/>
    <w:link w:val="Textkrper"/>
    <w:uiPriority w:val="99"/>
    <w:semiHidden/>
    <w:rsid w:val="007E44E7"/>
    <w:rPr>
      <w:rFonts w:ascii="Times New Roman" w:hAnsi="Times New Roman" w:cs="Mangal"/>
      <w:kern w:val="1"/>
      <w:sz w:val="24"/>
      <w:szCs w:val="21"/>
      <w:lang w:val="de-AT" w:eastAsia="hi-IN" w:bidi="hi-IN"/>
    </w:rPr>
  </w:style>
  <w:style w:type="paragraph" w:styleId="Liste">
    <w:name w:val="List"/>
    <w:basedOn w:val="Textkrper"/>
    <w:uiPriority w:val="99"/>
  </w:style>
  <w:style w:type="paragraph" w:styleId="Beschriftung">
    <w:name w:val="caption"/>
    <w:basedOn w:val="Standard"/>
    <w:uiPriority w:val="99"/>
    <w:qFormat/>
    <w:pPr>
      <w:suppressLineNumbers/>
      <w:spacing w:before="120" w:after="120"/>
    </w:pPr>
    <w:rPr>
      <w:i/>
      <w:iCs/>
    </w:rPr>
  </w:style>
  <w:style w:type="paragraph" w:customStyle="1" w:styleId="Verzeichnis">
    <w:name w:val="Verzeichnis"/>
    <w:basedOn w:val="Standard"/>
    <w:uiPriority w:val="99"/>
    <w:pPr>
      <w:suppressLineNumbers/>
    </w:pPr>
  </w:style>
  <w:style w:type="paragraph" w:styleId="Kopfzeile">
    <w:name w:val="header"/>
    <w:basedOn w:val="Standard"/>
    <w:link w:val="KopfzeileZchn"/>
    <w:uiPriority w:val="99"/>
    <w:pPr>
      <w:suppressLineNumbers/>
      <w:tabs>
        <w:tab w:val="center" w:pos="4819"/>
        <w:tab w:val="right" w:pos="9638"/>
      </w:tabs>
    </w:pPr>
  </w:style>
  <w:style w:type="character" w:customStyle="1" w:styleId="KopfzeileZchn">
    <w:name w:val="Kopfzeile Zchn"/>
    <w:link w:val="Kopfzeile"/>
    <w:uiPriority w:val="99"/>
    <w:semiHidden/>
    <w:rsid w:val="007E44E7"/>
    <w:rPr>
      <w:rFonts w:ascii="Times New Roman" w:hAnsi="Times New Roman" w:cs="Mangal"/>
      <w:kern w:val="1"/>
      <w:sz w:val="24"/>
      <w:szCs w:val="21"/>
      <w:lang w:val="de-AT" w:eastAsia="hi-IN" w:bidi="hi-IN"/>
    </w:rPr>
  </w:style>
  <w:style w:type="paragraph" w:customStyle="1" w:styleId="TabellenInhalt">
    <w:name w:val="Tabellen Inhalt"/>
    <w:basedOn w:val="Standard"/>
    <w:uiPriority w:val="99"/>
    <w:pPr>
      <w:suppressLineNumbers/>
    </w:pPr>
  </w:style>
  <w:style w:type="paragraph" w:styleId="Fuzeile">
    <w:name w:val="footer"/>
    <w:basedOn w:val="Standard"/>
    <w:link w:val="FuzeileZchn"/>
    <w:uiPriority w:val="99"/>
    <w:unhideWhenUsed/>
    <w:rsid w:val="00B9711C"/>
    <w:pPr>
      <w:tabs>
        <w:tab w:val="center" w:pos="4536"/>
        <w:tab w:val="right" w:pos="9072"/>
      </w:tabs>
    </w:pPr>
    <w:rPr>
      <w:rFonts w:cs="Mangal"/>
      <w:szCs w:val="21"/>
    </w:rPr>
  </w:style>
  <w:style w:type="character" w:customStyle="1" w:styleId="FuzeileZchn">
    <w:name w:val="Fußzeile Zchn"/>
    <w:link w:val="Fuzeile"/>
    <w:uiPriority w:val="99"/>
    <w:rsid w:val="00B9711C"/>
    <w:rPr>
      <w:rFonts w:ascii="Times New Roman" w:hAnsi="Times New Roman" w:cs="Mangal"/>
      <w:kern w:val="1"/>
      <w:sz w:val="24"/>
      <w:szCs w:val="21"/>
      <w:lang w:val="de-AT" w:eastAsia="hi-IN" w:bidi="hi-IN"/>
    </w:rPr>
  </w:style>
  <w:style w:type="character" w:styleId="Kommentarzeichen">
    <w:name w:val="annotation reference"/>
    <w:basedOn w:val="Absatz-Standardschriftart"/>
    <w:uiPriority w:val="99"/>
    <w:semiHidden/>
    <w:unhideWhenUsed/>
    <w:rsid w:val="004958A6"/>
    <w:rPr>
      <w:sz w:val="16"/>
      <w:szCs w:val="16"/>
    </w:rPr>
  </w:style>
  <w:style w:type="paragraph" w:styleId="Kommentartext">
    <w:name w:val="annotation text"/>
    <w:basedOn w:val="Standard"/>
    <w:link w:val="KommentartextZchn"/>
    <w:uiPriority w:val="99"/>
    <w:semiHidden/>
    <w:unhideWhenUsed/>
    <w:rsid w:val="004958A6"/>
    <w:rPr>
      <w:rFonts w:cs="Mangal"/>
      <w:sz w:val="20"/>
      <w:szCs w:val="18"/>
    </w:rPr>
  </w:style>
  <w:style w:type="character" w:customStyle="1" w:styleId="KommentartextZchn">
    <w:name w:val="Kommentartext Zchn"/>
    <w:basedOn w:val="Absatz-Standardschriftart"/>
    <w:link w:val="Kommentartext"/>
    <w:uiPriority w:val="99"/>
    <w:semiHidden/>
    <w:rsid w:val="004958A6"/>
    <w:rPr>
      <w:rFonts w:ascii="Times New Roman" w:hAnsi="Times New Roman" w:cs="Mangal"/>
      <w:kern w:val="1"/>
      <w:szCs w:val="18"/>
      <w:lang w:val="de-AT" w:eastAsia="hi-IN" w:bidi="hi-IN"/>
    </w:rPr>
  </w:style>
  <w:style w:type="paragraph" w:styleId="Kommentarthema">
    <w:name w:val="annotation subject"/>
    <w:basedOn w:val="Kommentartext"/>
    <w:next w:val="Kommentartext"/>
    <w:link w:val="KommentarthemaZchn"/>
    <w:uiPriority w:val="99"/>
    <w:semiHidden/>
    <w:unhideWhenUsed/>
    <w:rsid w:val="004958A6"/>
    <w:rPr>
      <w:b/>
      <w:bCs/>
    </w:rPr>
  </w:style>
  <w:style w:type="character" w:customStyle="1" w:styleId="KommentarthemaZchn">
    <w:name w:val="Kommentarthema Zchn"/>
    <w:basedOn w:val="KommentartextZchn"/>
    <w:link w:val="Kommentarthema"/>
    <w:uiPriority w:val="99"/>
    <w:semiHidden/>
    <w:rsid w:val="004958A6"/>
    <w:rPr>
      <w:rFonts w:ascii="Times New Roman" w:hAnsi="Times New Roman" w:cs="Mangal"/>
      <w:b/>
      <w:bCs/>
      <w:kern w:val="1"/>
      <w:szCs w:val="18"/>
      <w:lang w:val="de-AT" w:eastAsia="hi-IN" w:bidi="hi-IN"/>
    </w:rPr>
  </w:style>
  <w:style w:type="paragraph" w:styleId="Sprechblasentext">
    <w:name w:val="Balloon Text"/>
    <w:basedOn w:val="Standard"/>
    <w:link w:val="SprechblasentextZchn"/>
    <w:uiPriority w:val="99"/>
    <w:semiHidden/>
    <w:unhideWhenUsed/>
    <w:rsid w:val="004958A6"/>
    <w:rPr>
      <w:rFonts w:ascii="Tahoma" w:hAnsi="Tahoma" w:cs="Mangal"/>
      <w:sz w:val="16"/>
      <w:szCs w:val="14"/>
    </w:rPr>
  </w:style>
  <w:style w:type="character" w:customStyle="1" w:styleId="SprechblasentextZchn">
    <w:name w:val="Sprechblasentext Zchn"/>
    <w:basedOn w:val="Absatz-Standardschriftart"/>
    <w:link w:val="Sprechblasentext"/>
    <w:uiPriority w:val="99"/>
    <w:semiHidden/>
    <w:rsid w:val="004958A6"/>
    <w:rPr>
      <w:rFonts w:ascii="Tahoma" w:hAnsi="Tahoma" w:cs="Mangal"/>
      <w:kern w:val="1"/>
      <w:sz w:val="16"/>
      <w:szCs w:val="14"/>
      <w:lang w:val="de-AT" w:eastAsia="hi-IN" w:bidi="hi-IN"/>
    </w:rPr>
  </w:style>
  <w:style w:type="paragraph" w:styleId="Listenabsatz">
    <w:name w:val="List Paragraph"/>
    <w:basedOn w:val="Standard"/>
    <w:uiPriority w:val="34"/>
    <w:qFormat/>
    <w:rsid w:val="00D3792E"/>
    <w:pPr>
      <w:ind w:left="720"/>
      <w:contextualSpacing/>
    </w:pPr>
    <w:rPr>
      <w:rFonts w:cs="Mangal"/>
      <w:szCs w:val="21"/>
    </w:rPr>
  </w:style>
  <w:style w:type="character" w:customStyle="1" w:styleId="bibliographic-informationvalue">
    <w:name w:val="bibliographic-information__value"/>
    <w:basedOn w:val="Absatz-Standardschriftart"/>
    <w:rsid w:val="004F2F94"/>
  </w:style>
  <w:style w:type="character" w:styleId="Hyperlink">
    <w:name w:val="Hyperlink"/>
    <w:basedOn w:val="Absatz-Standardschriftart"/>
    <w:uiPriority w:val="99"/>
    <w:unhideWhenUsed/>
    <w:rsid w:val="00511144"/>
    <w:rPr>
      <w:color w:val="0000FF" w:themeColor="hyperlink"/>
      <w:u w:val="single"/>
    </w:rPr>
  </w:style>
  <w:style w:type="paragraph" w:styleId="StandardWeb">
    <w:name w:val="Normal (Web)"/>
    <w:basedOn w:val="Standard"/>
    <w:uiPriority w:val="99"/>
    <w:semiHidden/>
    <w:unhideWhenUsed/>
    <w:rsid w:val="00983BB4"/>
    <w:pPr>
      <w:widowControl/>
      <w:suppressAutoHyphens w:val="0"/>
      <w:spacing w:before="100" w:beforeAutospacing="1" w:after="100" w:afterAutospacing="1"/>
    </w:pPr>
    <w:rPr>
      <w:kern w:val="0"/>
      <w:lang w:val="de-DE" w:eastAsia="de-DE" w:bidi="ar-SA"/>
    </w:rPr>
  </w:style>
  <w:style w:type="paragraph" w:customStyle="1" w:styleId="MDPI51figurecaption">
    <w:name w:val="MDPI_5.1_figure_caption"/>
    <w:qFormat/>
    <w:rsid w:val="00517214"/>
    <w:pPr>
      <w:adjustRightInd w:val="0"/>
      <w:snapToGrid w:val="0"/>
      <w:spacing w:before="120" w:after="240" w:line="260" w:lineRule="atLeast"/>
      <w:ind w:left="425" w:right="425"/>
      <w:jc w:val="both"/>
    </w:pPr>
    <w:rPr>
      <w:rFonts w:ascii="Palatino Linotype" w:hAnsi="Palatino Linotype"/>
      <w:color w:val="000000"/>
      <w:sz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033225">
      <w:bodyDiv w:val="1"/>
      <w:marLeft w:val="0"/>
      <w:marRight w:val="0"/>
      <w:marTop w:val="0"/>
      <w:marBottom w:val="0"/>
      <w:divBdr>
        <w:top w:val="none" w:sz="0" w:space="0" w:color="auto"/>
        <w:left w:val="none" w:sz="0" w:space="0" w:color="auto"/>
        <w:bottom w:val="none" w:sz="0" w:space="0" w:color="auto"/>
        <w:right w:val="none" w:sz="0" w:space="0" w:color="auto"/>
      </w:divBdr>
    </w:div>
    <w:div w:id="1027175411">
      <w:bodyDiv w:val="1"/>
      <w:marLeft w:val="0"/>
      <w:marRight w:val="0"/>
      <w:marTop w:val="0"/>
      <w:marBottom w:val="0"/>
      <w:divBdr>
        <w:top w:val="none" w:sz="0" w:space="0" w:color="auto"/>
        <w:left w:val="none" w:sz="0" w:space="0" w:color="auto"/>
        <w:bottom w:val="none" w:sz="0" w:space="0" w:color="auto"/>
        <w:right w:val="none" w:sz="0" w:space="0" w:color="auto"/>
      </w:divBdr>
    </w:div>
    <w:div w:id="1248419949">
      <w:bodyDiv w:val="1"/>
      <w:marLeft w:val="0"/>
      <w:marRight w:val="0"/>
      <w:marTop w:val="0"/>
      <w:marBottom w:val="0"/>
      <w:divBdr>
        <w:top w:val="none" w:sz="0" w:space="0" w:color="auto"/>
        <w:left w:val="none" w:sz="0" w:space="0" w:color="auto"/>
        <w:bottom w:val="none" w:sz="0" w:space="0" w:color="auto"/>
        <w:right w:val="none" w:sz="0" w:space="0" w:color="auto"/>
      </w:divBdr>
    </w:div>
    <w:div w:id="1298534813">
      <w:bodyDiv w:val="1"/>
      <w:marLeft w:val="0"/>
      <w:marRight w:val="0"/>
      <w:marTop w:val="0"/>
      <w:marBottom w:val="0"/>
      <w:divBdr>
        <w:top w:val="none" w:sz="0" w:space="0" w:color="auto"/>
        <w:left w:val="none" w:sz="0" w:space="0" w:color="auto"/>
        <w:bottom w:val="none" w:sz="0" w:space="0" w:color="auto"/>
        <w:right w:val="none" w:sz="0" w:space="0" w:color="auto"/>
      </w:divBdr>
    </w:div>
    <w:div w:id="1301836948">
      <w:bodyDiv w:val="1"/>
      <w:marLeft w:val="0"/>
      <w:marRight w:val="0"/>
      <w:marTop w:val="0"/>
      <w:marBottom w:val="0"/>
      <w:divBdr>
        <w:top w:val="none" w:sz="0" w:space="0" w:color="auto"/>
        <w:left w:val="none" w:sz="0" w:space="0" w:color="auto"/>
        <w:bottom w:val="none" w:sz="0" w:space="0" w:color="auto"/>
        <w:right w:val="none" w:sz="0" w:space="0" w:color="auto"/>
      </w:divBdr>
    </w:div>
    <w:div w:id="17192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1EA68-B534-4682-931C-1255B5661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3107</Words>
  <Characters>19578</Characters>
  <Application>Microsoft Office Word</Application>
  <DocSecurity>0</DocSecurity>
  <Lines>163</Lines>
  <Paragraphs>45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[INST_NAME]</vt:lpstr>
      <vt:lpstr>[INST_NAME]</vt:lpstr>
    </vt:vector>
  </TitlesOfParts>
  <Company>ZID</Company>
  <LinksUpToDate>false</LinksUpToDate>
  <CharactersWithSpaces>22640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[INST_NAME]</dc:title>
  <dc:creator>Richard</dc:creator>
  <cp:lastModifiedBy>admin</cp:lastModifiedBy>
  <cp:revision>6</cp:revision>
  <cp:lastPrinted>2017-12-20T14:01:00Z</cp:lastPrinted>
  <dcterms:created xsi:type="dcterms:W3CDTF">2019-09-26T15:18:00Z</dcterms:created>
  <dcterms:modified xsi:type="dcterms:W3CDTF">2019-09-26T19:21:00Z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http://www.zotero.org/styles/bba-reviews-on-cancer</vt:lpwstr>
  </property>
  <property fmtid="{D5CDD505-2E9C-101B-9397-08002B2CF9AE}" pid="3" name="Mendeley Recent Style Name 0_1">
    <vt:lpwstr>BBA - Reviews on Cancer</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http://www.zotero.org/styles/elsevier-harvard2</vt:lpwstr>
  </property>
  <property fmtid="{D5CDD505-2E9C-101B-9397-08002B2CF9AE}" pid="13" name="Mendeley Recent Style Name 5_1">
    <vt:lpwstr>Elsevier - Harvard 2</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http://www.zotero.org/styles/molecules</vt:lpwstr>
  </property>
  <property fmtid="{D5CDD505-2E9C-101B-9397-08002B2CF9AE}" pid="19" name="Mendeley Recent Style Name 8_1">
    <vt:lpwstr>Molecules</vt:lpwstr>
  </property>
  <property fmtid="{D5CDD505-2E9C-101B-9397-08002B2CF9AE}" pid="20" name="Mendeley Recent Style Id 9_1">
    <vt:lpwstr>http://www.zotero.org/styles/trends-in-analytical-chemistry</vt:lpwstr>
  </property>
  <property fmtid="{D5CDD505-2E9C-101B-9397-08002B2CF9AE}" pid="21" name="Mendeley Recent Style Name 9_1">
    <vt:lpwstr>Trends in Analytical Chemistry</vt:lpwstr>
  </property>
  <property fmtid="{D5CDD505-2E9C-101B-9397-08002B2CF9AE}" pid="22" name="Mendeley Document_1">
    <vt:lpwstr>True</vt:lpwstr>
  </property>
  <property fmtid="{D5CDD505-2E9C-101B-9397-08002B2CF9AE}" pid="23" name="Mendeley Unique User Id_1">
    <vt:lpwstr>d0ff5797-514d-30e1-9b53-cd141d5d9cfe</vt:lpwstr>
  </property>
</Properties>
</file>