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79B1A3" w14:textId="77777777" w:rsidR="00CD616C" w:rsidRDefault="00CD616C" w:rsidP="00CD616C">
      <w:pPr>
        <w:rPr>
          <w:b/>
        </w:rPr>
      </w:pPr>
      <w:r>
        <w:rPr>
          <w:b/>
        </w:rPr>
        <w:t>Reviewer 2:</w:t>
      </w:r>
    </w:p>
    <w:p w14:paraId="52A07AA7" w14:textId="77777777" w:rsidR="00CD616C" w:rsidRDefault="00CD616C" w:rsidP="00CD616C">
      <w:pPr>
        <w:rPr>
          <w:shd w:val="clear" w:color="auto" w:fill="F6F6F6"/>
        </w:rPr>
      </w:pPr>
      <w:r>
        <w:t xml:space="preserve">This paper developed a new implementation of MF. This method was applied for </w:t>
      </w:r>
      <w:r>
        <w:rPr>
          <w:shd w:val="clear" w:color="auto" w:fill="F6F6F6"/>
        </w:rPr>
        <w:t>inversing comorbidity association between Alzheimer’s disease (AD) and lung cancer (LC). I have the following concerns:</w:t>
      </w:r>
    </w:p>
    <w:p w14:paraId="718E3A99" w14:textId="77777777" w:rsidR="00CD616C" w:rsidRDefault="00CD616C" w:rsidP="00CD616C">
      <w:pPr>
        <w:rPr>
          <w:shd w:val="clear" w:color="auto" w:fill="F6F6F6"/>
        </w:rPr>
      </w:pPr>
    </w:p>
    <w:p w14:paraId="786AE8EE" w14:textId="1719F560" w:rsidR="00CD616C" w:rsidRDefault="00CD616C" w:rsidP="00CD616C">
      <w:pPr>
        <w:rPr>
          <w:shd w:val="clear" w:color="auto" w:fill="F6F6F6"/>
        </w:rPr>
      </w:pPr>
      <w:r>
        <w:rPr>
          <w:color w:val="0000FF"/>
          <w:shd w:val="clear" w:color="auto" w:fill="F6F6F6"/>
        </w:rPr>
        <w:t xml:space="preserve">We thank the Reviewer for his comments. Below we report the point-by-point answer to his/her questions. </w:t>
      </w:r>
      <w:r>
        <w:rPr>
          <w:color w:val="0000FF"/>
        </w:rPr>
        <w:t xml:space="preserve">Additionally, at </w:t>
      </w:r>
      <w:hyperlink r:id="rId5">
        <w:r>
          <w:rPr>
            <w:color w:val="1155CC"/>
            <w:u w:val="single"/>
          </w:rPr>
          <w:t>https://github.com/agreco92/inverse_comorbidity_MF</w:t>
        </w:r>
      </w:hyperlink>
      <w:r>
        <w:rPr>
          <w:color w:val="0000FF"/>
        </w:rPr>
        <w:t xml:space="preserve"> we now provide the code to run our framework on other datasets.</w:t>
      </w:r>
    </w:p>
    <w:p w14:paraId="3876DB49" w14:textId="77777777" w:rsidR="00CD616C" w:rsidRDefault="00CD616C" w:rsidP="00CD616C">
      <w:pPr>
        <w:rPr>
          <w:shd w:val="clear" w:color="auto" w:fill="F6F6F6"/>
        </w:rPr>
      </w:pPr>
    </w:p>
    <w:p w14:paraId="42C75DDB" w14:textId="77777777" w:rsidR="00CD616C" w:rsidRDefault="00CD616C" w:rsidP="00CD616C">
      <w:pPr>
        <w:rPr>
          <w:color w:val="26282A"/>
        </w:rPr>
      </w:pPr>
      <w:r>
        <w:rPr>
          <w:color w:val="26282A"/>
        </w:rPr>
        <w:t>1. The paper does not explain clearly its advantages with respect to the literature: it is not clear what is the novelty and contributions of the proposed work: does it propose a new method? Or does the novelty only consists in the application? therefore these paper should be discussed</w:t>
      </w:r>
    </w:p>
    <w:p w14:paraId="75686855" w14:textId="77777777" w:rsidR="00CD616C" w:rsidRDefault="00CD616C" w:rsidP="00CD616C">
      <w:pPr>
        <w:numPr>
          <w:ilvl w:val="0"/>
          <w:numId w:val="3"/>
        </w:numPr>
        <w:spacing w:before="240"/>
      </w:pPr>
      <w:r>
        <w:rPr>
          <w:color w:val="26282A"/>
        </w:rPr>
        <w:t xml:space="preserve"> Molecular evidence for the inverse comorbidity between central nervous system disorders and cancers detected by transcriptomic meta-analyses</w:t>
      </w:r>
    </w:p>
    <w:p w14:paraId="4177738C" w14:textId="77777777" w:rsidR="00CD616C" w:rsidRDefault="00CD616C" w:rsidP="00CD616C">
      <w:pPr>
        <w:numPr>
          <w:ilvl w:val="0"/>
          <w:numId w:val="2"/>
        </w:numPr>
      </w:pPr>
      <w:r>
        <w:rPr>
          <w:color w:val="26282A"/>
        </w:rPr>
        <w:t>Molecular Evidence for the Inverse Comorbidity between Central Nervous</w:t>
      </w:r>
    </w:p>
    <w:p w14:paraId="1E98A6A4" w14:textId="77777777" w:rsidR="00CD616C" w:rsidRDefault="00CD616C" w:rsidP="00CD616C">
      <w:pPr>
        <w:numPr>
          <w:ilvl w:val="0"/>
          <w:numId w:val="1"/>
        </w:numPr>
      </w:pPr>
      <w:r>
        <w:rPr>
          <w:color w:val="26282A"/>
        </w:rPr>
        <w:t>Hybrid resampling and multi-feature fusion for automatic recognition of cavity imaging sign in lung CT</w:t>
      </w:r>
    </w:p>
    <w:p w14:paraId="613DA0D1" w14:textId="77777777" w:rsidR="00CD616C" w:rsidRDefault="00CD616C" w:rsidP="00CD616C">
      <w:pPr>
        <w:numPr>
          <w:ilvl w:val="0"/>
          <w:numId w:val="4"/>
        </w:numPr>
        <w:spacing w:after="240"/>
      </w:pPr>
      <w:r>
        <w:rPr>
          <w:color w:val="26282A"/>
        </w:rPr>
        <w:t>Glioma Segmentation Using a Unified Algorithm in Multimodal MRI Images</w:t>
      </w:r>
    </w:p>
    <w:p w14:paraId="144F5775" w14:textId="59E71BD8" w:rsidR="00CD616C" w:rsidRDefault="00CD616C" w:rsidP="00CD616C">
      <w:pPr>
        <w:spacing w:before="240" w:after="240"/>
        <w:rPr>
          <w:color w:val="0000FF"/>
        </w:rPr>
      </w:pPr>
      <w:r>
        <w:rPr>
          <w:color w:val="0000FF"/>
        </w:rPr>
        <w:t>The work proposes an adaptation of a pre-existing method to the study of a new biological problem, that is the study of  Disease-Disease (DD) relationships. The work thus contain</w:t>
      </w:r>
      <w:r w:rsidR="00A40A87">
        <w:rPr>
          <w:color w:val="0000FF"/>
        </w:rPr>
        <w:t>s</w:t>
      </w:r>
      <w:r>
        <w:rPr>
          <w:color w:val="0000FF"/>
        </w:rPr>
        <w:t xml:space="preserve"> novelties both on the methodological and biological side. </w:t>
      </w:r>
    </w:p>
    <w:p w14:paraId="42DADBB3" w14:textId="154ADF80" w:rsidR="00CD616C" w:rsidRDefault="00CD616C" w:rsidP="00CD616C">
      <w:pPr>
        <w:spacing w:before="240" w:after="240"/>
        <w:rPr>
          <w:color w:val="0000FF"/>
        </w:rPr>
      </w:pPr>
      <w:r>
        <w:rPr>
          <w:color w:val="0000FF"/>
        </w:rPr>
        <w:t>Concerning the methodology, in a previous work (</w:t>
      </w:r>
      <w:r w:rsidR="00FF1655" w:rsidRPr="00FF1655">
        <w:rPr>
          <w:color w:val="0000FF"/>
        </w:rPr>
        <w:t>Cantini, Laura, et al. "Assessing reproducibility of matrix factorization methods in independent transcriptomes." (2019).</w:t>
      </w:r>
      <w:r>
        <w:rPr>
          <w:color w:val="0000FF"/>
        </w:rPr>
        <w:t xml:space="preserve">) we designed a metric to infer univocal correspondences between the metagenes obtained by an MF algorithm on multiple independent datasets profiled from the same biological condition (e.g. same cancer tissue), and used this metric to design a methodological framework that revealed relevant pathways characteristic of colorectal cancer. In the current work, we extend this previously defined MF framework for the study of  Disease-Disease (DD) relationships. For example, given the existence of positive and negative DD relationships, we adapted the framework to distinguish molecular relationships concordantly and discordantly altered in datasets coming from different diseases. All the </w:t>
      </w:r>
      <w:r w:rsidR="00AD14BC">
        <w:rPr>
          <w:color w:val="0000FF"/>
        </w:rPr>
        <w:t xml:space="preserve">methodological </w:t>
      </w:r>
      <w:r>
        <w:rPr>
          <w:color w:val="0000FF"/>
        </w:rPr>
        <w:t>novelties introduced to the previous framework are summarized in Figure 1.</w:t>
      </w:r>
    </w:p>
    <w:p w14:paraId="612B44B5" w14:textId="746CF2AF" w:rsidR="00CD616C" w:rsidRDefault="00CD616C" w:rsidP="00CD616C">
      <w:pPr>
        <w:spacing w:before="240" w:after="240"/>
        <w:rPr>
          <w:color w:val="0000FF"/>
        </w:rPr>
      </w:pPr>
      <w:r>
        <w:rPr>
          <w:color w:val="0000FF"/>
        </w:rPr>
        <w:t xml:space="preserve">On the biological side, we instead summarize all the new information we obtained into the </w:t>
      </w:r>
      <w:r w:rsidR="00AD14BC">
        <w:rPr>
          <w:color w:val="0000FF"/>
        </w:rPr>
        <w:t xml:space="preserve">Results </w:t>
      </w:r>
      <w:r>
        <w:rPr>
          <w:color w:val="0000FF"/>
        </w:rPr>
        <w:t xml:space="preserve">section 2.3. </w:t>
      </w:r>
    </w:p>
    <w:p w14:paraId="53F7B60F" w14:textId="34DB982A" w:rsidR="00CD616C" w:rsidRDefault="00CD616C" w:rsidP="00CD616C">
      <w:pPr>
        <w:spacing w:before="240" w:after="240"/>
        <w:rPr>
          <w:color w:val="0000FF"/>
        </w:rPr>
      </w:pPr>
      <w:r>
        <w:rPr>
          <w:color w:val="0000FF"/>
        </w:rPr>
        <w:t xml:space="preserve">Concerning then the advantages of our method in respect to the existing literature, we summarized them in the beginning of the fourth paragraph </w:t>
      </w:r>
      <w:r w:rsidR="00CE34DB">
        <w:rPr>
          <w:color w:val="0000FF"/>
        </w:rPr>
        <w:t>in</w:t>
      </w:r>
      <w:r>
        <w:rPr>
          <w:color w:val="0000FF"/>
        </w:rPr>
        <w:t xml:space="preserve"> the introduction. We have now modified the text to make this point more clear (see line 84):“ Recently, transcriptomic meta-analyses revealed sets of significantly up and down regulated genes that are shared across diseases displaying different patterns of direct and inverse comorbidities [25,26]. We hereby propose to use an MF approach to study the molecular bases of DD relationships. In fact </w:t>
      </w:r>
      <w:r>
        <w:rPr>
          <w:color w:val="0000FF"/>
        </w:rPr>
        <w:lastRenderedPageBreak/>
        <w:t>previous methods based on differential expression analysis only focuses on the predominant signals present in the data, failing to capture alternative signals and local behaviors [3]. These limitations are overcome by MF that learns metagenes, i.e. ranking of genes, without focusing on single sets of predominant genes. Moreover, contrarily to differential expression analysis, MF jointly provides metagenes and metasamples, i.e. also grouping samples together with their biological characterization. However, applying MF to the study of the molecular bases of DD relationships requires innovative adaptations. We thus propose to methodologically extend our previously defined MF framework for the particular study of DD relationships [12]. Moreover, given the existence of positive and negative DD connections, we also adapt the framework to distinguish molecular relationships concordantly and discordantly altered in datasets coming from different diseases. ”</w:t>
      </w:r>
    </w:p>
    <w:p w14:paraId="61104346" w14:textId="7A4FF5E9" w:rsidR="00CD616C" w:rsidRDefault="00CD616C" w:rsidP="00CD616C">
      <w:pPr>
        <w:spacing w:before="240" w:after="240"/>
        <w:rPr>
          <w:color w:val="0000FF"/>
        </w:rPr>
      </w:pPr>
      <w:r>
        <w:rPr>
          <w:color w:val="0000FF"/>
        </w:rPr>
        <w:t xml:space="preserve">Concerning the citations that the Reviewer proposed to add, the first one corresponds to a paper that was already cited in our manuscript (see citation 25 ), and we were not able to identify the second one. We carefully checked the two other papers proposed by the Reviewer (Hybrid resampling and multi-feature fusion for automatic recognition of cavity imaging sign in lung CT; Glioma Segmentation Using a Unified Algorithm in Multimodal MRI Images), but did not identify the relationship with our  work, neither from a biological nor methodological point of view. Indeed, they do not make use of Matrix Factorization and they do not concern AD-LC inverse comorbidity or Disease-Disease relations more in general. </w:t>
      </w:r>
    </w:p>
    <w:p w14:paraId="47F1CEDD" w14:textId="77777777" w:rsidR="00CD616C" w:rsidRDefault="00CD616C" w:rsidP="00CD616C">
      <w:pPr>
        <w:spacing w:before="240" w:after="240"/>
        <w:rPr>
          <w:color w:val="26282A"/>
        </w:rPr>
      </w:pPr>
      <w:r>
        <w:rPr>
          <w:color w:val="26282A"/>
        </w:rPr>
        <w:t>2.  The advantage of the proposed method with respect to other methods in the literature should be clarified.</w:t>
      </w:r>
    </w:p>
    <w:p w14:paraId="2299C67C" w14:textId="77777777" w:rsidR="00CD616C" w:rsidRDefault="00CD616C" w:rsidP="00CD616C">
      <w:pPr>
        <w:spacing w:before="240" w:after="240"/>
        <w:rPr>
          <w:color w:val="0000FF"/>
        </w:rPr>
      </w:pPr>
      <w:r>
        <w:rPr>
          <w:color w:val="0000FF"/>
        </w:rPr>
        <w:t>As mentioned above, such advantages are already mentioned in the fourth paragraph of the introduction: “ Recently, transcriptomic meta-analyses revealed sets of significantly up and down regulated genes that are shared across diseases displaying different patterns of direct and inverse comorbidities [25,26]. However, differential expression analysis only focuses on the predominant signals present in the data, failing to capture alternative signals and local behaviors [3]. These limitations are overcome by MF that learns metagenes, i.e. ranking of genes, without focusing on single sets of predominant genes. Moreover, contrarily to differential expression analysis, MF jointly provides metagenes and metasamples, i.e. also grouping samples together with their biological characterization. We hereby propose to use an MF approach to study the molecular bases of DD relationships. This, however, requires innovative adaptations. ”</w:t>
      </w:r>
    </w:p>
    <w:p w14:paraId="0060407E" w14:textId="77777777" w:rsidR="00CD616C" w:rsidRDefault="00CD616C" w:rsidP="00CD616C">
      <w:pPr>
        <w:spacing w:before="240" w:after="240"/>
        <w:rPr>
          <w:color w:val="0000FF"/>
        </w:rPr>
      </w:pPr>
      <w:r>
        <w:rPr>
          <w:color w:val="0000FF"/>
        </w:rPr>
        <w:t>The cited methods, represent to our knowledge the only computational works performed to investigate the molecular bases of direct or inverse comorbidities.</w:t>
      </w:r>
    </w:p>
    <w:p w14:paraId="0796D328" w14:textId="77777777" w:rsidR="00CD616C" w:rsidRDefault="00CD616C" w:rsidP="00CD616C">
      <w:pPr>
        <w:rPr>
          <w:color w:val="26282A"/>
        </w:rPr>
      </w:pPr>
      <w:r>
        <w:rPr>
          <w:color w:val="26282A"/>
        </w:rPr>
        <w:t>3. Quality of figures is so important too. Please provide some high-resolution figures. Some figures have a poor resolution</w:t>
      </w:r>
    </w:p>
    <w:p w14:paraId="402F4D8B" w14:textId="77777777" w:rsidR="00CD616C" w:rsidRDefault="00CD616C" w:rsidP="00CD616C">
      <w:pPr>
        <w:rPr>
          <w:color w:val="26282A"/>
        </w:rPr>
      </w:pPr>
    </w:p>
    <w:p w14:paraId="71BEB58F" w14:textId="77777777" w:rsidR="00CD616C" w:rsidRDefault="00CD616C" w:rsidP="00CD616C">
      <w:pPr>
        <w:rPr>
          <w:color w:val="0000FF"/>
        </w:rPr>
      </w:pPr>
      <w:r>
        <w:rPr>
          <w:color w:val="0000FF"/>
        </w:rPr>
        <w:t>Thanks for pointing that out, we now upload the Figures in higher quality.</w:t>
      </w:r>
    </w:p>
    <w:p w14:paraId="3C482B55" w14:textId="77777777" w:rsidR="00CD616C" w:rsidRDefault="00CD616C" w:rsidP="00CD616C">
      <w:pPr>
        <w:rPr>
          <w:color w:val="26282A"/>
          <w:highlight w:val="white"/>
        </w:rPr>
      </w:pPr>
    </w:p>
    <w:p w14:paraId="37B32370" w14:textId="77777777" w:rsidR="00CD616C" w:rsidRDefault="00CD616C" w:rsidP="00CD616C">
      <w:pPr>
        <w:rPr>
          <w:color w:val="26282A"/>
          <w:highlight w:val="white"/>
        </w:rPr>
      </w:pPr>
      <w:r>
        <w:rPr>
          <w:color w:val="26282A"/>
          <w:highlight w:val="white"/>
        </w:rPr>
        <w:t>4.  Conclusion should state scope for future work.</w:t>
      </w:r>
    </w:p>
    <w:p w14:paraId="6E634512" w14:textId="77777777" w:rsidR="00CD616C" w:rsidRDefault="00CD616C" w:rsidP="00CD616C">
      <w:pPr>
        <w:rPr>
          <w:color w:val="26282A"/>
          <w:highlight w:val="white"/>
        </w:rPr>
      </w:pPr>
    </w:p>
    <w:p w14:paraId="715DA505" w14:textId="77777777" w:rsidR="00CD616C" w:rsidRDefault="00CD616C" w:rsidP="00CD616C">
      <w:pPr>
        <w:rPr>
          <w:color w:val="0000FF"/>
          <w:highlight w:val="white"/>
        </w:rPr>
      </w:pPr>
      <w:r>
        <w:rPr>
          <w:color w:val="0000FF"/>
          <w:highlight w:val="white"/>
        </w:rPr>
        <w:t>We clarified the future perspectives for the use of our framework in the study of other disease-disease relationships and/or in its combined use with multi-omics analysis tools.</w:t>
      </w:r>
    </w:p>
    <w:p w14:paraId="309096CC" w14:textId="77777777" w:rsidR="00CD616C" w:rsidRDefault="00CD616C" w:rsidP="00CD616C">
      <w:pPr>
        <w:rPr>
          <w:color w:val="26282A"/>
          <w:highlight w:val="white"/>
        </w:rPr>
      </w:pPr>
    </w:p>
    <w:p w14:paraId="35F5CBD4" w14:textId="77777777" w:rsidR="00CD616C" w:rsidRDefault="00CD616C" w:rsidP="00CD616C">
      <w:pPr>
        <w:rPr>
          <w:color w:val="26282A"/>
          <w:highlight w:val="white"/>
        </w:rPr>
      </w:pPr>
      <w:r>
        <w:rPr>
          <w:color w:val="26282A"/>
          <w:highlight w:val="white"/>
        </w:rPr>
        <w:t>5. Results need more explanations. Additional analysis is required at each experiment to show the its main purpose.</w:t>
      </w:r>
    </w:p>
    <w:p w14:paraId="319954F0" w14:textId="77777777" w:rsidR="00CD616C" w:rsidRDefault="00CD616C" w:rsidP="00CD616C">
      <w:pPr>
        <w:rPr>
          <w:color w:val="0000FF"/>
          <w:u w:val="single"/>
        </w:rPr>
      </w:pPr>
    </w:p>
    <w:p w14:paraId="625C5B9E" w14:textId="0E75F680" w:rsidR="00CD616C" w:rsidRDefault="00CD616C" w:rsidP="00CD616C">
      <w:pPr>
        <w:rPr>
          <w:color w:val="0000FF"/>
        </w:rPr>
      </w:pPr>
      <w:r>
        <w:rPr>
          <w:color w:val="0000FF"/>
        </w:rPr>
        <w:t xml:space="preserve">We now better explained the steps of our framework and the methodological novelties that we here introduced </w:t>
      </w:r>
      <w:r w:rsidR="00EE2931">
        <w:rPr>
          <w:color w:val="0000FF"/>
        </w:rPr>
        <w:t>highlighting</w:t>
      </w:r>
      <w:r>
        <w:rPr>
          <w:color w:val="0000FF"/>
        </w:rPr>
        <w:t xml:space="preserve"> their main purpose. A new Figure 2 has now </w:t>
      </w:r>
      <w:r w:rsidR="00EE2931">
        <w:rPr>
          <w:color w:val="0000FF"/>
        </w:rPr>
        <w:t xml:space="preserve">also </w:t>
      </w:r>
      <w:r>
        <w:rPr>
          <w:color w:val="0000FF"/>
        </w:rPr>
        <w:t>been provided to better explain the new procedure for the orientation of the metagenes proposed in this work. Additionally we now provide the code to apply the framework to n</w:t>
      </w:r>
      <w:r w:rsidR="00EE2931">
        <w:rPr>
          <w:color w:val="0000FF"/>
        </w:rPr>
        <w:t>e</w:t>
      </w:r>
      <w:r>
        <w:rPr>
          <w:color w:val="0000FF"/>
        </w:rPr>
        <w:t xml:space="preserve">w data. </w:t>
      </w:r>
    </w:p>
    <w:p w14:paraId="0C33B3D6" w14:textId="77777777" w:rsidR="00CD616C" w:rsidRDefault="00CD616C" w:rsidP="00CD616C"/>
    <w:p w14:paraId="3686E0C0" w14:textId="77777777" w:rsidR="00CD616C" w:rsidRDefault="00CD616C" w:rsidP="00CD616C">
      <w:r>
        <w:t>6. Need detailed explanation of the preprocessing steps.</w:t>
      </w:r>
    </w:p>
    <w:p w14:paraId="6F68EE94" w14:textId="77777777" w:rsidR="00CD616C" w:rsidRDefault="00CD616C" w:rsidP="00CD616C"/>
    <w:p w14:paraId="5BB4F364" w14:textId="13DAA561" w:rsidR="00CD616C" w:rsidRPr="005D5B63" w:rsidRDefault="00CD616C" w:rsidP="00CD616C">
      <w:pPr>
        <w:rPr>
          <w:color w:val="0000FF"/>
        </w:rPr>
      </w:pPr>
      <w:r>
        <w:rPr>
          <w:color w:val="0000FF"/>
        </w:rPr>
        <w:t xml:space="preserve">Concerning the data of lung cancer and Alzheimer’s disease obtained with microarrays, all of them have been obtained with the same microarray platform, the Affymetrix HG U133Plus2, to reduce bias due to inter-platform differences. Moreover, each study was normalized separately using the frozen Robust Multiarray Analysis (fRMA) (McCall, M. N., Jaffee, H. A., &amp; Irizarry, R. A. (2012). fRMA ST: frozen robust multiarray analysis for Affymetrix Exon and Gene ST arrays. </w:t>
      </w:r>
      <w:r>
        <w:rPr>
          <w:i/>
          <w:color w:val="0000FF"/>
        </w:rPr>
        <w:t>Bioinformatics</w:t>
      </w:r>
      <w:r>
        <w:rPr>
          <w:color w:val="0000FF"/>
        </w:rPr>
        <w:t xml:space="preserve">, </w:t>
      </w:r>
      <w:r>
        <w:rPr>
          <w:i/>
          <w:color w:val="0000FF"/>
        </w:rPr>
        <w:t>28</w:t>
      </w:r>
      <w:r>
        <w:rPr>
          <w:color w:val="0000FF"/>
        </w:rPr>
        <w:t xml:space="preserve">(23), 3153-3154.). Additionally, the RNA-seq Lung dataset downloaded from the Cancer Genome Atlas (TCGA; </w:t>
      </w:r>
      <w:hyperlink r:id="rId6">
        <w:r>
          <w:rPr>
            <w:color w:val="0000FF"/>
            <w:u w:val="single"/>
          </w:rPr>
          <w:t>https://tcga-data.nci.nih.gov/tcga/</w:t>
        </w:r>
      </w:hyperlink>
      <w:r>
        <w:rPr>
          <w:color w:val="0000FF"/>
        </w:rPr>
        <w:t>) was added to the analysis. In this case RSEM normalized Level 3 data were downloaded from TCGA. Genes having zero values in more than 30% of samples were filtered out and the d</w:t>
      </w:r>
      <w:r w:rsidR="005D5B63">
        <w:rPr>
          <w:color w:val="0000FF"/>
        </w:rPr>
        <w:t xml:space="preserve">ata were then log2-transformed. </w:t>
      </w:r>
      <w:bookmarkStart w:id="0" w:name="_GoBack"/>
      <w:bookmarkEnd w:id="0"/>
      <w:r>
        <w:rPr>
          <w:color w:val="0000FF"/>
        </w:rPr>
        <w:t>We now added these details in methods, section 4.1.</w:t>
      </w:r>
    </w:p>
    <w:p w14:paraId="47EA2B1B" w14:textId="77777777" w:rsidR="00A0347F" w:rsidRDefault="00A0347F" w:rsidP="00CD616C"/>
    <w:sectPr w:rsidR="00A0347F" w:rsidSect="00B10B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49636F"/>
    <w:multiLevelType w:val="multilevel"/>
    <w:tmpl w:val="C5DE7D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5C4460FD"/>
    <w:multiLevelType w:val="multilevel"/>
    <w:tmpl w:val="2D2A02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6C7A45A6"/>
    <w:multiLevelType w:val="multilevel"/>
    <w:tmpl w:val="86C848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6432D62"/>
    <w:multiLevelType w:val="multilevel"/>
    <w:tmpl w:val="8872E9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2"/>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16C"/>
    <w:rsid w:val="005D5B63"/>
    <w:rsid w:val="00A0347F"/>
    <w:rsid w:val="00A40A87"/>
    <w:rsid w:val="00AD14BC"/>
    <w:rsid w:val="00B10BF8"/>
    <w:rsid w:val="00CD616C"/>
    <w:rsid w:val="00CE34DB"/>
    <w:rsid w:val="00D81226"/>
    <w:rsid w:val="00EE2931"/>
    <w:rsid w:val="00FF1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96100A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D616C"/>
    <w:pPr>
      <w:spacing w:line="276" w:lineRule="auto"/>
    </w:pPr>
    <w:rPr>
      <w:rFonts w:ascii="Arial" w:eastAsia="Arial" w:hAnsi="Arial" w:cs="Arial"/>
      <w:sz w:val="22"/>
      <w:szCs w:val="22"/>
      <w:lang w:val="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1391067">
      <w:bodyDiv w:val="1"/>
      <w:marLeft w:val="0"/>
      <w:marRight w:val="0"/>
      <w:marTop w:val="0"/>
      <w:marBottom w:val="0"/>
      <w:divBdr>
        <w:top w:val="none" w:sz="0" w:space="0" w:color="auto"/>
        <w:left w:val="none" w:sz="0" w:space="0" w:color="auto"/>
        <w:bottom w:val="none" w:sz="0" w:space="0" w:color="auto"/>
        <w:right w:val="none" w:sz="0" w:space="0" w:color="auto"/>
      </w:divBdr>
      <w:divsChild>
        <w:div w:id="952446503">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github.com/agreco92/inverse_comorbidity_MF" TargetMode="External"/><Relationship Id="rId6" Type="http://schemas.openxmlformats.org/officeDocument/2006/relationships/hyperlink" Target="https://tcga-data.nci.nih.gov/tcga/"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1167</Words>
  <Characters>6657</Characters>
  <Application>Microsoft Macintosh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cp:revision>
  <dcterms:created xsi:type="dcterms:W3CDTF">2019-06-07T14:49:00Z</dcterms:created>
  <dcterms:modified xsi:type="dcterms:W3CDTF">2019-06-07T15:10:00Z</dcterms:modified>
</cp:coreProperties>
</file>