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2016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ind w:left="0" w:firstLine="0"/>
        <w:jc w:val="both"/>
        <w:textAlignment w:val="auto"/>
        <w:rPr>
          <w:rFonts w:hint="default" w:ascii="Times New Roman" w:hAnsi="Times New Roman" w:cs="Times New Roman"/>
          <w:sz w:val="28"/>
          <w:szCs w:val="28"/>
          <w:lang w:val="en-US" w:eastAsia="zh-CN"/>
        </w:rPr>
      </w:pPr>
      <w:bookmarkStart w:id="0" w:name="_GoBack"/>
      <w:bookmarkEnd w:id="0"/>
      <w:r>
        <w:rPr>
          <w:rFonts w:hint="eastAsia" w:ascii="Times New Roman" w:hAnsi="Times New Roman" w:cs="Times New Roman"/>
          <w:b/>
          <w:bCs/>
          <w:color w:val="0070C0"/>
          <w:sz w:val="28"/>
          <w:szCs w:val="28"/>
          <w:lang w:val="en-US" w:eastAsia="zh-CN"/>
        </w:rPr>
        <w:t>Comments 1:</w:t>
      </w:r>
    </w:p>
    <w:p w14:paraId="781BB66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ind w:left="0" w:firstLine="0"/>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The following edits are suggested for a more correct interpretation of data:</w:t>
      </w:r>
    </w:p>
    <w:p w14:paraId="2607BAD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ind w:left="0" w:firstLine="0"/>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Data are presented on fresh weight basis in some figures (3, 4), dry weight in others (5). It would be appropriate to uniform the data, most notably because water content, being directly affected by drought stress, may be a confounding factor.</w:t>
      </w:r>
    </w:p>
    <w:p w14:paraId="58025FA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default" w:ascii="Times New Roman" w:hAnsi="Times New Roman" w:cs="Times New Roman"/>
          <w:b/>
          <w:bCs/>
          <w:color w:val="7030A0"/>
          <w:sz w:val="28"/>
          <w:szCs w:val="28"/>
          <w:lang w:val="en-US" w:eastAsia="zh-CN"/>
        </w:rPr>
      </w:pPr>
      <w:r>
        <w:rPr>
          <w:rFonts w:hint="default" w:ascii="Times New Roman" w:hAnsi="Times New Roman" w:cs="Times New Roman"/>
          <w:b/>
          <w:bCs/>
          <w:color w:val="7030A0"/>
          <w:sz w:val="28"/>
          <w:szCs w:val="28"/>
          <w:lang w:val="en-US" w:eastAsia="zh-CN"/>
        </w:rPr>
        <w:t>Response:</w:t>
      </w:r>
      <w:r>
        <w:rPr>
          <w:rFonts w:hint="eastAsia" w:ascii="Times New Roman" w:hAnsi="Times New Roman" w:cs="Times New Roman"/>
          <w:b/>
          <w:bCs/>
          <w:color w:val="7030A0"/>
          <w:sz w:val="28"/>
          <w:szCs w:val="28"/>
          <w:lang w:val="en-US" w:eastAsia="zh-CN"/>
        </w:rPr>
        <w:t xml:space="preserve"> </w:t>
      </w:r>
      <w:r>
        <w:rPr>
          <w:rFonts w:hint="default" w:ascii="Times New Roman" w:hAnsi="Times New Roman" w:cs="Times New Roman"/>
          <w:b/>
          <w:bCs/>
          <w:color w:val="7030A0"/>
          <w:sz w:val="28"/>
          <w:szCs w:val="28"/>
          <w:lang w:val="en-US" w:eastAsia="zh-CN"/>
        </w:rPr>
        <w:t>Thank you for this important and constructive comment. We agree that the use of different biomass bases among figures may complicate direct comparisons and that drought-induced changes in tissue water content may influence measurements expressed on a fresh-weight basis.</w:t>
      </w:r>
      <w:r>
        <w:rPr>
          <w:rFonts w:hint="eastAsia" w:ascii="Times New Roman" w:hAnsi="Times New Roman" w:cs="Times New Roman"/>
          <w:b/>
          <w:bCs/>
          <w:color w:val="7030A0"/>
          <w:sz w:val="28"/>
          <w:szCs w:val="28"/>
          <w:lang w:val="en-US" w:eastAsia="zh-CN"/>
        </w:rPr>
        <w:t xml:space="preserve"> </w:t>
      </w:r>
      <w:r>
        <w:rPr>
          <w:rFonts w:hint="default" w:ascii="Times New Roman" w:hAnsi="Times New Roman" w:cs="Times New Roman"/>
          <w:b/>
          <w:bCs/>
          <w:color w:val="7030A0"/>
          <w:sz w:val="28"/>
          <w:szCs w:val="28"/>
          <w:lang w:val="en-US" w:eastAsia="zh-CN"/>
        </w:rPr>
        <w:t>Ideally, all mass-based measurements would be expressed using a consistent biomass basis. However, paired fresh- and dry-weight measurements were not recorded for each biological replicate at the time of sampling. In addition, the moisture content and dry-matter proportion of the corresponding samples were not determined. Therefore, neither the fresh-weight-based data could be accurately converted to a dry-weight basis nor the dry-weight-based data converted to a fresh-weight basis. The use of an estimated or average conversion factor would be inappropriate because tissue water content varied substantially among the different soil water content treatments and could introduce additional uncertainty or bias into the results.</w:t>
      </w:r>
    </w:p>
    <w:p w14:paraId="0401D7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ind w:firstLine="562" w:firstLineChars="200"/>
        <w:jc w:val="both"/>
        <w:textAlignment w:val="auto"/>
        <w:rPr>
          <w:rFonts w:hint="default" w:ascii="Times New Roman" w:hAnsi="Times New Roman" w:cs="Times New Roman"/>
          <w:b/>
          <w:bCs/>
          <w:color w:val="7030A0"/>
          <w:sz w:val="28"/>
          <w:szCs w:val="28"/>
          <w:lang w:val="en-US" w:eastAsia="zh-CN"/>
        </w:rPr>
      </w:pPr>
      <w:r>
        <w:rPr>
          <w:rFonts w:hint="default" w:ascii="Times New Roman" w:hAnsi="Times New Roman" w:cs="Times New Roman"/>
          <w:b/>
          <w:bCs/>
          <w:color w:val="7030A0"/>
          <w:sz w:val="28"/>
          <w:szCs w:val="28"/>
          <w:lang w:val="en-US" w:eastAsia="zh-CN"/>
        </w:rPr>
        <w:t>Accordingly, we retained the original biomass basis used for each measurement rather than performing an unreliable retrospective conversion. The indices presented in Figures 3 and 4 remain expressed on a fresh-weight basis, whereas those in Figure 5 remain expressed on a dry-weight basis, consistent with the original sample preparation and analytical procedures. We have clarified the normalization basis in the Methods, figure axes, and figure legends and have avoided direct quantitative comparisons between variables expressed on different biomass bases.</w:t>
      </w:r>
    </w:p>
    <w:p w14:paraId="2FBA465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ind w:firstLine="562" w:firstLineChars="200"/>
        <w:jc w:val="both"/>
        <w:textAlignment w:val="auto"/>
        <w:rPr>
          <w:rFonts w:hint="default" w:ascii="Times New Roman" w:hAnsi="Times New Roman" w:cs="Times New Roman"/>
          <w:b/>
          <w:bCs/>
          <w:color w:val="7030A0"/>
          <w:sz w:val="28"/>
          <w:szCs w:val="28"/>
          <w:lang w:val="en-US" w:eastAsia="zh-CN"/>
        </w:rPr>
      </w:pPr>
      <w:r>
        <w:rPr>
          <w:rFonts w:hint="default" w:ascii="Times New Roman" w:hAnsi="Times New Roman" w:cs="Times New Roman"/>
          <w:b/>
          <w:bCs/>
          <w:color w:val="7030A0"/>
          <w:sz w:val="28"/>
          <w:szCs w:val="28"/>
          <w:lang w:val="en-US" w:eastAsia="zh-CN"/>
        </w:rPr>
        <w:t>We also acknowledge that fresh-weight normalization cannot completely exclude the potential influence of drought-induced variation in tissue water content. Therefore, the corresponding results have been interpreted more cautiously, and this limitation has been added to the revised Discussion. Relative water content is presented separately to characterize plant water status under the different soil water content treatments.</w:t>
      </w:r>
    </w:p>
    <w:p w14:paraId="248695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default" w:ascii="Times New Roman" w:hAnsi="Times New Roman" w:cs="Times New Roman"/>
          <w:b/>
          <w:bCs/>
          <w:color w:val="7030A0"/>
          <w:sz w:val="28"/>
          <w:szCs w:val="28"/>
          <w:lang w:val="en-US" w:eastAsia="zh-CN"/>
        </w:rPr>
      </w:pPr>
      <w:r>
        <w:rPr>
          <w:rFonts w:hint="eastAsia" w:ascii="Times New Roman" w:hAnsi="Times New Roman" w:cs="Times New Roman"/>
          <w:b/>
          <w:bCs/>
          <w:color w:val="7030A0"/>
          <w:sz w:val="28"/>
          <w:szCs w:val="28"/>
          <w:lang w:val="en-US" w:eastAsia="zh-CN"/>
        </w:rPr>
        <w:t xml:space="preserve">Line 484-487: </w:t>
      </w:r>
      <w:r>
        <w:rPr>
          <w:rFonts w:hint="eastAsia" w:ascii="Times New Roman" w:hAnsi="Times New Roman" w:cs="Times New Roman"/>
          <w:b w:val="0"/>
          <w:bCs w:val="0"/>
          <w:i/>
          <w:iCs/>
          <w:color w:val="FF0000"/>
          <w:sz w:val="28"/>
          <w:szCs w:val="28"/>
          <w:lang w:val="en-US" w:eastAsia="zh-CN"/>
        </w:rPr>
        <w:t>“Because the biochemical measurements were normalized to fresh weight, differences in tissue water content among the SWC treatments may have partially influenced the calculated concentrations. Therefore, these results should primarily be interpreted as relative changes among treatments rather than absolute changes in metabolite accumulation</w:t>
      </w:r>
      <w:r>
        <w:rPr>
          <w:rFonts w:hint="default" w:ascii="Times New Roman" w:hAnsi="Times New Roman" w:cs="Times New Roman"/>
          <w:b w:val="0"/>
          <w:bCs w:val="0"/>
          <w:i/>
          <w:iCs/>
          <w:color w:val="FF0000"/>
          <w:sz w:val="28"/>
          <w:szCs w:val="28"/>
          <w:lang w:val="en-US" w:eastAsia="zh-CN"/>
        </w:rPr>
        <w:t>”</w:t>
      </w:r>
      <w:r>
        <w:rPr>
          <w:rFonts w:hint="eastAsia" w:ascii="Times New Roman" w:hAnsi="Times New Roman" w:cs="Times New Roman"/>
          <w:b w:val="0"/>
          <w:bCs w:val="0"/>
          <w:i/>
          <w:iCs/>
          <w:color w:val="FF0000"/>
          <w:sz w:val="28"/>
          <w:szCs w:val="28"/>
          <w:lang w:val="en-US" w:eastAsia="zh-CN"/>
        </w:rPr>
        <w:t xml:space="preserve"> </w:t>
      </w:r>
      <w:r>
        <w:rPr>
          <w:rFonts w:hint="eastAsia" w:ascii="Times New Roman" w:hAnsi="Times New Roman" w:cs="Times New Roman"/>
          <w:b/>
          <w:bCs/>
          <w:color w:val="7030A0"/>
          <w:sz w:val="28"/>
          <w:szCs w:val="28"/>
          <w:lang w:val="en-US" w:eastAsia="zh-CN"/>
        </w:rPr>
        <w:t>was added.</w:t>
      </w:r>
    </w:p>
    <w:p w14:paraId="36E355C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default" w:ascii="Times New Roman" w:hAnsi="Times New Roman" w:cs="Times New Roman"/>
          <w:sz w:val="28"/>
          <w:szCs w:val="28"/>
          <w:lang w:val="en-US" w:eastAsia="zh-CN"/>
        </w:rPr>
      </w:pPr>
      <w:r>
        <w:rPr>
          <w:rFonts w:hint="eastAsia" w:ascii="Times New Roman" w:hAnsi="Times New Roman" w:cs="Times New Roman"/>
          <w:b/>
          <w:bCs/>
          <w:color w:val="0070C0"/>
          <w:sz w:val="28"/>
          <w:szCs w:val="28"/>
          <w:lang w:val="en-US" w:eastAsia="zh-CN"/>
        </w:rPr>
        <w:t>Comments 2:</w:t>
      </w:r>
    </w:p>
    <w:p w14:paraId="2EC19BC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ind w:left="0" w:firstLine="0"/>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Paragraph 3.7 and figure 7 do not seem to provide any further insight. Correlation between the tested indexes only demonstrates they have a common driver (i.e. drought, which is obvious), but does not explain the underlying causal links. Plus, it is not relevant to symbiont inoculation. Suggest removing.</w:t>
      </w:r>
    </w:p>
    <w:p w14:paraId="1D16E1B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ind w:left="0" w:firstLine="0"/>
        <w:jc w:val="both"/>
        <w:textAlignment w:val="auto"/>
        <w:rPr>
          <w:rFonts w:hint="default" w:ascii="Times New Roman" w:hAnsi="Times New Roman" w:cs="Times New Roman"/>
          <w:b/>
          <w:bCs/>
          <w:color w:val="7030A0"/>
          <w:sz w:val="28"/>
          <w:szCs w:val="28"/>
          <w:lang w:val="en-US" w:eastAsia="zh-CN"/>
        </w:rPr>
      </w:pPr>
      <w:r>
        <w:rPr>
          <w:rFonts w:hint="default" w:ascii="Times New Roman" w:hAnsi="Times New Roman" w:cs="Times New Roman"/>
          <w:b/>
          <w:bCs/>
          <w:color w:val="7030A0"/>
          <w:sz w:val="28"/>
          <w:szCs w:val="28"/>
          <w:lang w:val="en-US" w:eastAsia="zh-CN"/>
        </w:rPr>
        <w:t>Response:</w:t>
      </w:r>
      <w:r>
        <w:rPr>
          <w:rFonts w:hint="eastAsia" w:ascii="Times New Roman" w:hAnsi="Times New Roman" w:cs="Times New Roman"/>
          <w:b/>
          <w:bCs/>
          <w:color w:val="7030A0"/>
          <w:sz w:val="28"/>
          <w:szCs w:val="28"/>
          <w:lang w:val="en-US" w:eastAsia="zh-CN"/>
        </w:rPr>
        <w:t xml:space="preserve"> </w:t>
      </w:r>
      <w:r>
        <w:rPr>
          <w:rFonts w:hint="default" w:ascii="Times New Roman" w:hAnsi="Times New Roman" w:cs="Times New Roman"/>
          <w:b/>
          <w:bCs/>
          <w:color w:val="7030A0"/>
          <w:sz w:val="28"/>
          <w:szCs w:val="28"/>
          <w:lang w:val="en-US" w:eastAsia="zh-CN"/>
        </w:rPr>
        <w:t>Thank you for this important comment. We agree that the correlations among the measured indices may largely reflect their shared responses to soil water availability and do not establish causal relationships or specifically explain the effects of GAU-93 inoculation. Therefore, Paragraph 3.7 and Figure 7, together with the corresponding interpretations in the Discussion, have been removed from the revised manuscript. The subsequent figure and all related cross-references have been renumbered accordingly.</w:t>
      </w:r>
    </w:p>
    <w:p w14:paraId="403B21A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ind w:left="0" w:firstLine="0"/>
        <w:jc w:val="both"/>
        <w:textAlignment w:val="auto"/>
        <w:rPr>
          <w:rFonts w:hint="default" w:ascii="Times New Roman" w:hAnsi="Times New Roman" w:cs="Times New Roman"/>
          <w:sz w:val="28"/>
          <w:szCs w:val="28"/>
          <w:lang w:val="en-US" w:eastAsia="zh-CN"/>
        </w:rPr>
      </w:pPr>
      <w:r>
        <w:rPr>
          <w:rFonts w:hint="eastAsia" w:ascii="Times New Roman" w:hAnsi="Times New Roman" w:cs="Times New Roman"/>
          <w:b/>
          <w:bCs/>
          <w:color w:val="0070C0"/>
          <w:sz w:val="28"/>
          <w:szCs w:val="28"/>
          <w:lang w:val="en-US" w:eastAsia="zh-CN"/>
        </w:rPr>
        <w:t>Comments 3:</w:t>
      </w:r>
    </w:p>
    <w:p w14:paraId="5D4D832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ind w:left="0" w:firstLine="0"/>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It may be worth noting (and discussing) that S. meliloti inoculation does not seem to induce a specific set of plant stress defenses, as shown by the general absence of I x SWC effects. Rather, it contributes to plant stress tolerance by maintaining the physiological function under stress.</w:t>
      </w:r>
    </w:p>
    <w:p w14:paraId="5DDB2D6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ind w:left="0" w:firstLine="0"/>
        <w:jc w:val="both"/>
        <w:textAlignment w:val="auto"/>
        <w:rPr>
          <w:rFonts w:hint="eastAsia" w:ascii="Times New Roman" w:hAnsi="Times New Roman" w:cs="Times New Roman"/>
          <w:b/>
          <w:bCs/>
          <w:color w:val="7030A0"/>
          <w:sz w:val="28"/>
          <w:szCs w:val="28"/>
          <w:lang w:val="en-US" w:eastAsia="zh-CN"/>
        </w:rPr>
      </w:pPr>
      <w:r>
        <w:rPr>
          <w:rFonts w:hint="default" w:ascii="Times New Roman" w:hAnsi="Times New Roman" w:cs="Times New Roman"/>
          <w:b/>
          <w:bCs/>
          <w:color w:val="7030A0"/>
          <w:sz w:val="28"/>
          <w:szCs w:val="28"/>
          <w:lang w:val="en-US" w:eastAsia="zh-CN"/>
        </w:rPr>
        <w:t>Response:</w:t>
      </w:r>
      <w:r>
        <w:rPr>
          <w:rFonts w:hint="eastAsia" w:ascii="Times New Roman" w:hAnsi="Times New Roman" w:cs="Times New Roman"/>
          <w:b/>
          <w:bCs/>
          <w:color w:val="7030A0"/>
          <w:sz w:val="28"/>
          <w:szCs w:val="28"/>
          <w:lang w:val="en-US" w:eastAsia="zh-CN"/>
        </w:rPr>
        <w:t xml:space="preserve"> </w:t>
      </w:r>
      <w:r>
        <w:rPr>
          <w:rFonts w:hint="default" w:ascii="Times New Roman" w:hAnsi="Times New Roman" w:cs="Times New Roman"/>
          <w:b/>
          <w:bCs/>
          <w:color w:val="7030A0"/>
          <w:sz w:val="28"/>
          <w:szCs w:val="28"/>
          <w:lang w:val="en-US" w:eastAsia="zh-CN"/>
        </w:rPr>
        <w:t>We thank the reviewer for this insightful comment. We agree that the generally non-significant inoculation × SWC interactions do not support the induction of a distinct drought-specific defense program by S. meliloti GAU-93. We have therefore revised the Discussion to emphasize that the effects of inoculation were largely additive across water regimes and were more consistent with the maintenance of plant water status, growth, antioxidant capacity, and secondary metabolic function under stress, rather than with the activation of a specific set of drought defenses.</w:t>
      </w:r>
      <w:r>
        <w:rPr>
          <w:rFonts w:hint="eastAsia" w:ascii="Times New Roman" w:hAnsi="Times New Roman" w:cs="Times New Roman"/>
          <w:b/>
          <w:bCs/>
          <w:color w:val="7030A0"/>
          <w:sz w:val="28"/>
          <w:szCs w:val="28"/>
          <w:lang w:val="en-US" w:eastAsia="zh-CN"/>
        </w:rPr>
        <w:t xml:space="preserve"> The details are stated as follows: </w:t>
      </w:r>
    </w:p>
    <w:p w14:paraId="1820BAA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ind w:left="0" w:firstLine="0"/>
        <w:jc w:val="both"/>
        <w:textAlignment w:val="auto"/>
        <w:rPr>
          <w:rFonts w:hint="default" w:ascii="Times New Roman" w:hAnsi="Times New Roman" w:cs="Times New Roman"/>
          <w:b w:val="0"/>
          <w:bCs w:val="0"/>
          <w:i/>
          <w:iCs/>
          <w:color w:val="FF0000"/>
          <w:sz w:val="28"/>
          <w:szCs w:val="28"/>
          <w:lang w:val="en-US" w:eastAsia="zh-CN"/>
        </w:rPr>
      </w:pPr>
      <w:r>
        <w:rPr>
          <w:rFonts w:hint="eastAsia" w:ascii="Times New Roman" w:hAnsi="Times New Roman" w:cs="Times New Roman"/>
          <w:b/>
          <w:bCs/>
          <w:color w:val="7030A0"/>
          <w:sz w:val="28"/>
          <w:szCs w:val="28"/>
          <w:lang w:val="en-US" w:eastAsia="zh-CN"/>
        </w:rPr>
        <w:t>Line 455-457:</w:t>
      </w:r>
      <w:r>
        <w:rPr>
          <w:rFonts w:hint="eastAsia" w:ascii="Times New Roman" w:hAnsi="Times New Roman" w:cs="Times New Roman"/>
          <w:b w:val="0"/>
          <w:bCs w:val="0"/>
          <w:i/>
          <w:iCs/>
          <w:color w:val="FF0000"/>
          <w:sz w:val="28"/>
          <w:szCs w:val="28"/>
          <w:lang w:val="en-US" w:eastAsia="zh-CN"/>
        </w:rPr>
        <w:t xml:space="preserve"> </w:t>
      </w:r>
      <w:r>
        <w:rPr>
          <w:rFonts w:hint="default" w:ascii="Times New Roman" w:hAnsi="Times New Roman" w:cs="Times New Roman"/>
          <w:b w:val="0"/>
          <w:bCs w:val="0"/>
          <w:i/>
          <w:iCs/>
          <w:color w:val="FF0000"/>
          <w:sz w:val="28"/>
          <w:szCs w:val="28"/>
          <w:lang w:val="en-US" w:eastAsia="zh-CN"/>
        </w:rPr>
        <w:t>“Taken together, these results suggest that GAU-93 may contribute to improved drought responses in alfalfa, although the magnitude of the response varied across traits and SWC levels”</w:t>
      </w:r>
      <w:r>
        <w:rPr>
          <w:rFonts w:hint="eastAsia" w:ascii="Times New Roman" w:hAnsi="Times New Roman" w:cs="Times New Roman"/>
          <w:b w:val="0"/>
          <w:bCs w:val="0"/>
          <w:i/>
          <w:iCs/>
          <w:color w:val="FF0000"/>
          <w:sz w:val="28"/>
          <w:szCs w:val="28"/>
          <w:lang w:val="en-US" w:eastAsia="zh-CN"/>
        </w:rPr>
        <w:t xml:space="preserve"> </w:t>
      </w:r>
      <w:r>
        <w:rPr>
          <w:rFonts w:hint="eastAsia" w:ascii="Times New Roman" w:hAnsi="Times New Roman" w:cs="Times New Roman"/>
          <w:b/>
          <w:bCs/>
          <w:color w:val="7030A0"/>
          <w:sz w:val="28"/>
          <w:szCs w:val="28"/>
          <w:lang w:val="en-US" w:eastAsia="zh-CN"/>
        </w:rPr>
        <w:t xml:space="preserve">was changed to </w:t>
      </w:r>
      <w:r>
        <w:rPr>
          <w:rFonts w:hint="default" w:ascii="Times New Roman" w:hAnsi="Times New Roman" w:cs="Times New Roman"/>
          <w:b w:val="0"/>
          <w:bCs w:val="0"/>
          <w:i/>
          <w:iCs/>
          <w:color w:val="FF0000"/>
          <w:sz w:val="28"/>
          <w:szCs w:val="28"/>
          <w:lang w:val="en-US" w:eastAsia="zh-CN"/>
        </w:rPr>
        <w:t>“Notably, the inoculation × SWC interaction was not significant for most measured traits, indicating that GAU-93 did not induce a distinct drought-specific defense response. Instead, its effects were generally additive across water regimes, suggesting that inoculation may support stress tolerance primarily by maintaining plant physiological and metabolic functions under water-limited conditions”.</w:t>
      </w:r>
    </w:p>
    <w:p w14:paraId="30EC697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ind w:left="0" w:firstLine="0"/>
        <w:jc w:val="both"/>
        <w:textAlignment w:val="auto"/>
        <w:rPr>
          <w:rFonts w:hint="default" w:ascii="Times New Roman" w:hAnsi="Times New Roman" w:cs="Times New Roman"/>
          <w:b w:val="0"/>
          <w:bCs w:val="0"/>
          <w:i/>
          <w:iCs/>
          <w:color w:val="FF0000"/>
          <w:sz w:val="28"/>
          <w:szCs w:val="28"/>
          <w:lang w:val="en-US" w:eastAsia="zh-CN"/>
        </w:rPr>
      </w:pPr>
      <w:r>
        <w:rPr>
          <w:rFonts w:hint="default" w:ascii="Times New Roman" w:hAnsi="Times New Roman" w:cs="Times New Roman"/>
          <w:b/>
          <w:bCs/>
          <w:i w:val="0"/>
          <w:iCs w:val="0"/>
          <w:color w:val="7030A0"/>
          <w:sz w:val="28"/>
          <w:szCs w:val="28"/>
          <w:lang w:val="en-US" w:eastAsia="zh-CN"/>
        </w:rPr>
        <w:t>Line 4</w:t>
      </w:r>
      <w:r>
        <w:rPr>
          <w:rFonts w:hint="eastAsia" w:ascii="Times New Roman" w:hAnsi="Times New Roman" w:cs="Times New Roman"/>
          <w:b/>
          <w:bCs/>
          <w:i w:val="0"/>
          <w:iCs w:val="0"/>
          <w:color w:val="7030A0"/>
          <w:sz w:val="28"/>
          <w:szCs w:val="28"/>
          <w:lang w:val="en-US" w:eastAsia="zh-CN"/>
        </w:rPr>
        <w:t>67</w:t>
      </w:r>
      <w:r>
        <w:rPr>
          <w:rFonts w:hint="default" w:ascii="Times New Roman" w:hAnsi="Times New Roman" w:cs="Times New Roman"/>
          <w:b/>
          <w:bCs/>
          <w:i w:val="0"/>
          <w:iCs w:val="0"/>
          <w:color w:val="7030A0"/>
          <w:sz w:val="28"/>
          <w:szCs w:val="28"/>
          <w:lang w:val="en-US" w:eastAsia="zh-CN"/>
        </w:rPr>
        <w:t>-4</w:t>
      </w:r>
      <w:r>
        <w:rPr>
          <w:rFonts w:hint="eastAsia" w:ascii="Times New Roman" w:hAnsi="Times New Roman" w:cs="Times New Roman"/>
          <w:b/>
          <w:bCs/>
          <w:i w:val="0"/>
          <w:iCs w:val="0"/>
          <w:color w:val="7030A0"/>
          <w:sz w:val="28"/>
          <w:szCs w:val="28"/>
          <w:lang w:val="en-US" w:eastAsia="zh-CN"/>
        </w:rPr>
        <w:t>69</w:t>
      </w:r>
      <w:r>
        <w:rPr>
          <w:rFonts w:hint="default" w:ascii="Times New Roman" w:hAnsi="Times New Roman" w:cs="Times New Roman"/>
          <w:b/>
          <w:bCs/>
          <w:i w:val="0"/>
          <w:iCs w:val="0"/>
          <w:color w:val="7030A0"/>
          <w:sz w:val="28"/>
          <w:szCs w:val="28"/>
          <w:lang w:val="en-US" w:eastAsia="zh-CN"/>
        </w:rPr>
        <w:t>:</w:t>
      </w:r>
      <w:r>
        <w:rPr>
          <w:rFonts w:hint="default" w:ascii="Times New Roman" w:hAnsi="Times New Roman" w:cs="Times New Roman"/>
          <w:b w:val="0"/>
          <w:bCs w:val="0"/>
          <w:i/>
          <w:iCs/>
          <w:color w:val="FF0000"/>
          <w:sz w:val="28"/>
          <w:szCs w:val="28"/>
          <w:lang w:val="en-US" w:eastAsia="zh-CN"/>
        </w:rPr>
        <w:t>“These patterns suggest that rhizobial inoculation may contribute to improved plant water status and growth under the tested conditions”</w:t>
      </w:r>
      <w:r>
        <w:rPr>
          <w:rFonts w:hint="eastAsia" w:ascii="Times New Roman" w:hAnsi="Times New Roman" w:cs="Times New Roman"/>
          <w:b w:val="0"/>
          <w:bCs w:val="0"/>
          <w:i/>
          <w:iCs/>
          <w:color w:val="FF0000"/>
          <w:sz w:val="28"/>
          <w:szCs w:val="28"/>
          <w:lang w:val="en-US" w:eastAsia="zh-CN"/>
        </w:rPr>
        <w:t xml:space="preserve"> </w:t>
      </w:r>
      <w:r>
        <w:rPr>
          <w:rFonts w:hint="eastAsia" w:ascii="Times New Roman" w:hAnsi="Times New Roman" w:cs="Times New Roman"/>
          <w:b/>
          <w:bCs/>
          <w:i w:val="0"/>
          <w:iCs w:val="0"/>
          <w:color w:val="7030A0"/>
          <w:sz w:val="28"/>
          <w:szCs w:val="28"/>
          <w:lang w:val="en-US" w:eastAsia="zh-CN"/>
        </w:rPr>
        <w:t xml:space="preserve">was changed to </w:t>
      </w:r>
      <w:r>
        <w:rPr>
          <w:rFonts w:hint="default" w:ascii="Times New Roman" w:hAnsi="Times New Roman" w:cs="Times New Roman"/>
          <w:b w:val="0"/>
          <w:bCs w:val="0"/>
          <w:i/>
          <w:iCs/>
          <w:color w:val="FF0000"/>
          <w:sz w:val="28"/>
          <w:szCs w:val="28"/>
          <w:lang w:val="en-US" w:eastAsia="zh-CN"/>
        </w:rPr>
        <w:t>“These patterns are more consistent with a general maintenance of plant water status and growth across the tested water regimes than with the activation of a specific drought-induced response”.</w:t>
      </w:r>
    </w:p>
    <w:p w14:paraId="1021AB6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ind w:left="0" w:firstLine="0"/>
        <w:jc w:val="both"/>
        <w:textAlignment w:val="auto"/>
        <w:rPr>
          <w:rFonts w:hint="default" w:ascii="Times New Roman" w:hAnsi="Times New Roman" w:cs="Times New Roman"/>
          <w:b w:val="0"/>
          <w:bCs w:val="0"/>
          <w:i/>
          <w:iCs/>
          <w:color w:val="FF0000"/>
          <w:sz w:val="28"/>
          <w:szCs w:val="28"/>
          <w:lang w:val="en-US" w:eastAsia="zh-CN"/>
        </w:rPr>
      </w:pPr>
      <w:r>
        <w:rPr>
          <w:rFonts w:hint="default" w:ascii="Times New Roman" w:hAnsi="Times New Roman" w:cs="Times New Roman"/>
          <w:b/>
          <w:bCs/>
          <w:i w:val="0"/>
          <w:iCs w:val="0"/>
          <w:color w:val="7030A0"/>
          <w:sz w:val="28"/>
          <w:szCs w:val="28"/>
          <w:lang w:val="en-US" w:eastAsia="zh-CN"/>
        </w:rPr>
        <w:t>Line 4</w:t>
      </w:r>
      <w:r>
        <w:rPr>
          <w:rFonts w:hint="eastAsia" w:ascii="Times New Roman" w:hAnsi="Times New Roman" w:cs="Times New Roman"/>
          <w:b/>
          <w:bCs/>
          <w:i w:val="0"/>
          <w:iCs w:val="0"/>
          <w:color w:val="7030A0"/>
          <w:sz w:val="28"/>
          <w:szCs w:val="28"/>
          <w:lang w:val="en-US" w:eastAsia="zh-CN"/>
        </w:rPr>
        <w:t>76-</w:t>
      </w:r>
      <w:r>
        <w:rPr>
          <w:rFonts w:hint="default" w:ascii="Times New Roman" w:hAnsi="Times New Roman" w:cs="Times New Roman"/>
          <w:b/>
          <w:bCs/>
          <w:i w:val="0"/>
          <w:iCs w:val="0"/>
          <w:color w:val="7030A0"/>
          <w:sz w:val="28"/>
          <w:szCs w:val="28"/>
          <w:lang w:val="en-US" w:eastAsia="zh-CN"/>
        </w:rPr>
        <w:t>4</w:t>
      </w:r>
      <w:r>
        <w:rPr>
          <w:rFonts w:hint="eastAsia" w:ascii="Times New Roman" w:hAnsi="Times New Roman" w:cs="Times New Roman"/>
          <w:b/>
          <w:bCs/>
          <w:i w:val="0"/>
          <w:iCs w:val="0"/>
          <w:color w:val="7030A0"/>
          <w:sz w:val="28"/>
          <w:szCs w:val="28"/>
          <w:lang w:val="en-US" w:eastAsia="zh-CN"/>
        </w:rPr>
        <w:t>79</w:t>
      </w:r>
      <w:r>
        <w:rPr>
          <w:rFonts w:hint="default" w:ascii="Times New Roman" w:hAnsi="Times New Roman" w:cs="Times New Roman"/>
          <w:b/>
          <w:bCs/>
          <w:i w:val="0"/>
          <w:iCs w:val="0"/>
          <w:color w:val="7030A0"/>
          <w:sz w:val="28"/>
          <w:szCs w:val="28"/>
          <w:lang w:val="en-US" w:eastAsia="zh-CN"/>
        </w:rPr>
        <w:t>:</w:t>
      </w:r>
      <w:r>
        <w:rPr>
          <w:rFonts w:hint="default" w:ascii="Times New Roman" w:hAnsi="Times New Roman" w:cs="Times New Roman"/>
          <w:b w:val="0"/>
          <w:bCs w:val="0"/>
          <w:i/>
          <w:iCs/>
          <w:color w:val="FF0000"/>
          <w:sz w:val="28"/>
          <w:szCs w:val="28"/>
          <w:lang w:val="en-US" w:eastAsia="zh-CN"/>
        </w:rPr>
        <w:t>“These results suggest that GAU-93 may contribute to redox regulation under water deficit, although the response varied across traits and SWC levels”</w:t>
      </w:r>
      <w:r>
        <w:rPr>
          <w:rFonts w:hint="eastAsia" w:ascii="Times New Roman" w:hAnsi="Times New Roman" w:cs="Times New Roman"/>
          <w:b w:val="0"/>
          <w:bCs w:val="0"/>
          <w:i/>
          <w:iCs/>
          <w:color w:val="FF0000"/>
          <w:sz w:val="28"/>
          <w:szCs w:val="28"/>
          <w:lang w:val="en-US" w:eastAsia="zh-CN"/>
        </w:rPr>
        <w:t xml:space="preserve"> </w:t>
      </w:r>
      <w:r>
        <w:rPr>
          <w:rFonts w:hint="eastAsia" w:ascii="Times New Roman" w:hAnsi="Times New Roman" w:cs="Times New Roman"/>
          <w:b/>
          <w:bCs/>
          <w:i w:val="0"/>
          <w:iCs w:val="0"/>
          <w:color w:val="7030A0"/>
          <w:sz w:val="28"/>
          <w:szCs w:val="28"/>
          <w:lang w:val="en-US" w:eastAsia="zh-CN"/>
        </w:rPr>
        <w:t xml:space="preserve">was changed to </w:t>
      </w:r>
      <w:r>
        <w:rPr>
          <w:rFonts w:hint="default" w:ascii="Times New Roman" w:hAnsi="Times New Roman" w:cs="Times New Roman"/>
          <w:b w:val="0"/>
          <w:bCs w:val="0"/>
          <w:i/>
          <w:iCs/>
          <w:color w:val="FF0000"/>
          <w:sz w:val="28"/>
          <w:szCs w:val="28"/>
          <w:lang w:val="en-US" w:eastAsia="zh-CN"/>
        </w:rPr>
        <w:t>“Because significant inoculation × SWC interactions were generally absent, the observed differences in antioxidant traits should not be interpreted as evidence that GAU-93 induced a drought-specific antioxidant defense program. Rather, GAU-93 may help maintain antioxidant capacity and limit oxidative deterioration across different water regimes”.</w:t>
      </w:r>
    </w:p>
    <w:p w14:paraId="429C2DD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ind w:left="0" w:firstLine="0"/>
        <w:jc w:val="both"/>
        <w:textAlignment w:val="auto"/>
        <w:rPr>
          <w:rFonts w:hint="default" w:ascii="Times New Roman" w:hAnsi="Times New Roman" w:cs="Times New Roman"/>
          <w:b w:val="0"/>
          <w:bCs w:val="0"/>
          <w:i/>
          <w:iCs/>
          <w:color w:val="FF0000"/>
          <w:sz w:val="28"/>
          <w:szCs w:val="28"/>
          <w:lang w:val="en-US" w:eastAsia="zh-CN"/>
        </w:rPr>
      </w:pPr>
      <w:r>
        <w:rPr>
          <w:rFonts w:hint="default" w:ascii="Times New Roman" w:hAnsi="Times New Roman" w:cs="Times New Roman"/>
          <w:b/>
          <w:bCs/>
          <w:i w:val="0"/>
          <w:iCs w:val="0"/>
          <w:color w:val="7030A0"/>
          <w:sz w:val="28"/>
          <w:szCs w:val="28"/>
          <w:lang w:val="en-US" w:eastAsia="zh-CN"/>
        </w:rPr>
        <w:t>Line 4</w:t>
      </w:r>
      <w:r>
        <w:rPr>
          <w:rFonts w:hint="eastAsia" w:ascii="Times New Roman" w:hAnsi="Times New Roman" w:cs="Times New Roman"/>
          <w:b/>
          <w:bCs/>
          <w:i w:val="0"/>
          <w:iCs w:val="0"/>
          <w:color w:val="7030A0"/>
          <w:sz w:val="28"/>
          <w:szCs w:val="28"/>
          <w:lang w:val="en-US" w:eastAsia="zh-CN"/>
        </w:rPr>
        <w:t>95-</w:t>
      </w:r>
      <w:r>
        <w:rPr>
          <w:rFonts w:hint="default" w:ascii="Times New Roman" w:hAnsi="Times New Roman" w:cs="Times New Roman"/>
          <w:b/>
          <w:bCs/>
          <w:i w:val="0"/>
          <w:iCs w:val="0"/>
          <w:color w:val="7030A0"/>
          <w:sz w:val="28"/>
          <w:szCs w:val="28"/>
          <w:lang w:val="en-US" w:eastAsia="zh-CN"/>
        </w:rPr>
        <w:t>4</w:t>
      </w:r>
      <w:r>
        <w:rPr>
          <w:rFonts w:hint="eastAsia" w:ascii="Times New Roman" w:hAnsi="Times New Roman" w:cs="Times New Roman"/>
          <w:b/>
          <w:bCs/>
          <w:i w:val="0"/>
          <w:iCs w:val="0"/>
          <w:color w:val="7030A0"/>
          <w:sz w:val="28"/>
          <w:szCs w:val="28"/>
          <w:lang w:val="en-US" w:eastAsia="zh-CN"/>
        </w:rPr>
        <w:t>99</w:t>
      </w:r>
      <w:r>
        <w:rPr>
          <w:rFonts w:hint="default" w:ascii="Times New Roman" w:hAnsi="Times New Roman" w:cs="Times New Roman"/>
          <w:b/>
          <w:bCs/>
          <w:i w:val="0"/>
          <w:iCs w:val="0"/>
          <w:color w:val="7030A0"/>
          <w:sz w:val="28"/>
          <w:szCs w:val="28"/>
          <w:lang w:val="en-US" w:eastAsia="zh-CN"/>
        </w:rPr>
        <w:t>:</w:t>
      </w:r>
      <w:r>
        <w:rPr>
          <w:rFonts w:hint="default" w:ascii="Times New Roman" w:hAnsi="Times New Roman" w:cs="Times New Roman"/>
          <w:b w:val="0"/>
          <w:bCs w:val="0"/>
          <w:i/>
          <w:iCs/>
          <w:color w:val="FF0000"/>
          <w:sz w:val="28"/>
          <w:szCs w:val="28"/>
          <w:lang w:val="en-US" w:eastAsia="zh-CN"/>
        </w:rPr>
        <w:t>“These results suggest that GAU-93 may influence flavonoid-related metabolism under water deficit, but the response remained gene- and treatment-dependent”</w:t>
      </w:r>
      <w:r>
        <w:rPr>
          <w:rFonts w:hint="eastAsia" w:ascii="Times New Roman" w:hAnsi="Times New Roman" w:cs="Times New Roman"/>
          <w:b w:val="0"/>
          <w:bCs w:val="0"/>
          <w:i/>
          <w:iCs/>
          <w:color w:val="FF0000"/>
          <w:sz w:val="28"/>
          <w:szCs w:val="28"/>
          <w:lang w:val="en-US" w:eastAsia="zh-CN"/>
        </w:rPr>
        <w:t xml:space="preserve"> </w:t>
      </w:r>
      <w:r>
        <w:rPr>
          <w:rFonts w:hint="eastAsia" w:ascii="Times New Roman" w:hAnsi="Times New Roman" w:cs="Times New Roman"/>
          <w:b/>
          <w:bCs/>
          <w:i w:val="0"/>
          <w:iCs w:val="0"/>
          <w:color w:val="7030A0"/>
          <w:sz w:val="28"/>
          <w:szCs w:val="28"/>
          <w:lang w:val="en-US" w:eastAsia="zh-CN"/>
        </w:rPr>
        <w:t xml:space="preserve">was changed to </w:t>
      </w:r>
      <w:r>
        <w:rPr>
          <w:rFonts w:hint="default" w:ascii="Times New Roman" w:hAnsi="Times New Roman" w:cs="Times New Roman"/>
          <w:b w:val="0"/>
          <w:bCs w:val="0"/>
          <w:i/>
          <w:iCs/>
          <w:color w:val="FF0000"/>
          <w:sz w:val="28"/>
          <w:szCs w:val="28"/>
          <w:lang w:val="en-US" w:eastAsia="zh-CN"/>
        </w:rPr>
        <w:t>“Similarly, the changes in flavonoid-related metabolites, enzyme activities, and gene expression were not associated with a consistent inoculation × SWC interaction, suggesting that GAU-93 may help maintain secondary metabolic activity rather than induce a distinct drought-specific flavonoid response”.</w:t>
      </w:r>
    </w:p>
    <w:p w14:paraId="45B883C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BF31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2026-07-18T03:22:16Z</dcterms:created>
  <dc:creator>24</dc:creator>
  <cp:lastModifiedBy>爱哭的蜗牛</cp:lastModifiedBy>
  <dcterms:modified xsi:type="dcterms:W3CDTF">2026-07-18T03:22:57Z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eyJoZGlkIjoiMmMxYTRiN2JjYTIwZmRhODc5ZTM0ODkyYzcxYWFjN2QiLCJ1c2VySWQiOiI3NTUwMTk1OTMifQ==</vt:lpwstr>
  </property>
  <property fmtid="{D5CDD505-2E9C-101B-9397-08002B2CF9AE}" pid="4" name="ICV">
    <vt:lpwstr>2BC8A32703854BF492A57B0073EB5CFC_12</vt:lpwstr>
  </property>
</Properties>
</file>