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A1FC7" w14:textId="77777777" w:rsidR="00CD2C6E" w:rsidRPr="00165264" w:rsidRDefault="00000000" w:rsidP="00165264">
      <w:pPr>
        <w:rPr>
          <w:sz w:val="22"/>
        </w:rPr>
      </w:pPr>
      <w:r w:rsidRPr="00165264">
        <w:rPr>
          <w:sz w:val="22"/>
        </w:rPr>
        <w:t>Dear Reviewer,</w:t>
      </w:r>
    </w:p>
    <w:p w14:paraId="4ED1DC66" w14:textId="77777777" w:rsidR="00CD2C6E" w:rsidRPr="00165264" w:rsidRDefault="00000000" w:rsidP="00165264">
      <w:pPr>
        <w:rPr>
          <w:sz w:val="22"/>
        </w:rPr>
      </w:pPr>
      <w:r w:rsidRPr="00165264">
        <w:rPr>
          <w:sz w:val="22"/>
        </w:rPr>
        <w:t>Thank you for your careful second-round review and for recognizing the substantial improvements made after the first revision. I appreciate the precision of the remaining comments. I have revised the manuscript point by point, with particular attention to the conceptual status of the diagnostic architecture, the distinction between diagnosis and prediction, the strength of evidence supporting the prevention propositions, causal language, search transparency, single-author interpretive limitations, the ethical use of PROGRESS-Plus, and concision. All substantive changes are highlighted in yellow in the revised manuscript.</w:t>
      </w:r>
    </w:p>
    <w:p w14:paraId="64011D5A" w14:textId="77777777" w:rsidR="00CD2C6E" w:rsidRPr="00165264" w:rsidRDefault="00000000" w:rsidP="00165264">
      <w:pPr>
        <w:rPr>
          <w:sz w:val="22"/>
        </w:rPr>
      </w:pPr>
      <w:r w:rsidRPr="00165264">
        <w:rPr>
          <w:sz w:val="22"/>
        </w:rPr>
        <w:t>Comment 1</w:t>
      </w:r>
    </w:p>
    <w:p w14:paraId="19CFFFE8" w14:textId="77777777" w:rsidR="00CD2C6E" w:rsidRPr="00165264" w:rsidRDefault="00000000" w:rsidP="00165264">
      <w:pPr>
        <w:rPr>
          <w:sz w:val="22"/>
        </w:rPr>
      </w:pPr>
      <w:r w:rsidRPr="00165264">
        <w:rPr>
          <w:i/>
          <w:sz w:val="22"/>
        </w:rPr>
        <w:t>The central diagnostic framework remains more conceptual than the manuscript sometimes suggests.</w:t>
      </w:r>
      <w:r w:rsidRPr="00165264">
        <w:rPr>
          <w:i/>
          <w:sz w:val="22"/>
        </w:rPr>
        <w:br/>
      </w:r>
      <w:r w:rsidRPr="00165264">
        <w:rPr>
          <w:i/>
          <w:sz w:val="22"/>
        </w:rPr>
        <w:br/>
        <w:t>This is the most important remaining issue. The manuscript appropriately states that the three-level diagnostic model is a conceptual proposal rather than an empirically validated instrument. It also acknowledges that the proposed timing of measurement (entry, mid-course, and transition/exit) is an authorial recommendation requiring empirical testing.</w:t>
      </w:r>
      <w:r w:rsidRPr="00165264">
        <w:rPr>
          <w:i/>
          <w:sz w:val="22"/>
        </w:rPr>
        <w:br/>
      </w:r>
      <w:r w:rsidRPr="00165264">
        <w:rPr>
          <w:i/>
          <w:sz w:val="22"/>
        </w:rPr>
        <w:br/>
        <w:t>However, the presentation in Section 6 and Table 3 sometimes moves quite quickly from evidence that particular variables are associated with motivation or dropout-related outcomes to a proposed institutional diagnostic architecture. For example, the table combines the Academic Motivation Scale, need satisfaction/frustration indicators, attendance and performance records, teacher-style measures, classroom observation, focus groups, dashboards, and equity stratification into one integrated diagnostic system.</w:t>
      </w:r>
      <w:r w:rsidRPr="00165264">
        <w:rPr>
          <w:i/>
          <w:sz w:val="22"/>
        </w:rPr>
        <w:br/>
      </w:r>
      <w:r w:rsidRPr="00165264">
        <w:rPr>
          <w:i/>
          <w:sz w:val="22"/>
        </w:rPr>
        <w:br/>
        <w:t>The problem is not proposing this framework; that is arguably the manuscript’s main contribution. The problem is that the reader needs an even sharper distinction between: (1) validated instruments, (2) variables with empirical associations with dropout-related outcomes, (3) qualitative/administrative indicators that are plausible diagnostic inputs, and (4) components newly synthesised or proposed by the authors.</w:t>
      </w:r>
      <w:r w:rsidRPr="00165264">
        <w:rPr>
          <w:i/>
          <w:sz w:val="22"/>
        </w:rPr>
        <w:br/>
      </w:r>
      <w:r w:rsidRPr="00165264">
        <w:rPr>
          <w:i/>
          <w:sz w:val="22"/>
        </w:rPr>
        <w:br/>
        <w:t>I recommend adding a short column to Table 3 such as “Evidence status”, using categories such as validated measure, empirically supported indicator, contextual indicator, and authorial proposal. This would make the originality of the framework clearer while preventing readers from interpreting the table as an already validated diagnostic instrument.</w:t>
      </w:r>
    </w:p>
    <w:p w14:paraId="5B992492" w14:textId="77777777" w:rsidR="00CD2C6E" w:rsidRPr="00165264" w:rsidRDefault="00000000" w:rsidP="00165264">
      <w:pPr>
        <w:rPr>
          <w:sz w:val="22"/>
        </w:rPr>
      </w:pPr>
      <w:r w:rsidRPr="00165264">
        <w:rPr>
          <w:sz w:val="22"/>
        </w:rPr>
        <w:t>Response: Thank you for identifying this distinction as the central remaining issue. I agreed that the previous presentation could make heterogeneous forms of evidence appear more equivalent than they are. I therefore revised Section 6, Section 6.1, and Table 3 to separate clearly the evidentiary status of each component of the proposed architecture.</w:t>
      </w:r>
      <w:r w:rsidRPr="00165264">
        <w:rPr>
          <w:sz w:val="22"/>
        </w:rPr>
        <w:br/>
      </w:r>
      <w:r w:rsidRPr="00165264">
        <w:rPr>
          <w:sz w:val="22"/>
        </w:rPr>
        <w:br/>
        <w:t>Table 3 is now titled “Conceptual three-level diagnostic architecture for TVET: candidate indicators, proposed timing, and evidence status” and includes a dedicated “Evidence status” column. The table distinguishes: (a) validated measures, (b) empirically supported constructs/indicators, (c) contextual/administrative indicators, (d) heuristic adaptations, and (e) authorial propositions. The timing of assessment is now explicitly labelled “Proposed timing” and identified as an authorial proposal rather than as an empirically established schedule.</w:t>
      </w:r>
      <w:r w:rsidRPr="00165264">
        <w:rPr>
          <w:sz w:val="22"/>
        </w:rPr>
        <w:br/>
      </w:r>
      <w:r w:rsidRPr="00165264">
        <w:rPr>
          <w:sz w:val="22"/>
        </w:rPr>
        <w:br/>
      </w:r>
      <w:r w:rsidRPr="00165264">
        <w:rPr>
          <w:sz w:val="22"/>
        </w:rPr>
        <w:lastRenderedPageBreak/>
        <w:t>The table note further clarifies that psychometric validation does not imply predictive validity for subsequent dropout, that empirically supported indicators may reflect associations or longitudinal relationships rather than causal effects, and that the integrated three-level architecture itself is an authorial synthesis. PROGRESS-Plus is also explicitly described as a heuristic equity-stratification lens rather than a validated educational risk scale.</w:t>
      </w:r>
      <w:r w:rsidRPr="00165264">
        <w:rPr>
          <w:sz w:val="22"/>
        </w:rPr>
        <w:br/>
      </w:r>
      <w:r w:rsidRPr="00165264">
        <w:rPr>
          <w:sz w:val="22"/>
        </w:rPr>
        <w:br/>
        <w:t>In addition, Section 6.1 was retitled “A Three-Level Conceptual Diagnostic Architecture for TVET” to reinforce that the proposed framework is conceptual and integrative rather than an already validated diagnostic instrument.</w:t>
      </w:r>
    </w:p>
    <w:p w14:paraId="1D1CE536" w14:textId="77777777" w:rsidR="00CD2C6E" w:rsidRPr="00165264" w:rsidRDefault="00000000" w:rsidP="00165264">
      <w:pPr>
        <w:rPr>
          <w:sz w:val="22"/>
        </w:rPr>
      </w:pPr>
      <w:r w:rsidRPr="00165264">
        <w:rPr>
          <w:sz w:val="22"/>
        </w:rPr>
        <w:t>Location in revised manuscript: Section 6; Section 6.1; Table 3 and its note.</w:t>
      </w:r>
    </w:p>
    <w:p w14:paraId="7891F8DE" w14:textId="77777777" w:rsidR="00CD2C6E" w:rsidRPr="00165264" w:rsidRDefault="00000000" w:rsidP="00165264">
      <w:pPr>
        <w:rPr>
          <w:sz w:val="22"/>
        </w:rPr>
      </w:pPr>
      <w:r w:rsidRPr="00165264">
        <w:rPr>
          <w:sz w:val="22"/>
        </w:rPr>
        <w:t>Comment 2</w:t>
      </w:r>
    </w:p>
    <w:p w14:paraId="13055BF4" w14:textId="77777777" w:rsidR="00CD2C6E" w:rsidRPr="00165264" w:rsidRDefault="00000000" w:rsidP="00165264">
      <w:pPr>
        <w:rPr>
          <w:sz w:val="22"/>
        </w:rPr>
      </w:pPr>
      <w:r w:rsidRPr="00165264">
        <w:rPr>
          <w:i/>
          <w:sz w:val="22"/>
        </w:rPr>
        <w:t>The manuscript should distinguish more explicitly between “diagnosis” and “prediction”.</w:t>
      </w:r>
      <w:r w:rsidRPr="00165264">
        <w:rPr>
          <w:i/>
          <w:sz w:val="22"/>
        </w:rPr>
        <w:br/>
      </w:r>
      <w:r w:rsidRPr="00165264">
        <w:rPr>
          <w:i/>
          <w:sz w:val="22"/>
        </w:rPr>
        <w:br/>
        <w:t>Related to the previous point, the terminology of diagnostic model, risk identification, and dropout prevention occasionally comes close to implying predictive validity.</w:t>
      </w:r>
      <w:r w:rsidRPr="00165264">
        <w:rPr>
          <w:i/>
          <w:sz w:val="22"/>
        </w:rPr>
        <w:br/>
      </w:r>
      <w:r w:rsidRPr="00165264">
        <w:rPr>
          <w:i/>
          <w:sz w:val="22"/>
        </w:rPr>
        <w:br/>
        <w:t>The manuscript itself acknowledges that the framework has not yet been empirically validated and that some existing studies use dropout intention rather than observed dropout. This caution is appropriate.</w:t>
      </w:r>
      <w:r w:rsidRPr="00165264">
        <w:rPr>
          <w:i/>
          <w:sz w:val="22"/>
        </w:rPr>
        <w:br/>
      </w:r>
      <w:r w:rsidRPr="00165264">
        <w:rPr>
          <w:i/>
          <w:sz w:val="22"/>
        </w:rPr>
        <w:br/>
        <w:t>Nevertheless, if the proposed framework is intended ultimately to identify students “before dropout becomes irreversible,” the manuscript should state more explicitly what future validation would have to demonstrate: for example, predictive validity against actual subsequent withdrawal, sensitivity/specificity or other appropriate prediction metrics, incremental validity over administrative risk indicators, and whether the institutional-level variables add predictive value beyond student-level motivation.</w:t>
      </w:r>
      <w:r w:rsidRPr="00165264">
        <w:rPr>
          <w:i/>
          <w:sz w:val="22"/>
        </w:rPr>
        <w:br/>
      </w:r>
      <w:r w:rsidRPr="00165264">
        <w:rPr>
          <w:i/>
          <w:sz w:val="22"/>
        </w:rPr>
        <w:br/>
        <w:t>At present, the framework is better characterised as a diagnostic conceptual architecture than as a predictive model. I recommend making that distinction explicit throughout Section 6 and, preferably, in the abstract.</w:t>
      </w:r>
    </w:p>
    <w:p w14:paraId="4FA56A7E" w14:textId="77777777" w:rsidR="00CD2C6E" w:rsidRPr="00165264" w:rsidRDefault="00000000" w:rsidP="00165264">
      <w:pPr>
        <w:rPr>
          <w:sz w:val="22"/>
        </w:rPr>
      </w:pPr>
      <w:r w:rsidRPr="00165264">
        <w:rPr>
          <w:sz w:val="22"/>
        </w:rPr>
        <w:t>Response: Thank you. I agreed that the manuscript needed a sharper distinction between diagnostic characterization and predictive modelling. This distinction is now explicit in the Abstract, Section 6, Section 6.1, the longitudinal-monitoring discussion, and the Conclusions.</w:t>
      </w:r>
      <w:r w:rsidRPr="00165264">
        <w:rPr>
          <w:sz w:val="22"/>
        </w:rPr>
        <w:br/>
      </w:r>
      <w:r w:rsidRPr="00165264">
        <w:rPr>
          <w:sz w:val="22"/>
        </w:rPr>
        <w:br/>
        <w:t>In the Abstract, the Results now state that the proposed architecture organizes candidate measures and contextual indicators and “is not an empirically validated predictive model.” The Conclusions further state that prospective, multicenter, equity-sensitive validation against observed dropout outcomes is required before the framework could be used for individual risk prediction.</w:t>
      </w:r>
      <w:r w:rsidRPr="00165264">
        <w:rPr>
          <w:sz w:val="22"/>
        </w:rPr>
        <w:br/>
      </w:r>
      <w:r w:rsidRPr="00165264">
        <w:rPr>
          <w:sz w:val="22"/>
        </w:rPr>
        <w:br/>
        <w:t>At the beginning of Section 6, I now define “diagnostic” as the structured characterization of motivational, relational, institutional, and equity-related conditions that may warrant attention. The text explicitly states that this does not imply clinical diagnosis, an individual dropout-risk score, validated cutoffs, or the ability to predict which student will withdraw.</w:t>
      </w:r>
      <w:r w:rsidRPr="00165264">
        <w:rPr>
          <w:sz w:val="22"/>
        </w:rPr>
        <w:br/>
      </w:r>
      <w:r w:rsidRPr="00165264">
        <w:rPr>
          <w:sz w:val="22"/>
        </w:rPr>
        <w:br/>
        <w:t xml:space="preserve">I also added a specific paragraph detailing what future predictive validation would need to demonstrate: prediction of observed subsequent dropout rather than intention alone; discrimination and calibration; </w:t>
      </w:r>
      <w:r w:rsidRPr="00165264">
        <w:rPr>
          <w:sz w:val="22"/>
        </w:rPr>
        <w:lastRenderedPageBreak/>
        <w:t>sensitivity and specificity where thresholds are contemplated; incremental predictive value beyond routine administrative indicators such as attendance and performance; added information from relational and institutional variables beyond student-level motivation; and performance across institutions and equity-relevant subgroups. The manuscript now states that no individual risk thresholds or predictive classifications are proposed at this stage.</w:t>
      </w:r>
      <w:r w:rsidRPr="00165264">
        <w:rPr>
          <w:sz w:val="22"/>
        </w:rPr>
        <w:br/>
      </w:r>
      <w:r w:rsidRPr="00165264">
        <w:rPr>
          <w:sz w:val="22"/>
        </w:rPr>
        <w:br/>
        <w:t>The longitudinal-monitoring axis was also revised to state that repeated measurement may support monitoring, while the ability to identify subsequent dropout risk or evaluate intervention effects requires prospective validation. Finally, the Conclusions now distinguish the conceptual diagnostic architecture from a validated predictive model and specify the designs and metrics required for future validation.</w:t>
      </w:r>
    </w:p>
    <w:p w14:paraId="17F34F39" w14:textId="77777777" w:rsidR="00CD2C6E" w:rsidRPr="00165264" w:rsidRDefault="00000000" w:rsidP="00165264">
      <w:pPr>
        <w:rPr>
          <w:sz w:val="22"/>
        </w:rPr>
      </w:pPr>
      <w:r w:rsidRPr="00165264">
        <w:rPr>
          <w:sz w:val="22"/>
        </w:rPr>
        <w:t>Location in revised manuscript: Abstract; Section 6; Section 6.1; Section 6.2; Table 4; Section 9 (Conclusions).</w:t>
      </w:r>
    </w:p>
    <w:p w14:paraId="6C330350" w14:textId="77777777" w:rsidR="00CD2C6E" w:rsidRPr="00165264" w:rsidRDefault="00000000" w:rsidP="00165264">
      <w:pPr>
        <w:rPr>
          <w:sz w:val="22"/>
        </w:rPr>
      </w:pPr>
      <w:r w:rsidRPr="00165264">
        <w:rPr>
          <w:sz w:val="22"/>
        </w:rPr>
        <w:t>Comment 3</w:t>
      </w:r>
    </w:p>
    <w:p w14:paraId="7C130A72" w14:textId="77777777" w:rsidR="00CD2C6E" w:rsidRPr="00165264" w:rsidRDefault="00000000" w:rsidP="00165264">
      <w:pPr>
        <w:rPr>
          <w:sz w:val="22"/>
        </w:rPr>
      </w:pPr>
      <w:r w:rsidRPr="00165264">
        <w:rPr>
          <w:i/>
          <w:sz w:val="22"/>
        </w:rPr>
        <w:t>The evidence supporting the five prevention axes is uneven.</w:t>
      </w:r>
      <w:r w:rsidRPr="00165264">
        <w:rPr>
          <w:i/>
          <w:sz w:val="22"/>
        </w:rPr>
        <w:br/>
      </w:r>
      <w:r w:rsidRPr="00165264">
        <w:rPr>
          <w:i/>
          <w:sz w:val="22"/>
        </w:rPr>
        <w:br/>
        <w:t>The prevention table is now substantially improved and considerably more actionable. However, the empirical basis of the five axes is not equally strong.</w:t>
      </w:r>
      <w:r w:rsidRPr="00165264">
        <w:rPr>
          <w:i/>
          <w:sz w:val="22"/>
        </w:rPr>
        <w:br/>
      </w:r>
      <w:r w:rsidRPr="00165264">
        <w:rPr>
          <w:i/>
          <w:sz w:val="22"/>
        </w:rPr>
        <w:br/>
        <w:t>The authors themselves acknowledge, for example, that much of the evidence for autonomy-supportive teacher training comes from educational settings outside Brazilian TVET, and that local adaptation and evaluation are necessary. Similarly, the Danish intervention provides suggestive evidence but is non-randomised and cannot exclude residual confounding.</w:t>
      </w:r>
      <w:r w:rsidRPr="00165264">
        <w:rPr>
          <w:i/>
          <w:sz w:val="22"/>
        </w:rPr>
        <w:br/>
      </w:r>
      <w:r w:rsidRPr="00165264">
        <w:rPr>
          <w:i/>
          <w:sz w:val="22"/>
        </w:rPr>
        <w:br/>
        <w:t>I therefore recommend explicitly labelling the five axes as evidence-informed propositions rather than evidence-based interventions. The distinction is important because the manuscript's conceptual synthesis is strong, but there is not yet sufficient Brazilian intervention evidence to claim that implementation of these five axes will reduce dropout.</w:t>
      </w:r>
      <w:r w:rsidRPr="00165264">
        <w:rPr>
          <w:i/>
          <w:sz w:val="22"/>
        </w:rPr>
        <w:br/>
      </w:r>
      <w:r w:rsidRPr="00165264">
        <w:rPr>
          <w:i/>
          <w:sz w:val="22"/>
        </w:rPr>
        <w:br/>
        <w:t>A brief evidence-strength indicator in Table 4 would solve this efficiently.</w:t>
      </w:r>
    </w:p>
    <w:p w14:paraId="0184B752" w14:textId="77777777" w:rsidR="00CD2C6E" w:rsidRPr="00165264" w:rsidRDefault="00000000" w:rsidP="00165264">
      <w:pPr>
        <w:rPr>
          <w:sz w:val="22"/>
        </w:rPr>
      </w:pPr>
      <w:r w:rsidRPr="00165264">
        <w:rPr>
          <w:sz w:val="22"/>
        </w:rPr>
        <w:t>Response: Thank you. I agreed that the empirical support for the five prevention axes is heterogeneous and should not be presented as if all five were established evidence-based interventions.</w:t>
      </w:r>
      <w:r w:rsidRPr="00165264">
        <w:rPr>
          <w:sz w:val="22"/>
        </w:rPr>
        <w:br/>
      </w:r>
      <w:r w:rsidRPr="00165264">
        <w:rPr>
          <w:sz w:val="22"/>
        </w:rPr>
        <w:br/>
        <w:t>Section 6.2 has therefore been retitled “Evidence-Informed SDT-Based Propositions for Dropout Prevention.” Its opening now states explicitly that the five axes are evidence-informed propositions and should not be interpreted as established evidence-based dropout-reduction interventions for Brazilian TVET.</w:t>
      </w:r>
      <w:r w:rsidRPr="00165264">
        <w:rPr>
          <w:sz w:val="22"/>
        </w:rPr>
        <w:br/>
      </w:r>
      <w:r w:rsidRPr="00165264">
        <w:rPr>
          <w:sz w:val="22"/>
        </w:rPr>
        <w:br/>
        <w:t xml:space="preserve">Table 4 is now titled “Five evidence-informed strategic propositions for dropout prevention in TVET” and includes a new “Evidence status/strength” column. The column differentiates the evidence supporting each axis. For example, the autonomy-oriented curriculum axis is described as theoretically strong with observational/contextual support but limited direct dropout-intervention evidence in Brazilian TVET; teacher training is supported by intervention evidence from broader educational settings but has limited direct Brazilian TVET evidence; student support is supported by VET observational evidence, institutional reports, and a non-randomized intervention, with the evidence described as suggestive rather than definitive; the equity-sensitive axis is identified as a conceptually and equity-informed </w:t>
      </w:r>
      <w:r w:rsidRPr="00165264">
        <w:rPr>
          <w:sz w:val="22"/>
        </w:rPr>
        <w:lastRenderedPageBreak/>
        <w:t>authorial proposition using a heuristic adaptation of PROGRESS-Plus; and longitudinal monitoring is identified as an evidence-informed authorial proposition without established predictive validity for observed dropout in Brazilian TVET.</w:t>
      </w:r>
      <w:r w:rsidRPr="00165264">
        <w:rPr>
          <w:sz w:val="22"/>
        </w:rPr>
        <w:br/>
      </w:r>
      <w:r w:rsidRPr="00165264">
        <w:rPr>
          <w:sz w:val="22"/>
        </w:rPr>
        <w:br/>
        <w:t>The surrounding text also retains explicit cautions about the non-randomized Danish intervention and the need to adapt and evaluate autonomy-supportive teacher training locally before institution-wide adoption.</w:t>
      </w:r>
    </w:p>
    <w:p w14:paraId="5B797AA9" w14:textId="77777777" w:rsidR="00CD2C6E" w:rsidRPr="00165264" w:rsidRDefault="00000000" w:rsidP="00165264">
      <w:pPr>
        <w:rPr>
          <w:sz w:val="22"/>
        </w:rPr>
      </w:pPr>
      <w:r w:rsidRPr="00165264">
        <w:rPr>
          <w:sz w:val="22"/>
        </w:rPr>
        <w:t>Location in revised manuscript: Section 6.2; Table 4 and its note.</w:t>
      </w:r>
    </w:p>
    <w:p w14:paraId="5E63963C" w14:textId="77777777" w:rsidR="00CD2C6E" w:rsidRPr="00165264" w:rsidRDefault="00000000" w:rsidP="00165264">
      <w:pPr>
        <w:rPr>
          <w:sz w:val="22"/>
        </w:rPr>
      </w:pPr>
      <w:r w:rsidRPr="00165264">
        <w:rPr>
          <w:sz w:val="22"/>
        </w:rPr>
        <w:t>Comment 4</w:t>
      </w:r>
    </w:p>
    <w:p w14:paraId="2D87763B" w14:textId="77777777" w:rsidR="00CD2C6E" w:rsidRPr="00165264" w:rsidRDefault="00000000" w:rsidP="00165264">
      <w:pPr>
        <w:rPr>
          <w:sz w:val="22"/>
        </w:rPr>
      </w:pPr>
      <w:r w:rsidRPr="00165264">
        <w:rPr>
          <w:i/>
          <w:sz w:val="22"/>
        </w:rPr>
        <w:t>The institutional emphasis is convincing, but causal language should remain consistently cautious.</w:t>
      </w:r>
      <w:r w:rsidRPr="00165264">
        <w:rPr>
          <w:i/>
          <w:sz w:val="22"/>
        </w:rPr>
        <w:br/>
      </w:r>
      <w:r w:rsidRPr="00165264">
        <w:rPr>
          <w:i/>
          <w:sz w:val="22"/>
        </w:rPr>
        <w:br/>
        <w:t>The revised Discussion does a good job of stating that institutions do not “fully determine” dropout and that the argument concerns motivational conditions through which students interpret their educational experiences.</w:t>
      </w:r>
      <w:r w:rsidRPr="00165264">
        <w:rPr>
          <w:i/>
          <w:sz w:val="22"/>
        </w:rPr>
        <w:br/>
      </w:r>
      <w:r w:rsidRPr="00165264">
        <w:rPr>
          <w:i/>
          <w:sz w:val="22"/>
        </w:rPr>
        <w:br/>
        <w:t>Still, some formulations elsewhere remain stronger than the underlying evidence warrants. For example, the statement that curriculum is “the institution's most structuring influence on student motivation” is a strong comparative claim, yet the review does not appear to establish that curriculum is more influential than teaching, belonging, material support, or other institutional factors. Similarly, statements that certain institutional dimensions “shape” persistence should distinguish theoretical mechanisms from empirically demonstrated longitudinal effects.</w:t>
      </w:r>
      <w:r w:rsidRPr="00165264">
        <w:rPr>
          <w:i/>
          <w:sz w:val="22"/>
        </w:rPr>
        <w:br/>
      </w:r>
      <w:r w:rsidRPr="00165264">
        <w:rPr>
          <w:i/>
          <w:sz w:val="22"/>
        </w:rPr>
        <w:br/>
        <w:t>I suggest a final pass specifically searching for verbs such as determine, shape, produce, cause, lead to, influence, and replacing them where necessary with may contribute to, are associated with, provide conditions for, or are theoretically expected to affect, unless the cited evidence genuinely supports the stronger causal formulation.</w:t>
      </w:r>
      <w:r w:rsidRPr="00165264">
        <w:rPr>
          <w:i/>
          <w:sz w:val="22"/>
        </w:rPr>
        <w:br/>
      </w:r>
      <w:r w:rsidRPr="00165264">
        <w:rPr>
          <w:i/>
          <w:sz w:val="22"/>
        </w:rPr>
        <w:br/>
        <w:t>This would be particularly important because the manuscript's strongest methodological virtue in the revised version is its increasingly careful treatment of associative versus causal evidence.</w:t>
      </w:r>
    </w:p>
    <w:p w14:paraId="40CF87A1" w14:textId="77777777" w:rsidR="00CD2C6E" w:rsidRPr="00165264" w:rsidRDefault="00000000" w:rsidP="00165264">
      <w:pPr>
        <w:rPr>
          <w:sz w:val="22"/>
        </w:rPr>
      </w:pPr>
      <w:r w:rsidRPr="00165264">
        <w:rPr>
          <w:sz w:val="22"/>
        </w:rPr>
        <w:t>Response: Thank you. I performed a focused causal-language review across the manuscript and revised wording wherever the evidence was associative, descriptive, theoretical, or context-specific rather than causal.</w:t>
      </w:r>
      <w:r w:rsidRPr="00165264">
        <w:rPr>
          <w:sz w:val="22"/>
        </w:rPr>
        <w:br/>
      </w:r>
      <w:r w:rsidRPr="00165264">
        <w:rPr>
          <w:sz w:val="22"/>
        </w:rPr>
        <w:br/>
        <w:t>The title was changed from “Institutional Determinants…” to “Institutional Conditions Associated with…” to align the framing with the evidentiary strength of the review. In the Abstract, institutional dimensions are now described as being associated with differences in engagement and dropout vulnerability. In the Introduction, “motivational determinants” was replaced by “motivational processes and contextual conditions,” and institutional arrangements are described as conditions that may contribute to dropout vulnerability.</w:t>
      </w:r>
      <w:r w:rsidRPr="00165264">
        <w:rPr>
          <w:sz w:val="22"/>
        </w:rPr>
        <w:br/>
      </w:r>
      <w:r w:rsidRPr="00165264">
        <w:rPr>
          <w:sz w:val="22"/>
        </w:rPr>
        <w:br/>
        <w:t xml:space="preserve">The same principle was applied throughout the body of the manuscript. Examples include: students’ enrolment and persistence being “associated with” expectations and institutional experiences; curriculum being described as “one of the principal institutional conditions” rather than the institution’s “most structuring influence”; curricular decisions being “theoretically expected to relate to” autonomy; teacher interpersonal style being a “theoretically important contextual variable”; student support being </w:t>
      </w:r>
      <w:r w:rsidRPr="00165264">
        <w:rPr>
          <w:sz w:val="22"/>
        </w:rPr>
        <w:lastRenderedPageBreak/>
        <w:t>“associated with” retention rather than described as decisive; and the integrated institutional system being described as conditions that “may jointly contribute to” experiences of autonomy, competence, and relatedness.</w:t>
      </w:r>
      <w:r w:rsidRPr="00165264">
        <w:rPr>
          <w:sz w:val="22"/>
        </w:rPr>
        <w:br/>
      </w:r>
      <w:r w:rsidRPr="00165264">
        <w:rPr>
          <w:sz w:val="22"/>
        </w:rPr>
        <w:br/>
        <w:t>The Discussion now states explicitly that institutions do not determine dropout; rather, they provide part of the motivational context within which students interpret difficulties, belonging, and persistence. The Conclusions likewise state that the present review does not establish causal or predictive effects.</w:t>
      </w:r>
      <w:r w:rsidRPr="00165264">
        <w:rPr>
          <w:sz w:val="22"/>
        </w:rPr>
        <w:br/>
      </w:r>
      <w:r w:rsidRPr="00165264">
        <w:rPr>
          <w:sz w:val="22"/>
        </w:rPr>
        <w:br/>
        <w:t>Where stronger directional language was retained, it is used to describe the internal theoretical logic of SDT or findings from designs that directly support such wording, rather than to make unsupported causal claims about dropout.</w:t>
      </w:r>
    </w:p>
    <w:p w14:paraId="74930F4A" w14:textId="77777777" w:rsidR="00CD2C6E" w:rsidRPr="00165264" w:rsidRDefault="00000000" w:rsidP="00165264">
      <w:pPr>
        <w:rPr>
          <w:sz w:val="22"/>
        </w:rPr>
      </w:pPr>
      <w:r w:rsidRPr="00165264">
        <w:rPr>
          <w:sz w:val="22"/>
        </w:rPr>
        <w:t>Location in revised manuscript: Title; Abstract; Introduction; Sections 4.1–4.3; Sections 5.1–5.4; explanatory text after Table 2; Section 7 (Discussion); Section 9 (Conclusions).</w:t>
      </w:r>
    </w:p>
    <w:p w14:paraId="48BE87FD" w14:textId="77777777" w:rsidR="00CD2C6E" w:rsidRPr="00165264" w:rsidRDefault="00000000" w:rsidP="00165264">
      <w:pPr>
        <w:rPr>
          <w:sz w:val="22"/>
        </w:rPr>
      </w:pPr>
      <w:r w:rsidRPr="00165264">
        <w:rPr>
          <w:sz w:val="22"/>
        </w:rPr>
        <w:t>Comment 5</w:t>
      </w:r>
    </w:p>
    <w:p w14:paraId="5073C35C" w14:textId="77777777" w:rsidR="00CD2C6E" w:rsidRPr="00165264" w:rsidRDefault="00000000" w:rsidP="00165264">
      <w:pPr>
        <w:rPr>
          <w:sz w:val="22"/>
        </w:rPr>
      </w:pPr>
      <w:r w:rsidRPr="00165264">
        <w:rPr>
          <w:i/>
          <w:sz w:val="22"/>
        </w:rPr>
        <w:t>The search is much more transparent, but the two search phases still have different evidentiary status.</w:t>
      </w:r>
      <w:r w:rsidRPr="00165264">
        <w:rPr>
          <w:i/>
          <w:sz w:val="22"/>
        </w:rPr>
        <w:br/>
      </w:r>
      <w:r w:rsidRPr="00165264">
        <w:rPr>
          <w:i/>
          <w:sz w:val="22"/>
        </w:rPr>
        <w:br/>
        <w:t>The authors have made a commendable effort to document the August update search, including retrieval and deduplication counts. They also appropriately acknowledge that the original January–April search did not have a contemporaneous screening log.</w:t>
      </w:r>
      <w:r w:rsidRPr="00165264">
        <w:rPr>
          <w:i/>
          <w:sz w:val="22"/>
        </w:rPr>
        <w:br/>
      </w:r>
      <w:r w:rsidRPr="00165264">
        <w:rPr>
          <w:i/>
          <w:sz w:val="22"/>
        </w:rPr>
        <w:br/>
        <w:t>I would nevertheless recommend making this distinction even more prominent. The reader could otherwise interpret the 471 references from the update search as if they constituted the complete evidence base from which the final 56 sources were systematically selected.</w:t>
      </w:r>
      <w:r w:rsidRPr="00165264">
        <w:rPr>
          <w:i/>
          <w:sz w:val="22"/>
        </w:rPr>
        <w:br/>
      </w:r>
      <w:r w:rsidRPr="00165264">
        <w:rPr>
          <w:i/>
          <w:sz w:val="22"/>
        </w:rPr>
        <w:br/>
        <w:t>A concise sentence in the Methods could clarify that the 56-source corpus is the result of a narrative synthesis combining the earlier search, the prospectively documented update, citation chaining, and targeted verification, rather than the endpoint of a single reproducible systematic screening process.</w:t>
      </w:r>
      <w:r w:rsidRPr="00165264">
        <w:rPr>
          <w:i/>
          <w:sz w:val="22"/>
        </w:rPr>
        <w:br/>
      </w:r>
      <w:r w:rsidRPr="00165264">
        <w:rPr>
          <w:i/>
          <w:sz w:val="22"/>
        </w:rPr>
        <w:br/>
        <w:t>This would align perfectly with the authors' stated narrative-review design and avoid any unintended appearance of quasi-systematic methodology.</w:t>
      </w:r>
    </w:p>
    <w:p w14:paraId="041A8115" w14:textId="77777777" w:rsidR="00CD2C6E" w:rsidRPr="00165264" w:rsidRDefault="00000000" w:rsidP="00165264">
      <w:pPr>
        <w:rPr>
          <w:sz w:val="22"/>
        </w:rPr>
      </w:pPr>
      <w:r w:rsidRPr="00165264">
        <w:rPr>
          <w:sz w:val="22"/>
        </w:rPr>
        <w:t>Response: Thank you. I made the different evidentiary status of the two search phases explicit in the Methods.</w:t>
      </w:r>
      <w:r w:rsidRPr="00165264">
        <w:rPr>
          <w:sz w:val="22"/>
        </w:rPr>
        <w:br/>
      </w:r>
      <w:r w:rsidRPr="00165264">
        <w:rPr>
          <w:sz w:val="22"/>
        </w:rPr>
        <w:br/>
        <w:t>The revised manuscript now distinguishes the original January–April 2026 narrative search from the prospectively documented update performed on 2 August 2026. The Methods state that the original search did not have a contemporaneous screening log and that exact retrospective counts are therefore not reported. By contrast, the August update was prospectively documented, including database-specific retrieval counts, within-platform duplicate handling, and cross-database deduplication.</w:t>
      </w:r>
      <w:r w:rsidRPr="00165264">
        <w:rPr>
          <w:sz w:val="22"/>
        </w:rPr>
        <w:br/>
      </w:r>
      <w:r w:rsidRPr="00165264">
        <w:rPr>
          <w:sz w:val="22"/>
        </w:rPr>
        <w:br/>
        <w:t>Most importantly, I added the explicit clarification requested by the reviewer: “The final 56-source cited corpus should therefore not be interpreted as the endpoint of a single systematic screening pipeline. Rather, it represents a narrative synthesis combining the original January–April search, the prospectively documented August update, citation chaining, and targeted verification.”</w:t>
      </w:r>
      <w:r w:rsidRPr="00165264">
        <w:rPr>
          <w:sz w:val="22"/>
        </w:rPr>
        <w:br/>
      </w:r>
      <w:r w:rsidRPr="00165264">
        <w:rPr>
          <w:sz w:val="22"/>
        </w:rPr>
        <w:br/>
      </w:r>
      <w:r w:rsidRPr="00165264">
        <w:rPr>
          <w:sz w:val="22"/>
        </w:rPr>
        <w:lastRenderedPageBreak/>
        <w:t>Supplementary Material S1 now documents the unified reference database, search strategies, database-specific retrieval counts, deduplication map, screening decisions, exclusion codes, verification status, and structured extraction matrix. The manuscript also states that the update records were prioritized and appraised according to the narrative-review eligibility principles rather than treated as a fully systematic screening cohort.</w:t>
      </w:r>
    </w:p>
    <w:p w14:paraId="07D6C23F" w14:textId="77777777" w:rsidR="00CD2C6E" w:rsidRPr="00165264" w:rsidRDefault="00000000" w:rsidP="00165264">
      <w:pPr>
        <w:rPr>
          <w:sz w:val="22"/>
        </w:rPr>
      </w:pPr>
      <w:r w:rsidRPr="00165264">
        <w:rPr>
          <w:sz w:val="22"/>
        </w:rPr>
        <w:t>Location in revised manuscript: Sections 2.2–2.4; Supplementary Material S1.</w:t>
      </w:r>
    </w:p>
    <w:p w14:paraId="54E6A687" w14:textId="77777777" w:rsidR="00CD2C6E" w:rsidRPr="00165264" w:rsidRDefault="00000000" w:rsidP="00165264">
      <w:pPr>
        <w:rPr>
          <w:sz w:val="22"/>
        </w:rPr>
      </w:pPr>
      <w:r w:rsidRPr="00165264">
        <w:rPr>
          <w:sz w:val="22"/>
        </w:rPr>
        <w:t>Comment 6</w:t>
      </w:r>
    </w:p>
    <w:p w14:paraId="2F8F795D" w14:textId="77777777" w:rsidR="00CD2C6E" w:rsidRPr="00165264" w:rsidRDefault="00000000" w:rsidP="00165264">
      <w:pPr>
        <w:rPr>
          <w:sz w:val="22"/>
        </w:rPr>
      </w:pPr>
      <w:r w:rsidRPr="00165264">
        <w:rPr>
          <w:i/>
          <w:sz w:val="22"/>
        </w:rPr>
        <w:t>The “single-author” limitation has been acknowledged, but its implications for the framework deserve one more sentence.</w:t>
      </w:r>
      <w:r w:rsidRPr="00165264">
        <w:rPr>
          <w:i/>
          <w:sz w:val="22"/>
        </w:rPr>
        <w:br/>
      </w:r>
      <w:r w:rsidRPr="00165264">
        <w:rPr>
          <w:i/>
          <w:sz w:val="22"/>
        </w:rPr>
        <w:br/>
        <w:t>The revised Limitations section appropriately states that source identification, selection, extraction, and appraisal were conducted by one author and that no independent duplicate screening was undertaken.</w:t>
      </w:r>
      <w:r w:rsidRPr="00165264">
        <w:rPr>
          <w:i/>
          <w:sz w:val="22"/>
        </w:rPr>
        <w:br/>
      </w:r>
      <w:r w:rsidRPr="00165264">
        <w:rPr>
          <w:i/>
          <w:sz w:val="22"/>
        </w:rPr>
        <w:br/>
        <w:t>Because the article's main contribution is a conceptual synthesis, however, this limitation affects not only the literature-selection process but potentially the construction of the framework itself. The coding of evidence into autonomy, competence, relatedness, curriculum, teaching, support, and equity dimensions necessarily involves interpretive decisions.</w:t>
      </w:r>
      <w:r w:rsidRPr="00165264">
        <w:rPr>
          <w:i/>
          <w:sz w:val="22"/>
        </w:rPr>
        <w:br/>
      </w:r>
      <w:r w:rsidRPr="00165264">
        <w:rPr>
          <w:i/>
          <w:sz w:val="22"/>
        </w:rPr>
        <w:br/>
        <w:t xml:space="preserve">I recommend adding one sentence acknowledging that the three-level architecture and five prevention axes should be considered interpretive syntheses whose structure may be sensitive to authorial coding </w:t>
      </w:r>
      <w:proofErr w:type="gramStart"/>
      <w:r w:rsidRPr="00165264">
        <w:rPr>
          <w:i/>
          <w:sz w:val="22"/>
        </w:rPr>
        <w:t>decisions, and</w:t>
      </w:r>
      <w:proofErr w:type="gramEnd"/>
      <w:r w:rsidRPr="00165264">
        <w:rPr>
          <w:i/>
          <w:sz w:val="22"/>
        </w:rPr>
        <w:t xml:space="preserve"> therefore should be subjected to independent replication or expert review in future work.</w:t>
      </w:r>
    </w:p>
    <w:p w14:paraId="2E2FA2FA" w14:textId="77777777" w:rsidR="00CD2C6E" w:rsidRPr="00165264" w:rsidRDefault="00000000" w:rsidP="00165264">
      <w:pPr>
        <w:rPr>
          <w:sz w:val="22"/>
        </w:rPr>
      </w:pPr>
      <w:r w:rsidRPr="00165264">
        <w:rPr>
          <w:sz w:val="22"/>
        </w:rPr>
        <w:t>Response: Thank you. I agreed that the single-author limitation affects not only source selection and appraisal but also the interpretive construction of the proposed framework.</w:t>
      </w:r>
      <w:r w:rsidRPr="00165264">
        <w:rPr>
          <w:sz w:val="22"/>
        </w:rPr>
        <w:br/>
      </w:r>
      <w:r w:rsidRPr="00165264">
        <w:rPr>
          <w:sz w:val="22"/>
        </w:rPr>
        <w:br/>
        <w:t>The Limitations section now states explicitly that conceptual coding and framework construction were also conducted by a single author and that the organization of evidence into three diagnostic levels and five prevention axes may therefore be sensitive to interpretive coding decisions. It further states that independent replication, expert review, or formal consensus procedures should examine the stability and face validity of the proposed architecture in future work.</w:t>
      </w:r>
      <w:r w:rsidRPr="00165264">
        <w:rPr>
          <w:sz w:val="22"/>
        </w:rPr>
        <w:br/>
      </w:r>
      <w:r w:rsidRPr="00165264">
        <w:rPr>
          <w:sz w:val="22"/>
        </w:rPr>
        <w:br/>
        <w:t>This addition complements the existing acknowledgement that source identification, selection, extraction, and narrative appraisal were conducted by one author and that independent duplicate screening and extraction were not performed.</w:t>
      </w:r>
    </w:p>
    <w:p w14:paraId="748C2184" w14:textId="77777777" w:rsidR="00CD2C6E" w:rsidRPr="00165264" w:rsidRDefault="00000000" w:rsidP="00165264">
      <w:pPr>
        <w:rPr>
          <w:sz w:val="22"/>
        </w:rPr>
      </w:pPr>
      <w:r w:rsidRPr="00165264">
        <w:rPr>
          <w:sz w:val="22"/>
        </w:rPr>
        <w:t>Location in revised manuscript: Section 8 (Limitations).</w:t>
      </w:r>
    </w:p>
    <w:p w14:paraId="3EEEB6D8" w14:textId="77777777" w:rsidR="00CD2C6E" w:rsidRPr="00165264" w:rsidRDefault="00000000" w:rsidP="00165264">
      <w:pPr>
        <w:rPr>
          <w:sz w:val="22"/>
        </w:rPr>
      </w:pPr>
      <w:r w:rsidRPr="00165264">
        <w:rPr>
          <w:sz w:val="22"/>
        </w:rPr>
        <w:t>Comment 7</w:t>
      </w:r>
    </w:p>
    <w:p w14:paraId="66E959E7" w14:textId="77777777" w:rsidR="00CD2C6E" w:rsidRPr="00165264" w:rsidRDefault="00000000" w:rsidP="00165264">
      <w:pPr>
        <w:rPr>
          <w:sz w:val="22"/>
        </w:rPr>
      </w:pPr>
      <w:r w:rsidRPr="00165264">
        <w:rPr>
          <w:i/>
          <w:sz w:val="22"/>
        </w:rPr>
        <w:t>PROGRESS-Plus is now better integrated, but its adaptation remains under-specified.</w:t>
      </w:r>
      <w:r w:rsidRPr="00165264">
        <w:rPr>
          <w:i/>
          <w:sz w:val="22"/>
        </w:rPr>
        <w:br/>
      </w:r>
      <w:r w:rsidRPr="00165264">
        <w:rPr>
          <w:i/>
          <w:sz w:val="22"/>
        </w:rPr>
        <w:br/>
        <w:t>The revision correctly describes PROGRESS-Plus as a heuristic lens rather than a validated educational scale. The diagnostic table nevertheless operationalizes it through stratification by socioeconomic status, gender, race/ethnicity, disability, geography, and work-study variables.</w:t>
      </w:r>
      <w:r w:rsidRPr="00165264">
        <w:rPr>
          <w:i/>
          <w:sz w:val="22"/>
        </w:rPr>
        <w:br/>
      </w:r>
      <w:r w:rsidRPr="00165264">
        <w:rPr>
          <w:i/>
          <w:sz w:val="22"/>
        </w:rPr>
        <w:br/>
        <w:t>The remaining issue is practical: how should institutions avoid turning these equity markers into deficit labels or risk scores attached to particular groups?</w:t>
      </w:r>
      <w:r w:rsidRPr="00165264">
        <w:rPr>
          <w:i/>
          <w:sz w:val="22"/>
        </w:rPr>
        <w:br/>
      </w:r>
      <w:r w:rsidRPr="00165264">
        <w:rPr>
          <w:i/>
          <w:sz w:val="22"/>
        </w:rPr>
        <w:lastRenderedPageBreak/>
        <w:br/>
        <w:t xml:space="preserve">The manuscript makes the important argument that the same motivational score may require different institutional responses depending on social position and structural barriers. This is one of the stronger aspects of </w:t>
      </w:r>
      <w:proofErr w:type="gramStart"/>
      <w:r w:rsidRPr="00165264">
        <w:rPr>
          <w:i/>
          <w:sz w:val="22"/>
        </w:rPr>
        <w:t>the paper</w:t>
      </w:r>
      <w:proofErr w:type="gramEnd"/>
      <w:r w:rsidRPr="00165264">
        <w:rPr>
          <w:i/>
          <w:sz w:val="22"/>
        </w:rPr>
        <w:t xml:space="preserve">. But the framework would benefit from one explicit warning that equity stratification should be used to identify institutional disparities and barriers, rather than to assign inherently higher “risk” to </w:t>
      </w:r>
      <w:proofErr w:type="gramStart"/>
      <w:r w:rsidRPr="00165264">
        <w:rPr>
          <w:i/>
          <w:sz w:val="22"/>
        </w:rPr>
        <w:t>particular demographic</w:t>
      </w:r>
      <w:proofErr w:type="gramEnd"/>
      <w:r w:rsidRPr="00165264">
        <w:rPr>
          <w:i/>
          <w:sz w:val="22"/>
        </w:rPr>
        <w:t xml:space="preserve"> groups.</w:t>
      </w:r>
      <w:r w:rsidRPr="00165264">
        <w:rPr>
          <w:i/>
          <w:sz w:val="22"/>
        </w:rPr>
        <w:br/>
      </w:r>
      <w:r w:rsidRPr="00165264">
        <w:rPr>
          <w:i/>
          <w:sz w:val="22"/>
        </w:rPr>
        <w:br/>
        <w:t>That clarification would strengthen the ethical and conceptual consistency of the framework.</w:t>
      </w:r>
    </w:p>
    <w:p w14:paraId="212AE02A" w14:textId="77777777" w:rsidR="00CD2C6E" w:rsidRPr="00165264" w:rsidRDefault="00000000" w:rsidP="00165264">
      <w:pPr>
        <w:rPr>
          <w:sz w:val="22"/>
        </w:rPr>
      </w:pPr>
      <w:r w:rsidRPr="00165264">
        <w:rPr>
          <w:sz w:val="22"/>
        </w:rPr>
        <w:t>Response: Thank you. I added an explicit ethical safeguard so that PROGRESS-Plus is not interpreted as a demographic risk-scoring device.</w:t>
      </w:r>
      <w:r w:rsidRPr="00165264">
        <w:rPr>
          <w:sz w:val="22"/>
        </w:rPr>
        <w:br/>
      </w:r>
      <w:r w:rsidRPr="00165264">
        <w:rPr>
          <w:sz w:val="22"/>
        </w:rPr>
        <w:br/>
        <w:t>Section 4.2 now states that equity stratification should be used to identify disparities, structural barriers, and differential institutional experiences, rather than to assign inherent dropout risk to particular demographic groups or generate deficit labels. The text further specifies that institutional responses should focus on remediable conditions and supports, not on demographic membership itself.</w:t>
      </w:r>
      <w:r w:rsidRPr="00165264">
        <w:rPr>
          <w:sz w:val="22"/>
        </w:rPr>
        <w:br/>
      </w:r>
      <w:r w:rsidRPr="00165264">
        <w:rPr>
          <w:sz w:val="22"/>
        </w:rPr>
        <w:br/>
        <w:t>This clarification is repeated operationally in the framework. Table 3 describes PROGRESS-Plus as a heuristic equity lens used for stratification and disparity analysis, not as a validated educational risk scale, and its note states that it should not be interpreted as a demographic risk score. Table 4 likewise explains that the adapted PROGRESS-Plus lens is used to identify disparities and institutional barriers, not to assign inherent risk to demographic groups.</w:t>
      </w:r>
      <w:r w:rsidRPr="00165264">
        <w:rPr>
          <w:sz w:val="22"/>
        </w:rPr>
        <w:br/>
      </w:r>
      <w:r w:rsidRPr="00165264">
        <w:rPr>
          <w:sz w:val="22"/>
        </w:rPr>
        <w:br/>
        <w:t>These revisions are intended to preserve the equity function of the framework while preventing demographic markers from being reified as individual deficits or inherent risk attributes.</w:t>
      </w:r>
    </w:p>
    <w:p w14:paraId="04E67EA8" w14:textId="77777777" w:rsidR="00CD2C6E" w:rsidRPr="00165264" w:rsidRDefault="00000000" w:rsidP="00165264">
      <w:pPr>
        <w:rPr>
          <w:sz w:val="22"/>
        </w:rPr>
      </w:pPr>
      <w:r w:rsidRPr="00165264">
        <w:rPr>
          <w:sz w:val="22"/>
        </w:rPr>
        <w:t>Location in revised manuscript: Section 4.2; Table 3 and note; Table 4 and note.</w:t>
      </w:r>
    </w:p>
    <w:p w14:paraId="1995ACE1" w14:textId="77777777" w:rsidR="00CD2C6E" w:rsidRPr="00165264" w:rsidRDefault="00000000" w:rsidP="00165264">
      <w:pPr>
        <w:rPr>
          <w:sz w:val="22"/>
        </w:rPr>
      </w:pPr>
      <w:r w:rsidRPr="00165264">
        <w:rPr>
          <w:sz w:val="22"/>
        </w:rPr>
        <w:t>Comment 8</w:t>
      </w:r>
    </w:p>
    <w:p w14:paraId="1E15EFE8" w14:textId="77777777" w:rsidR="00CD2C6E" w:rsidRPr="00165264" w:rsidRDefault="00000000" w:rsidP="00165264">
      <w:pPr>
        <w:rPr>
          <w:sz w:val="22"/>
        </w:rPr>
      </w:pPr>
      <w:r w:rsidRPr="00165264">
        <w:rPr>
          <w:i/>
          <w:sz w:val="22"/>
        </w:rPr>
        <w:t>Minor point: the manuscript could be slightly more concise.</w:t>
      </w:r>
      <w:r w:rsidRPr="00165264">
        <w:rPr>
          <w:i/>
          <w:sz w:val="22"/>
        </w:rPr>
        <w:br/>
      </w:r>
      <w:r w:rsidRPr="00165264">
        <w:rPr>
          <w:i/>
          <w:sz w:val="22"/>
        </w:rPr>
        <w:br/>
        <w:t>The authors have improved the mechanical style and reduced fragmentation, but some repetition remains between Sections 6, 7, 8, and 9. The central qualification that the model is conceptual, requires validation, and should not be interpreted as proving institutional causation is stated several times.</w:t>
      </w:r>
      <w:r w:rsidRPr="00165264">
        <w:rPr>
          <w:i/>
          <w:sz w:val="22"/>
        </w:rPr>
        <w:br/>
      </w:r>
      <w:r w:rsidRPr="00165264">
        <w:rPr>
          <w:i/>
          <w:sz w:val="22"/>
        </w:rPr>
        <w:br/>
        <w:t>The repetition is not severe, but modest tightening would make the contribution more forceful. The strongest version of the paper would spend slightly less space reiterating its limitations and slightly more space explaining what empirical validation of the proposed model would look like.</w:t>
      </w:r>
    </w:p>
    <w:p w14:paraId="4AA16BA6" w14:textId="77777777" w:rsidR="00CD2C6E" w:rsidRPr="00165264" w:rsidRDefault="00000000" w:rsidP="00165264">
      <w:pPr>
        <w:rPr>
          <w:sz w:val="22"/>
        </w:rPr>
      </w:pPr>
      <w:r w:rsidRPr="00165264">
        <w:rPr>
          <w:sz w:val="22"/>
        </w:rPr>
        <w:t>Response: Thank you. I tightened the manuscript to reduce repetitive statements about conceptual status, non-causality, and the need for validation, while preserving the key qualification where it is methodologically necessary.</w:t>
      </w:r>
      <w:r w:rsidRPr="00165264">
        <w:rPr>
          <w:sz w:val="22"/>
        </w:rPr>
        <w:br/>
      </w:r>
      <w:r w:rsidRPr="00165264">
        <w:rPr>
          <w:sz w:val="22"/>
        </w:rPr>
        <w:br/>
        <w:t>Repeated or overlapping caveats in Section 6 and Section 6.2 were consolidated. The framework is now defined once, clearly, as a conceptual diagnostic architecture rather than repeatedly reintroduced as an unvalidated model. The preventive axes are likewise introduced once as evidence-informed propositions.</w:t>
      </w:r>
      <w:r w:rsidRPr="00165264">
        <w:rPr>
          <w:sz w:val="22"/>
        </w:rPr>
        <w:br/>
      </w:r>
      <w:r w:rsidRPr="00165264">
        <w:rPr>
          <w:sz w:val="22"/>
        </w:rPr>
        <w:lastRenderedPageBreak/>
        <w:br/>
        <w:t>I also replaced a more generic future-research list in the Conclusions with a concrete empirical validation agenda. The revised Conclusions now specify prospective multicenter cohorts using observed dropout or completion rather than intention alone; discrimination and calibration; sensitivity and specificity where thresholds are considered; incremental predictive value beyond attendance, performance, and other routine administrative indicators; the added value of relational and institutional variables beyond student-level motivation; performance across equity-relevant subgroups; and experimental or quasi-experimental evaluation of intervention effects. The text also calls for qualitative and participatory research on feasibility, acceptability, and possible unintended labeling effects.</w:t>
      </w:r>
      <w:r w:rsidRPr="00165264">
        <w:rPr>
          <w:sz w:val="22"/>
        </w:rPr>
        <w:br/>
      </w:r>
      <w:r w:rsidRPr="00165264">
        <w:rPr>
          <w:sz w:val="22"/>
        </w:rPr>
        <w:br/>
        <w:t>This revision reduces repetition while devoting more space to the specific empirical work required to test the proposed architecture.</w:t>
      </w:r>
    </w:p>
    <w:p w14:paraId="2DABAD60" w14:textId="77777777" w:rsidR="00CD2C6E" w:rsidRPr="00165264" w:rsidRDefault="00000000" w:rsidP="00165264">
      <w:pPr>
        <w:rPr>
          <w:sz w:val="22"/>
        </w:rPr>
      </w:pPr>
      <w:r w:rsidRPr="00165264">
        <w:rPr>
          <w:sz w:val="22"/>
        </w:rPr>
        <w:t>Location in revised manuscript: Sections 6 and 6.2; Section 9 (Conclusions).</w:t>
      </w:r>
    </w:p>
    <w:p w14:paraId="2E270F32" w14:textId="77777777" w:rsidR="00CD2C6E" w:rsidRPr="00165264" w:rsidRDefault="00CD2C6E" w:rsidP="00165264">
      <w:pPr>
        <w:rPr>
          <w:sz w:val="22"/>
        </w:rPr>
      </w:pPr>
    </w:p>
    <w:p w14:paraId="2B7ECA68" w14:textId="77777777" w:rsidR="00CD2C6E" w:rsidRPr="00165264" w:rsidRDefault="00000000" w:rsidP="00165264">
      <w:pPr>
        <w:rPr>
          <w:sz w:val="22"/>
        </w:rPr>
      </w:pPr>
      <w:r w:rsidRPr="00165264">
        <w:rPr>
          <w:sz w:val="22"/>
        </w:rPr>
        <w:t>Closing response</w:t>
      </w:r>
    </w:p>
    <w:p w14:paraId="3A27B812" w14:textId="77777777" w:rsidR="00CD2C6E" w:rsidRPr="00165264" w:rsidRDefault="00000000" w:rsidP="00165264">
      <w:pPr>
        <w:rPr>
          <w:sz w:val="22"/>
        </w:rPr>
      </w:pPr>
      <w:r w:rsidRPr="00165264">
        <w:rPr>
          <w:sz w:val="22"/>
        </w:rPr>
        <w:t>I am grateful for these recommendations. They substantially improved the manuscript by making the evidentiary status of the framework more transparent, aligning the language more closely with the strength of the underlying evidence, and clarifying the empirical work required before the proposed architecture can be used predictively. I hope that the revised manuscript now fully addresses the remaining concerns.</w:t>
      </w:r>
    </w:p>
    <w:p w14:paraId="20CD5E89" w14:textId="77777777" w:rsidR="00CD2C6E" w:rsidRPr="00165264" w:rsidRDefault="00000000" w:rsidP="00165264">
      <w:pPr>
        <w:rPr>
          <w:sz w:val="22"/>
        </w:rPr>
      </w:pPr>
      <w:r w:rsidRPr="00165264">
        <w:rPr>
          <w:sz w:val="22"/>
        </w:rPr>
        <w:t>Sincerely,</w:t>
      </w:r>
      <w:r w:rsidRPr="00165264">
        <w:rPr>
          <w:sz w:val="22"/>
        </w:rPr>
        <w:br/>
        <w:t>Juliana Dalla Martha Rodriguez</w:t>
      </w:r>
    </w:p>
    <w:sectPr w:rsidR="00CD2C6E" w:rsidRPr="00165264" w:rsidSect="00034616">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52414" w14:textId="77777777" w:rsidR="00E23EB5" w:rsidRDefault="00E23EB5" w:rsidP="00064112">
      <w:pPr>
        <w:spacing w:after="0" w:line="240" w:lineRule="auto"/>
      </w:pPr>
      <w:r>
        <w:separator/>
      </w:r>
    </w:p>
  </w:endnote>
  <w:endnote w:type="continuationSeparator" w:id="0">
    <w:p w14:paraId="4465F054" w14:textId="77777777" w:rsidR="00E23EB5" w:rsidRDefault="00E23EB5" w:rsidP="00064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1352D" w14:textId="77777777" w:rsidR="00E23EB5" w:rsidRDefault="00E23EB5" w:rsidP="00064112">
      <w:pPr>
        <w:spacing w:after="0" w:line="240" w:lineRule="auto"/>
      </w:pPr>
      <w:r>
        <w:separator/>
      </w:r>
    </w:p>
  </w:footnote>
  <w:footnote w:type="continuationSeparator" w:id="0">
    <w:p w14:paraId="17C622D4" w14:textId="77777777" w:rsidR="00E23EB5" w:rsidRDefault="00E23EB5" w:rsidP="000641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363752122">
    <w:abstractNumId w:val="8"/>
  </w:num>
  <w:num w:numId="2" w16cid:durableId="1109163096">
    <w:abstractNumId w:val="6"/>
  </w:num>
  <w:num w:numId="3" w16cid:durableId="1266960132">
    <w:abstractNumId w:val="5"/>
  </w:num>
  <w:num w:numId="4" w16cid:durableId="736168115">
    <w:abstractNumId w:val="4"/>
  </w:num>
  <w:num w:numId="5" w16cid:durableId="836111222">
    <w:abstractNumId w:val="7"/>
  </w:num>
  <w:num w:numId="6" w16cid:durableId="131947288">
    <w:abstractNumId w:val="3"/>
  </w:num>
  <w:num w:numId="7" w16cid:durableId="972637246">
    <w:abstractNumId w:val="2"/>
  </w:num>
  <w:num w:numId="8" w16cid:durableId="246305046">
    <w:abstractNumId w:val="1"/>
  </w:num>
  <w:num w:numId="9" w16cid:durableId="1173186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112"/>
    <w:rsid w:val="0015074B"/>
    <w:rsid w:val="00165264"/>
    <w:rsid w:val="0029639D"/>
    <w:rsid w:val="00326F90"/>
    <w:rsid w:val="00952432"/>
    <w:rsid w:val="00AA1D8D"/>
    <w:rsid w:val="00B47730"/>
    <w:rsid w:val="00CB0664"/>
    <w:rsid w:val="00CD2C6E"/>
    <w:rsid w:val="00E23E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04C1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pTitle">
    <w:name w:val="RespTitle"/>
    <w:rPr>
      <w:rFonts w:ascii="Arial" w:hAnsi="Arial"/>
      <w:b/>
      <w:color w:val="1F4E79"/>
      <w:sz w:val="32"/>
    </w:rPr>
  </w:style>
  <w:style w:type="paragraph" w:customStyle="1" w:styleId="RespHeading">
    <w:name w:val="RespHeading"/>
    <w:rPr>
      <w:rFonts w:ascii="Arial" w:hAnsi="Arial"/>
      <w:b/>
      <w:color w:val="1F4E79"/>
      <w:sz w:val="24"/>
    </w:rPr>
  </w:style>
  <w:style w:type="paragraph" w:customStyle="1" w:styleId="RespSubheading">
    <w:name w:val="RespSubheading"/>
    <w:rPr>
      <w:rFonts w:ascii="Arial" w:hAnsi="Arial"/>
      <w:b/>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1F384-9302-4C83-BE49-923D84B93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3682</Words>
  <Characters>19885</Characters>
  <Application>Microsoft Office Word</Application>
  <DocSecurity>0</DocSecurity>
  <Lines>165</Lines>
  <Paragraphs>47</Paragraphs>
  <ScaleCrop>false</ScaleCrop>
  <Manager/>
  <Company/>
  <LinksUpToDate>false</LinksUpToDate>
  <CharactersWithSpaces>23520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2026-08-10T19:20:00Z</dcterms:created>
  <dcterms:modified xsi:type="dcterms:W3CDTF">2026-08-10T19:20:00Z</dcterms:modified>
  <cp:category/>
</cp:coreProperties>
</file>