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5662D" w14:textId="77777777" w:rsidR="00F13DEF" w:rsidRPr="00033C8B" w:rsidRDefault="00F13DEF" w:rsidP="00F13DEF">
      <w:pPr>
        <w:rPr>
          <w:b/>
          <w:bCs/>
          <w:sz w:val="48"/>
          <w:szCs w:val="48"/>
        </w:rPr>
      </w:pPr>
      <w:r w:rsidRPr="00033C8B">
        <w:rPr>
          <w:b/>
          <w:bCs/>
          <w:sz w:val="48"/>
          <w:szCs w:val="48"/>
        </w:rPr>
        <w:t>For research article</w:t>
      </w:r>
    </w:p>
    <w:p w14:paraId="05CD885E" w14:textId="77777777" w:rsidR="00F13DEF" w:rsidRPr="00033C8B" w:rsidRDefault="00F13DEF" w:rsidP="00F13DEF"/>
    <w:p w14:paraId="48E18E85" w14:textId="77777777" w:rsidR="00F13DEF" w:rsidRDefault="00F13DEF">
      <w:pPr>
        <w:rPr>
          <w:rFonts w:hint="eastAsia"/>
        </w:rPr>
      </w:pPr>
    </w:p>
    <w:tbl>
      <w:tblPr>
        <w:tblW w:w="8834" w:type="dxa"/>
        <w:tblCellMar>
          <w:left w:w="10" w:type="dxa"/>
          <w:right w:w="10" w:type="dxa"/>
        </w:tblCellMar>
        <w:tblLook w:val="04A0" w:firstRow="1" w:lastRow="0" w:firstColumn="1" w:lastColumn="0" w:noHBand="0" w:noVBand="1"/>
      </w:tblPr>
      <w:tblGrid>
        <w:gridCol w:w="3397"/>
        <w:gridCol w:w="2977"/>
        <w:gridCol w:w="2460"/>
      </w:tblGrid>
      <w:tr w:rsidR="00102561" w14:paraId="7991DA4C" w14:textId="77777777" w:rsidTr="002116F7">
        <w:tc>
          <w:tcPr>
            <w:tcW w:w="8834" w:type="dxa"/>
            <w:gridSpan w:val="3"/>
          </w:tcPr>
          <w:p w14:paraId="7209FE9E" w14:textId="77777777" w:rsidR="00102561" w:rsidRDefault="00000000" w:rsidP="00163000">
            <w:pPr>
              <w:spacing w:after="200"/>
              <w:rPr>
                <w:rFonts w:eastAsia="Palatino Linotype"/>
                <w:b/>
                <w:bCs/>
                <w:sz w:val="36"/>
                <w:szCs w:val="36"/>
              </w:rPr>
            </w:pPr>
            <w:r>
              <w:rPr>
                <w:rFonts w:eastAsia="Palatino Linotype"/>
                <w:b/>
                <w:bCs/>
                <w:sz w:val="36"/>
                <w:szCs w:val="36"/>
              </w:rPr>
              <w:t>Response to Reviewer 3 Comments</w:t>
            </w:r>
          </w:p>
          <w:p w14:paraId="44D34F31" w14:textId="6080794E" w:rsidR="00F13DEF" w:rsidRDefault="00F13DEF" w:rsidP="00163000">
            <w:pPr>
              <w:spacing w:after="200"/>
              <w:rPr>
                <w:rFonts w:hint="eastAsia"/>
              </w:rPr>
            </w:pPr>
          </w:p>
        </w:tc>
      </w:tr>
      <w:tr w:rsidR="00163000" w14:paraId="473CBB8A" w14:textId="77777777" w:rsidTr="002116F7">
        <w:tc>
          <w:tcPr>
            <w:tcW w:w="8834" w:type="dxa"/>
            <w:gridSpan w:val="3"/>
          </w:tcPr>
          <w:p w14:paraId="0CAF96E6" w14:textId="30608B2E" w:rsidR="00163000" w:rsidRDefault="00163000">
            <w:pPr>
              <w:spacing w:after="120"/>
            </w:pPr>
            <w:r>
              <w:rPr>
                <w:rFonts w:eastAsia="Palatino Linotype"/>
                <w:b/>
                <w:bCs/>
              </w:rPr>
              <w:t>1. Summary</w:t>
            </w:r>
          </w:p>
        </w:tc>
      </w:tr>
      <w:tr w:rsidR="00102561" w14:paraId="38285726" w14:textId="77777777" w:rsidTr="002116F7">
        <w:tc>
          <w:tcPr>
            <w:tcW w:w="8834" w:type="dxa"/>
            <w:gridSpan w:val="3"/>
          </w:tcPr>
          <w:p w14:paraId="7FF369A2" w14:textId="77777777" w:rsidR="00102561" w:rsidRDefault="00000000">
            <w:pPr>
              <w:spacing w:after="120"/>
            </w:pPr>
            <w:r>
              <w:rPr>
                <w:rFonts w:eastAsia="Palatino Linotype"/>
              </w:rPr>
              <w:t>Thank you very much for taking the time to review this manuscript and for the positive evaluation. Please find the detailed responses below and the corresponding revisions highlighted in track changes in the re-submitted files.</w:t>
            </w:r>
          </w:p>
        </w:tc>
      </w:tr>
      <w:tr w:rsidR="00102561" w14:paraId="5C437040" w14:textId="77777777" w:rsidTr="002116F7">
        <w:tc>
          <w:tcPr>
            <w:tcW w:w="3397" w:type="dxa"/>
          </w:tcPr>
          <w:p w14:paraId="7EA42AD6" w14:textId="77777777" w:rsidR="00102561" w:rsidRDefault="00000000">
            <w:pPr>
              <w:spacing w:after="120"/>
            </w:pPr>
            <w:r>
              <w:rPr>
                <w:rFonts w:eastAsia="Palatino Linotype"/>
                <w:b/>
                <w:bCs/>
              </w:rPr>
              <w:t>2. Questions for General Evaluation</w:t>
            </w:r>
          </w:p>
        </w:tc>
        <w:tc>
          <w:tcPr>
            <w:tcW w:w="2977" w:type="dxa"/>
          </w:tcPr>
          <w:p w14:paraId="7B0C525E" w14:textId="77777777" w:rsidR="00102561" w:rsidRDefault="00000000">
            <w:pPr>
              <w:spacing w:after="120"/>
            </w:pPr>
            <w:r>
              <w:rPr>
                <w:rFonts w:eastAsia="Palatino Linotype"/>
                <w:b/>
                <w:bCs/>
              </w:rPr>
              <w:t>Reviewer’s Evaluation</w:t>
            </w:r>
          </w:p>
        </w:tc>
        <w:tc>
          <w:tcPr>
            <w:tcW w:w="2460" w:type="dxa"/>
          </w:tcPr>
          <w:p w14:paraId="22C0DF4E" w14:textId="77777777" w:rsidR="00102561" w:rsidRDefault="00000000">
            <w:pPr>
              <w:spacing w:after="120"/>
            </w:pPr>
            <w:r>
              <w:rPr>
                <w:rFonts w:eastAsia="Palatino Linotype"/>
                <w:b/>
                <w:bCs/>
              </w:rPr>
              <w:t>Response and Revisions</w:t>
            </w:r>
          </w:p>
        </w:tc>
      </w:tr>
      <w:tr w:rsidR="00102561" w14:paraId="16E2EF02" w14:textId="77777777" w:rsidTr="002116F7">
        <w:tc>
          <w:tcPr>
            <w:tcW w:w="3397" w:type="dxa"/>
          </w:tcPr>
          <w:p w14:paraId="22363AF1" w14:textId="77777777" w:rsidR="00102561" w:rsidRDefault="00000000">
            <w:pPr>
              <w:spacing w:after="120"/>
            </w:pPr>
            <w:r>
              <w:rPr>
                <w:rFonts w:eastAsia="Palatino Linotype"/>
              </w:rPr>
              <w:t>Does the introduction provide sufficient background and include all relevant references?</w:t>
            </w:r>
          </w:p>
        </w:tc>
        <w:tc>
          <w:tcPr>
            <w:tcW w:w="2977" w:type="dxa"/>
          </w:tcPr>
          <w:p w14:paraId="157FF46A" w14:textId="77777777" w:rsidR="00102561" w:rsidRDefault="00000000">
            <w:pPr>
              <w:spacing w:after="120"/>
            </w:pPr>
            <w:r>
              <w:rPr>
                <w:rFonts w:eastAsia="Palatino Linotype"/>
              </w:rPr>
              <w:t>Yes</w:t>
            </w:r>
          </w:p>
        </w:tc>
        <w:tc>
          <w:tcPr>
            <w:tcW w:w="2460" w:type="dxa"/>
          </w:tcPr>
          <w:p w14:paraId="68D03736" w14:textId="77777777" w:rsidR="00102561" w:rsidRDefault="00000000">
            <w:pPr>
              <w:spacing w:after="120"/>
            </w:pPr>
            <w:r>
              <w:rPr>
                <w:rFonts w:eastAsia="Palatino Linotype"/>
              </w:rPr>
              <w:t>Please see the point-by-point responses below.</w:t>
            </w:r>
          </w:p>
        </w:tc>
      </w:tr>
      <w:tr w:rsidR="00102561" w14:paraId="3F3707C3" w14:textId="77777777" w:rsidTr="002116F7">
        <w:tc>
          <w:tcPr>
            <w:tcW w:w="3397" w:type="dxa"/>
          </w:tcPr>
          <w:p w14:paraId="1AF7D1C8" w14:textId="77777777" w:rsidR="00102561" w:rsidRDefault="00000000">
            <w:pPr>
              <w:spacing w:after="120"/>
            </w:pPr>
            <w:r>
              <w:rPr>
                <w:rFonts w:eastAsia="Palatino Linotype"/>
              </w:rPr>
              <w:t>Are all the cited references relevant to the research?</w:t>
            </w:r>
          </w:p>
        </w:tc>
        <w:tc>
          <w:tcPr>
            <w:tcW w:w="2977" w:type="dxa"/>
          </w:tcPr>
          <w:p w14:paraId="3037A605" w14:textId="77777777" w:rsidR="00102561" w:rsidRDefault="00000000">
            <w:pPr>
              <w:spacing w:after="120"/>
            </w:pPr>
            <w:r>
              <w:rPr>
                <w:rFonts w:eastAsia="Palatino Linotype"/>
              </w:rPr>
              <w:t>Yes</w:t>
            </w:r>
          </w:p>
        </w:tc>
        <w:tc>
          <w:tcPr>
            <w:tcW w:w="2460" w:type="dxa"/>
          </w:tcPr>
          <w:p w14:paraId="61E8E8C7" w14:textId="77777777" w:rsidR="00102561" w:rsidRDefault="00102561">
            <w:pPr>
              <w:spacing w:after="120"/>
            </w:pPr>
          </w:p>
        </w:tc>
      </w:tr>
      <w:tr w:rsidR="00102561" w14:paraId="6647B721" w14:textId="77777777" w:rsidTr="002116F7">
        <w:tc>
          <w:tcPr>
            <w:tcW w:w="3397" w:type="dxa"/>
          </w:tcPr>
          <w:p w14:paraId="3D31AC24" w14:textId="77777777" w:rsidR="00102561" w:rsidRDefault="00000000">
            <w:pPr>
              <w:spacing w:after="120"/>
            </w:pPr>
            <w:r>
              <w:rPr>
                <w:rFonts w:eastAsia="Palatino Linotype"/>
              </w:rPr>
              <w:t>Is the research design appropriate?</w:t>
            </w:r>
          </w:p>
        </w:tc>
        <w:tc>
          <w:tcPr>
            <w:tcW w:w="2977" w:type="dxa"/>
          </w:tcPr>
          <w:p w14:paraId="35A5B4ED" w14:textId="77777777" w:rsidR="00102561" w:rsidRDefault="00000000">
            <w:pPr>
              <w:spacing w:after="120"/>
            </w:pPr>
            <w:r>
              <w:rPr>
                <w:rFonts w:eastAsia="Palatino Linotype"/>
              </w:rPr>
              <w:t>Yes</w:t>
            </w:r>
          </w:p>
        </w:tc>
        <w:tc>
          <w:tcPr>
            <w:tcW w:w="2460" w:type="dxa"/>
          </w:tcPr>
          <w:p w14:paraId="311AA564" w14:textId="77777777" w:rsidR="00102561" w:rsidRDefault="00102561">
            <w:pPr>
              <w:spacing w:after="120"/>
            </w:pPr>
          </w:p>
        </w:tc>
      </w:tr>
      <w:tr w:rsidR="00102561" w14:paraId="7A7C2CD6" w14:textId="77777777" w:rsidTr="002116F7">
        <w:tc>
          <w:tcPr>
            <w:tcW w:w="3397" w:type="dxa"/>
          </w:tcPr>
          <w:p w14:paraId="684969F7" w14:textId="77777777" w:rsidR="00102561" w:rsidRDefault="00000000">
            <w:pPr>
              <w:spacing w:after="120"/>
            </w:pPr>
            <w:r>
              <w:rPr>
                <w:rFonts w:eastAsia="Palatino Linotype"/>
              </w:rPr>
              <w:t>Are the methods adequately described?</w:t>
            </w:r>
          </w:p>
        </w:tc>
        <w:tc>
          <w:tcPr>
            <w:tcW w:w="2977" w:type="dxa"/>
          </w:tcPr>
          <w:p w14:paraId="63732808" w14:textId="77777777" w:rsidR="00102561" w:rsidRDefault="00000000">
            <w:pPr>
              <w:spacing w:after="120"/>
            </w:pPr>
            <w:r>
              <w:rPr>
                <w:rFonts w:eastAsia="Palatino Linotype"/>
              </w:rPr>
              <w:t>Yes</w:t>
            </w:r>
          </w:p>
        </w:tc>
        <w:tc>
          <w:tcPr>
            <w:tcW w:w="2460" w:type="dxa"/>
          </w:tcPr>
          <w:p w14:paraId="53D3AC0C" w14:textId="77777777" w:rsidR="00102561" w:rsidRDefault="00102561">
            <w:pPr>
              <w:spacing w:after="120"/>
            </w:pPr>
          </w:p>
        </w:tc>
      </w:tr>
      <w:tr w:rsidR="00102561" w14:paraId="668635BB" w14:textId="77777777" w:rsidTr="002116F7">
        <w:tc>
          <w:tcPr>
            <w:tcW w:w="3397" w:type="dxa"/>
          </w:tcPr>
          <w:p w14:paraId="08D0FDD7" w14:textId="77777777" w:rsidR="00102561" w:rsidRDefault="00000000">
            <w:pPr>
              <w:spacing w:after="120"/>
            </w:pPr>
            <w:r>
              <w:rPr>
                <w:rFonts w:eastAsia="Palatino Linotype"/>
              </w:rPr>
              <w:t>Are the results clearly presented?</w:t>
            </w:r>
          </w:p>
        </w:tc>
        <w:tc>
          <w:tcPr>
            <w:tcW w:w="2977" w:type="dxa"/>
          </w:tcPr>
          <w:p w14:paraId="54A6CA64" w14:textId="77777777" w:rsidR="00102561" w:rsidRDefault="00000000">
            <w:pPr>
              <w:spacing w:after="120"/>
            </w:pPr>
            <w:r>
              <w:rPr>
                <w:rFonts w:eastAsia="Palatino Linotype"/>
              </w:rPr>
              <w:t>Yes</w:t>
            </w:r>
          </w:p>
        </w:tc>
        <w:tc>
          <w:tcPr>
            <w:tcW w:w="2460" w:type="dxa"/>
          </w:tcPr>
          <w:p w14:paraId="1DAF3B64" w14:textId="77777777" w:rsidR="00102561" w:rsidRDefault="00102561">
            <w:pPr>
              <w:spacing w:after="120"/>
            </w:pPr>
          </w:p>
        </w:tc>
      </w:tr>
      <w:tr w:rsidR="00102561" w14:paraId="4739C5CA" w14:textId="77777777" w:rsidTr="002116F7">
        <w:tc>
          <w:tcPr>
            <w:tcW w:w="3397" w:type="dxa"/>
          </w:tcPr>
          <w:p w14:paraId="45C82EEF" w14:textId="77777777" w:rsidR="00102561" w:rsidRDefault="00000000">
            <w:pPr>
              <w:spacing w:after="120"/>
            </w:pPr>
            <w:r>
              <w:rPr>
                <w:rFonts w:eastAsia="Palatino Linotype"/>
              </w:rPr>
              <w:t>Are the conclusions supported by the results?</w:t>
            </w:r>
          </w:p>
        </w:tc>
        <w:tc>
          <w:tcPr>
            <w:tcW w:w="2977" w:type="dxa"/>
          </w:tcPr>
          <w:p w14:paraId="2BBD6529" w14:textId="77777777" w:rsidR="00102561" w:rsidRDefault="00000000">
            <w:pPr>
              <w:spacing w:after="120"/>
            </w:pPr>
            <w:r>
              <w:rPr>
                <w:rFonts w:eastAsia="Palatino Linotype"/>
              </w:rPr>
              <w:t>Yes</w:t>
            </w:r>
          </w:p>
        </w:tc>
        <w:tc>
          <w:tcPr>
            <w:tcW w:w="2460" w:type="dxa"/>
          </w:tcPr>
          <w:p w14:paraId="1BDEA3AC" w14:textId="77777777" w:rsidR="00102561" w:rsidRDefault="00102561">
            <w:pPr>
              <w:spacing w:after="120"/>
            </w:pPr>
          </w:p>
        </w:tc>
      </w:tr>
      <w:tr w:rsidR="00163000" w14:paraId="590AA21D" w14:textId="77777777" w:rsidTr="002116F7">
        <w:tc>
          <w:tcPr>
            <w:tcW w:w="8834" w:type="dxa"/>
            <w:gridSpan w:val="3"/>
          </w:tcPr>
          <w:p w14:paraId="442EF8C6" w14:textId="3DB42F0A" w:rsidR="00163000" w:rsidRDefault="00163000">
            <w:pPr>
              <w:spacing w:after="120"/>
            </w:pPr>
            <w:r>
              <w:rPr>
                <w:rFonts w:eastAsia="Palatino Linotype"/>
                <w:b/>
                <w:bCs/>
              </w:rPr>
              <w:t>3. Point-by-point response to Comments and Suggestions for Authors</w:t>
            </w:r>
          </w:p>
        </w:tc>
      </w:tr>
      <w:tr w:rsidR="00102561" w14:paraId="2093DB36" w14:textId="77777777" w:rsidTr="002116F7">
        <w:tc>
          <w:tcPr>
            <w:tcW w:w="8834" w:type="dxa"/>
            <w:gridSpan w:val="3"/>
          </w:tcPr>
          <w:p w14:paraId="07FA18BE" w14:textId="77777777" w:rsidR="00102561" w:rsidRDefault="00000000">
            <w:pPr>
              <w:spacing w:after="120"/>
            </w:pPr>
            <w:r>
              <w:rPr>
                <w:rFonts w:eastAsia="Palatino Linotype"/>
                <w:b/>
                <w:bCs/>
              </w:rPr>
              <w:t xml:space="preserve">Comments 1: </w:t>
            </w:r>
            <w:r>
              <w:rPr>
                <w:rFonts w:eastAsia="Palatino Linotype"/>
                <w:i/>
                <w:iCs/>
              </w:rPr>
              <w:t>The authors should define and test the dependence of the precipitation on observed and simulated inflows. The correlation between these values will be sufficient to gain insight into the problem. Conclusions will be more robust in this way.</w:t>
            </w:r>
          </w:p>
        </w:tc>
      </w:tr>
      <w:tr w:rsidR="00102561" w14:paraId="4C97D154" w14:textId="77777777" w:rsidTr="002116F7">
        <w:tc>
          <w:tcPr>
            <w:tcW w:w="8834" w:type="dxa"/>
            <w:gridSpan w:val="3"/>
          </w:tcPr>
          <w:p w14:paraId="634D6435" w14:textId="7BF6FC6C" w:rsidR="00102561" w:rsidRDefault="00000000">
            <w:pPr>
              <w:spacing w:after="120"/>
            </w:pPr>
            <w:r>
              <w:rPr>
                <w:rFonts w:eastAsia="Palatino Linotype"/>
                <w:b/>
                <w:bCs/>
              </w:rPr>
              <w:t xml:space="preserve">Response 1: </w:t>
            </w:r>
            <w:r>
              <w:rPr>
                <w:rFonts w:eastAsia="Palatino Linotype"/>
              </w:rPr>
              <w:t>We fully agree that quantifying the precipitation–discharge dependence strengthens the conclusions. We computed the Pearson correlation coefficient between 7-day cumulative sub-basin-averaged precipitation and daily discharge at all five stations for 1972–1995. Sub-basin precipitation was calculated as the area-weighted mean of forcing grid cells within each station’s control area. The results are presented in a new Table 6 in Section 4.1, and a corresponding interpretive paragraph has been added.</w:t>
            </w:r>
          </w:p>
          <w:p w14:paraId="2B0A2AEF" w14:textId="77777777" w:rsidR="00102561" w:rsidRDefault="00000000">
            <w:pPr>
              <w:spacing w:after="60"/>
            </w:pPr>
            <w:r>
              <w:rPr>
                <w:rFonts w:eastAsia="Palatino Linotype"/>
                <w:b/>
                <w:bCs/>
                <w:color w:val="FF0000"/>
              </w:rPr>
              <w:t xml:space="preserve">Table 6. </w:t>
            </w:r>
            <w:r>
              <w:rPr>
                <w:rFonts w:eastAsia="Palatino Linotype"/>
                <w:i/>
                <w:iCs/>
                <w:color w:val="FF0000"/>
              </w:rPr>
              <w:t>Pearson correlation coefficients (r) between 7-day cumulative sub-basin-averaged precipitation and daily discharge at five stations (1972–1995). All correlations are significant at p &lt; 0.001.</w:t>
            </w:r>
          </w:p>
          <w:tbl>
            <w:tblPr>
              <w:tblW w:w="8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600"/>
              <w:gridCol w:w="1600"/>
              <w:gridCol w:w="1600"/>
              <w:gridCol w:w="1600"/>
            </w:tblGrid>
            <w:tr w:rsidR="00102561" w14:paraId="575A29FE" w14:textId="77777777" w:rsidTr="00163000">
              <w:trPr>
                <w:jc w:val="center"/>
              </w:trPr>
              <w:tc>
                <w:tcPr>
                  <w:tcW w:w="1600" w:type="dxa"/>
                  <w:tcBorders>
                    <w:top w:val="single" w:sz="4" w:space="0" w:color="auto"/>
                    <w:left w:val="single" w:sz="4" w:space="0" w:color="auto"/>
                    <w:bottom w:val="single" w:sz="4" w:space="0" w:color="auto"/>
                    <w:right w:val="single" w:sz="4" w:space="0" w:color="auto"/>
                  </w:tcBorders>
                  <w:shd w:val="clear" w:color="auto" w:fill="D9E2F3"/>
                  <w:tcMar>
                    <w:top w:w="40" w:type="dxa"/>
                    <w:left w:w="60" w:type="dxa"/>
                    <w:bottom w:w="40" w:type="dxa"/>
                    <w:right w:w="60" w:type="dxa"/>
                  </w:tcMar>
                </w:tcPr>
                <w:p w14:paraId="401DD8F5" w14:textId="77777777" w:rsidR="00102561" w:rsidRDefault="00000000">
                  <w:pPr>
                    <w:jc w:val="center"/>
                  </w:pPr>
                  <w:r>
                    <w:rPr>
                      <w:rFonts w:eastAsia="Palatino Linotype"/>
                      <w:b/>
                      <w:bCs/>
                      <w:color w:val="FF0000"/>
                      <w:sz w:val="20"/>
                      <w:szCs w:val="20"/>
                    </w:rPr>
                    <w:t>Station</w:t>
                  </w:r>
                </w:p>
              </w:tc>
              <w:tc>
                <w:tcPr>
                  <w:tcW w:w="1600" w:type="dxa"/>
                  <w:tcBorders>
                    <w:top w:val="single" w:sz="4" w:space="0" w:color="auto"/>
                    <w:left w:val="single" w:sz="4" w:space="0" w:color="auto"/>
                    <w:bottom w:val="single" w:sz="4" w:space="0" w:color="auto"/>
                    <w:right w:val="single" w:sz="4" w:space="0" w:color="auto"/>
                  </w:tcBorders>
                  <w:shd w:val="clear" w:color="auto" w:fill="D9E2F3"/>
                  <w:tcMar>
                    <w:top w:w="40" w:type="dxa"/>
                    <w:left w:w="60" w:type="dxa"/>
                    <w:bottom w:w="40" w:type="dxa"/>
                    <w:right w:w="60" w:type="dxa"/>
                  </w:tcMar>
                </w:tcPr>
                <w:p w14:paraId="54190971" w14:textId="77777777" w:rsidR="00102561" w:rsidRDefault="00000000">
                  <w:pPr>
                    <w:jc w:val="center"/>
                  </w:pPr>
                  <w:r>
                    <w:rPr>
                      <w:rFonts w:eastAsia="Palatino Linotype"/>
                      <w:b/>
                      <w:bCs/>
                      <w:color w:val="FF0000"/>
                      <w:sz w:val="20"/>
                      <w:szCs w:val="20"/>
                    </w:rPr>
                    <w:t>r (observed)</w:t>
                  </w:r>
                </w:p>
              </w:tc>
              <w:tc>
                <w:tcPr>
                  <w:tcW w:w="1600" w:type="dxa"/>
                  <w:tcBorders>
                    <w:top w:val="single" w:sz="4" w:space="0" w:color="auto"/>
                    <w:left w:val="single" w:sz="4" w:space="0" w:color="auto"/>
                    <w:bottom w:val="single" w:sz="4" w:space="0" w:color="auto"/>
                    <w:right w:val="single" w:sz="4" w:space="0" w:color="auto"/>
                  </w:tcBorders>
                  <w:shd w:val="clear" w:color="auto" w:fill="D9E2F3"/>
                  <w:tcMar>
                    <w:top w:w="40" w:type="dxa"/>
                    <w:left w:w="60" w:type="dxa"/>
                    <w:bottom w:w="40" w:type="dxa"/>
                    <w:right w:w="60" w:type="dxa"/>
                  </w:tcMar>
                </w:tcPr>
                <w:p w14:paraId="5F8C171B" w14:textId="77777777" w:rsidR="00102561" w:rsidRDefault="00000000">
                  <w:pPr>
                    <w:jc w:val="center"/>
                  </w:pPr>
                  <w:r>
                    <w:rPr>
                      <w:rFonts w:eastAsia="Palatino Linotype"/>
                      <w:b/>
                      <w:bCs/>
                      <w:color w:val="FF0000"/>
                      <w:sz w:val="20"/>
                      <w:szCs w:val="20"/>
                    </w:rPr>
                    <w:t>r (Routing)</w:t>
                  </w:r>
                </w:p>
              </w:tc>
              <w:tc>
                <w:tcPr>
                  <w:tcW w:w="1600" w:type="dxa"/>
                  <w:tcBorders>
                    <w:top w:val="single" w:sz="4" w:space="0" w:color="auto"/>
                    <w:left w:val="single" w:sz="4" w:space="0" w:color="auto"/>
                    <w:bottom w:val="single" w:sz="4" w:space="0" w:color="auto"/>
                    <w:right w:val="single" w:sz="4" w:space="0" w:color="auto"/>
                  </w:tcBorders>
                  <w:shd w:val="clear" w:color="auto" w:fill="D9E2F3"/>
                  <w:tcMar>
                    <w:top w:w="40" w:type="dxa"/>
                    <w:left w:w="60" w:type="dxa"/>
                    <w:bottom w:w="40" w:type="dxa"/>
                    <w:right w:w="60" w:type="dxa"/>
                  </w:tcMar>
                </w:tcPr>
                <w:p w14:paraId="1C5F4598" w14:textId="77777777" w:rsidR="00102561" w:rsidRDefault="00000000">
                  <w:pPr>
                    <w:jc w:val="center"/>
                  </w:pPr>
                  <w:r>
                    <w:rPr>
                      <w:rFonts w:eastAsia="Palatino Linotype"/>
                      <w:b/>
                      <w:bCs/>
                      <w:color w:val="FF0000"/>
                      <w:sz w:val="20"/>
                      <w:szCs w:val="20"/>
                    </w:rPr>
                    <w:t>r (Cama Flood)</w:t>
                  </w:r>
                </w:p>
              </w:tc>
              <w:tc>
                <w:tcPr>
                  <w:tcW w:w="1600" w:type="dxa"/>
                  <w:tcBorders>
                    <w:top w:val="single" w:sz="4" w:space="0" w:color="auto"/>
                    <w:left w:val="single" w:sz="4" w:space="0" w:color="auto"/>
                    <w:bottom w:val="single" w:sz="4" w:space="0" w:color="auto"/>
                    <w:right w:val="single" w:sz="4" w:space="0" w:color="auto"/>
                  </w:tcBorders>
                  <w:shd w:val="clear" w:color="auto" w:fill="D9E2F3"/>
                  <w:tcMar>
                    <w:top w:w="40" w:type="dxa"/>
                    <w:left w:w="60" w:type="dxa"/>
                    <w:bottom w:w="40" w:type="dxa"/>
                    <w:right w:w="60" w:type="dxa"/>
                  </w:tcMar>
                </w:tcPr>
                <w:p w14:paraId="0DFDA972" w14:textId="77777777" w:rsidR="00102561" w:rsidRDefault="00000000">
                  <w:pPr>
                    <w:jc w:val="center"/>
                  </w:pPr>
                  <w:r>
                    <w:rPr>
                      <w:rFonts w:eastAsia="Palatino Linotype"/>
                      <w:b/>
                      <w:bCs/>
                      <w:color w:val="FF0000"/>
                      <w:sz w:val="20"/>
                      <w:szCs w:val="20"/>
                    </w:rPr>
                    <w:t>r (Cama Flood with dam)</w:t>
                  </w:r>
                </w:p>
              </w:tc>
            </w:tr>
            <w:tr w:rsidR="00102561" w14:paraId="0027BB7C" w14:textId="77777777" w:rsidTr="00163000">
              <w:trPr>
                <w:jc w:val="center"/>
              </w:trPr>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3909DC3A" w14:textId="77777777" w:rsidR="00102561" w:rsidRDefault="00000000">
                  <w:pPr>
                    <w:jc w:val="center"/>
                  </w:pPr>
                  <w:r>
                    <w:rPr>
                      <w:rFonts w:eastAsia="Palatino Linotype"/>
                      <w:color w:val="FF0000"/>
                      <w:sz w:val="20"/>
                      <w:szCs w:val="20"/>
                    </w:rPr>
                    <w:lastRenderedPageBreak/>
                    <w:t>XX</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4A526693" w14:textId="77777777" w:rsidR="00102561" w:rsidRDefault="00000000">
                  <w:pPr>
                    <w:jc w:val="center"/>
                  </w:pPr>
                  <w:r>
                    <w:rPr>
                      <w:rFonts w:eastAsia="Palatino Linotype"/>
                      <w:color w:val="FF0000"/>
                      <w:sz w:val="20"/>
                      <w:szCs w:val="20"/>
                    </w:rPr>
                    <w:t>0.674</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5635F682" w14:textId="77777777" w:rsidR="00102561" w:rsidRDefault="00000000">
                  <w:pPr>
                    <w:jc w:val="center"/>
                  </w:pPr>
                  <w:r>
                    <w:rPr>
                      <w:rFonts w:eastAsia="Palatino Linotype"/>
                      <w:color w:val="FF0000"/>
                      <w:sz w:val="20"/>
                      <w:szCs w:val="20"/>
                    </w:rPr>
                    <w:t>0.799</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6F3EC2A6" w14:textId="77777777" w:rsidR="00102561" w:rsidRDefault="00000000">
                  <w:pPr>
                    <w:jc w:val="center"/>
                  </w:pPr>
                  <w:r>
                    <w:rPr>
                      <w:rFonts w:eastAsia="Palatino Linotype"/>
                      <w:color w:val="FF0000"/>
                      <w:sz w:val="20"/>
                      <w:szCs w:val="20"/>
                    </w:rPr>
                    <w:t>0.813</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55BE49F2" w14:textId="77777777" w:rsidR="00102561" w:rsidRDefault="00000000">
                  <w:pPr>
                    <w:jc w:val="center"/>
                  </w:pPr>
                  <w:r>
                    <w:rPr>
                      <w:rFonts w:eastAsia="Palatino Linotype"/>
                      <w:color w:val="FF0000"/>
                      <w:sz w:val="20"/>
                      <w:szCs w:val="20"/>
                    </w:rPr>
                    <w:t>0.808</w:t>
                  </w:r>
                </w:p>
              </w:tc>
            </w:tr>
            <w:tr w:rsidR="00102561" w14:paraId="3F5D3AEA" w14:textId="77777777" w:rsidTr="00163000">
              <w:trPr>
                <w:jc w:val="center"/>
              </w:trPr>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0F502D1C" w14:textId="77777777" w:rsidR="00102561" w:rsidRDefault="00000000">
                  <w:pPr>
                    <w:jc w:val="center"/>
                  </w:pPr>
                  <w:r>
                    <w:rPr>
                      <w:rFonts w:eastAsia="Palatino Linotype"/>
                      <w:color w:val="FF0000"/>
                      <w:sz w:val="20"/>
                      <w:szCs w:val="20"/>
                    </w:rPr>
                    <w:t>HB</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11DF5355" w14:textId="77777777" w:rsidR="00102561" w:rsidRDefault="00000000">
                  <w:pPr>
                    <w:jc w:val="center"/>
                  </w:pPr>
                  <w:r>
                    <w:rPr>
                      <w:rFonts w:eastAsia="Palatino Linotype"/>
                      <w:color w:val="FF0000"/>
                      <w:sz w:val="20"/>
                      <w:szCs w:val="20"/>
                    </w:rPr>
                    <w:t>0.730</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3F8CA2A7" w14:textId="77777777" w:rsidR="00102561" w:rsidRDefault="00000000">
                  <w:pPr>
                    <w:jc w:val="center"/>
                  </w:pPr>
                  <w:r>
                    <w:rPr>
                      <w:rFonts w:eastAsia="Palatino Linotype"/>
                      <w:color w:val="FF0000"/>
                      <w:sz w:val="20"/>
                      <w:szCs w:val="20"/>
                    </w:rPr>
                    <w:t>0.776</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1148A43D" w14:textId="77777777" w:rsidR="00102561" w:rsidRDefault="00000000">
                  <w:pPr>
                    <w:jc w:val="center"/>
                  </w:pPr>
                  <w:r>
                    <w:rPr>
                      <w:rFonts w:eastAsia="Palatino Linotype"/>
                      <w:color w:val="FF0000"/>
                      <w:sz w:val="20"/>
                      <w:szCs w:val="20"/>
                    </w:rPr>
                    <w:t>0.808</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2AD16D5C" w14:textId="77777777" w:rsidR="00102561" w:rsidRDefault="00000000">
                  <w:pPr>
                    <w:jc w:val="center"/>
                  </w:pPr>
                  <w:r>
                    <w:rPr>
                      <w:rFonts w:eastAsia="Palatino Linotype"/>
                      <w:color w:val="FF0000"/>
                      <w:sz w:val="20"/>
                      <w:szCs w:val="20"/>
                    </w:rPr>
                    <w:t>0.843</w:t>
                  </w:r>
                </w:p>
              </w:tc>
            </w:tr>
            <w:tr w:rsidR="00102561" w14:paraId="19D371FA" w14:textId="77777777" w:rsidTr="00163000">
              <w:trPr>
                <w:jc w:val="center"/>
              </w:trPr>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76A9EA56" w14:textId="77777777" w:rsidR="00102561" w:rsidRDefault="00000000">
                  <w:pPr>
                    <w:jc w:val="center"/>
                  </w:pPr>
                  <w:r>
                    <w:rPr>
                      <w:rFonts w:eastAsia="Palatino Linotype"/>
                      <w:color w:val="FF0000"/>
                      <w:sz w:val="20"/>
                      <w:szCs w:val="20"/>
                    </w:rPr>
                    <w:t>WJB</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6F8FE272" w14:textId="77777777" w:rsidR="00102561" w:rsidRDefault="00000000">
                  <w:pPr>
                    <w:jc w:val="center"/>
                  </w:pPr>
                  <w:r>
                    <w:rPr>
                      <w:rFonts w:eastAsia="Palatino Linotype"/>
                      <w:color w:val="FF0000"/>
                      <w:sz w:val="20"/>
                      <w:szCs w:val="20"/>
                    </w:rPr>
                    <w:t>0.755</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7DEF1D55" w14:textId="77777777" w:rsidR="00102561" w:rsidRDefault="00000000">
                  <w:pPr>
                    <w:jc w:val="center"/>
                  </w:pPr>
                  <w:r>
                    <w:rPr>
                      <w:rFonts w:eastAsia="Palatino Linotype"/>
                      <w:color w:val="FF0000"/>
                      <w:sz w:val="20"/>
                      <w:szCs w:val="20"/>
                    </w:rPr>
                    <w:t>0.776</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594531B3" w14:textId="77777777" w:rsidR="00102561" w:rsidRDefault="00000000">
                  <w:pPr>
                    <w:jc w:val="center"/>
                  </w:pPr>
                  <w:r>
                    <w:rPr>
                      <w:rFonts w:eastAsia="Palatino Linotype"/>
                      <w:color w:val="FF0000"/>
                      <w:sz w:val="20"/>
                      <w:szCs w:val="20"/>
                    </w:rPr>
                    <w:t>0.681</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4E90888D" w14:textId="77777777" w:rsidR="00102561" w:rsidRDefault="00000000">
                  <w:pPr>
                    <w:jc w:val="center"/>
                  </w:pPr>
                  <w:r>
                    <w:rPr>
                      <w:rFonts w:eastAsia="Palatino Linotype"/>
                      <w:color w:val="FF0000"/>
                      <w:sz w:val="20"/>
                      <w:szCs w:val="20"/>
                    </w:rPr>
                    <w:t>0.846</w:t>
                  </w:r>
                </w:p>
              </w:tc>
            </w:tr>
            <w:tr w:rsidR="00102561" w14:paraId="5666138B" w14:textId="77777777" w:rsidTr="00163000">
              <w:trPr>
                <w:jc w:val="center"/>
              </w:trPr>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5FC834BF" w14:textId="77777777" w:rsidR="00102561" w:rsidRDefault="00000000">
                  <w:pPr>
                    <w:jc w:val="center"/>
                  </w:pPr>
                  <w:r>
                    <w:rPr>
                      <w:rFonts w:eastAsia="Palatino Linotype"/>
                      <w:color w:val="FF0000"/>
                      <w:sz w:val="20"/>
                      <w:szCs w:val="20"/>
                    </w:rPr>
                    <w:t>JJJ</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1E9C74AE" w14:textId="77777777" w:rsidR="00102561" w:rsidRDefault="00000000">
                  <w:pPr>
                    <w:jc w:val="center"/>
                  </w:pPr>
                  <w:r>
                    <w:rPr>
                      <w:rFonts w:eastAsia="Palatino Linotype"/>
                      <w:color w:val="FF0000"/>
                      <w:sz w:val="20"/>
                      <w:szCs w:val="20"/>
                    </w:rPr>
                    <w:t>0.696</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73350343" w14:textId="77777777" w:rsidR="00102561" w:rsidRDefault="00000000">
                  <w:pPr>
                    <w:jc w:val="center"/>
                  </w:pPr>
                  <w:r>
                    <w:rPr>
                      <w:rFonts w:eastAsia="Palatino Linotype"/>
                      <w:color w:val="FF0000"/>
                      <w:sz w:val="20"/>
                      <w:szCs w:val="20"/>
                    </w:rPr>
                    <w:t>0.768</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53CB0931" w14:textId="77777777" w:rsidR="00102561" w:rsidRDefault="00000000">
                  <w:pPr>
                    <w:jc w:val="center"/>
                  </w:pPr>
                  <w:r>
                    <w:rPr>
                      <w:rFonts w:eastAsia="Palatino Linotype"/>
                      <w:color w:val="FF0000"/>
                      <w:sz w:val="20"/>
                      <w:szCs w:val="20"/>
                    </w:rPr>
                    <w:t>0.789</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2F2C6D33" w14:textId="77777777" w:rsidR="00102561" w:rsidRDefault="00000000">
                  <w:pPr>
                    <w:jc w:val="center"/>
                  </w:pPr>
                  <w:r>
                    <w:rPr>
                      <w:rFonts w:eastAsia="Palatino Linotype"/>
                      <w:color w:val="FF0000"/>
                      <w:sz w:val="20"/>
                      <w:szCs w:val="20"/>
                    </w:rPr>
                    <w:t>0.800</w:t>
                  </w:r>
                </w:p>
              </w:tc>
            </w:tr>
            <w:tr w:rsidR="00102561" w14:paraId="157B688D" w14:textId="77777777" w:rsidTr="00163000">
              <w:trPr>
                <w:jc w:val="center"/>
              </w:trPr>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2508A96B" w14:textId="77777777" w:rsidR="00102561" w:rsidRDefault="00000000">
                  <w:pPr>
                    <w:jc w:val="center"/>
                  </w:pPr>
                  <w:r>
                    <w:rPr>
                      <w:rFonts w:eastAsia="Palatino Linotype"/>
                      <w:color w:val="FF0000"/>
                      <w:sz w:val="20"/>
                      <w:szCs w:val="20"/>
                    </w:rPr>
                    <w:t>BB</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58583341" w14:textId="77777777" w:rsidR="00102561" w:rsidRDefault="00000000">
                  <w:pPr>
                    <w:jc w:val="center"/>
                  </w:pPr>
                  <w:r>
                    <w:rPr>
                      <w:rFonts w:eastAsia="Palatino Linotype"/>
                      <w:color w:val="FF0000"/>
                      <w:sz w:val="20"/>
                      <w:szCs w:val="20"/>
                    </w:rPr>
                    <w:t>0.538</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4AB32618" w14:textId="77777777" w:rsidR="00102561" w:rsidRDefault="00000000">
                  <w:pPr>
                    <w:jc w:val="center"/>
                  </w:pPr>
                  <w:r>
                    <w:rPr>
                      <w:rFonts w:eastAsia="Palatino Linotype"/>
                      <w:color w:val="FF0000"/>
                      <w:sz w:val="20"/>
                      <w:szCs w:val="20"/>
                    </w:rPr>
                    <w:t>0.407</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55C94C9F" w14:textId="77777777" w:rsidR="00102561" w:rsidRDefault="00000000">
                  <w:pPr>
                    <w:jc w:val="center"/>
                  </w:pPr>
                  <w:r>
                    <w:rPr>
                      <w:rFonts w:eastAsia="Palatino Linotype"/>
                      <w:color w:val="FF0000"/>
                      <w:sz w:val="20"/>
                      <w:szCs w:val="20"/>
                    </w:rPr>
                    <w:t>0.450</w:t>
                  </w:r>
                </w:p>
              </w:tc>
              <w:tc>
                <w:tcPr>
                  <w:tcW w:w="160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tcPr>
                <w:p w14:paraId="268D4ACD" w14:textId="77777777" w:rsidR="00102561" w:rsidRDefault="00000000">
                  <w:pPr>
                    <w:jc w:val="center"/>
                  </w:pPr>
                  <w:r>
                    <w:rPr>
                      <w:rFonts w:eastAsia="Palatino Linotype"/>
                      <w:color w:val="FF0000"/>
                      <w:sz w:val="20"/>
                      <w:szCs w:val="20"/>
                    </w:rPr>
                    <w:t>0.543</w:t>
                  </w:r>
                </w:p>
              </w:tc>
            </w:tr>
          </w:tbl>
          <w:p w14:paraId="3A66A70A" w14:textId="77777777" w:rsidR="00102561" w:rsidRDefault="00000000">
            <w:pPr>
              <w:spacing w:before="120" w:after="120"/>
            </w:pPr>
            <w:r>
              <w:rPr>
                <w:rFonts w:eastAsia="Palatino Linotype"/>
              </w:rPr>
              <w:t>The following paragraph was added to Section 4.1:</w:t>
            </w:r>
          </w:p>
          <w:p w14:paraId="0F22FEDB" w14:textId="77777777" w:rsidR="00102561" w:rsidRDefault="00000000">
            <w:pPr>
              <w:spacing w:after="120"/>
              <w:ind w:left="360"/>
            </w:pPr>
            <w:r>
              <w:rPr>
                <w:rFonts w:eastAsia="Palatino Linotype"/>
                <w:i/>
                <w:iCs/>
                <w:color w:val="FF0000"/>
              </w:rPr>
              <w:t>"To further examine the precipitation–discharge linkage, the Pearson correlation coefficient between 7-day cumulative sub-basin-averaged precipitation and daily discharge was computed at all five stations for 1972–1995 (Table 6). At the four upstream stations, Scheme I yields the closest agreement with observed correlations, while Scheme III systematically elevates r above observed values, suggesting that generic reservoir rules amplify the modelled precipitation–discharge coupling beyond realistic levels in less-regulated sub-basins. In contrast, at the heavily regulated outlet BB, Scheme III brings r closest to the observed value (0.543 vs. 0.538), confirming that the regulation module faithfully reproduces the actual precipitation–discharge relationship where anthropogenic controls dominate."</w:t>
            </w:r>
          </w:p>
        </w:tc>
      </w:tr>
      <w:tr w:rsidR="00102561" w14:paraId="61BA5AC1" w14:textId="77777777" w:rsidTr="002116F7">
        <w:tc>
          <w:tcPr>
            <w:tcW w:w="8834" w:type="dxa"/>
            <w:gridSpan w:val="3"/>
          </w:tcPr>
          <w:p w14:paraId="77465F13" w14:textId="77777777" w:rsidR="00102561" w:rsidRDefault="00000000">
            <w:pPr>
              <w:spacing w:after="120"/>
            </w:pPr>
            <w:r>
              <w:rPr>
                <w:rFonts w:eastAsia="Palatino Linotype"/>
                <w:b/>
                <w:bCs/>
              </w:rPr>
              <w:lastRenderedPageBreak/>
              <w:t xml:space="preserve">Comments 2: </w:t>
            </w:r>
            <w:r>
              <w:rPr>
                <w:rFonts w:eastAsia="Palatino Linotype"/>
                <w:i/>
                <w:iCs/>
              </w:rPr>
              <w:t>Authors should also write a comment about the application of the presented three schemes for other river catchments. Where are the limitations? For example, applications under different hydrogeological conditions, torrential watercourses, etc.?</w:t>
            </w:r>
          </w:p>
        </w:tc>
      </w:tr>
      <w:tr w:rsidR="00102561" w14:paraId="37EFE65F" w14:textId="77777777" w:rsidTr="002116F7">
        <w:tc>
          <w:tcPr>
            <w:tcW w:w="8834" w:type="dxa"/>
            <w:gridSpan w:val="3"/>
          </w:tcPr>
          <w:p w14:paraId="45388BE2" w14:textId="77777777" w:rsidR="00102561" w:rsidRDefault="00000000">
            <w:pPr>
              <w:spacing w:after="120"/>
            </w:pPr>
            <w:r>
              <w:rPr>
                <w:rFonts w:eastAsia="Palatino Linotype"/>
                <w:b/>
                <w:bCs/>
              </w:rPr>
              <w:t xml:space="preserve">Response 2: </w:t>
            </w:r>
            <w:r>
              <w:rPr>
                <w:rFonts w:eastAsia="Palatino Linotype"/>
              </w:rPr>
              <w:t>We have added a new paragraph at the end of Section 4.2 that discusses the transferability of our three-scheme framework and its limitations:</w:t>
            </w:r>
          </w:p>
          <w:p w14:paraId="255B3AEA" w14:textId="77777777" w:rsidR="00102561" w:rsidRDefault="00000000">
            <w:pPr>
              <w:spacing w:after="120"/>
              <w:ind w:left="360"/>
            </w:pPr>
            <w:r>
              <w:rPr>
                <w:rFonts w:eastAsia="Palatino Linotype"/>
                <w:i/>
                <w:iCs/>
                <w:color w:val="FF0000"/>
              </w:rPr>
              <w:t>"The three-scheme comparison framework employed in this study may be applicable to other large, low-gradient regulated basins with similar settings, where floodplain connectivity and reservoir regulation jointly govern flood dynamics. However, in steep, torrential catchments with confined channels and minimal floodplain storage, the advantage of hydrodynamic modelling over linear routing may be less pronounced, as flood propagation is primarily controlled by channel slope rather than lateral exchange. Furthermore, the simplified reservoir operating rules derived from global datasets may not adequately represent the complex, real-time regulation strategies employed in basins with dense reservoir networks, and further investigation with locally calibrated parameters is needed."</w:t>
            </w:r>
          </w:p>
        </w:tc>
      </w:tr>
      <w:tr w:rsidR="00102561" w14:paraId="1751310E" w14:textId="77777777" w:rsidTr="002116F7">
        <w:tc>
          <w:tcPr>
            <w:tcW w:w="8834" w:type="dxa"/>
            <w:gridSpan w:val="3"/>
          </w:tcPr>
          <w:p w14:paraId="0965894E" w14:textId="77777777" w:rsidR="00102561" w:rsidRDefault="00000000">
            <w:pPr>
              <w:spacing w:after="120"/>
            </w:pPr>
            <w:r>
              <w:rPr>
                <w:rFonts w:eastAsia="Palatino Linotype"/>
                <w:b/>
                <w:bCs/>
              </w:rPr>
              <w:t xml:space="preserve">Comments 3: </w:t>
            </w:r>
            <w:r>
              <w:rPr>
                <w:rFonts w:eastAsia="Palatino Linotype"/>
                <w:i/>
                <w:iCs/>
              </w:rPr>
              <w:t>Authors should enclose a larger map, i.e., a map with a scale that allows the geographical position of China to be determined. Readers outside China may not be familiar with the location under analysis.</w:t>
            </w:r>
          </w:p>
        </w:tc>
      </w:tr>
      <w:tr w:rsidR="00102561" w14:paraId="7520A828" w14:textId="77777777" w:rsidTr="002116F7">
        <w:tc>
          <w:tcPr>
            <w:tcW w:w="8834" w:type="dxa"/>
            <w:gridSpan w:val="3"/>
          </w:tcPr>
          <w:p w14:paraId="6A695792" w14:textId="77777777" w:rsidR="00102561" w:rsidRDefault="00000000">
            <w:pPr>
              <w:spacing w:after="120"/>
              <w:rPr>
                <w:rFonts w:eastAsia="Palatino Linotype"/>
              </w:rPr>
            </w:pPr>
            <w:r>
              <w:rPr>
                <w:rFonts w:eastAsia="Palatino Linotype"/>
                <w:b/>
                <w:bCs/>
              </w:rPr>
              <w:t xml:space="preserve">Response 3: </w:t>
            </w:r>
            <w:r>
              <w:rPr>
                <w:rFonts w:eastAsia="Palatino Linotype"/>
              </w:rPr>
              <w:t>We have added an inset map to Figure 1 showing the geographical position of the Huai River Basin within China. The inset map includes the outline of China with the study area highlighted, allowing international readers to readily identify the study region’s location.</w:t>
            </w:r>
          </w:p>
          <w:p w14:paraId="20D3B703" w14:textId="06302A6A" w:rsidR="007F12ED" w:rsidRDefault="007F12ED" w:rsidP="007F12ED">
            <w:pPr>
              <w:spacing w:after="120"/>
              <w:jc w:val="center"/>
            </w:pPr>
            <w:r>
              <w:rPr>
                <w:rFonts w:hint="eastAsia"/>
                <w:noProof/>
              </w:rPr>
              <w:lastRenderedPageBreak/>
              <w:drawing>
                <wp:inline distT="0" distB="0" distL="0" distR="0" wp14:anchorId="00D7D6DD" wp14:editId="4FB651D1">
                  <wp:extent cx="4474502" cy="3165762"/>
                  <wp:effectExtent l="0" t="0" r="0" b="0"/>
                  <wp:docPr id="1989442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442635" name="Picture 1989442635"/>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93375" cy="3179115"/>
                          </a:xfrm>
                          <a:prstGeom prst="rect">
                            <a:avLst/>
                          </a:prstGeom>
                        </pic:spPr>
                      </pic:pic>
                    </a:graphicData>
                  </a:graphic>
                </wp:inline>
              </w:drawing>
            </w:r>
          </w:p>
        </w:tc>
      </w:tr>
      <w:tr w:rsidR="00163000" w14:paraId="3AE3A10D" w14:textId="77777777" w:rsidTr="002116F7">
        <w:tc>
          <w:tcPr>
            <w:tcW w:w="8834" w:type="dxa"/>
            <w:gridSpan w:val="3"/>
          </w:tcPr>
          <w:p w14:paraId="36C83D47" w14:textId="6C1D74B6" w:rsidR="00163000" w:rsidRDefault="00163000">
            <w:pPr>
              <w:spacing w:after="120"/>
            </w:pPr>
            <w:r>
              <w:rPr>
                <w:rFonts w:eastAsia="Palatino Linotype"/>
                <w:b/>
                <w:bCs/>
              </w:rPr>
              <w:lastRenderedPageBreak/>
              <w:t>4. Response to Comments on the Quality of English Language</w:t>
            </w:r>
          </w:p>
        </w:tc>
      </w:tr>
      <w:tr w:rsidR="00163000" w14:paraId="75520210" w14:textId="77777777" w:rsidTr="002116F7">
        <w:tc>
          <w:tcPr>
            <w:tcW w:w="8834" w:type="dxa"/>
            <w:gridSpan w:val="3"/>
          </w:tcPr>
          <w:p w14:paraId="47C1EA9A" w14:textId="0CAB8EB2" w:rsidR="00163000" w:rsidRDefault="00163000">
            <w:pPr>
              <w:spacing w:after="120"/>
            </w:pPr>
            <w:r>
              <w:rPr>
                <w:rFonts w:eastAsia="Palatino Linotype"/>
                <w:b/>
                <w:bCs/>
              </w:rPr>
              <w:t>5. Additional clarifications</w:t>
            </w:r>
          </w:p>
        </w:tc>
      </w:tr>
      <w:tr w:rsidR="00102561" w14:paraId="60452403" w14:textId="77777777" w:rsidTr="002116F7">
        <w:tc>
          <w:tcPr>
            <w:tcW w:w="8834" w:type="dxa"/>
            <w:gridSpan w:val="3"/>
          </w:tcPr>
          <w:p w14:paraId="66262422" w14:textId="77777777" w:rsidR="00102561" w:rsidRDefault="00000000">
            <w:pPr>
              <w:spacing w:after="120"/>
            </w:pPr>
            <w:r>
              <w:rPr>
                <w:rFonts w:eastAsia="Palatino Linotype"/>
              </w:rPr>
              <w:t>No additional clarifications.</w:t>
            </w:r>
          </w:p>
        </w:tc>
      </w:tr>
    </w:tbl>
    <w:p w14:paraId="57836400" w14:textId="77777777" w:rsidR="00056A66" w:rsidRDefault="00056A66"/>
    <w:sectPr w:rsidR="00056A6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16456"/>
    <w:multiLevelType w:val="hybridMultilevel"/>
    <w:tmpl w:val="016E3A28"/>
    <w:lvl w:ilvl="0" w:tplc="70108C68">
      <w:start w:val="1"/>
      <w:numFmt w:val="bullet"/>
      <w:lvlText w:val="●"/>
      <w:lvlJc w:val="left"/>
      <w:pPr>
        <w:ind w:left="720" w:hanging="360"/>
      </w:pPr>
    </w:lvl>
    <w:lvl w:ilvl="1" w:tplc="D81E8CD2">
      <w:start w:val="1"/>
      <w:numFmt w:val="bullet"/>
      <w:lvlText w:val="○"/>
      <w:lvlJc w:val="left"/>
      <w:pPr>
        <w:ind w:left="1440" w:hanging="360"/>
      </w:pPr>
    </w:lvl>
    <w:lvl w:ilvl="2" w:tplc="C6C65050">
      <w:start w:val="1"/>
      <w:numFmt w:val="bullet"/>
      <w:lvlText w:val="■"/>
      <w:lvlJc w:val="left"/>
      <w:pPr>
        <w:ind w:left="2160" w:hanging="360"/>
      </w:pPr>
    </w:lvl>
    <w:lvl w:ilvl="3" w:tplc="7D689B42">
      <w:start w:val="1"/>
      <w:numFmt w:val="bullet"/>
      <w:lvlText w:val="●"/>
      <w:lvlJc w:val="left"/>
      <w:pPr>
        <w:ind w:left="2880" w:hanging="360"/>
      </w:pPr>
    </w:lvl>
    <w:lvl w:ilvl="4" w:tplc="B6EC01EE">
      <w:start w:val="1"/>
      <w:numFmt w:val="bullet"/>
      <w:lvlText w:val="○"/>
      <w:lvlJc w:val="left"/>
      <w:pPr>
        <w:ind w:left="3600" w:hanging="360"/>
      </w:pPr>
    </w:lvl>
    <w:lvl w:ilvl="5" w:tplc="769EFEE4">
      <w:start w:val="1"/>
      <w:numFmt w:val="bullet"/>
      <w:lvlText w:val="■"/>
      <w:lvlJc w:val="left"/>
      <w:pPr>
        <w:ind w:left="4320" w:hanging="360"/>
      </w:pPr>
    </w:lvl>
    <w:lvl w:ilvl="6" w:tplc="30187E2C">
      <w:start w:val="1"/>
      <w:numFmt w:val="bullet"/>
      <w:lvlText w:val="●"/>
      <w:lvlJc w:val="left"/>
      <w:pPr>
        <w:ind w:left="5040" w:hanging="360"/>
      </w:pPr>
    </w:lvl>
    <w:lvl w:ilvl="7" w:tplc="E1CA86A4">
      <w:start w:val="1"/>
      <w:numFmt w:val="bullet"/>
      <w:lvlText w:val="●"/>
      <w:lvlJc w:val="left"/>
      <w:pPr>
        <w:ind w:left="5760" w:hanging="360"/>
      </w:pPr>
    </w:lvl>
    <w:lvl w:ilvl="8" w:tplc="C2E09320">
      <w:start w:val="1"/>
      <w:numFmt w:val="bullet"/>
      <w:lvlText w:val="●"/>
      <w:lvlJc w:val="left"/>
      <w:pPr>
        <w:ind w:left="6480" w:hanging="360"/>
      </w:pPr>
    </w:lvl>
  </w:abstractNum>
  <w:num w:numId="1" w16cid:durableId="13110107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561"/>
    <w:rsid w:val="00056A66"/>
    <w:rsid w:val="00102561"/>
    <w:rsid w:val="00163000"/>
    <w:rsid w:val="002116F7"/>
    <w:rsid w:val="007F12ED"/>
    <w:rsid w:val="00AF3579"/>
    <w:rsid w:val="00F13DEF"/>
    <w:rsid w:val="00F43D4F"/>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318B121"/>
  <w15:docId w15:val="{8EEA9CC9-16E5-434C-B133-0FF4AC50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SimSun" w:hAnsi="Palatino Linotype" w:cs="Palatino Linotype"/>
        <w:sz w:val="22"/>
        <w:szCs w:val="22"/>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700</Words>
  <Characters>3993</Characters>
  <Application>Microsoft Office Word</Application>
  <DocSecurity>0</DocSecurity>
  <Lines>33</Lines>
  <Paragraphs>9</Paragraphs>
  <ScaleCrop>false</ScaleCrop>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Yichen Zhao</cp:lastModifiedBy>
  <cp:revision>11</cp:revision>
  <dcterms:created xsi:type="dcterms:W3CDTF">2026-04-20T05:20:00Z</dcterms:created>
  <dcterms:modified xsi:type="dcterms:W3CDTF">2026-04-20T05:43:00Z</dcterms:modified>
</cp:coreProperties>
</file>