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B7BE1" w14:textId="0041DD39" w:rsidR="003B31D5" w:rsidRDefault="003B31D5" w:rsidP="003B31D5">
      <w:pPr>
        <w:pStyle w:val="NormalWeb"/>
      </w:pPr>
      <w:r>
        <w:t xml:space="preserve">This paper proposes the Plausible Pareto Density Estimation-based Naive Bayes classifier (PDENB), an innovative baseline classifier addressing key limitations of traditional Naive Bayes. Unlike conventional methods relying on Gaussian mixtures or kernel density estimation with rigid distributional assumptions, PDENB leverages nonparametric Pareto Density Estimation (PDE) to model feature distributions without prior assumptions. It incorporates smoothing via Gaussian convolution and plausibility correction to resolve misclassifications of low-evidence observations, a critical pitfall in Bayesian theory. Evaluated on 14 datasets (including UCI repositories and a cell population dataset), PDENB achieved the top average rank (2.46) among 8 classifiers, with MCC ≥ 0.95 on multiple datasets. In a practical application distinguishing blood from bone marrow via flow cytometry, it reached 99.3% accuracy, outperforming existing methods. PDENB also supports interpretability through mirrored-density plots and 2D Voronoi tessellations, enabling insight into class-conditional distributions and decision boundaries. Its strength lies in robust, scalable performance across diverse data scenarios while maintaining transparency. </w:t>
      </w:r>
    </w:p>
    <w:p w14:paraId="301A4394" w14:textId="176F361F" w:rsidR="003B31D5" w:rsidRDefault="003B31D5" w:rsidP="003B31D5">
      <w:pPr>
        <w:pStyle w:val="NormalWeb"/>
      </w:pPr>
      <w:r>
        <w:t>1. How does the choice of the δ parameter in PDENB’s plausibility correction influence classification stability and conservatism?</w:t>
      </w:r>
    </w:p>
    <w:p w14:paraId="4F8758E4" w14:textId="38BAE450" w:rsidR="0054276E" w:rsidRPr="00F42035" w:rsidRDefault="0054276E" w:rsidP="003B31D5">
      <w:pPr>
        <w:pStyle w:val="NormalWeb"/>
        <w:rPr>
          <w:color w:val="EE0000"/>
        </w:rPr>
      </w:pPr>
      <w:r w:rsidRPr="00F42035">
        <w:rPr>
          <w:color w:val="EE0000"/>
        </w:rPr>
        <w:t>We added a paragraph</w:t>
      </w:r>
      <w:r w:rsidR="001D14F8" w:rsidRPr="00F42035">
        <w:rPr>
          <w:color w:val="EE0000"/>
        </w:rPr>
        <w:t xml:space="preserve"> in the discussion</w:t>
      </w:r>
      <w:r w:rsidR="00F42035">
        <w:rPr>
          <w:color w:val="EE0000"/>
        </w:rPr>
        <w:t xml:space="preserve"> (lines 843-853)</w:t>
      </w:r>
      <w:r w:rsidR="001D14F8" w:rsidRPr="00F42035">
        <w:rPr>
          <w:color w:val="EE0000"/>
        </w:rPr>
        <w:t>:</w:t>
      </w:r>
    </w:p>
    <w:p w14:paraId="57F4E00F" w14:textId="6F120544" w:rsidR="0051060D" w:rsidRPr="005C545C" w:rsidRDefault="00670189" w:rsidP="001B56A8">
      <w:pPr>
        <w:pStyle w:val="NormalWeb"/>
        <w:jc w:val="both"/>
        <w:rPr>
          <w:color w:val="EE0000"/>
        </w:rPr>
      </w:pPr>
      <w:r w:rsidRPr="005C545C">
        <w:rPr>
          <w:color w:val="EE0000"/>
        </w:rPr>
        <w:t>“</w:t>
      </w:r>
      <w:bookmarkStart w:id="0" w:name="_Hlk216102639"/>
      <w:r w:rsidR="005C545C" w:rsidRPr="005C545C">
        <w:rPr>
          <w:color w:val="EE0000"/>
        </w:rPr>
        <w:t xml:space="preserve">The δ-based adjustment provides a controlled way to nudge likelihood mass from the current top class toward a nearby mode without distorting the global posterior landscape. The parameter δ governs the trade-off between conservatism and decisiveness: small δ produces minor, local adjustments that yield stable and interpretable posterior changes, whereas larger δ </w:t>
      </w:r>
      <w:r w:rsidR="005C545C">
        <w:rPr>
          <w:color w:val="EE0000"/>
        </w:rPr>
        <w:t xml:space="preserve">would </w:t>
      </w:r>
      <w:r w:rsidR="005C545C" w:rsidRPr="005C545C">
        <w:rPr>
          <w:color w:val="EE0000"/>
        </w:rPr>
        <w:t>raise the likelihood of MAP flips in low-evidence regions. Because Equation (15) transfers a bounded amount of mass from one class to another, the overall likelihood geometry is preserved and posterior trajectories remain smooth rather than exhibiting abrupt thresholdin</w:t>
      </w:r>
      <w:r w:rsidR="005C545C">
        <w:rPr>
          <w:color w:val="EE0000"/>
        </w:rPr>
        <w:t xml:space="preserve">g, </w:t>
      </w:r>
      <w:r w:rsidR="005C545C" w:rsidRPr="005C545C">
        <w:rPr>
          <w:color w:val="EE0000"/>
        </w:rPr>
        <w:t>particularly near class boundaries. This produces a gradual change in the likelihood profile (illustrated in Figure 1 and resembling a fading-variance effect) and enhances the MAP estimate for the closest-mode class while retaining Bayesian coherence and interpretability.</w:t>
      </w:r>
      <w:bookmarkEnd w:id="0"/>
      <w:r w:rsidR="005C545C" w:rsidRPr="005C545C">
        <w:rPr>
          <w:color w:val="EE0000"/>
        </w:rPr>
        <w:t>”</w:t>
      </w:r>
    </w:p>
    <w:p w14:paraId="6F498801" w14:textId="77777777" w:rsidR="003B31D5" w:rsidRDefault="003B31D5" w:rsidP="003B31D5">
      <w:pPr>
        <w:pStyle w:val="NormalWeb"/>
      </w:pPr>
      <w:r>
        <w:t xml:space="preserve">2. Compared with state-of-the-art non-baseline classifiers (e.g., random forests), what are PDENB’s performance gaps on highly imbalanced datasets? </w:t>
      </w:r>
    </w:p>
    <w:p w14:paraId="7E7D3DBB" w14:textId="061E9BCA" w:rsidR="00D844FC" w:rsidRDefault="00800795" w:rsidP="00E2655D">
      <w:pPr>
        <w:pStyle w:val="NormalWeb"/>
        <w:spacing w:before="0" w:beforeAutospacing="0" w:after="0" w:afterAutospacing="0"/>
        <w:rPr>
          <w:color w:val="EE0000"/>
        </w:rPr>
      </w:pPr>
      <w:r>
        <w:rPr>
          <w:color w:val="EE0000"/>
        </w:rPr>
        <w:t>Due to the limitation of time (deadline of revision), w</w:t>
      </w:r>
      <w:r w:rsidR="00670189" w:rsidRPr="00670189">
        <w:rPr>
          <w:color w:val="EE0000"/>
        </w:rPr>
        <w:t xml:space="preserve">e </w:t>
      </w:r>
      <w:r>
        <w:rPr>
          <w:color w:val="EE0000"/>
        </w:rPr>
        <w:t xml:space="preserve">managed to </w:t>
      </w:r>
      <w:r w:rsidR="00670189" w:rsidRPr="00670189">
        <w:rPr>
          <w:color w:val="EE0000"/>
        </w:rPr>
        <w:t>computed a small b</w:t>
      </w:r>
      <w:r w:rsidR="00670189">
        <w:rPr>
          <w:color w:val="EE0000"/>
        </w:rPr>
        <w:t xml:space="preserve">enchmark against </w:t>
      </w:r>
      <w:r w:rsidR="00BC345F">
        <w:rPr>
          <w:color w:val="EE0000"/>
        </w:rPr>
        <w:t>4</w:t>
      </w:r>
      <w:r w:rsidR="00670189">
        <w:rPr>
          <w:color w:val="EE0000"/>
        </w:rPr>
        <w:t xml:space="preserve"> imbalanced datasets using rf for comparison.</w:t>
      </w:r>
      <w:r w:rsidR="00BC345F">
        <w:rPr>
          <w:color w:val="EE0000"/>
        </w:rPr>
        <w:t xml:space="preserve"> We organized a real-world dataset</w:t>
      </w:r>
      <w:r>
        <w:rPr>
          <w:color w:val="EE0000"/>
        </w:rPr>
        <w:t xml:space="preserve"> </w:t>
      </w:r>
      <w:r w:rsidR="00BC345F">
        <w:rPr>
          <w:color w:val="EE0000"/>
        </w:rPr>
        <w:t>from a medical use case with high imbalance and many samples to signify our experiment</w:t>
      </w:r>
      <w:r w:rsidR="00D844FC">
        <w:rPr>
          <w:color w:val="EE0000"/>
        </w:rPr>
        <w:t xml:space="preserve"> (Line 1029 -1037):</w:t>
      </w:r>
    </w:p>
    <w:p w14:paraId="32F3A710" w14:textId="77777777" w:rsidR="00D844FC" w:rsidRDefault="00D844FC" w:rsidP="00D844FC">
      <w:pPr>
        <w:pStyle w:val="NormalWeb"/>
        <w:rPr>
          <w:color w:val="EE0000"/>
        </w:rPr>
      </w:pPr>
      <w:r>
        <w:rPr>
          <w:color w:val="EE0000"/>
        </w:rPr>
        <w:t>“</w:t>
      </w:r>
      <w:r w:rsidRPr="00E05C6C">
        <w:rPr>
          <w:color w:val="EE0000"/>
        </w:rPr>
        <w:t xml:space="preserve">To evaluate the influence of class imbalance, we selected two datasets from our benchmark, Dermatology and </w:t>
      </w:r>
      <w:proofErr w:type="spellStart"/>
      <w:r w:rsidRPr="00E05C6C">
        <w:rPr>
          <w:color w:val="EE0000"/>
        </w:rPr>
        <w:t>CellPopulations</w:t>
      </w:r>
      <w:proofErr w:type="spellEnd"/>
      <w:r w:rsidRPr="00E05C6C">
        <w:rPr>
          <w:color w:val="EE0000"/>
        </w:rPr>
        <w:t xml:space="preserve">. In addition, we used the </w:t>
      </w:r>
      <w:proofErr w:type="spellStart"/>
      <w:r w:rsidRPr="00E05C6C">
        <w:rPr>
          <w:color w:val="EE0000"/>
        </w:rPr>
        <w:t>CellPopulations</w:t>
      </w:r>
      <w:proofErr w:type="spellEnd"/>
      <w:r w:rsidRPr="00E05C6C">
        <w:rPr>
          <w:color w:val="EE0000"/>
        </w:rPr>
        <w:t xml:space="preserve"> dataset described in the Methods section and the </w:t>
      </w:r>
      <w:proofErr w:type="spellStart"/>
      <w:r w:rsidRPr="00E05C6C">
        <w:rPr>
          <w:color w:val="EE0000"/>
        </w:rPr>
        <w:t>Ecoli</w:t>
      </w:r>
      <w:proofErr w:type="spellEnd"/>
      <w:r w:rsidRPr="00E05C6C">
        <w:rPr>
          <w:color w:val="EE0000"/>
        </w:rPr>
        <w:t xml:space="preserve"> dataset from the UCI Machine Learning Repository. The Dermatology and </w:t>
      </w:r>
      <w:proofErr w:type="spellStart"/>
      <w:r w:rsidRPr="00E05C6C">
        <w:rPr>
          <w:color w:val="EE0000"/>
        </w:rPr>
        <w:t>Ecoli</w:t>
      </w:r>
      <w:proofErr w:type="spellEnd"/>
      <w:r w:rsidRPr="00E05C6C">
        <w:rPr>
          <w:color w:val="EE0000"/>
        </w:rPr>
        <w:t xml:space="preserve"> datasets were evaluated without additional preprocessing.</w:t>
      </w:r>
    </w:p>
    <w:p w14:paraId="16E38F0D" w14:textId="3F944ACD" w:rsidR="00D844FC" w:rsidRDefault="00D844FC" w:rsidP="00D844FC">
      <w:pPr>
        <w:pStyle w:val="NormalWeb"/>
        <w:rPr>
          <w:color w:val="EE0000"/>
        </w:rPr>
      </w:pPr>
      <w:r w:rsidRPr="00E05C6C">
        <w:rPr>
          <w:color w:val="EE0000"/>
        </w:rPr>
        <w:t xml:space="preserve">Furthermore, we measured an additional healthy-donor sample at the University Hospital of Marburg, Germany, using a Navios flow cytometer (Beckman Coulter). Besides forward and side scatter (FS_PEAK, FS_INT, SS_INT), this sample included the following markers: CD34 FITC, CD13 PE, CD7 PerCP-Cy5.5, CD33 PE-Cy7, CD56 APC, CD117 AF750, HLA-DR PB, and CD45 Krome Orange. The file was compensated on the instrument but not </w:t>
      </w:r>
      <w:r w:rsidRPr="00E05C6C">
        <w:rPr>
          <w:color w:val="EE0000"/>
        </w:rPr>
        <w:lastRenderedPageBreak/>
        <w:t xml:space="preserve">further preprocessed. Within this sample, we manually annotated major leukocyte subsets (B cells, granulocytes, monocytes, NK cells, and T/NK cells), which both classifiers were then tasked to predict under the cross-validation procedure described in the Methods section. All datasets used in this analysis are summarized in Table </w:t>
      </w:r>
      <w:r>
        <w:rPr>
          <w:color w:val="EE0000"/>
        </w:rPr>
        <w:t>E1.”</w:t>
      </w:r>
    </w:p>
    <w:p w14:paraId="19BCFF3B" w14:textId="42494F14" w:rsidR="00800795" w:rsidRDefault="00BC345F" w:rsidP="00E2655D">
      <w:pPr>
        <w:pStyle w:val="NormalWeb"/>
        <w:spacing w:before="0" w:beforeAutospacing="0" w:after="0" w:afterAutospacing="0"/>
        <w:rPr>
          <w:color w:val="EE0000"/>
        </w:rPr>
      </w:pPr>
      <w:r>
        <w:rPr>
          <w:color w:val="EE0000"/>
        </w:rPr>
        <w:t xml:space="preserve"> </w:t>
      </w:r>
      <w:r w:rsidR="00800795">
        <w:rPr>
          <w:color w:val="EE0000"/>
        </w:rPr>
        <w:t>We report the results in the manuscript but it is out of scope of this work to systematically investigate, if they are generalizable.</w:t>
      </w:r>
      <w:r w:rsidR="00670189">
        <w:rPr>
          <w:color w:val="EE0000"/>
        </w:rPr>
        <w:t xml:space="preserve"> We discuss the results in the discussion</w:t>
      </w:r>
      <w:r w:rsidR="00F42035">
        <w:rPr>
          <w:color w:val="EE0000"/>
        </w:rPr>
        <w:t xml:space="preserve"> (lines 854-865) </w:t>
      </w:r>
      <w:r w:rsidR="00670189">
        <w:rPr>
          <w:color w:val="EE0000"/>
        </w:rPr>
        <w:t xml:space="preserve">and </w:t>
      </w:r>
      <w:r w:rsidR="00076F2C">
        <w:rPr>
          <w:color w:val="EE0000"/>
        </w:rPr>
        <w:t>provide</w:t>
      </w:r>
      <w:r w:rsidR="00670189">
        <w:rPr>
          <w:color w:val="EE0000"/>
        </w:rPr>
        <w:t xml:space="preserve"> the results in the supplementary</w:t>
      </w:r>
      <w:r w:rsidR="00F42035">
        <w:rPr>
          <w:color w:val="EE0000"/>
        </w:rPr>
        <w:t xml:space="preserve"> E</w:t>
      </w:r>
      <w:r w:rsidR="00D844FC">
        <w:rPr>
          <w:color w:val="EE0000"/>
        </w:rPr>
        <w:t xml:space="preserve"> in Lines 1038-1055:</w:t>
      </w:r>
    </w:p>
    <w:p w14:paraId="79044850" w14:textId="3D10F4EC" w:rsidR="00BC345F" w:rsidRPr="00BC345F" w:rsidRDefault="0029266A" w:rsidP="00BC345F">
      <w:pPr>
        <w:pStyle w:val="NormalWeb"/>
        <w:rPr>
          <w:color w:val="EE0000"/>
        </w:rPr>
      </w:pPr>
      <w:r w:rsidRPr="00BC345F">
        <w:rPr>
          <w:color w:val="EE0000"/>
        </w:rPr>
        <w:t>“</w:t>
      </w:r>
      <w:bookmarkStart w:id="1" w:name="_Hlk216102594"/>
      <w:r w:rsidR="00BC345F" w:rsidRPr="00BC345F">
        <w:rPr>
          <w:color w:val="EE0000"/>
        </w:rPr>
        <w:t xml:space="preserve">The results show that Random Forests (RF) often but not always attain slightly higher average MCCs than PDENB on four imbalanced datasets (Dermatology: 0.97 vs 0.95; </w:t>
      </w:r>
      <w:proofErr w:type="spellStart"/>
      <w:r w:rsidR="00BC345F" w:rsidRPr="00BC345F">
        <w:rPr>
          <w:color w:val="EE0000"/>
        </w:rPr>
        <w:t>Ecoli</w:t>
      </w:r>
      <w:proofErr w:type="spellEnd"/>
      <w:r w:rsidR="00BC345F" w:rsidRPr="00BC345F">
        <w:rPr>
          <w:color w:val="EE0000"/>
        </w:rPr>
        <w:t xml:space="preserve">: 0.84 vs 0.81; </w:t>
      </w:r>
      <w:proofErr w:type="spellStart"/>
      <w:r w:rsidR="00BC345F" w:rsidRPr="00BC345F">
        <w:rPr>
          <w:color w:val="EE0000"/>
        </w:rPr>
        <w:t>CellPopulations</w:t>
      </w:r>
      <w:proofErr w:type="spellEnd"/>
      <w:r w:rsidR="00BC345F" w:rsidRPr="00BC345F">
        <w:rPr>
          <w:color w:val="EE0000"/>
        </w:rPr>
        <w:t xml:space="preserve">: 0.99 vs 0.98; </w:t>
      </w:r>
      <w:r w:rsidR="00311A62">
        <w:rPr>
          <w:color w:val="EE0000"/>
        </w:rPr>
        <w:t>Leucocytes</w:t>
      </w:r>
      <w:r w:rsidR="00BC345F" w:rsidRPr="00BC345F">
        <w:rPr>
          <w:color w:val="EE0000"/>
        </w:rPr>
        <w:t xml:space="preserve">: 0.92 vs. 0.94), although the differences are small, so their practical significance should be confirmed on additional imbalanced datasets and, then, by an appropriate statistical test. The detailed contingency tables reveal where those small aggregate differences arise. </w:t>
      </w:r>
    </w:p>
    <w:p w14:paraId="34571ADA" w14:textId="77777777" w:rsidR="00BC345F" w:rsidRPr="00BC345F" w:rsidRDefault="00BC345F" w:rsidP="00BC345F">
      <w:pPr>
        <w:pStyle w:val="NormalWeb"/>
        <w:rPr>
          <w:color w:val="EE0000"/>
        </w:rPr>
      </w:pPr>
      <w:r w:rsidRPr="00BC345F">
        <w:rPr>
          <w:color w:val="EE0000"/>
        </w:rPr>
        <w:t xml:space="preserve">For Dermatology RF improves most notably on class-2 and class-6, reducing false discoveries relative to PDENB, whereas PDENB performs comparably or slightly worse across several classes but retains high per-class recall for the dominant classes. In </w:t>
      </w:r>
      <w:proofErr w:type="spellStart"/>
      <w:r w:rsidRPr="00BC345F">
        <w:rPr>
          <w:color w:val="EE0000"/>
        </w:rPr>
        <w:t>Ecoli</w:t>
      </w:r>
      <w:proofErr w:type="spellEnd"/>
      <w:r w:rsidRPr="00BC345F">
        <w:rPr>
          <w:color w:val="EE0000"/>
        </w:rPr>
        <w:t xml:space="preserve"> the poorest performance of both methods occurs on extremely small classes (two-sample classes C3 and C4), which are essentially impossible to learn stably; both classifiers assign those cases to the large class 8, indicating that class scarcity—not model idiosyncrasy—is the primary problem. RF has a better performance on class 7 which has also a small sample size. For the large, multi-class </w:t>
      </w:r>
      <w:proofErr w:type="spellStart"/>
      <w:r w:rsidRPr="00BC345F">
        <w:rPr>
          <w:color w:val="EE0000"/>
        </w:rPr>
        <w:t>CellPopulations</w:t>
      </w:r>
      <w:proofErr w:type="spellEnd"/>
      <w:r w:rsidRPr="00BC345F">
        <w:rPr>
          <w:color w:val="EE0000"/>
        </w:rPr>
        <w:t xml:space="preserve"> problem both methods perform near-perfectly for the major classes, but PDENB shows more confusion for very small classes (e.g. class 12), again reflecting sample-size limitations. For the </w:t>
      </w:r>
      <w:r w:rsidRPr="00BC345F">
        <w:rPr>
          <w:color w:val="EE0000"/>
          <w:lang w:eastAsia="de-DE"/>
        </w:rPr>
        <w:t>Leucocytes</w:t>
      </w:r>
      <w:r w:rsidRPr="00BC345F">
        <w:rPr>
          <w:color w:val="EE0000"/>
        </w:rPr>
        <w:t xml:space="preserve">, the Random Forest is able to learn the small classes </w:t>
      </w:r>
      <w:proofErr w:type="spellStart"/>
      <w:r w:rsidRPr="00BC345F">
        <w:rPr>
          <w:color w:val="EE0000"/>
        </w:rPr>
        <w:t>BCells</w:t>
      </w:r>
      <w:proofErr w:type="spellEnd"/>
      <w:r w:rsidRPr="00BC345F">
        <w:rPr>
          <w:color w:val="EE0000"/>
        </w:rPr>
        <w:t xml:space="preserve">, Monocytes and </w:t>
      </w:r>
      <w:proofErr w:type="spellStart"/>
      <w:r w:rsidRPr="00BC345F">
        <w:rPr>
          <w:color w:val="EE0000"/>
        </w:rPr>
        <w:t>TNKCells</w:t>
      </w:r>
      <w:proofErr w:type="spellEnd"/>
      <w:r w:rsidRPr="00BC345F">
        <w:rPr>
          <w:color w:val="EE0000"/>
        </w:rPr>
        <w:t xml:space="preserve"> slightly better than the PDENB, however RF fails to learn </w:t>
      </w:r>
      <w:proofErr w:type="spellStart"/>
      <w:r w:rsidRPr="00BC345F">
        <w:rPr>
          <w:color w:val="EE0000"/>
        </w:rPr>
        <w:t>NKCells</w:t>
      </w:r>
      <w:proofErr w:type="spellEnd"/>
      <w:r w:rsidRPr="00BC345F">
        <w:rPr>
          <w:color w:val="EE0000"/>
        </w:rPr>
        <w:t xml:space="preserve"> almost completely and confuses </w:t>
      </w:r>
      <w:proofErr w:type="spellStart"/>
      <w:r w:rsidRPr="00BC345F">
        <w:rPr>
          <w:color w:val="EE0000"/>
        </w:rPr>
        <w:t>NKCells</w:t>
      </w:r>
      <w:proofErr w:type="spellEnd"/>
      <w:r w:rsidRPr="00BC345F">
        <w:rPr>
          <w:color w:val="EE0000"/>
        </w:rPr>
        <w:t xml:space="preserve"> with </w:t>
      </w:r>
      <w:proofErr w:type="spellStart"/>
      <w:r w:rsidRPr="00BC345F">
        <w:rPr>
          <w:color w:val="EE0000"/>
        </w:rPr>
        <w:t>TNKCells</w:t>
      </w:r>
      <w:proofErr w:type="spellEnd"/>
      <w:r w:rsidRPr="00BC345F">
        <w:rPr>
          <w:color w:val="EE0000"/>
        </w:rPr>
        <w:t xml:space="preserve">, while PDENB achieves a better distinction of </w:t>
      </w:r>
      <w:proofErr w:type="spellStart"/>
      <w:r w:rsidRPr="00BC345F">
        <w:rPr>
          <w:color w:val="EE0000"/>
        </w:rPr>
        <w:t>NKCells</w:t>
      </w:r>
      <w:proofErr w:type="spellEnd"/>
      <w:r w:rsidRPr="00BC345F">
        <w:rPr>
          <w:color w:val="EE0000"/>
        </w:rPr>
        <w:t xml:space="preserve"> especially towards the heavily overlapping class </w:t>
      </w:r>
      <w:proofErr w:type="spellStart"/>
      <w:r w:rsidRPr="00BC345F">
        <w:rPr>
          <w:color w:val="EE0000"/>
        </w:rPr>
        <w:t>TNKCells</w:t>
      </w:r>
      <w:proofErr w:type="spellEnd"/>
      <w:r w:rsidRPr="00BC345F">
        <w:rPr>
          <w:color w:val="EE0000"/>
        </w:rPr>
        <w:t>. The example highlights the potential of the naïve Bayes to learn challenging relationships between various class depending features given enough training data even in situations with high class overlap.</w:t>
      </w:r>
    </w:p>
    <w:p w14:paraId="21DFAA9A" w14:textId="0CADE55B" w:rsidR="00800795" w:rsidRPr="00BC345F" w:rsidRDefault="00BC345F" w:rsidP="00BC345F">
      <w:pPr>
        <w:pStyle w:val="NormalWeb"/>
        <w:rPr>
          <w:color w:val="EE0000"/>
        </w:rPr>
      </w:pPr>
      <w:r w:rsidRPr="00BC345F">
        <w:rPr>
          <w:color w:val="EE0000"/>
        </w:rPr>
        <w:t xml:space="preserve">Although due to the small number of datasets not generalizable, these patterns are consistent with the methods’ strengths and weaknesses: Random Forests capture complex, multivariate interactions and are flexible with heterogeneous features, which often gives them an edge on structured, imbalanced multi-class tasks. PDENB, by contrast, relies on one-dimensional class-conditional likelihoods (with PDE smoothing and a plausibility correction); this makes it robust and highly interpretable and often competitive in overall performance, but less able to exploit multivariate interactions that RF leverages. Class imbalance amplifies these differences: very small classes produce noisy density estimates for PDENB and few training examples for RF, so both </w:t>
      </w:r>
      <w:proofErr w:type="gramStart"/>
      <w:r w:rsidRPr="00BC345F">
        <w:rPr>
          <w:color w:val="EE0000"/>
        </w:rPr>
        <w:t>fail</w:t>
      </w:r>
      <w:proofErr w:type="gramEnd"/>
      <w:r w:rsidRPr="00BC345F">
        <w:rPr>
          <w:color w:val="EE0000"/>
        </w:rPr>
        <w:t>, but RF’s tree ensemble can sometimes use correlated features to recover tiny classes more effectively</w:t>
      </w:r>
      <w:r w:rsidR="00800795" w:rsidRPr="00BC345F">
        <w:rPr>
          <w:color w:val="EE0000"/>
        </w:rPr>
        <w:t>.</w:t>
      </w:r>
      <w:r w:rsidR="0029266A" w:rsidRPr="00BC345F">
        <w:rPr>
          <w:color w:val="EE0000"/>
        </w:rPr>
        <w:t>”</w:t>
      </w:r>
    </w:p>
    <w:bookmarkEnd w:id="1"/>
    <w:p w14:paraId="26846E85" w14:textId="77777777" w:rsidR="00800795" w:rsidRDefault="00800795" w:rsidP="00E2655D">
      <w:pPr>
        <w:pStyle w:val="NormalWeb"/>
        <w:spacing w:before="0" w:beforeAutospacing="0" w:after="0" w:afterAutospacing="0"/>
        <w:rPr>
          <w:color w:val="EE0000"/>
        </w:rPr>
      </w:pPr>
    </w:p>
    <w:p w14:paraId="677D3CFB" w14:textId="714C24ED" w:rsidR="00800795" w:rsidRDefault="00800795" w:rsidP="00E2655D">
      <w:pPr>
        <w:pStyle w:val="NormalWeb"/>
        <w:spacing w:before="0" w:beforeAutospacing="0" w:after="0" w:afterAutospacing="0"/>
        <w:rPr>
          <w:color w:val="EE0000"/>
        </w:rPr>
      </w:pPr>
      <w:r>
        <w:rPr>
          <w:color w:val="EE0000"/>
        </w:rPr>
        <w:t>And reference them in the discussion</w:t>
      </w:r>
      <w:r w:rsidR="00DD1743">
        <w:rPr>
          <w:color w:val="EE0000"/>
        </w:rPr>
        <w:t xml:space="preserve"> (lines 854-865):</w:t>
      </w:r>
    </w:p>
    <w:p w14:paraId="6D962F13" w14:textId="77777777" w:rsidR="00296735" w:rsidRDefault="00670189" w:rsidP="00E2655D">
      <w:pPr>
        <w:pStyle w:val="NormalWeb"/>
        <w:spacing w:before="0" w:beforeAutospacing="0" w:after="0" w:afterAutospacing="0"/>
        <w:rPr>
          <w:color w:val="EE0000"/>
        </w:rPr>
      </w:pPr>
      <w:r>
        <w:rPr>
          <w:color w:val="EE0000"/>
        </w:rPr>
        <w:t>“</w:t>
      </w:r>
    </w:p>
    <w:p w14:paraId="550D91EF" w14:textId="5A574B7D" w:rsidR="00071CE2" w:rsidRPr="00296735" w:rsidRDefault="00296735" w:rsidP="00E2655D">
      <w:pPr>
        <w:pStyle w:val="NormalWeb"/>
        <w:spacing w:before="0" w:beforeAutospacing="0" w:after="0" w:afterAutospacing="0"/>
        <w:rPr>
          <w:color w:val="EE0000"/>
        </w:rPr>
      </w:pPr>
      <w:bookmarkStart w:id="2" w:name="_Hlk216101984"/>
      <w:r w:rsidRPr="00296735">
        <w:rPr>
          <w:color w:val="EE0000"/>
        </w:rPr>
        <w:t xml:space="preserve">In supplementary E we show that random forest (RF) yields a small but consistent edge in raw MCC on </w:t>
      </w:r>
      <w:r w:rsidR="00BC345F">
        <w:rPr>
          <w:color w:val="EE0000"/>
        </w:rPr>
        <w:t>four imbalanced</w:t>
      </w:r>
      <w:r w:rsidRPr="00296735">
        <w:rPr>
          <w:color w:val="EE0000"/>
        </w:rPr>
        <w:t xml:space="preserve"> datasets, while PDENB provides a transparent, well-calibrated and parameter-free baseline whose errors are interpretable from the class-conditional </w:t>
      </w:r>
      <w:r w:rsidRPr="00296735">
        <w:rPr>
          <w:color w:val="EE0000"/>
        </w:rPr>
        <w:lastRenderedPageBreak/>
        <w:t xml:space="preserve">likelihood plots. The benchmark on </w:t>
      </w:r>
      <w:r w:rsidR="00BC345F">
        <w:rPr>
          <w:color w:val="EE0000"/>
        </w:rPr>
        <w:t>four</w:t>
      </w:r>
      <w:r w:rsidRPr="00296735">
        <w:rPr>
          <w:color w:val="EE0000"/>
        </w:rPr>
        <w:t xml:space="preserve"> </w:t>
      </w:r>
      <w:r w:rsidR="00071CE2" w:rsidRPr="00296735">
        <w:rPr>
          <w:color w:val="EE0000"/>
        </w:rPr>
        <w:t>imbalanced datasets</w:t>
      </w:r>
      <w:r w:rsidRPr="00296735">
        <w:rPr>
          <w:color w:val="EE0000"/>
        </w:rPr>
        <w:t xml:space="preserve"> hints that</w:t>
      </w:r>
      <w:r w:rsidR="00071CE2" w:rsidRPr="00296735">
        <w:rPr>
          <w:color w:val="EE0000"/>
        </w:rPr>
        <w:t xml:space="preserve"> PDENB cannot necessarily achieve high performance for minority classes if there is a lack of samples, since the minority might be underrepresented. </w:t>
      </w:r>
      <w:r w:rsidRPr="00296735">
        <w:rPr>
          <w:color w:val="EE0000"/>
        </w:rPr>
        <w:t xml:space="preserve">When two classes overlap strongly in feature space, one class can suffer disproportionately poor performance—especially if it is less prevalent or more heterogeneous. Differences in class prevalence (priors) or in within-class variability shift posterior probabilities toward the dominant (or more concentrated) class, which increases misclassification of the disadvantaged class. </w:t>
      </w:r>
      <w:r w:rsidR="00370D6A" w:rsidRPr="00296735">
        <w:rPr>
          <w:color w:val="EE0000"/>
        </w:rPr>
        <w:t>An estimation of a risk leading to a reweighting of the posteriori might be helpful, if the false negative rate of a specific minority class should be minimized.</w:t>
      </w:r>
    </w:p>
    <w:bookmarkEnd w:id="2"/>
    <w:p w14:paraId="4A9F6700" w14:textId="1FE62480" w:rsidR="001B270A" w:rsidRPr="00E2655D" w:rsidRDefault="00670189" w:rsidP="00E2655D">
      <w:pPr>
        <w:pStyle w:val="NormalWeb"/>
        <w:spacing w:before="0" w:beforeAutospacing="0" w:after="0" w:afterAutospacing="0"/>
        <w:rPr>
          <w:color w:val="EE0000"/>
        </w:rPr>
      </w:pPr>
      <w:r w:rsidRPr="00E2655D">
        <w:rPr>
          <w:color w:val="EE0000"/>
        </w:rPr>
        <w:t>„</w:t>
      </w:r>
    </w:p>
    <w:p w14:paraId="03B42DCF" w14:textId="77777777" w:rsidR="003B31D5" w:rsidRDefault="003B31D5" w:rsidP="003B31D5">
      <w:pPr>
        <w:pStyle w:val="NormalWeb"/>
      </w:pPr>
      <w:r>
        <w:t xml:space="preserve">3. Why is a class-independent Pareto radius preferred over class-dependent estimation, and what empirical evidence supports this design choice? </w:t>
      </w:r>
    </w:p>
    <w:p w14:paraId="07D0560B" w14:textId="236516F9" w:rsidR="00B538C1" w:rsidRDefault="005F41AA" w:rsidP="003B31D5">
      <w:pPr>
        <w:pStyle w:val="NormalWeb"/>
        <w:rPr>
          <w:color w:val="EE0000"/>
        </w:rPr>
      </w:pPr>
      <w:r w:rsidRPr="005F41AA">
        <w:rPr>
          <w:color w:val="EE0000"/>
        </w:rPr>
        <w:t>We present results in t</w:t>
      </w:r>
      <w:r>
        <w:rPr>
          <w:color w:val="EE0000"/>
        </w:rPr>
        <w:t>he supplementary</w:t>
      </w:r>
      <w:r w:rsidR="00B538C1">
        <w:rPr>
          <w:color w:val="EE0000"/>
        </w:rPr>
        <w:t xml:space="preserve"> part D</w:t>
      </w:r>
      <w:r>
        <w:rPr>
          <w:color w:val="EE0000"/>
        </w:rPr>
        <w:t xml:space="preserve"> as empirical evidence. </w:t>
      </w:r>
      <w:r w:rsidR="00B538C1">
        <w:rPr>
          <w:color w:val="EE0000"/>
        </w:rPr>
        <w:t>We directly compare the both versions, global and local, to each other with tabular results. We highlight differences, by grouping the overall performance with an ABC analysis into high, moderate and low performance use cases. The resulting three performance table clearly represent the higher performance of the global radius over the local. Since not always a better performance might be achieved with the global Pareto radius estimation, we give the user the opportunity to choose the parameters.</w:t>
      </w:r>
    </w:p>
    <w:p w14:paraId="6570F260" w14:textId="6A2BBB28" w:rsidR="00EC4C2E" w:rsidRDefault="00EC4C2E" w:rsidP="003B31D5">
      <w:pPr>
        <w:pStyle w:val="NormalWeb"/>
        <w:rPr>
          <w:color w:val="EE0000"/>
        </w:rPr>
      </w:pPr>
      <w:r>
        <w:rPr>
          <w:color w:val="EE0000"/>
        </w:rPr>
        <w:t>In Supplementary D we state:</w:t>
      </w:r>
    </w:p>
    <w:p w14:paraId="6707D871" w14:textId="75A099E7" w:rsidR="00EC4C2E" w:rsidRDefault="00EC4C2E" w:rsidP="003B31D5">
      <w:pPr>
        <w:pStyle w:val="NormalWeb"/>
        <w:rPr>
          <w:color w:val="EE0000"/>
        </w:rPr>
      </w:pPr>
      <w:r>
        <w:rPr>
          <w:color w:val="EE0000"/>
        </w:rPr>
        <w:t>“</w:t>
      </w:r>
      <w:r w:rsidRPr="005F41AA">
        <w:rPr>
          <w:color w:val="EE0000"/>
        </w:rPr>
        <w:t>Exemplary</w:t>
      </w:r>
      <w:r>
        <w:rPr>
          <w:color w:val="EE0000"/>
        </w:rPr>
        <w:t xml:space="preserve"> in</w:t>
      </w:r>
      <w:r w:rsidR="0029266A">
        <w:rPr>
          <w:color w:val="EE0000"/>
        </w:rPr>
        <w:t xml:space="preserve"> Supplementary D (Tables D1-D3 and Figure D1)</w:t>
      </w:r>
      <w:r>
        <w:rPr>
          <w:color w:val="EE0000"/>
        </w:rPr>
        <w:t>,</w:t>
      </w:r>
      <w:r w:rsidRPr="005F41AA">
        <w:rPr>
          <w:color w:val="EE0000"/>
        </w:rPr>
        <w:t xml:space="preserve"> we show our design decision between the estimation of</w:t>
      </w:r>
      <w:r>
        <w:rPr>
          <w:color w:val="EE0000"/>
        </w:rPr>
        <w:t xml:space="preserve"> a global radius versus a class-dependent radius.</w:t>
      </w:r>
      <w:r w:rsidRPr="005F41AA">
        <w:rPr>
          <w:color w:val="EE0000"/>
        </w:rPr>
        <w:t xml:space="preserve"> </w:t>
      </w:r>
      <w:r>
        <w:rPr>
          <w:color w:val="EE0000"/>
        </w:rPr>
        <w:t>We compute both approaches to directly compare the overall performance and visualize the distribution of pairwise differences (global – local) with Mirrored Density plots (MD plots). The overall performance can be segmented into three groups with the ABC analysis: high, moderate and low performing examples. Focusing on the distributions showing the differences within the 100 trials of each benchmark, the global strategy shows a tendency for higher performance in many high performing cases, even though the overall rounded performance was equal. Higher differences can be observed on datasets with lower performance.”</w:t>
      </w:r>
    </w:p>
    <w:p w14:paraId="677793FB" w14:textId="77777777" w:rsidR="00EC4C2E" w:rsidRDefault="00EC4C2E" w:rsidP="003B31D5">
      <w:pPr>
        <w:pStyle w:val="NormalWeb"/>
        <w:rPr>
          <w:color w:val="EE0000"/>
        </w:rPr>
      </w:pPr>
    </w:p>
    <w:p w14:paraId="7422B9EC" w14:textId="4E69DFA6" w:rsidR="00EC4C2E" w:rsidRDefault="00EC4C2E" w:rsidP="003B31D5">
      <w:pPr>
        <w:pStyle w:val="NormalWeb"/>
        <w:rPr>
          <w:color w:val="EE0000"/>
        </w:rPr>
      </w:pPr>
      <w:r>
        <w:rPr>
          <w:color w:val="EE0000"/>
        </w:rPr>
        <w:t>In the revised discussion section, we added</w:t>
      </w:r>
      <w:r w:rsidR="00DD1743">
        <w:rPr>
          <w:color w:val="EE0000"/>
        </w:rPr>
        <w:t xml:space="preserve"> (lines 832-838)</w:t>
      </w:r>
      <w:r>
        <w:rPr>
          <w:color w:val="EE0000"/>
        </w:rPr>
        <w:t>:</w:t>
      </w:r>
    </w:p>
    <w:p w14:paraId="74D678B3" w14:textId="0DB17801" w:rsidR="00B538C1" w:rsidRDefault="005F41AA" w:rsidP="00B538C1">
      <w:pPr>
        <w:pStyle w:val="NormalWeb"/>
        <w:jc w:val="both"/>
        <w:rPr>
          <w:color w:val="EE0000"/>
        </w:rPr>
      </w:pPr>
      <w:r w:rsidRPr="005F41AA">
        <w:rPr>
          <w:color w:val="EE0000"/>
        </w:rPr>
        <w:t>„</w:t>
      </w:r>
      <w:bookmarkStart w:id="3" w:name="_Hlk216101847"/>
      <w:r w:rsidR="0029266A">
        <w:rPr>
          <w:color w:val="EE0000"/>
        </w:rPr>
        <w:t xml:space="preserve">Exemplary, we present results from our preliminary experimentation for the decision process between a global versus a local (class-dependent) Pareto radius in the supplementary D and showcase our reasoning. </w:t>
      </w:r>
      <w:r w:rsidR="00EC4C2E">
        <w:rPr>
          <w:color w:val="EE0000"/>
        </w:rPr>
        <w:t>As supplementary D shows, t</w:t>
      </w:r>
      <w:r w:rsidR="00B538C1">
        <w:rPr>
          <w:color w:val="EE0000"/>
        </w:rPr>
        <w:t xml:space="preserve">he strategy with a global Pareto radius achieves better results in the high performing examples, while the local radius achieved better results rather in the low and moderate performing examples. </w:t>
      </w:r>
      <w:r w:rsidR="00EC4C2E">
        <w:rPr>
          <w:color w:val="EE0000"/>
        </w:rPr>
        <w:t>Therefore, it is</w:t>
      </w:r>
      <w:r w:rsidR="00B538C1">
        <w:rPr>
          <w:color w:val="EE0000"/>
        </w:rPr>
        <w:t xml:space="preserve"> justif</w:t>
      </w:r>
      <w:r w:rsidR="00EC4C2E">
        <w:rPr>
          <w:color w:val="EE0000"/>
        </w:rPr>
        <w:t>iable that</w:t>
      </w:r>
      <w:r w:rsidR="00B538C1">
        <w:rPr>
          <w:color w:val="EE0000"/>
        </w:rPr>
        <w:t xml:space="preserve"> the global strategy </w:t>
      </w:r>
      <w:r w:rsidR="00EC4C2E">
        <w:rPr>
          <w:color w:val="EE0000"/>
        </w:rPr>
        <w:t>is</w:t>
      </w:r>
      <w:r w:rsidR="00B538C1">
        <w:rPr>
          <w:color w:val="EE0000"/>
        </w:rPr>
        <w:t xml:space="preserve"> the default setting </w:t>
      </w:r>
      <w:r w:rsidR="00EC4C2E">
        <w:rPr>
          <w:color w:val="EE0000"/>
        </w:rPr>
        <w:t xml:space="preserve">although the </w:t>
      </w:r>
      <w:r w:rsidR="00B538C1">
        <w:rPr>
          <w:color w:val="EE0000"/>
        </w:rPr>
        <w:t xml:space="preserve">user </w:t>
      </w:r>
      <w:r w:rsidR="00EC4C2E">
        <w:rPr>
          <w:color w:val="EE0000"/>
        </w:rPr>
        <w:t xml:space="preserve">is able </w:t>
      </w:r>
      <w:r w:rsidR="00B538C1">
        <w:rPr>
          <w:color w:val="EE0000"/>
        </w:rPr>
        <w:t xml:space="preserve">to change the radius estimation </w:t>
      </w:r>
      <w:r w:rsidR="00EC4C2E">
        <w:rPr>
          <w:color w:val="EE0000"/>
        </w:rPr>
        <w:t xml:space="preserve">to </w:t>
      </w:r>
      <w:r w:rsidR="0029266A">
        <w:rPr>
          <w:color w:val="EE0000"/>
        </w:rPr>
        <w:t xml:space="preserve">the </w:t>
      </w:r>
      <w:r w:rsidR="00EC4C2E">
        <w:rPr>
          <w:color w:val="EE0000"/>
        </w:rPr>
        <w:t>local</w:t>
      </w:r>
      <w:r w:rsidR="0029266A">
        <w:rPr>
          <w:color w:val="EE0000"/>
        </w:rPr>
        <w:t xml:space="preserve"> mode</w:t>
      </w:r>
      <w:r w:rsidR="00B538C1">
        <w:rPr>
          <w:color w:val="EE0000"/>
        </w:rPr>
        <w:t>.</w:t>
      </w:r>
      <w:bookmarkEnd w:id="3"/>
      <w:r w:rsidR="00B538C1">
        <w:rPr>
          <w:color w:val="EE0000"/>
        </w:rPr>
        <w:t>”</w:t>
      </w:r>
    </w:p>
    <w:p w14:paraId="433EA857" w14:textId="55CCDDE2" w:rsidR="00B45971" w:rsidRDefault="003B31D5" w:rsidP="003B31D5">
      <w:pPr>
        <w:pStyle w:val="NormalWeb"/>
      </w:pPr>
      <w:r>
        <w:t xml:space="preserve">4. Can PDENB be extended to handle categorical features, and if so, what modifications to the PDE-based density estimation are required? </w:t>
      </w:r>
    </w:p>
    <w:p w14:paraId="33287501" w14:textId="570A7073" w:rsidR="003C49B0" w:rsidRDefault="003C49B0" w:rsidP="003B31D5">
      <w:pPr>
        <w:pStyle w:val="NormalWeb"/>
        <w:rPr>
          <w:color w:val="EE0000"/>
        </w:rPr>
      </w:pPr>
      <w:r>
        <w:rPr>
          <w:color w:val="EE0000"/>
        </w:rPr>
        <w:lastRenderedPageBreak/>
        <w:t xml:space="preserve">We add supplementary </w:t>
      </w:r>
      <w:r w:rsidR="00CC4B12">
        <w:rPr>
          <w:color w:val="EE0000"/>
        </w:rPr>
        <w:t>G</w:t>
      </w:r>
      <w:r>
        <w:rPr>
          <w:color w:val="EE0000"/>
        </w:rPr>
        <w:t xml:space="preserve"> </w:t>
      </w:r>
      <w:r w:rsidR="00B147AD">
        <w:rPr>
          <w:color w:val="EE0000"/>
        </w:rPr>
        <w:t xml:space="preserve">in Line 1080ff </w:t>
      </w:r>
      <w:r>
        <w:rPr>
          <w:color w:val="EE0000"/>
        </w:rPr>
        <w:t>describing the current heuristic of PDENB:</w:t>
      </w:r>
    </w:p>
    <w:p w14:paraId="2A75DA6B" w14:textId="095DE238" w:rsidR="003C49B0" w:rsidRPr="00DC0114" w:rsidRDefault="003C49B0" w:rsidP="00DC0114">
      <w:pPr>
        <w:pStyle w:val="NormalWeb"/>
        <w:jc w:val="both"/>
        <w:rPr>
          <w:color w:val="EE0000"/>
        </w:rPr>
      </w:pPr>
      <w:r w:rsidRPr="00DC0114">
        <w:rPr>
          <w:color w:val="EE0000"/>
        </w:rPr>
        <w:t>“</w:t>
      </w:r>
      <w:r w:rsidRPr="00DC0114">
        <w:rPr>
          <w:rStyle w:val="Strong"/>
          <w:rFonts w:eastAsiaTheme="majorEastAsia"/>
          <w:color w:val="EE0000"/>
        </w:rPr>
        <w:t>Histogram-based fallback for low-cardinality features.</w:t>
      </w:r>
      <w:r w:rsidRPr="00DC0114">
        <w:rPr>
          <w:color w:val="EE0000"/>
        </w:rPr>
        <w:br/>
        <w:t xml:space="preserve">PDENB is designed primarily for continuous features and uses Pareto Density Estimation (PDE) when sufficient data are available per class. However, for features with few distinct values or very small class-specific sample sizes, PDE can become unstable. In these cases, we fall back to a simple histogram-based estimator with an automatically chosen number of bins, following the practical rules </w:t>
      </w:r>
      <w:r w:rsidR="00474917" w:rsidRPr="00DC0114">
        <w:rPr>
          <w:color w:val="EE0000"/>
        </w:rPr>
        <w:t xml:space="preserve">for </w:t>
      </w:r>
      <w:r w:rsidR="00DC0114" w:rsidRPr="00DC0114">
        <w:rPr>
          <w:color w:val="EE0000"/>
        </w:rPr>
        <w:t xml:space="preserve">the threshold of the minimal </w:t>
      </w:r>
      <w:proofErr w:type="gramStart"/>
      <w:r w:rsidR="00DC0114" w:rsidRPr="00DC0114">
        <w:rPr>
          <w:color w:val="EE0000"/>
        </w:rPr>
        <w:t>amount</w:t>
      </w:r>
      <w:proofErr w:type="gramEnd"/>
      <w:r w:rsidR="00DC0114" w:rsidRPr="00DC0114">
        <w:rPr>
          <w:color w:val="EE0000"/>
        </w:rPr>
        <w:t xml:space="preserve"> of values in data  </w:t>
      </w:r>
      <m:oMath>
        <m:sSub>
          <m:sSubPr>
            <m:ctrlPr>
              <w:rPr>
                <w:rFonts w:ascii="Cambria Math" w:hAnsi="Cambria Math"/>
                <w:i/>
                <w:color w:val="EE0000"/>
              </w:rPr>
            </m:ctrlPr>
          </m:sSubPr>
          <m:e>
            <m:r>
              <w:rPr>
                <w:rFonts w:ascii="Cambria Math" w:hAnsi="Cambria Math"/>
                <w:color w:val="EE0000"/>
              </w:rPr>
              <m:t>N</m:t>
            </m:r>
          </m:e>
          <m:sub>
            <m:r>
              <w:rPr>
                <w:rFonts w:ascii="Cambria Math" w:hAnsi="Cambria Math"/>
                <w:color w:val="EE0000"/>
              </w:rPr>
              <m:t>ut</m:t>
            </m:r>
          </m:sub>
        </m:sSub>
      </m:oMath>
      <w:r w:rsidR="00474917" w:rsidRPr="00DC0114">
        <w:rPr>
          <w:color w:val="EE0000"/>
        </w:rPr>
        <w:t xml:space="preserve"> and </w:t>
      </w:r>
      <m:oMath>
        <m:r>
          <m:rPr>
            <m:nor/>
          </m:rPr>
          <w:rPr>
            <w:color w:val="EE0000"/>
          </w:rPr>
          <m:t>quantity threshold</m:t>
        </m:r>
      </m:oMath>
      <w:r w:rsidR="00474917" w:rsidRPr="00DC0114">
        <w:rPr>
          <w:color w:val="EE0000"/>
        </w:rPr>
        <w:t xml:space="preserve"> </w:t>
      </w:r>
      <w:r w:rsidR="00DC0114" w:rsidRPr="00DC0114">
        <w:rPr>
          <w:color w:val="EE0000"/>
        </w:rPr>
        <w:t xml:space="preserve">(i.e., the threshold of the minimal </w:t>
      </w:r>
      <w:proofErr w:type="gramStart"/>
      <w:r w:rsidR="00DC0114" w:rsidRPr="00DC0114">
        <w:rPr>
          <w:color w:val="EE0000"/>
        </w:rPr>
        <w:t>amount</w:t>
      </w:r>
      <w:proofErr w:type="gramEnd"/>
      <w:r w:rsidR="00DC0114" w:rsidRPr="00DC0114">
        <w:rPr>
          <w:color w:val="EE0000"/>
        </w:rPr>
        <w:t xml:space="preserve"> of unique values in data)  </w:t>
      </w:r>
      <m:oMath>
        <m:sSub>
          <m:sSubPr>
            <m:ctrlPr>
              <w:rPr>
                <w:rFonts w:ascii="Cambria Math" w:hAnsi="Cambria Math"/>
                <w:i/>
                <w:color w:val="EE0000"/>
              </w:rPr>
            </m:ctrlPr>
          </m:sSubPr>
          <m:e>
            <m:r>
              <w:rPr>
                <w:rFonts w:ascii="Cambria Math" w:hAnsi="Cambria Math"/>
                <w:color w:val="EE0000"/>
              </w:rPr>
              <m:t>Q</m:t>
            </m:r>
          </m:e>
          <m:sub>
            <m:r>
              <w:rPr>
                <w:rFonts w:ascii="Cambria Math" w:hAnsi="Cambria Math"/>
                <w:color w:val="EE0000"/>
              </w:rPr>
              <m:t>t</m:t>
            </m:r>
          </m:sub>
        </m:sSub>
      </m:oMath>
      <w:r w:rsidR="00DC0114" w:rsidRPr="00DC0114">
        <w:rPr>
          <w:color w:val="EE0000"/>
        </w:rPr>
        <w:t xml:space="preserve">, </w:t>
      </w:r>
      <w:r w:rsidRPr="00DC0114">
        <w:rPr>
          <w:color w:val="EE0000"/>
        </w:rPr>
        <w:t>derived in Thrun et al. (2020).</w:t>
      </w:r>
    </w:p>
    <w:p w14:paraId="06490BCC" w14:textId="0DB9CCAC" w:rsidR="003C49B0" w:rsidRPr="00DC0114" w:rsidRDefault="003C49B0" w:rsidP="00DC0114">
      <w:pPr>
        <w:pStyle w:val="NormalWeb"/>
        <w:jc w:val="both"/>
        <w:rPr>
          <w:color w:val="EE0000"/>
        </w:rPr>
      </w:pPr>
      <w:r w:rsidRPr="00DC0114">
        <w:rPr>
          <w:color w:val="EE0000"/>
        </w:rPr>
        <w:t xml:space="preserve">Concretely, for a given feature and class, let </w:t>
      </w:r>
      <m:oMath>
        <m:sSub>
          <m:sSubPr>
            <m:ctrlPr>
              <w:rPr>
                <w:rFonts w:ascii="Cambria Math" w:hAnsi="Cambria Math"/>
                <w:color w:val="EE0000"/>
              </w:rPr>
            </m:ctrlPr>
          </m:sSubPr>
          <m:e>
            <m:r>
              <w:rPr>
                <w:rFonts w:ascii="Cambria Math" w:hAnsi="Cambria Math"/>
                <w:color w:val="EE0000"/>
              </w:rPr>
              <m:t>N</m:t>
            </m:r>
          </m:e>
          <m:sub>
            <m:r>
              <m:rPr>
                <m:nor/>
              </m:rPr>
              <w:rPr>
                <w:color w:val="EE0000"/>
              </w:rPr>
              <m:t>unique</m:t>
            </m:r>
          </m:sub>
        </m:sSub>
      </m:oMath>
      <w:r w:rsidR="00474917" w:rsidRPr="00DC0114">
        <w:rPr>
          <w:color w:val="EE0000"/>
        </w:rPr>
        <w:t xml:space="preserve"> </w:t>
      </w:r>
      <w:r w:rsidRPr="00DC0114">
        <w:rPr>
          <w:color w:val="EE0000"/>
        </w:rPr>
        <w:t xml:space="preserve">denote the number of distinct observed values and </w:t>
      </w:r>
      <m:oMath>
        <m:r>
          <m:rPr>
            <m:sty m:val="p"/>
          </m:rPr>
          <w:rPr>
            <w:rFonts w:ascii="Cambria Math" w:hAnsi="Cambria Math"/>
            <w:color w:val="EE0000"/>
          </w:rPr>
          <m:t>∣</m:t>
        </m:r>
        <m:sSub>
          <m:sSubPr>
            <m:ctrlPr>
              <w:rPr>
                <w:rFonts w:ascii="Cambria Math" w:hAnsi="Cambria Math"/>
                <w:color w:val="EE0000"/>
              </w:rPr>
            </m:ctrlPr>
          </m:sSubPr>
          <m:e>
            <m:r>
              <m:rPr>
                <m:scr m:val="script"/>
              </m:rPr>
              <w:rPr>
                <w:rFonts w:ascii="Cambria Math" w:hAnsi="Cambria Math"/>
                <w:color w:val="EE0000"/>
              </w:rPr>
              <m:t>C</m:t>
            </m:r>
          </m:e>
          <m:sub>
            <m:r>
              <w:rPr>
                <w:rFonts w:ascii="Cambria Math" w:hAnsi="Cambria Math"/>
                <w:color w:val="EE0000"/>
              </w:rPr>
              <m:t>i</m:t>
            </m:r>
          </m:sub>
        </m:sSub>
        <m:r>
          <m:rPr>
            <m:sty m:val="p"/>
          </m:rPr>
          <w:rPr>
            <w:rFonts w:ascii="Cambria Math" w:hAnsi="Cambria Math"/>
            <w:color w:val="EE0000"/>
          </w:rPr>
          <m:t>∣</m:t>
        </m:r>
      </m:oMath>
      <w:r w:rsidRPr="00DC0114">
        <w:rPr>
          <w:color w:val="EE0000"/>
        </w:rPr>
        <w:t xml:space="preserve">the number of samples in class </w:t>
      </w:r>
      <m:oMath>
        <m:sSub>
          <m:sSubPr>
            <m:ctrlPr>
              <w:rPr>
                <w:rFonts w:ascii="Cambria Math" w:hAnsi="Cambria Math"/>
                <w:color w:val="EE0000"/>
              </w:rPr>
            </m:ctrlPr>
          </m:sSubPr>
          <m:e>
            <m:r>
              <w:rPr>
                <w:rFonts w:ascii="Cambria Math" w:hAnsi="Cambria Math"/>
                <w:color w:val="EE0000"/>
              </w:rPr>
              <m:t>C</m:t>
            </m:r>
          </m:e>
          <m:sub>
            <m:r>
              <w:rPr>
                <w:rFonts w:ascii="Cambria Math" w:hAnsi="Cambria Math"/>
                <w:color w:val="EE0000"/>
              </w:rPr>
              <m:t>i</m:t>
            </m:r>
          </m:sub>
        </m:sSub>
      </m:oMath>
      <w:r w:rsidRPr="00DC0114">
        <w:rPr>
          <w:color w:val="EE0000"/>
        </w:rPr>
        <w:t xml:space="preserve">. If the feature does </w:t>
      </w:r>
      <w:r w:rsidRPr="00DC0114">
        <w:rPr>
          <w:rStyle w:val="Strong"/>
          <w:rFonts w:eastAsiaTheme="majorEastAsia"/>
          <w:b w:val="0"/>
          <w:bCs w:val="0"/>
          <w:color w:val="EE0000"/>
        </w:rPr>
        <w:t>not</w:t>
      </w:r>
      <w:r w:rsidRPr="00DC0114">
        <w:rPr>
          <w:color w:val="EE0000"/>
        </w:rPr>
        <w:t xml:space="preserve"> satisfy</w:t>
      </w:r>
    </w:p>
    <w:p w14:paraId="3B564B2E" w14:textId="71BC418D" w:rsidR="003C49B0" w:rsidRPr="00DC0114" w:rsidRDefault="00000000" w:rsidP="00DC0114">
      <w:pPr>
        <w:jc w:val="both"/>
        <w:rPr>
          <w:color w:val="EE0000"/>
        </w:rPr>
      </w:pPr>
      <m:oMathPara>
        <m:oMath>
          <m:sSub>
            <m:sSubPr>
              <m:ctrlPr>
                <w:rPr>
                  <w:rFonts w:ascii="Cambria Math" w:hAnsi="Cambria Math"/>
                  <w:color w:val="EE0000"/>
                </w:rPr>
              </m:ctrlPr>
            </m:sSubPr>
            <m:e>
              <m:r>
                <w:rPr>
                  <w:rFonts w:ascii="Cambria Math" w:hAnsi="Cambria Math"/>
                  <w:color w:val="EE0000"/>
                </w:rPr>
                <m:t>N</m:t>
              </m:r>
            </m:e>
            <m:sub>
              <m:r>
                <m:rPr>
                  <m:nor/>
                </m:rPr>
                <w:rPr>
                  <w:color w:val="EE0000"/>
                </w:rPr>
                <m:t>unique</m:t>
              </m:r>
            </m:sub>
          </m:sSub>
          <m:r>
            <w:rPr>
              <w:rFonts w:ascii="Cambria Math" w:hAnsi="Cambria Math"/>
              <w:color w:val="EE0000"/>
            </w:rPr>
            <m:t>&gt;</m:t>
          </m:r>
          <m:sSub>
            <m:sSubPr>
              <m:ctrlPr>
                <w:rPr>
                  <w:rFonts w:ascii="Cambria Math" w:hAnsi="Cambria Math"/>
                  <w:i/>
                  <w:color w:val="EE0000"/>
                </w:rPr>
              </m:ctrlPr>
            </m:sSubPr>
            <m:e>
              <m:r>
                <w:rPr>
                  <w:rFonts w:ascii="Cambria Math" w:hAnsi="Cambria Math"/>
                  <w:color w:val="EE0000"/>
                </w:rPr>
                <m:t>N</m:t>
              </m:r>
            </m:e>
            <m:sub>
              <m:r>
                <w:rPr>
                  <w:rFonts w:ascii="Cambria Math" w:hAnsi="Cambria Math"/>
                  <w:color w:val="EE0000"/>
                </w:rPr>
                <m:t>ut</m:t>
              </m:r>
            </m:sub>
          </m:sSub>
          <m:r>
            <m:rPr>
              <m:nor/>
            </m:rPr>
            <w:rPr>
              <w:color w:val="EE0000"/>
            </w:rPr>
            <m:t xml:space="preserve"> and</m:t>
          </m:r>
          <m:r>
            <m:rPr>
              <m:sty m:val="p"/>
            </m:rPr>
            <w:rPr>
              <w:rFonts w:ascii="Cambria Math" w:hAnsi="Cambria Math"/>
              <w:color w:val="EE0000"/>
            </w:rPr>
            <m:t>∣</m:t>
          </m:r>
          <m:sSub>
            <m:sSubPr>
              <m:ctrlPr>
                <w:rPr>
                  <w:rFonts w:ascii="Cambria Math" w:hAnsi="Cambria Math"/>
                  <w:color w:val="EE0000"/>
                </w:rPr>
              </m:ctrlPr>
            </m:sSubPr>
            <m:e>
              <m:r>
                <m:rPr>
                  <m:scr m:val="script"/>
                </m:rPr>
                <w:rPr>
                  <w:rFonts w:ascii="Cambria Math" w:hAnsi="Cambria Math"/>
                  <w:color w:val="EE0000"/>
                </w:rPr>
                <m:t>C</m:t>
              </m:r>
            </m:e>
            <m:sub>
              <m:r>
                <w:rPr>
                  <w:rFonts w:ascii="Cambria Math" w:hAnsi="Cambria Math"/>
                  <w:color w:val="EE0000"/>
                </w:rPr>
                <m:t>i</m:t>
              </m:r>
            </m:sub>
          </m:sSub>
          <m:r>
            <m:rPr>
              <m:sty m:val="p"/>
            </m:rPr>
            <w:rPr>
              <w:rFonts w:ascii="Cambria Math" w:hAnsi="Cambria Math"/>
              <w:color w:val="EE0000"/>
            </w:rPr>
            <m:t>∣</m:t>
          </m:r>
          <m:r>
            <w:rPr>
              <w:rFonts w:ascii="Cambria Math" w:hAnsi="Cambria Math"/>
              <w:color w:val="EE0000"/>
            </w:rPr>
            <m:t>&gt;</m:t>
          </m:r>
          <m:sSub>
            <m:sSubPr>
              <m:ctrlPr>
                <w:rPr>
                  <w:rFonts w:ascii="Cambria Math" w:hAnsi="Cambria Math"/>
                  <w:i/>
                  <w:color w:val="EE0000"/>
                </w:rPr>
              </m:ctrlPr>
            </m:sSubPr>
            <m:e>
              <m:r>
                <w:rPr>
                  <w:rFonts w:ascii="Cambria Math" w:hAnsi="Cambria Math"/>
                  <w:color w:val="EE0000"/>
                </w:rPr>
                <m:t>Q</m:t>
              </m:r>
            </m:e>
            <m:sub>
              <m:r>
                <w:rPr>
                  <w:rFonts w:ascii="Cambria Math" w:hAnsi="Cambria Math"/>
                  <w:color w:val="EE0000"/>
                </w:rPr>
                <m:t>t</m:t>
              </m:r>
            </m:sub>
          </m:sSub>
          <m:r>
            <m:rPr>
              <m:nor/>
            </m:rPr>
            <w:rPr>
              <w:color w:val="EE0000"/>
            </w:rPr>
            <m:t xml:space="preserve">  </m:t>
          </m:r>
        </m:oMath>
      </m:oMathPara>
    </w:p>
    <w:p w14:paraId="788EF4C8" w14:textId="7AB002A3" w:rsidR="003C49B0" w:rsidRPr="00DC0114" w:rsidRDefault="003C49B0" w:rsidP="00DC0114">
      <w:pPr>
        <w:pStyle w:val="NormalWeb"/>
        <w:jc w:val="both"/>
        <w:rPr>
          <w:color w:val="EE0000"/>
        </w:rPr>
      </w:pPr>
      <w:r w:rsidRPr="00DC0114">
        <w:rPr>
          <w:color w:val="EE0000"/>
        </w:rPr>
        <w:t xml:space="preserve">we do </w:t>
      </w:r>
      <w:r w:rsidRPr="00DC0114">
        <w:rPr>
          <w:rStyle w:val="Strong"/>
          <w:rFonts w:eastAsiaTheme="majorEastAsia"/>
          <w:b w:val="0"/>
          <w:bCs w:val="0"/>
          <w:color w:val="EE0000"/>
        </w:rPr>
        <w:t>not</w:t>
      </w:r>
      <w:r w:rsidRPr="00DC0114">
        <w:rPr>
          <w:color w:val="EE0000"/>
        </w:rPr>
        <w:t xml:space="preserve"> apply PDE </w:t>
      </w:r>
      <w:r w:rsidR="00DC0114" w:rsidRPr="00DC0114">
        <w:rPr>
          <w:color w:val="EE0000"/>
        </w:rPr>
        <w:t xml:space="preserve">(similar to the MD plot) </w:t>
      </w:r>
      <w:r w:rsidRPr="00DC0114">
        <w:rPr>
          <w:color w:val="EE0000"/>
        </w:rPr>
        <w:t xml:space="preserve">but instead estimate a one-dimensional density via an equal-width histogram. First, we determine the number of bins </w:t>
      </w:r>
      <m:oMath>
        <m:sSub>
          <m:sSubPr>
            <m:ctrlPr>
              <w:rPr>
                <w:rFonts w:ascii="Cambria Math" w:hAnsi="Cambria Math"/>
                <w:i/>
                <w:color w:val="EE0000"/>
              </w:rPr>
            </m:ctrlPr>
          </m:sSubPr>
          <m:e>
            <m:r>
              <w:rPr>
                <w:rFonts w:ascii="Cambria Math" w:hAnsi="Cambria Math"/>
                <w:color w:val="EE0000"/>
              </w:rPr>
              <m:t>n</m:t>
            </m:r>
          </m:e>
          <m:sub>
            <m:r>
              <w:rPr>
                <w:rFonts w:ascii="Cambria Math" w:hAnsi="Cambria Math"/>
                <w:color w:val="EE0000"/>
              </w:rPr>
              <m:t>opt</m:t>
            </m:r>
          </m:sub>
        </m:sSub>
      </m:oMath>
      <w:r w:rsidR="00371D61" w:rsidRPr="00DC0114">
        <w:rPr>
          <w:color w:val="EE0000"/>
        </w:rPr>
        <w:t xml:space="preserve"> </w:t>
      </w:r>
      <w:r w:rsidRPr="00DC0114">
        <w:rPr>
          <w:color w:val="EE0000"/>
        </w:rPr>
        <w:t>using</w:t>
      </w:r>
      <w:r w:rsidR="00E168F2">
        <w:rPr>
          <w:color w:val="EE0000"/>
        </w:rPr>
        <w:t xml:space="preserve"> </w:t>
      </w:r>
      <w:r w:rsidR="00E168F2">
        <w:rPr>
          <w:color w:val="EE0000"/>
        </w:rPr>
        <w:fldChar w:fldCharType="begin"/>
      </w:r>
      <w:r w:rsidR="00E168F2">
        <w:rPr>
          <w:color w:val="EE0000"/>
        </w:rPr>
        <w:instrText xml:space="preserve"> ADDIN EN.CITE &lt;EndNote&gt;&lt;Cite&gt;&lt;Author&gt;Keating&lt;/Author&gt;&lt;Year&gt;1999&lt;/Year&gt;&lt;RecNum&gt;629&lt;/RecNum&gt;&lt;DisplayText&gt;[1]&lt;/DisplayText&gt;&lt;record&gt;&lt;rec-number&gt;629&lt;/rec-number&gt;&lt;foreign-keys&gt;&lt;key app="EN" db-id="pwexzrw0oawpp5ezxel5ex0sfpx0s20tdxrz" timestamp="1516547395"&gt;629&lt;/key&gt;&lt;/foreign-keys&gt;&lt;ref-type name="Journal Article"&gt;17&lt;/ref-type&gt;&lt;contributors&gt;&lt;authors&gt;&lt;author&gt;Keating, J. P.&lt;/author&gt;&lt;author&gt;Scott, D. W.&lt;/author&gt;&lt;/authors&gt;&lt;/contributors&gt;&lt;titles&gt;&lt;title&gt;A primer on density estimation for the great homerun race of 1998&lt;/title&gt;&lt;secondary-title&gt;STATS&lt;/secondary-title&gt;&lt;/titles&gt;&lt;periodical&gt;&lt;full-title&gt;Stats&lt;/full-title&gt;&lt;/periodical&gt;&lt;pages&gt;16-22&lt;/pages&gt;&lt;volume&gt;25&lt;/volume&gt;&lt;dates&gt;&lt;year&gt;1999&lt;/year&gt;&lt;/dates&gt;&lt;urls&gt;&lt;/urls&gt;&lt;/record&gt;&lt;/Cite&gt;&lt;/EndNote&gt;</w:instrText>
      </w:r>
      <w:r w:rsidR="00E168F2">
        <w:rPr>
          <w:color w:val="EE0000"/>
        </w:rPr>
        <w:fldChar w:fldCharType="separate"/>
      </w:r>
      <w:r w:rsidR="00E168F2">
        <w:rPr>
          <w:noProof/>
          <w:color w:val="EE0000"/>
        </w:rPr>
        <w:t>[1]</w:t>
      </w:r>
      <w:r w:rsidR="00E168F2">
        <w:rPr>
          <w:color w:val="EE0000"/>
        </w:rPr>
        <w:fldChar w:fldCharType="end"/>
      </w:r>
      <w:r w:rsidRPr="00DC0114">
        <w:rPr>
          <w:color w:val="EE0000"/>
          <w:shd w:val="clear" w:color="auto" w:fill="FFFFFF"/>
        </w:rPr>
        <w:t>.</w:t>
      </w:r>
      <w:r w:rsidRPr="00DC0114">
        <w:rPr>
          <w:color w:val="EE0000"/>
        </w:rPr>
        <w:t xml:space="preserve"> On the observed range </w:t>
      </w:r>
      <m:oMath>
        <m:d>
          <m:dPr>
            <m:begChr m:val="["/>
            <m:endChr m:val="]"/>
            <m:ctrlPr>
              <w:rPr>
                <w:rFonts w:ascii="Cambria Math" w:hAnsi="Cambria Math"/>
                <w:color w:val="EE0000"/>
              </w:rPr>
            </m:ctrlPr>
          </m:dPr>
          <m:e>
            <m:sSub>
              <m:sSubPr>
                <m:ctrlPr>
                  <w:rPr>
                    <w:rFonts w:ascii="Cambria Math" w:hAnsi="Cambria Math"/>
                    <w:color w:val="EE0000"/>
                  </w:rPr>
                </m:ctrlPr>
              </m:sSubPr>
              <m:e>
                <m:r>
                  <m:rPr>
                    <m:sty m:val="p"/>
                  </m:rPr>
                  <w:rPr>
                    <w:rFonts w:ascii="Cambria Math" w:hAnsi="Cambria Math"/>
                    <w:color w:val="EE0000"/>
                  </w:rPr>
                  <m:t>x</m:t>
                </m:r>
              </m:e>
              <m:sub>
                <m:r>
                  <m:rPr>
                    <m:sty m:val="p"/>
                  </m:rPr>
                  <w:rPr>
                    <w:rFonts w:ascii="Cambria Math" w:hAnsi="Cambria Math"/>
                    <w:color w:val="EE0000"/>
                  </w:rPr>
                  <m:t>min</m:t>
                </m:r>
              </m:sub>
            </m:sSub>
            <m:r>
              <w:rPr>
                <w:rFonts w:ascii="Cambria Math" w:hAnsi="Cambria Math"/>
                <w:color w:val="EE0000"/>
              </w:rPr>
              <m:t>,</m:t>
            </m:r>
            <m:sSub>
              <m:sSubPr>
                <m:ctrlPr>
                  <w:rPr>
                    <w:rFonts w:ascii="Cambria Math" w:hAnsi="Cambria Math"/>
                    <w:color w:val="EE0000"/>
                  </w:rPr>
                </m:ctrlPr>
              </m:sSubPr>
              <m:e>
                <m:r>
                  <m:rPr>
                    <m:sty m:val="p"/>
                  </m:rPr>
                  <w:rPr>
                    <w:rFonts w:ascii="Cambria Math" w:hAnsi="Cambria Math"/>
                    <w:color w:val="EE0000"/>
                  </w:rPr>
                  <m:t>x</m:t>
                </m:r>
                <m:ctrlPr>
                  <w:rPr>
                    <w:rFonts w:ascii="Cambria Math" w:hAnsi="Cambria Math"/>
                    <w:i/>
                    <w:color w:val="EE0000"/>
                  </w:rPr>
                </m:ctrlPr>
              </m:e>
              <m:sub>
                <m:r>
                  <m:rPr>
                    <m:sty m:val="p"/>
                  </m:rPr>
                  <w:rPr>
                    <w:rFonts w:ascii="Cambria Math" w:hAnsi="Cambria Math"/>
                    <w:color w:val="EE0000"/>
                  </w:rPr>
                  <m:t>max</m:t>
                </m:r>
              </m:sub>
            </m:sSub>
          </m:e>
        </m:d>
        <m:r>
          <w:rPr>
            <w:rFonts w:ascii="Cambria Math" w:hAnsi="Cambria Math"/>
            <w:color w:val="EE0000"/>
          </w:rPr>
          <m:t xml:space="preserve"> </m:t>
        </m:r>
      </m:oMath>
      <w:r w:rsidRPr="00DC0114">
        <w:rPr>
          <w:color w:val="EE0000"/>
        </w:rPr>
        <w:t xml:space="preserve">of the feature we construct equal-width bins </w:t>
      </w:r>
      <m:oMath>
        <m:r>
          <w:rPr>
            <w:rFonts w:ascii="Cambria Math" w:hAnsi="Cambria Math"/>
            <w:color w:val="EE0000"/>
          </w:rPr>
          <m:t>h</m:t>
        </m:r>
      </m:oMath>
      <w:r w:rsidR="00371D61" w:rsidRPr="00DC0114">
        <w:rPr>
          <w:color w:val="EE0000"/>
        </w:rPr>
        <w:t xml:space="preserve"> with </w:t>
      </w:r>
      <w:r w:rsidRPr="00DC0114">
        <w:rPr>
          <w:color w:val="EE0000"/>
        </w:rPr>
        <w:t>edges</w:t>
      </w:r>
      <w:r w:rsidR="00371D61" w:rsidRPr="00DC0114">
        <w:rPr>
          <w:color w:val="EE0000"/>
        </w:rPr>
        <w:t xml:space="preserve"> in the range of data with</w:t>
      </w:r>
    </w:p>
    <w:p w14:paraId="073665A9" w14:textId="6ACE2CD1" w:rsidR="00371D61" w:rsidRPr="00DC0114" w:rsidRDefault="00474917" w:rsidP="00DC0114">
      <w:pPr>
        <w:jc w:val="both"/>
        <w:rPr>
          <w:i/>
          <w:color w:val="EE0000"/>
        </w:rPr>
      </w:pPr>
      <m:oMathPara>
        <m:oMath>
          <m:r>
            <w:rPr>
              <w:rFonts w:ascii="Cambria Math" w:hAnsi="Cambria Math"/>
              <w:color w:val="EE0000"/>
            </w:rPr>
            <m:t>h=</m:t>
          </m:r>
          <m:f>
            <m:fPr>
              <m:ctrlPr>
                <w:rPr>
                  <w:rFonts w:ascii="Cambria Math" w:hAnsi="Cambria Math"/>
                  <w:color w:val="EE0000"/>
                </w:rPr>
              </m:ctrlPr>
            </m:fPr>
            <m:num>
              <m:r>
                <w:rPr>
                  <w:rFonts w:ascii="Cambria Math" w:hAnsi="Cambria Math"/>
                  <w:color w:val="EE0000"/>
                </w:rPr>
                <m:t>|</m:t>
              </m:r>
              <m:sSub>
                <m:sSubPr>
                  <m:ctrlPr>
                    <w:rPr>
                      <w:rFonts w:ascii="Cambria Math" w:hAnsi="Cambria Math"/>
                      <w:color w:val="EE0000"/>
                    </w:rPr>
                  </m:ctrlPr>
                </m:sSubPr>
                <m:e>
                  <m:r>
                    <m:rPr>
                      <m:sty m:val="p"/>
                    </m:rPr>
                    <w:rPr>
                      <w:rFonts w:ascii="Cambria Math" w:hAnsi="Cambria Math"/>
                      <w:color w:val="EE0000"/>
                    </w:rPr>
                    <m:t>x</m:t>
                  </m:r>
                  <m:ctrlPr>
                    <w:rPr>
                      <w:rFonts w:ascii="Cambria Math" w:hAnsi="Cambria Math"/>
                      <w:i/>
                      <w:color w:val="EE0000"/>
                    </w:rPr>
                  </m:ctrlPr>
                </m:e>
                <m:sub>
                  <m:r>
                    <m:rPr>
                      <m:sty m:val="p"/>
                    </m:rPr>
                    <w:rPr>
                      <w:rFonts w:ascii="Cambria Math" w:hAnsi="Cambria Math"/>
                      <w:color w:val="EE0000"/>
                    </w:rPr>
                    <m:t>max</m:t>
                  </m:r>
                </m:sub>
              </m:sSub>
              <m:r>
                <w:rPr>
                  <w:rFonts w:ascii="Cambria Math" w:hAnsi="Cambria Math"/>
                  <w:color w:val="EE0000"/>
                </w:rPr>
                <m:t>-</m:t>
              </m:r>
              <m:sSub>
                <m:sSubPr>
                  <m:ctrlPr>
                    <w:rPr>
                      <w:rFonts w:ascii="Cambria Math" w:hAnsi="Cambria Math"/>
                      <w:color w:val="EE0000"/>
                    </w:rPr>
                  </m:ctrlPr>
                </m:sSubPr>
                <m:e>
                  <m:r>
                    <m:rPr>
                      <m:sty m:val="p"/>
                    </m:rPr>
                    <w:rPr>
                      <w:rFonts w:ascii="Cambria Math" w:hAnsi="Cambria Math"/>
                      <w:color w:val="EE0000"/>
                    </w:rPr>
                    <m:t>x</m:t>
                  </m:r>
                </m:e>
                <m:sub>
                  <m:r>
                    <m:rPr>
                      <m:sty m:val="p"/>
                    </m:rPr>
                    <w:rPr>
                      <w:rFonts w:ascii="Cambria Math" w:hAnsi="Cambria Math"/>
                      <w:color w:val="EE0000"/>
                    </w:rPr>
                    <m:t>min</m:t>
                  </m:r>
                </m:sub>
              </m:sSub>
              <m:r>
                <w:rPr>
                  <w:rFonts w:ascii="Cambria Math" w:hAnsi="Cambria Math"/>
                  <w:color w:val="EE0000"/>
                </w:rPr>
                <m:t>|</m:t>
              </m:r>
            </m:num>
            <m:den>
              <m:sSub>
                <m:sSubPr>
                  <m:ctrlPr>
                    <w:rPr>
                      <w:rFonts w:ascii="Cambria Math" w:hAnsi="Cambria Math"/>
                      <w:i/>
                      <w:color w:val="EE0000"/>
                    </w:rPr>
                  </m:ctrlPr>
                </m:sSubPr>
                <m:e>
                  <m:r>
                    <w:rPr>
                      <w:rFonts w:ascii="Cambria Math" w:hAnsi="Cambria Math"/>
                      <w:color w:val="EE0000"/>
                    </w:rPr>
                    <m:t>n</m:t>
                  </m:r>
                </m:e>
                <m:sub>
                  <m:r>
                    <w:rPr>
                      <w:rFonts w:ascii="Cambria Math" w:hAnsi="Cambria Math"/>
                      <w:color w:val="EE0000"/>
                    </w:rPr>
                    <m:t>opt</m:t>
                  </m:r>
                </m:sub>
              </m:sSub>
              <m:r>
                <m:rPr>
                  <m:sty m:val="p"/>
                </m:rPr>
                <w:rPr>
                  <w:rFonts w:ascii="Cambria Math" w:hAnsi="Cambria Math"/>
                  <w:color w:val="EE0000"/>
                </w:rPr>
                <m:t xml:space="preserve"> </m:t>
              </m:r>
            </m:den>
          </m:f>
          <m:r>
            <w:rPr>
              <w:rFonts w:ascii="Cambria Math" w:hAnsi="Cambria Math"/>
              <w:color w:val="EE0000"/>
            </w:rPr>
            <m:t>,</m:t>
          </m:r>
        </m:oMath>
      </m:oMathPara>
    </w:p>
    <w:p w14:paraId="487073E1" w14:textId="451ECDBB" w:rsidR="00371D61" w:rsidRPr="00DC0114" w:rsidRDefault="00371D61" w:rsidP="00DC0114">
      <w:pPr>
        <w:pStyle w:val="NormalWeb"/>
        <w:jc w:val="both"/>
        <w:rPr>
          <w:color w:val="EE0000"/>
        </w:rPr>
      </w:pPr>
      <m:oMathPara>
        <m:oMath>
          <m:r>
            <w:rPr>
              <w:rFonts w:ascii="Cambria Math" w:hAnsi="Cambria Math"/>
              <w:color w:val="EE0000"/>
            </w:rPr>
            <m:t>edge</m:t>
          </m:r>
          <m:sSub>
            <m:sSubPr>
              <m:ctrlPr>
                <w:rPr>
                  <w:rFonts w:ascii="Cambria Math" w:hAnsi="Cambria Math"/>
                  <w:i/>
                  <w:color w:val="EE0000"/>
                </w:rPr>
              </m:ctrlPr>
            </m:sSubPr>
            <m:e>
              <m:r>
                <w:rPr>
                  <w:rFonts w:ascii="Cambria Math" w:hAnsi="Cambria Math"/>
                  <w:color w:val="EE0000"/>
                </w:rPr>
                <m:t>s</m:t>
              </m:r>
            </m:e>
            <m:sub>
              <m:r>
                <w:rPr>
                  <w:rFonts w:ascii="Cambria Math" w:hAnsi="Cambria Math"/>
                  <w:color w:val="EE0000"/>
                </w:rPr>
                <m:t>k</m:t>
              </m:r>
            </m:sub>
          </m:sSub>
          <m:r>
            <w:rPr>
              <w:rFonts w:ascii="Cambria Math" w:hAnsi="Cambria Math"/>
              <w:color w:val="EE0000"/>
            </w:rPr>
            <m:t>=</m:t>
          </m:r>
          <m:sSub>
            <m:sSubPr>
              <m:ctrlPr>
                <w:rPr>
                  <w:rFonts w:ascii="Cambria Math" w:hAnsi="Cambria Math"/>
                  <w:color w:val="EE0000"/>
                </w:rPr>
              </m:ctrlPr>
            </m:sSubPr>
            <m:e>
              <m:r>
                <m:rPr>
                  <m:sty m:val="p"/>
                </m:rPr>
                <w:rPr>
                  <w:rFonts w:ascii="Cambria Math" w:hAnsi="Cambria Math"/>
                  <w:color w:val="EE0000"/>
                </w:rPr>
                <m:t>x</m:t>
              </m:r>
            </m:e>
            <m:sub>
              <m:r>
                <m:rPr>
                  <m:sty m:val="p"/>
                </m:rPr>
                <w:rPr>
                  <w:rFonts w:ascii="Cambria Math" w:hAnsi="Cambria Math"/>
                  <w:color w:val="EE0000"/>
                </w:rPr>
                <m:t>min</m:t>
              </m:r>
            </m:sub>
          </m:sSub>
          <m:r>
            <w:rPr>
              <w:rFonts w:ascii="Cambria Math" w:hAnsi="Cambria Math"/>
              <w:color w:val="EE0000"/>
            </w:rPr>
            <m:t>+k</m:t>
          </m:r>
          <m:f>
            <m:fPr>
              <m:ctrlPr>
                <w:rPr>
                  <w:rFonts w:ascii="Cambria Math" w:hAnsi="Cambria Math"/>
                  <w:color w:val="EE0000"/>
                </w:rPr>
              </m:ctrlPr>
            </m:fPr>
            <m:num>
              <m:r>
                <w:rPr>
                  <w:rFonts w:ascii="Cambria Math" w:hAnsi="Cambria Math"/>
                  <w:color w:val="EE0000"/>
                </w:rPr>
                <m:t>|</m:t>
              </m:r>
              <m:sSub>
                <m:sSubPr>
                  <m:ctrlPr>
                    <w:rPr>
                      <w:rFonts w:ascii="Cambria Math" w:hAnsi="Cambria Math"/>
                      <w:color w:val="EE0000"/>
                    </w:rPr>
                  </m:ctrlPr>
                </m:sSubPr>
                <m:e>
                  <m:r>
                    <m:rPr>
                      <m:sty m:val="p"/>
                    </m:rPr>
                    <w:rPr>
                      <w:rFonts w:ascii="Cambria Math" w:hAnsi="Cambria Math"/>
                      <w:color w:val="EE0000"/>
                    </w:rPr>
                    <m:t>x</m:t>
                  </m:r>
                  <m:ctrlPr>
                    <w:rPr>
                      <w:rFonts w:ascii="Cambria Math" w:hAnsi="Cambria Math"/>
                      <w:i/>
                      <w:color w:val="EE0000"/>
                    </w:rPr>
                  </m:ctrlPr>
                </m:e>
                <m:sub>
                  <m:r>
                    <m:rPr>
                      <m:sty m:val="p"/>
                    </m:rPr>
                    <w:rPr>
                      <w:rFonts w:ascii="Cambria Math" w:hAnsi="Cambria Math"/>
                      <w:color w:val="EE0000"/>
                    </w:rPr>
                    <m:t>max</m:t>
                  </m:r>
                </m:sub>
              </m:sSub>
              <m:r>
                <w:rPr>
                  <w:rFonts w:ascii="Cambria Math" w:hAnsi="Cambria Math"/>
                  <w:color w:val="EE0000"/>
                </w:rPr>
                <m:t>-</m:t>
              </m:r>
              <m:sSub>
                <m:sSubPr>
                  <m:ctrlPr>
                    <w:rPr>
                      <w:rFonts w:ascii="Cambria Math" w:hAnsi="Cambria Math"/>
                      <w:color w:val="EE0000"/>
                    </w:rPr>
                  </m:ctrlPr>
                </m:sSubPr>
                <m:e>
                  <m:r>
                    <m:rPr>
                      <m:sty m:val="p"/>
                    </m:rPr>
                    <w:rPr>
                      <w:rFonts w:ascii="Cambria Math" w:hAnsi="Cambria Math"/>
                      <w:color w:val="EE0000"/>
                    </w:rPr>
                    <m:t>x</m:t>
                  </m:r>
                </m:e>
                <m:sub>
                  <m:r>
                    <m:rPr>
                      <m:sty m:val="p"/>
                    </m:rPr>
                    <w:rPr>
                      <w:rFonts w:ascii="Cambria Math" w:hAnsi="Cambria Math"/>
                      <w:color w:val="EE0000"/>
                    </w:rPr>
                    <m:t>min</m:t>
                  </m:r>
                </m:sub>
              </m:sSub>
              <m:r>
                <w:rPr>
                  <w:rFonts w:ascii="Cambria Math" w:hAnsi="Cambria Math"/>
                  <w:color w:val="EE0000"/>
                </w:rPr>
                <m:t>|</m:t>
              </m:r>
            </m:num>
            <m:den>
              <m:sSub>
                <m:sSubPr>
                  <m:ctrlPr>
                    <w:rPr>
                      <w:rFonts w:ascii="Cambria Math" w:hAnsi="Cambria Math"/>
                      <w:i/>
                      <w:color w:val="EE0000"/>
                    </w:rPr>
                  </m:ctrlPr>
                </m:sSubPr>
                <m:e>
                  <m:r>
                    <w:rPr>
                      <w:rFonts w:ascii="Cambria Math" w:hAnsi="Cambria Math"/>
                      <w:color w:val="EE0000"/>
                    </w:rPr>
                    <m:t>n</m:t>
                  </m:r>
                </m:e>
                <m:sub>
                  <m:r>
                    <w:rPr>
                      <w:rFonts w:ascii="Cambria Math" w:hAnsi="Cambria Math"/>
                      <w:color w:val="EE0000"/>
                    </w:rPr>
                    <m:t>opt</m:t>
                  </m:r>
                </m:sub>
              </m:sSub>
              <m:r>
                <m:rPr>
                  <m:sty m:val="p"/>
                </m:rPr>
                <w:rPr>
                  <w:rFonts w:ascii="Cambria Math" w:hAnsi="Cambria Math"/>
                  <w:color w:val="EE0000"/>
                </w:rPr>
                <m:t xml:space="preserve"> </m:t>
              </m:r>
            </m:den>
          </m:f>
          <m:r>
            <w:rPr>
              <w:rFonts w:ascii="Cambria Math" w:hAnsi="Cambria Math"/>
              <w:color w:val="EE0000"/>
            </w:rPr>
            <m:t xml:space="preserve">,k=1,…, </m:t>
          </m:r>
          <m:sSub>
            <m:sSubPr>
              <m:ctrlPr>
                <w:rPr>
                  <w:rFonts w:ascii="Cambria Math" w:hAnsi="Cambria Math"/>
                  <w:i/>
                  <w:color w:val="EE0000"/>
                </w:rPr>
              </m:ctrlPr>
            </m:sSubPr>
            <m:e>
              <m:r>
                <w:rPr>
                  <w:rFonts w:ascii="Cambria Math" w:hAnsi="Cambria Math"/>
                  <w:color w:val="EE0000"/>
                </w:rPr>
                <m:t>n</m:t>
              </m:r>
            </m:e>
            <m:sub>
              <m:r>
                <w:rPr>
                  <w:rFonts w:ascii="Cambria Math" w:hAnsi="Cambria Math"/>
                  <w:color w:val="EE0000"/>
                </w:rPr>
                <m:t>opt</m:t>
              </m:r>
            </m:sub>
          </m:sSub>
          <m:r>
            <m:rPr>
              <m:sty m:val="p"/>
            </m:rPr>
            <w:rPr>
              <w:color w:val="EE0000"/>
            </w:rPr>
            <w:br/>
          </m:r>
        </m:oMath>
      </m:oMathPara>
      <w:r w:rsidRPr="00DC0114">
        <w:rPr>
          <w:color w:val="EE0000"/>
        </w:rPr>
        <w:t xml:space="preserve">The kernel grid points are defined as the bin midpoints between </w:t>
      </w:r>
      <m:oMath>
        <m:r>
          <w:rPr>
            <w:rFonts w:ascii="Cambria Math" w:hAnsi="Cambria Math"/>
            <w:color w:val="EE0000"/>
          </w:rPr>
          <m:t>edge</m:t>
        </m:r>
        <m:sSub>
          <m:sSubPr>
            <m:ctrlPr>
              <w:rPr>
                <w:rFonts w:ascii="Cambria Math" w:hAnsi="Cambria Math"/>
                <w:i/>
                <w:color w:val="EE0000"/>
              </w:rPr>
            </m:ctrlPr>
          </m:sSubPr>
          <m:e>
            <m:r>
              <w:rPr>
                <w:rFonts w:ascii="Cambria Math" w:hAnsi="Cambria Math"/>
                <w:color w:val="EE0000"/>
              </w:rPr>
              <m:t>s</m:t>
            </m:r>
          </m:e>
          <m:sub>
            <m:r>
              <w:rPr>
                <w:rFonts w:ascii="Cambria Math" w:hAnsi="Cambria Math"/>
                <w:color w:val="EE0000"/>
              </w:rPr>
              <m:t>k-1</m:t>
            </m:r>
          </m:sub>
        </m:sSub>
      </m:oMath>
      <w:r w:rsidRPr="00DC0114">
        <w:rPr>
          <w:color w:val="EE0000"/>
        </w:rPr>
        <w:t xml:space="preserve"> and </w:t>
      </w:r>
      <m:oMath>
        <m:r>
          <w:rPr>
            <w:rFonts w:ascii="Cambria Math" w:hAnsi="Cambria Math"/>
            <w:color w:val="EE0000"/>
          </w:rPr>
          <m:t>edg</m:t>
        </m:r>
        <m:sSub>
          <m:sSubPr>
            <m:ctrlPr>
              <w:rPr>
                <w:rFonts w:ascii="Cambria Math" w:hAnsi="Cambria Math"/>
                <w:i/>
                <w:color w:val="EE0000"/>
              </w:rPr>
            </m:ctrlPr>
          </m:sSubPr>
          <m:e>
            <m:r>
              <w:rPr>
                <w:rFonts w:ascii="Cambria Math" w:hAnsi="Cambria Math"/>
                <w:color w:val="EE0000"/>
              </w:rPr>
              <m:t>e</m:t>
            </m:r>
          </m:e>
          <m:sub>
            <m:r>
              <w:rPr>
                <w:rFonts w:ascii="Cambria Math" w:hAnsi="Cambria Math"/>
                <w:color w:val="EE0000"/>
              </w:rPr>
              <m:t>k</m:t>
            </m:r>
          </m:sub>
        </m:sSub>
      </m:oMath>
    </w:p>
    <w:p w14:paraId="6FCD5A43" w14:textId="77777777" w:rsidR="00474917" w:rsidRPr="00DC0114" w:rsidRDefault="00000000" w:rsidP="00DC0114">
      <w:pPr>
        <w:jc w:val="both"/>
        <w:rPr>
          <w:color w:val="EE0000"/>
        </w:rPr>
      </w:pPr>
      <m:oMathPara>
        <m:oMath>
          <m:sSub>
            <m:sSubPr>
              <m:ctrlPr>
                <w:rPr>
                  <w:rFonts w:ascii="Cambria Math" w:hAnsi="Cambria Math"/>
                  <w:color w:val="EE0000"/>
                </w:rPr>
              </m:ctrlPr>
            </m:sSubPr>
            <m:e>
              <m:acc>
                <m:accPr>
                  <m:ctrlPr>
                    <w:rPr>
                      <w:rFonts w:ascii="Cambria Math" w:hAnsi="Cambria Math"/>
                      <w:color w:val="EE0000"/>
                    </w:rPr>
                  </m:ctrlPr>
                </m:accPr>
                <m:e>
                  <m:r>
                    <w:rPr>
                      <w:rFonts w:ascii="Cambria Math" w:hAnsi="Cambria Math"/>
                      <w:color w:val="EE0000"/>
                    </w:rPr>
                    <m:t>x</m:t>
                  </m:r>
                </m:e>
              </m:acc>
            </m:e>
            <m:sub>
              <m:r>
                <w:rPr>
                  <w:rFonts w:ascii="Cambria Math" w:hAnsi="Cambria Math"/>
                  <w:color w:val="EE0000"/>
                </w:rPr>
                <m:t>k</m:t>
              </m:r>
            </m:sub>
          </m:sSub>
          <m:r>
            <w:rPr>
              <w:rFonts w:ascii="Cambria Math" w:hAnsi="Cambria Math"/>
              <w:color w:val="EE0000"/>
            </w:rPr>
            <m:t>=</m:t>
          </m:r>
          <m:f>
            <m:fPr>
              <m:ctrlPr>
                <w:rPr>
                  <w:rFonts w:ascii="Cambria Math" w:hAnsi="Cambria Math"/>
                  <w:color w:val="EE0000"/>
                </w:rPr>
              </m:ctrlPr>
            </m:fPr>
            <m:num>
              <m:sSub>
                <m:sSubPr>
                  <m:ctrlPr>
                    <w:rPr>
                      <w:rFonts w:ascii="Cambria Math" w:hAnsi="Cambria Math"/>
                      <w:color w:val="EE0000"/>
                    </w:rPr>
                  </m:ctrlPr>
                </m:sSubPr>
                <m:e>
                  <m:r>
                    <m:rPr>
                      <m:nor/>
                    </m:rPr>
                    <w:rPr>
                      <w:color w:val="EE0000"/>
                    </w:rPr>
                    <m:t>edges</m:t>
                  </m:r>
                </m:e>
                <m:sub>
                  <m:r>
                    <w:rPr>
                      <w:rFonts w:ascii="Cambria Math" w:hAnsi="Cambria Math"/>
                      <w:color w:val="EE0000"/>
                    </w:rPr>
                    <m:t>k-1</m:t>
                  </m:r>
                </m:sub>
              </m:sSub>
              <m:r>
                <w:rPr>
                  <w:rFonts w:ascii="Cambria Math" w:hAnsi="Cambria Math"/>
                  <w:color w:val="EE0000"/>
                </w:rPr>
                <m:t>+</m:t>
              </m:r>
              <m:sSub>
                <m:sSubPr>
                  <m:ctrlPr>
                    <w:rPr>
                      <w:rFonts w:ascii="Cambria Math" w:hAnsi="Cambria Math"/>
                      <w:color w:val="EE0000"/>
                    </w:rPr>
                  </m:ctrlPr>
                </m:sSubPr>
                <m:e>
                  <m:r>
                    <m:rPr>
                      <m:nor/>
                    </m:rPr>
                    <w:rPr>
                      <w:color w:val="EE0000"/>
                    </w:rPr>
                    <m:t>edges</m:t>
                  </m:r>
                </m:e>
                <m:sub>
                  <m:r>
                    <w:rPr>
                      <w:rFonts w:ascii="Cambria Math" w:hAnsi="Cambria Math"/>
                      <w:color w:val="EE0000"/>
                    </w:rPr>
                    <m:t>k</m:t>
                  </m:r>
                </m:sub>
              </m:sSub>
            </m:num>
            <m:den>
              <m:r>
                <w:rPr>
                  <w:rFonts w:ascii="Cambria Math" w:hAnsi="Cambria Math"/>
                  <w:color w:val="EE0000"/>
                </w:rPr>
                <m:t>2</m:t>
              </m:r>
            </m:den>
          </m:f>
          <m:r>
            <w:rPr>
              <w:rFonts w:ascii="Cambria Math" w:hAnsi="Cambria Math"/>
              <w:color w:val="EE0000"/>
            </w:rPr>
            <m:t>,k=2,…,</m:t>
          </m:r>
          <m:sSub>
            <m:sSubPr>
              <m:ctrlPr>
                <w:rPr>
                  <w:rFonts w:ascii="Cambria Math" w:hAnsi="Cambria Math"/>
                  <w:color w:val="EE0000"/>
                </w:rPr>
              </m:ctrlPr>
            </m:sSubPr>
            <m:e>
              <m:r>
                <w:rPr>
                  <w:rFonts w:ascii="Cambria Math" w:hAnsi="Cambria Math"/>
                  <w:color w:val="EE0000"/>
                </w:rPr>
                <m:t>n</m:t>
              </m:r>
            </m:e>
            <m:sub>
              <m:r>
                <m:rPr>
                  <m:nor/>
                </m:rPr>
                <w:rPr>
                  <w:color w:val="EE0000"/>
                </w:rPr>
                <m:t>opt</m:t>
              </m:r>
            </m:sub>
          </m:sSub>
          <m:r>
            <m:rPr>
              <m:sty m:val="p"/>
            </m:rPr>
            <w:rPr>
              <w:rFonts w:ascii="Cambria Math" w:hAnsi="Cambria Math"/>
              <w:color w:val="EE0000"/>
            </w:rPr>
            <m:t>.</m:t>
          </m:r>
          <m:r>
            <m:rPr>
              <m:sty m:val="p"/>
            </m:rPr>
            <w:rPr>
              <w:color w:val="EE0000"/>
            </w:rPr>
            <w:br/>
          </m:r>
        </m:oMath>
      </m:oMathPara>
    </w:p>
    <w:p w14:paraId="7C678F7F" w14:textId="5720A780" w:rsidR="003C49B0" w:rsidRPr="00DC0114" w:rsidRDefault="00474917" w:rsidP="00DC0114">
      <w:pPr>
        <w:jc w:val="both"/>
        <w:rPr>
          <w:color w:val="EE0000"/>
        </w:rPr>
      </w:pPr>
      <w:r w:rsidRPr="00DC0114">
        <w:rPr>
          <w:color w:val="EE0000"/>
        </w:rPr>
        <w:t>The</w:t>
      </w:r>
      <w:r w:rsidR="003C49B0" w:rsidRPr="00DC0114">
        <w:rPr>
          <w:color w:val="EE0000"/>
        </w:rPr>
        <w:t xml:space="preserve"> class-conditional histogram density is obtained by normalizing bin counts by the total number of observations in the class and the bin width, </w:t>
      </w:r>
      <w:r w:rsidR="003C49B0" w:rsidRPr="00DC0114">
        <w:rPr>
          <w:color w:val="EE0000"/>
        </w:rPr>
        <w:br/>
      </w:r>
    </w:p>
    <w:p w14:paraId="7AF09009" w14:textId="141189EF" w:rsidR="00474917" w:rsidRPr="00DC0114" w:rsidRDefault="00000000" w:rsidP="00DC0114">
      <w:pPr>
        <w:jc w:val="both"/>
        <w:rPr>
          <w:color w:val="EE0000"/>
        </w:rPr>
      </w:pPr>
      <m:oMathPara>
        <m:oMath>
          <m:acc>
            <m:accPr>
              <m:ctrlPr>
                <w:rPr>
                  <w:rFonts w:ascii="Cambria Math" w:hAnsi="Cambria Math"/>
                  <w:color w:val="EE0000"/>
                </w:rPr>
              </m:ctrlPr>
            </m:accPr>
            <m:e>
              <m:r>
                <w:rPr>
                  <w:rFonts w:ascii="Cambria Math" w:hAnsi="Cambria Math"/>
                  <w:color w:val="EE0000"/>
                </w:rPr>
                <m:t>f</m:t>
              </m:r>
            </m:e>
          </m:acc>
          <m:r>
            <w:rPr>
              <w:rFonts w:ascii="Cambria Math" w:hAnsi="Cambria Math"/>
              <w:color w:val="EE0000"/>
            </w:rPr>
            <m:t>(</m:t>
          </m:r>
          <m:sSub>
            <m:sSubPr>
              <m:ctrlPr>
                <w:rPr>
                  <w:rFonts w:ascii="Cambria Math" w:hAnsi="Cambria Math"/>
                  <w:color w:val="EE0000"/>
                </w:rPr>
              </m:ctrlPr>
            </m:sSubPr>
            <m:e>
              <m:acc>
                <m:accPr>
                  <m:ctrlPr>
                    <w:rPr>
                      <w:rFonts w:ascii="Cambria Math" w:hAnsi="Cambria Math"/>
                      <w:color w:val="EE0000"/>
                    </w:rPr>
                  </m:ctrlPr>
                </m:accPr>
                <m:e>
                  <m:r>
                    <w:rPr>
                      <w:rFonts w:ascii="Cambria Math" w:hAnsi="Cambria Math"/>
                      <w:color w:val="EE0000"/>
                    </w:rPr>
                    <m:t>x</m:t>
                  </m:r>
                </m:e>
              </m:acc>
            </m:e>
            <m:sub>
              <m:r>
                <w:rPr>
                  <w:rFonts w:ascii="Cambria Math" w:hAnsi="Cambria Math"/>
                  <w:color w:val="EE0000"/>
                </w:rPr>
                <m:t>k</m:t>
              </m:r>
            </m:sub>
          </m:sSub>
          <m:r>
            <w:rPr>
              <w:rFonts w:ascii="Cambria Math" w:hAnsi="Cambria Math"/>
              <w:color w:val="EE0000"/>
            </w:rPr>
            <m:t>∣</m:t>
          </m:r>
          <m:sSub>
            <m:sSubPr>
              <m:ctrlPr>
                <w:rPr>
                  <w:rFonts w:ascii="Cambria Math" w:hAnsi="Cambria Math"/>
                  <w:color w:val="EE0000"/>
                </w:rPr>
              </m:ctrlPr>
            </m:sSubPr>
            <m:e>
              <m:r>
                <w:rPr>
                  <w:rFonts w:ascii="Cambria Math" w:hAnsi="Cambria Math"/>
                  <w:color w:val="EE0000"/>
                </w:rPr>
                <m:t>C</m:t>
              </m:r>
            </m:e>
            <m:sub>
              <m:r>
                <w:rPr>
                  <w:rFonts w:ascii="Cambria Math" w:hAnsi="Cambria Math"/>
                  <w:color w:val="EE0000"/>
                </w:rPr>
                <m:t>i</m:t>
              </m:r>
            </m:sub>
          </m:sSub>
          <m:r>
            <w:rPr>
              <w:rFonts w:ascii="Cambria Math" w:hAnsi="Cambria Math"/>
              <w:color w:val="EE0000"/>
            </w:rPr>
            <m:t>)=</m:t>
          </m:r>
          <m:f>
            <m:fPr>
              <m:ctrlPr>
                <w:rPr>
                  <w:rFonts w:ascii="Cambria Math" w:hAnsi="Cambria Math"/>
                  <w:color w:val="EE0000"/>
                </w:rPr>
              </m:ctrlPr>
            </m:fPr>
            <m:num>
              <m:r>
                <w:rPr>
                  <w:rFonts w:ascii="Cambria Math" w:hAnsi="Cambria Math"/>
                  <w:color w:val="EE0000"/>
                </w:rPr>
                <m:t>1</m:t>
              </m:r>
            </m:num>
            <m:den>
              <m:sSub>
                <m:sSubPr>
                  <m:ctrlPr>
                    <w:rPr>
                      <w:rFonts w:ascii="Cambria Math" w:hAnsi="Cambria Math"/>
                      <w:color w:val="EE0000"/>
                    </w:rPr>
                  </m:ctrlPr>
                </m:sSubPr>
                <m:e>
                  <m:r>
                    <m:rPr>
                      <m:sty m:val="p"/>
                    </m:rPr>
                    <w:rPr>
                      <w:rFonts w:ascii="Cambria Math" w:hAnsi="Cambria Math"/>
                      <w:color w:val="EE0000"/>
                    </w:rPr>
                    <m:t>M</m:t>
                  </m:r>
                </m:e>
                <m:sub>
                  <m:sSub>
                    <m:sSubPr>
                      <m:ctrlPr>
                        <w:rPr>
                          <w:rFonts w:ascii="Cambria Math" w:hAnsi="Cambria Math"/>
                          <w:color w:val="EE0000"/>
                        </w:rPr>
                      </m:ctrlPr>
                    </m:sSubPr>
                    <m:e>
                      <m:r>
                        <m:rPr>
                          <m:sty m:val="p"/>
                        </m:rPr>
                        <w:rPr>
                          <w:rFonts w:ascii="Cambria Math" w:hAnsi="Cambria Math"/>
                          <w:color w:val="EE0000"/>
                        </w:rPr>
                        <m:t>C</m:t>
                      </m:r>
                    </m:e>
                    <m:sub>
                      <m:r>
                        <m:rPr>
                          <m:sty m:val="p"/>
                        </m:rPr>
                        <w:rPr>
                          <w:rFonts w:ascii="Cambria Math" w:hAnsi="Cambria Math"/>
                          <w:color w:val="EE0000"/>
                        </w:rPr>
                        <m:t>i</m:t>
                      </m:r>
                    </m:sub>
                  </m:sSub>
                </m:sub>
              </m:sSub>
              <m:r>
                <m:rPr>
                  <m:sty m:val="p"/>
                </m:rPr>
                <w:rPr>
                  <w:rFonts w:ascii="Cambria Math" w:hAnsi="Cambria Math"/>
                  <w:color w:val="EE0000"/>
                </w:rPr>
                <m:t>*</m:t>
              </m:r>
              <m:r>
                <w:rPr>
                  <w:rFonts w:ascii="Cambria Math" w:hAnsi="Cambria Math"/>
                  <w:color w:val="EE0000"/>
                </w:rPr>
                <m:t>h</m:t>
              </m:r>
            </m:den>
          </m:f>
          <m:nary>
            <m:naryPr>
              <m:chr m:val="∑"/>
              <m:limLoc m:val="undOvr"/>
              <m:grow m:val="1"/>
              <m:ctrlPr>
                <w:rPr>
                  <w:rFonts w:ascii="Cambria Math" w:hAnsi="Cambria Math"/>
                  <w:color w:val="EE0000"/>
                </w:rPr>
              </m:ctrlPr>
            </m:naryPr>
            <m:sub>
              <m:r>
                <w:rPr>
                  <w:rFonts w:ascii="Cambria Math" w:hAnsi="Cambria Math"/>
                  <w:color w:val="EE0000"/>
                </w:rPr>
                <m:t>n=1</m:t>
              </m:r>
            </m:sub>
            <m:sup>
              <m:sSub>
                <m:sSubPr>
                  <m:ctrlPr>
                    <w:rPr>
                      <w:rFonts w:ascii="Cambria Math" w:hAnsi="Cambria Math"/>
                      <w:color w:val="EE0000"/>
                    </w:rPr>
                  </m:ctrlPr>
                </m:sSubPr>
                <m:e>
                  <m:r>
                    <w:rPr>
                      <w:rFonts w:ascii="Cambria Math" w:hAnsi="Cambria Math"/>
                      <w:color w:val="EE0000"/>
                    </w:rPr>
                    <m:t>N</m:t>
                  </m:r>
                </m:e>
                <m:sub>
                  <m:r>
                    <w:rPr>
                      <w:rFonts w:ascii="Cambria Math" w:hAnsi="Cambria Math"/>
                      <w:color w:val="EE0000"/>
                    </w:rPr>
                    <m:t>i</m:t>
                  </m:r>
                </m:sub>
              </m:sSub>
            </m:sup>
            <m:e>
              <m:r>
                <m:rPr>
                  <m:sty m:val="b"/>
                </m:rPr>
                <w:rPr>
                  <w:rFonts w:ascii="Cambria Math" w:hAnsi="Cambria Math"/>
                  <w:color w:val="EE0000"/>
                </w:rPr>
                <m:t>1</m:t>
              </m:r>
              <m:r>
                <w:rPr>
                  <w:rFonts w:ascii="Cambria Math" w:hAnsi="Cambria Math"/>
                  <w:color w:val="EE0000"/>
                </w:rPr>
                <m:t>(∣</m:t>
              </m:r>
            </m:e>
          </m:nary>
          <m:sSub>
            <m:sSubPr>
              <m:ctrlPr>
                <w:rPr>
                  <w:rFonts w:ascii="Cambria Math" w:hAnsi="Cambria Math"/>
                  <w:color w:val="EE0000"/>
                </w:rPr>
              </m:ctrlPr>
            </m:sSubPr>
            <m:e>
              <m:r>
                <w:rPr>
                  <w:rFonts w:ascii="Cambria Math" w:hAnsi="Cambria Math"/>
                  <w:color w:val="EE0000"/>
                </w:rPr>
                <m:t>x</m:t>
              </m:r>
            </m:e>
            <m:sub>
              <m:r>
                <w:rPr>
                  <w:rFonts w:ascii="Cambria Math" w:hAnsi="Cambria Math"/>
                  <w:color w:val="EE0000"/>
                </w:rPr>
                <m:t>n</m:t>
              </m:r>
            </m:sub>
          </m:sSub>
          <m:r>
            <w:rPr>
              <w:rFonts w:ascii="Cambria Math" w:hAnsi="Cambria Math"/>
              <w:color w:val="EE0000"/>
            </w:rPr>
            <m:t>-</m:t>
          </m:r>
          <m:sSub>
            <m:sSubPr>
              <m:ctrlPr>
                <w:rPr>
                  <w:rFonts w:ascii="Cambria Math" w:hAnsi="Cambria Math"/>
                  <w:color w:val="EE0000"/>
                </w:rPr>
              </m:ctrlPr>
            </m:sSubPr>
            <m:e>
              <m:acc>
                <m:accPr>
                  <m:ctrlPr>
                    <w:rPr>
                      <w:rFonts w:ascii="Cambria Math" w:hAnsi="Cambria Math"/>
                      <w:color w:val="EE0000"/>
                    </w:rPr>
                  </m:ctrlPr>
                </m:accPr>
                <m:e>
                  <m:r>
                    <w:rPr>
                      <w:rFonts w:ascii="Cambria Math" w:hAnsi="Cambria Math"/>
                      <w:color w:val="EE0000"/>
                    </w:rPr>
                    <m:t>x</m:t>
                  </m:r>
                </m:e>
              </m:acc>
            </m:e>
            <m:sub>
              <m:r>
                <w:rPr>
                  <w:rFonts w:ascii="Cambria Math" w:hAnsi="Cambria Math"/>
                  <w:color w:val="EE0000"/>
                </w:rPr>
                <m:t>k</m:t>
              </m:r>
            </m:sub>
          </m:sSub>
          <m:r>
            <w:rPr>
              <w:rFonts w:ascii="Cambria Math" w:hAnsi="Cambria Math"/>
              <w:color w:val="EE0000"/>
            </w:rPr>
            <m:t>∣≤</m:t>
          </m:r>
          <m:f>
            <m:fPr>
              <m:ctrlPr>
                <w:rPr>
                  <w:rFonts w:ascii="Cambria Math" w:hAnsi="Cambria Math"/>
                  <w:color w:val="EE0000"/>
                </w:rPr>
              </m:ctrlPr>
            </m:fPr>
            <m:num>
              <m:r>
                <w:rPr>
                  <w:rFonts w:ascii="Cambria Math" w:hAnsi="Cambria Math"/>
                  <w:color w:val="EE0000"/>
                </w:rPr>
                <m:t>h</m:t>
              </m:r>
            </m:num>
            <m:den>
              <m:r>
                <w:rPr>
                  <w:rFonts w:ascii="Cambria Math" w:hAnsi="Cambria Math"/>
                  <w:color w:val="EE0000"/>
                </w:rPr>
                <m:t>2</m:t>
              </m:r>
            </m:den>
          </m:f>
          <m:r>
            <w:rPr>
              <w:rFonts w:ascii="Cambria Math" w:hAnsi="Cambria Math"/>
              <w:color w:val="EE0000"/>
            </w:rPr>
            <m:t>)</m:t>
          </m:r>
          <m:r>
            <m:rPr>
              <m:sty m:val="p"/>
            </m:rPr>
            <w:rPr>
              <w:rFonts w:ascii="Cambria Math" w:hAnsi="Cambria Math"/>
              <w:color w:val="EE0000"/>
            </w:rPr>
            <m:t>.</m:t>
          </m:r>
          <m:r>
            <m:rPr>
              <m:sty m:val="p"/>
            </m:rPr>
            <w:rPr>
              <w:color w:val="EE0000"/>
            </w:rPr>
            <w:br/>
          </m:r>
        </m:oMath>
      </m:oMathPara>
      <w:r w:rsidR="00474917" w:rsidRPr="00DC0114">
        <w:rPr>
          <w:rStyle w:val="vlist-s"/>
          <w:color w:val="EE0000"/>
        </w:rPr>
        <w:t>​</w:t>
      </w:r>
      <w:r w:rsidR="00474917" w:rsidRPr="00DC0114">
        <w:rPr>
          <w:color w:val="EE0000"/>
        </w:rPr>
        <w:t xml:space="preserve">where </w:t>
      </w:r>
      <m:oMath>
        <m:r>
          <m:rPr>
            <m:sty m:val="b"/>
          </m:rPr>
          <w:rPr>
            <w:rFonts w:ascii="Cambria Math" w:hAnsi="Cambria Math"/>
            <w:color w:val="EE0000"/>
          </w:rPr>
          <m:t>1</m:t>
        </m:r>
        <m:d>
          <m:dPr>
            <m:ctrlPr>
              <w:rPr>
                <w:rFonts w:ascii="Cambria Math" w:hAnsi="Cambria Math"/>
                <w:i/>
                <w:color w:val="EE0000"/>
              </w:rPr>
            </m:ctrlPr>
          </m:dPr>
          <m:e>
            <m:r>
              <w:rPr>
                <w:rFonts w:ascii="Cambria Math" w:hAnsi="Cambria Math"/>
                <w:color w:val="EE0000"/>
              </w:rPr>
              <m:t>⋅</m:t>
            </m:r>
          </m:e>
        </m:d>
      </m:oMath>
      <w:r w:rsidR="00474917" w:rsidRPr="00DC0114">
        <w:rPr>
          <w:color w:val="EE0000"/>
        </w:rPr>
        <w:t xml:space="preserve">is 1 if the condition holds and 0 otherwise and </w:t>
      </w:r>
      <m:oMath>
        <m:sSub>
          <m:sSubPr>
            <m:ctrlPr>
              <w:rPr>
                <w:rFonts w:ascii="Cambria Math" w:hAnsi="Cambria Math"/>
                <w:color w:val="EE0000"/>
              </w:rPr>
            </m:ctrlPr>
          </m:sSubPr>
          <m:e>
            <m:r>
              <m:rPr>
                <m:sty m:val="p"/>
              </m:rPr>
              <w:rPr>
                <w:rFonts w:ascii="Cambria Math" w:hAnsi="Cambria Math"/>
                <w:color w:val="EE0000"/>
              </w:rPr>
              <m:t>M</m:t>
            </m:r>
          </m:e>
          <m:sub>
            <m:sSub>
              <m:sSubPr>
                <m:ctrlPr>
                  <w:rPr>
                    <w:rFonts w:ascii="Cambria Math" w:hAnsi="Cambria Math"/>
                    <w:color w:val="EE0000"/>
                  </w:rPr>
                </m:ctrlPr>
              </m:sSubPr>
              <m:e>
                <m:r>
                  <m:rPr>
                    <m:sty m:val="p"/>
                  </m:rPr>
                  <w:rPr>
                    <w:rFonts w:ascii="Cambria Math" w:hAnsi="Cambria Math"/>
                    <w:color w:val="EE0000"/>
                  </w:rPr>
                  <m:t>C</m:t>
                </m:r>
              </m:e>
              <m:sub>
                <m:r>
                  <m:rPr>
                    <m:sty m:val="p"/>
                  </m:rPr>
                  <w:rPr>
                    <w:rFonts w:ascii="Cambria Math" w:hAnsi="Cambria Math"/>
                    <w:color w:val="EE0000"/>
                  </w:rPr>
                  <m:t>i</m:t>
                </m:r>
              </m:sub>
            </m:sSub>
          </m:sub>
        </m:sSub>
      </m:oMath>
      <w:r w:rsidR="00474917" w:rsidRPr="00DC0114">
        <w:rPr>
          <w:color w:val="EE0000"/>
        </w:rPr>
        <w:t xml:space="preserve"> is the number of samples in class </w:t>
      </w:r>
      <m:oMath>
        <m:sSub>
          <m:sSubPr>
            <m:ctrlPr>
              <w:rPr>
                <w:rFonts w:ascii="Cambria Math" w:hAnsi="Cambria Math"/>
                <w:color w:val="EE0000"/>
              </w:rPr>
            </m:ctrlPr>
          </m:sSubPr>
          <m:e>
            <m:r>
              <w:rPr>
                <w:rFonts w:ascii="Cambria Math" w:hAnsi="Cambria Math"/>
                <w:color w:val="EE0000"/>
              </w:rPr>
              <m:t>C</m:t>
            </m:r>
          </m:e>
          <m:sub>
            <m:r>
              <w:rPr>
                <w:rFonts w:ascii="Cambria Math" w:hAnsi="Cambria Math"/>
                <w:color w:val="EE0000"/>
              </w:rPr>
              <m:t>i</m:t>
            </m:r>
          </m:sub>
        </m:sSub>
      </m:oMath>
      <w:r w:rsidR="00474917" w:rsidRPr="00DC0114">
        <w:rPr>
          <w:color w:val="EE0000"/>
        </w:rPr>
        <w:t>.</w:t>
      </w:r>
    </w:p>
    <w:p w14:paraId="2BF90588" w14:textId="2217F54C" w:rsidR="003C49B0" w:rsidRPr="00DC0114" w:rsidRDefault="003C49B0" w:rsidP="00DC0114">
      <w:pPr>
        <w:pStyle w:val="NormalWeb"/>
        <w:jc w:val="both"/>
        <w:rPr>
          <w:color w:val="EE0000"/>
        </w:rPr>
      </w:pPr>
      <w:r w:rsidRPr="00DC0114">
        <w:rPr>
          <w:color w:val="EE0000"/>
        </w:rPr>
        <w:t>This yields a simple, well-normalized density estimate that is numerically stable for low-cardinality or small-sample situations and can be used directly as the class-conditional likelihood in PDENB.</w:t>
      </w:r>
      <w:r w:rsidR="00DC0114" w:rsidRPr="00DC0114">
        <w:rPr>
          <w:color w:val="EE0000"/>
        </w:rPr>
        <w:t xml:space="preserve"> For categorical features we therefore currently fall back to a simple, practical histogram-style estimator based on the </w:t>
      </w:r>
      <m:oMath>
        <m:sSub>
          <m:sSubPr>
            <m:ctrlPr>
              <w:rPr>
                <w:rFonts w:ascii="Cambria Math" w:hAnsi="Cambria Math"/>
                <w:i/>
                <w:color w:val="EE0000"/>
              </w:rPr>
            </m:ctrlPr>
          </m:sSubPr>
          <m:e>
            <m:r>
              <w:rPr>
                <w:rFonts w:ascii="Cambria Math" w:hAnsi="Cambria Math"/>
                <w:color w:val="EE0000"/>
              </w:rPr>
              <m:t>Q</m:t>
            </m:r>
          </m:e>
          <m:sub>
            <m:r>
              <w:rPr>
                <w:rFonts w:ascii="Cambria Math" w:hAnsi="Cambria Math"/>
                <w:color w:val="EE0000"/>
              </w:rPr>
              <m:t>t</m:t>
            </m:r>
          </m:sub>
        </m:sSub>
      </m:oMath>
      <w:r w:rsidR="00DC0114" w:rsidRPr="00DC0114">
        <w:rPr>
          <w:color w:val="EE0000"/>
        </w:rPr>
        <w:t xml:space="preserve"> threshold.</w:t>
      </w:r>
    </w:p>
    <w:p w14:paraId="4540058C" w14:textId="0C2A2247" w:rsidR="003C49B0" w:rsidRPr="00DC0114" w:rsidRDefault="003C49B0" w:rsidP="003B31D5">
      <w:pPr>
        <w:pStyle w:val="NormalWeb"/>
        <w:rPr>
          <w:color w:val="EE0000"/>
        </w:rPr>
      </w:pPr>
      <w:r w:rsidRPr="00DC0114">
        <w:rPr>
          <w:color w:val="EE0000"/>
        </w:rPr>
        <w:t>“</w:t>
      </w:r>
    </w:p>
    <w:p w14:paraId="11C94A25" w14:textId="58961569" w:rsidR="001B270A" w:rsidRPr="00DC0114" w:rsidRDefault="003C49B0" w:rsidP="003B31D5">
      <w:pPr>
        <w:pStyle w:val="NormalWeb"/>
        <w:rPr>
          <w:color w:val="EE0000"/>
        </w:rPr>
      </w:pPr>
      <w:r w:rsidRPr="00DC0114">
        <w:rPr>
          <w:color w:val="EE0000"/>
        </w:rPr>
        <w:t>We added to the discussion</w:t>
      </w:r>
      <w:r w:rsidR="00A01174">
        <w:rPr>
          <w:color w:val="EE0000"/>
        </w:rPr>
        <w:t xml:space="preserve"> (lines 879-891)</w:t>
      </w:r>
      <w:r w:rsidRPr="00DC0114">
        <w:rPr>
          <w:color w:val="EE0000"/>
        </w:rPr>
        <w:t xml:space="preserve"> of the revised manuscript:</w:t>
      </w:r>
    </w:p>
    <w:p w14:paraId="168B6AF9" w14:textId="47030B98" w:rsidR="008E0971" w:rsidRPr="003C49B0" w:rsidRDefault="003C49B0" w:rsidP="00DC0114">
      <w:pPr>
        <w:pStyle w:val="NormalWeb"/>
        <w:jc w:val="both"/>
        <w:rPr>
          <w:color w:val="EE0000"/>
        </w:rPr>
      </w:pPr>
      <w:r w:rsidRPr="00DC0114">
        <w:rPr>
          <w:color w:val="EE0000"/>
        </w:rPr>
        <w:lastRenderedPageBreak/>
        <w:t>“</w:t>
      </w:r>
      <w:r w:rsidR="00C917D4" w:rsidRPr="00DC0114">
        <w:rPr>
          <w:color w:val="EE0000"/>
        </w:rPr>
        <w:t xml:space="preserve">PDENB assumes continuous feature domains. For features with only a few distinct numeric values or very small class-specific sample sizes, we therefore fall back to a simple histogram-based likelihood with an automatically chosen number of bins (Thrun et al., 2020), as described in Supplementary </w:t>
      </w:r>
      <w:r w:rsidR="00C91547">
        <w:rPr>
          <w:color w:val="EE0000"/>
        </w:rPr>
        <w:t>G</w:t>
      </w:r>
      <w:r w:rsidR="00C917D4" w:rsidRPr="00DC0114">
        <w:rPr>
          <w:color w:val="EE0000"/>
        </w:rPr>
        <w:t>. Truly categorical variables</w:t>
      </w:r>
      <w:r w:rsidR="00C917D4">
        <w:rPr>
          <w:color w:val="EE0000"/>
        </w:rPr>
        <w:t xml:space="preserve">, i.e., </w:t>
      </w:r>
      <w:r w:rsidR="00C917D4" w:rsidRPr="00DC0114">
        <w:rPr>
          <w:color w:val="EE0000"/>
        </w:rPr>
        <w:t>unordered labels without a meaningful numeric scale</w:t>
      </w:r>
      <w:r w:rsidR="00C917D4">
        <w:rPr>
          <w:color w:val="EE0000"/>
        </w:rPr>
        <w:t>,</w:t>
      </w:r>
      <w:r w:rsidR="00C917D4" w:rsidRPr="00DC0114">
        <w:rPr>
          <w:color w:val="EE0000"/>
        </w:rPr>
        <w:t xml:space="preserve"> are mathematically different: they do not admit a probability </w:t>
      </w:r>
      <w:r w:rsidR="00C917D4" w:rsidRPr="00DC0114">
        <w:rPr>
          <w:rStyle w:val="Emphasis"/>
          <w:rFonts w:eastAsiaTheme="majorEastAsia"/>
          <w:color w:val="EE0000"/>
        </w:rPr>
        <w:t>density</w:t>
      </w:r>
      <w:r w:rsidR="00C917D4" w:rsidRPr="00DC0114">
        <w:rPr>
          <w:color w:val="EE0000"/>
        </w:rPr>
        <w:t xml:space="preserve"> in the sense defined in the Methods section, and we do not implement a dedicated categorical likelihood model for them in the present work. In principle, PDENB could be extended to such features by replacing the continuous density with a multinomial/Dirichlet class-conditional model over categories, or by embedding categories into a continuous representation and applying PDE in that space. We regard this as a natural direction for future work and, in this study, deliberately restrict ourselves to continuous and quasi-continuous features, for which PDE and the histogram fallback are well defined and interpretable.</w:t>
      </w:r>
      <w:r w:rsidR="00C917D4">
        <w:rPr>
          <w:color w:val="EE0000"/>
        </w:rPr>
        <w:t>”</w:t>
      </w:r>
    </w:p>
    <w:p w14:paraId="03DD9520" w14:textId="343EBC6A" w:rsidR="003B31D5" w:rsidRDefault="003B31D5" w:rsidP="003B31D5">
      <w:pPr>
        <w:pStyle w:val="NormalWeb"/>
      </w:pPr>
      <w:r>
        <w:t>5. How does PDENB’s computational efficiency scale with datasets containing millions of samples and hundreds of features?</w:t>
      </w:r>
    </w:p>
    <w:p w14:paraId="12385C4D" w14:textId="077E9CFF" w:rsidR="00E82B10" w:rsidRDefault="00E82B10" w:rsidP="003B31D5">
      <w:pPr>
        <w:pStyle w:val="NormalWeb"/>
        <w:rPr>
          <w:color w:val="EE0000"/>
        </w:rPr>
      </w:pPr>
      <w:r>
        <w:rPr>
          <w:color w:val="EE0000"/>
        </w:rPr>
        <w:t>We computed the PDENB on big data with low and high dimensionality on an artificially enhanced dataset without any loss of computational load. We document the results and observations in the supplementary section F and comment on it in the discussion</w:t>
      </w:r>
      <w:r w:rsidR="00A01174">
        <w:rPr>
          <w:color w:val="EE0000"/>
        </w:rPr>
        <w:t xml:space="preserve"> (lines 873-878)</w:t>
      </w:r>
      <w:r>
        <w:rPr>
          <w:color w:val="EE0000"/>
        </w:rPr>
        <w:t>:</w:t>
      </w:r>
    </w:p>
    <w:p w14:paraId="58F593A5" w14:textId="4203A2A7" w:rsidR="003747A2" w:rsidRDefault="00E82B10" w:rsidP="003B31D5">
      <w:pPr>
        <w:pStyle w:val="NormalWeb"/>
        <w:rPr>
          <w:color w:val="EE0000"/>
        </w:rPr>
      </w:pPr>
      <w:r>
        <w:rPr>
          <w:color w:val="EE0000"/>
        </w:rPr>
        <w:t>“</w:t>
      </w:r>
      <w:bookmarkStart w:id="4" w:name="_Hlk216096661"/>
      <w:r w:rsidR="003747A2">
        <w:rPr>
          <w:color w:val="EE0000"/>
        </w:rPr>
        <w:t xml:space="preserve">We computed PDENB for a runtime inspection on the </w:t>
      </w:r>
      <w:proofErr w:type="spellStart"/>
      <w:r w:rsidR="003747A2">
        <w:rPr>
          <w:color w:val="EE0000"/>
        </w:rPr>
        <w:t>CellPopulations</w:t>
      </w:r>
      <w:proofErr w:type="spellEnd"/>
      <w:r w:rsidR="003747A2">
        <w:rPr>
          <w:color w:val="EE0000"/>
        </w:rPr>
        <w:t xml:space="preserve"> dataset enhanced to 5 million cases resulting in exemplary datasets of 1 and 4 million cases after split into training and test dataset. Similar, the dataset can artificially be enlarged to 100 dimensions by reusing columns without loss of computational load. We then executed the PDENB on the so obtained dataset 30 times, having examples of both 14 and 100 dimensions, and 1 and 4 million cases. The final runtimes for training and prediction are documented with median and AMAD (adjusted mean absolute deviation)</w:t>
      </w:r>
      <w:r>
        <w:rPr>
          <w:color w:val="EE0000"/>
        </w:rPr>
        <w:t xml:space="preserve"> in table </w:t>
      </w:r>
      <w:r w:rsidR="00C917D4">
        <w:rPr>
          <w:color w:val="EE0000"/>
        </w:rPr>
        <w:t>F1</w:t>
      </w:r>
      <w:r w:rsidR="003747A2">
        <w:rPr>
          <w:color w:val="EE0000"/>
        </w:rPr>
        <w:t>.</w:t>
      </w:r>
      <w:r>
        <w:rPr>
          <w:color w:val="EE0000"/>
        </w:rPr>
        <w:t>”</w:t>
      </w:r>
      <w:bookmarkEnd w:id="4"/>
    </w:p>
    <w:p w14:paraId="162C468B" w14:textId="6EE71B3A" w:rsidR="00E82B10" w:rsidRPr="003747A2" w:rsidRDefault="00E82B10" w:rsidP="003B31D5">
      <w:pPr>
        <w:pStyle w:val="NormalWeb"/>
        <w:rPr>
          <w:color w:val="EE0000"/>
        </w:rPr>
      </w:pPr>
      <w:r>
        <w:rPr>
          <w:color w:val="EE0000"/>
        </w:rPr>
        <w:t>“</w:t>
      </w:r>
      <w:bookmarkStart w:id="5" w:name="_Hlk216097660"/>
      <w:r w:rsidR="00604974">
        <w:rPr>
          <w:color w:val="EE0000"/>
        </w:rPr>
        <w:t xml:space="preserve">A more explicit runtime test was executed and documented in the supplementary F. </w:t>
      </w:r>
      <w:r>
        <w:rPr>
          <w:color w:val="EE0000"/>
        </w:rPr>
        <w:t xml:space="preserve">The PDENB can compute large datasets of a million cases with up to 100 feature dimensions within a few minutes (&lt;7 minutes). The computational speed of the training drastically decreases for </w:t>
      </w:r>
      <w:proofErr w:type="spellStart"/>
      <w:r>
        <w:rPr>
          <w:color w:val="EE0000"/>
        </w:rPr>
        <w:t>hundres</w:t>
      </w:r>
      <w:proofErr w:type="spellEnd"/>
      <w:r>
        <w:rPr>
          <w:color w:val="EE0000"/>
        </w:rPr>
        <w:t xml:space="preserve"> of feature and multiple million observations, however is still feasible </w:t>
      </w:r>
      <w:r w:rsidR="00604974">
        <w:rPr>
          <w:color w:val="EE0000"/>
        </w:rPr>
        <w:t xml:space="preserve">with a runtime </w:t>
      </w:r>
      <w:r>
        <w:rPr>
          <w:color w:val="EE0000"/>
        </w:rPr>
        <w:t>under an hour. The prediction remains comparably fast with a runtime of under 13 minutes for 4 million cases and 100 features.</w:t>
      </w:r>
      <w:bookmarkEnd w:id="5"/>
      <w:r>
        <w:rPr>
          <w:color w:val="EE0000"/>
        </w:rPr>
        <w:t>”</w:t>
      </w:r>
    </w:p>
    <w:p w14:paraId="6A5C2AB2" w14:textId="5470BBB3" w:rsidR="003B31D5" w:rsidRDefault="003B31D5" w:rsidP="003B31D5">
      <w:pPr>
        <w:pStyle w:val="NormalWeb"/>
      </w:pPr>
      <w:r>
        <w:t>6. What measures could further enhance PDENB’s robustness when mode estimation fails in overlapping or noisy feature distributions?</w:t>
      </w:r>
    </w:p>
    <w:p w14:paraId="47E1C970" w14:textId="77777777" w:rsidR="00E168F2" w:rsidRDefault="00E83F07" w:rsidP="00E83F07">
      <w:pPr>
        <w:jc w:val="both"/>
        <w:rPr>
          <w:color w:val="EE0000"/>
        </w:rPr>
      </w:pPr>
      <w:r w:rsidRPr="00E83F07">
        <w:rPr>
          <w:color w:val="EE0000"/>
        </w:rPr>
        <w:t xml:space="preserve">PDENB already incorporates several safeguards against unreliable mode estimates in overlapping or noisy features: we use robust one-dimensional mode estimators (half-sample mode, </w:t>
      </w:r>
      <w:r>
        <w:rPr>
          <w:color w:val="EE0000"/>
        </w:rPr>
        <w:t>etc.</w:t>
      </w:r>
      <w:r w:rsidRPr="00E83F07">
        <w:rPr>
          <w:color w:val="EE0000"/>
        </w:rPr>
        <w:t xml:space="preserve">), restrict plausibility corrections to low-posterior regions, and require a minimal inter-mode separation (Eq. 14) before any </w:t>
      </w:r>
      <m:oMath>
        <m:r>
          <w:rPr>
            <w:rFonts w:ascii="Cambria Math" w:hAnsi="Cambria Math"/>
            <w:color w:val="EE0000"/>
          </w:rPr>
          <m:t>δ</m:t>
        </m:r>
      </m:oMath>
      <w:r w:rsidRPr="00E83F07">
        <w:rPr>
          <w:color w:val="EE0000"/>
        </w:rPr>
        <w:t xml:space="preserve">-based adjustment is applied. </w:t>
      </w:r>
      <w:r>
        <w:rPr>
          <w:color w:val="EE0000"/>
        </w:rPr>
        <w:t xml:space="preserve">Hence, </w:t>
      </w:r>
      <w:r w:rsidR="0066621C" w:rsidRPr="0066621C">
        <w:rPr>
          <w:color w:val="EE0000"/>
        </w:rPr>
        <w:t>Noisy feature distribution is solved with minimum distance between two modes</w:t>
      </w:r>
      <w:r>
        <w:rPr>
          <w:color w:val="EE0000"/>
        </w:rPr>
        <w:t xml:space="preserve"> </w:t>
      </w:r>
      <w:r w:rsidRPr="00E83F07">
        <w:rPr>
          <w:color w:val="EE0000"/>
        </w:rPr>
        <w:t>(Eq. 14)</w:t>
      </w:r>
      <w:r>
        <w:rPr>
          <w:color w:val="EE0000"/>
        </w:rPr>
        <w:t xml:space="preserve"> because o</w:t>
      </w:r>
      <w:r w:rsidR="0066621C" w:rsidRPr="0066621C">
        <w:rPr>
          <w:color w:val="EE0000"/>
        </w:rPr>
        <w:t xml:space="preserve">verlapping modes will not yield any useful hints for </w:t>
      </w:r>
      <w:proofErr w:type="spellStart"/>
      <w:r w:rsidR="0066621C" w:rsidRPr="0066621C">
        <w:rPr>
          <w:color w:val="EE0000"/>
        </w:rPr>
        <w:t>prefering</w:t>
      </w:r>
      <w:proofErr w:type="spellEnd"/>
      <w:r w:rsidR="0066621C" w:rsidRPr="0066621C">
        <w:rPr>
          <w:color w:val="EE0000"/>
        </w:rPr>
        <w:t xml:space="preserve"> one class over another</w:t>
      </w:r>
      <w:r>
        <w:rPr>
          <w:color w:val="EE0000"/>
        </w:rPr>
        <w:t>.</w:t>
      </w:r>
    </w:p>
    <w:p w14:paraId="76939592" w14:textId="77777777" w:rsidR="00E168F2" w:rsidRDefault="00E168F2" w:rsidP="00E83F07">
      <w:pPr>
        <w:jc w:val="both"/>
        <w:rPr>
          <w:color w:val="EE0000"/>
        </w:rPr>
      </w:pPr>
    </w:p>
    <w:p w14:paraId="774C301E" w14:textId="77777777" w:rsidR="00E168F2" w:rsidRPr="00E168F2" w:rsidRDefault="00E168F2" w:rsidP="00E168F2">
      <w:pPr>
        <w:pStyle w:val="EndNoteBibliography"/>
        <w:ind w:left="720" w:hanging="720"/>
      </w:pPr>
      <w:r>
        <w:rPr>
          <w:color w:val="EE0000"/>
        </w:rPr>
        <w:fldChar w:fldCharType="begin"/>
      </w:r>
      <w:r>
        <w:rPr>
          <w:color w:val="EE0000"/>
        </w:rPr>
        <w:instrText xml:space="preserve"> ADDIN EN.REFLIST </w:instrText>
      </w:r>
      <w:r>
        <w:rPr>
          <w:color w:val="EE0000"/>
        </w:rPr>
        <w:fldChar w:fldCharType="separate"/>
      </w:r>
      <w:r w:rsidRPr="00E168F2">
        <w:t>1.</w:t>
      </w:r>
      <w:r w:rsidRPr="00E168F2">
        <w:tab/>
        <w:t xml:space="preserve">Keating, J.P. and D.W. Scott, </w:t>
      </w:r>
      <w:r w:rsidRPr="00E168F2">
        <w:rPr>
          <w:i/>
        </w:rPr>
        <w:t>A primer on density estimation for the great homerun race of 1998.</w:t>
      </w:r>
      <w:r w:rsidRPr="00E168F2">
        <w:t xml:space="preserve"> STATS, 1999. </w:t>
      </w:r>
      <w:r w:rsidRPr="00E168F2">
        <w:rPr>
          <w:b/>
        </w:rPr>
        <w:t>25</w:t>
      </w:r>
      <w:r w:rsidRPr="00E168F2">
        <w:t>: p. 16-22.</w:t>
      </w:r>
    </w:p>
    <w:p w14:paraId="2A22B816" w14:textId="124B8C25" w:rsidR="0066621C" w:rsidRDefault="00E168F2" w:rsidP="00E83F07">
      <w:pPr>
        <w:jc w:val="both"/>
        <w:rPr>
          <w:color w:val="EE0000"/>
        </w:rPr>
      </w:pPr>
      <w:r>
        <w:rPr>
          <w:color w:val="EE0000"/>
        </w:rPr>
        <w:fldChar w:fldCharType="end"/>
      </w:r>
    </w:p>
    <w:sectPr w:rsidR="0066621C" w:rsidSect="007519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A2MzQzMzcwMjM1MjZT0lEKTi0uzszPAykwqQUAxEzJpiwAAAA="/>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wexzrw0oawpp5ezxel5ex0sfpx0s20tdxrz&quot;&gt;MyEndNoteLibrary4NewerEndoteVersions&lt;record-ids&gt;&lt;item&gt;629&lt;/item&gt;&lt;/record-ids&gt;&lt;/item&gt;&lt;/Libraries&gt;"/>
  </w:docVars>
  <w:rsids>
    <w:rsidRoot w:val="003B31D5"/>
    <w:rsid w:val="00071CE2"/>
    <w:rsid w:val="00076F2C"/>
    <w:rsid w:val="00147021"/>
    <w:rsid w:val="00167EE0"/>
    <w:rsid w:val="001B0C45"/>
    <w:rsid w:val="001B270A"/>
    <w:rsid w:val="001B56A8"/>
    <w:rsid w:val="001D14F8"/>
    <w:rsid w:val="0025116C"/>
    <w:rsid w:val="0029266A"/>
    <w:rsid w:val="00296735"/>
    <w:rsid w:val="00311A62"/>
    <w:rsid w:val="00370D6A"/>
    <w:rsid w:val="00371D61"/>
    <w:rsid w:val="003747A2"/>
    <w:rsid w:val="003B31D5"/>
    <w:rsid w:val="003C49B0"/>
    <w:rsid w:val="003E19CD"/>
    <w:rsid w:val="00474917"/>
    <w:rsid w:val="004D0F9D"/>
    <w:rsid w:val="004F0264"/>
    <w:rsid w:val="0051060D"/>
    <w:rsid w:val="0053489A"/>
    <w:rsid w:val="0054276E"/>
    <w:rsid w:val="00553333"/>
    <w:rsid w:val="005C545C"/>
    <w:rsid w:val="005D4D49"/>
    <w:rsid w:val="005F41AA"/>
    <w:rsid w:val="00603035"/>
    <w:rsid w:val="00604974"/>
    <w:rsid w:val="00622F33"/>
    <w:rsid w:val="006320E2"/>
    <w:rsid w:val="00632D48"/>
    <w:rsid w:val="0066621C"/>
    <w:rsid w:val="00670189"/>
    <w:rsid w:val="0068736F"/>
    <w:rsid w:val="006F519D"/>
    <w:rsid w:val="007519C9"/>
    <w:rsid w:val="007F6AE4"/>
    <w:rsid w:val="00800795"/>
    <w:rsid w:val="00854A52"/>
    <w:rsid w:val="008A0810"/>
    <w:rsid w:val="008D331A"/>
    <w:rsid w:val="008E0971"/>
    <w:rsid w:val="009677AD"/>
    <w:rsid w:val="00A01174"/>
    <w:rsid w:val="00B147AD"/>
    <w:rsid w:val="00B24DC3"/>
    <w:rsid w:val="00B41F15"/>
    <w:rsid w:val="00B45971"/>
    <w:rsid w:val="00B463B6"/>
    <w:rsid w:val="00B538C1"/>
    <w:rsid w:val="00BC345F"/>
    <w:rsid w:val="00BE115B"/>
    <w:rsid w:val="00BF0CED"/>
    <w:rsid w:val="00C176E6"/>
    <w:rsid w:val="00C65860"/>
    <w:rsid w:val="00C91547"/>
    <w:rsid w:val="00C917D4"/>
    <w:rsid w:val="00C95287"/>
    <w:rsid w:val="00CC4B12"/>
    <w:rsid w:val="00CF05B1"/>
    <w:rsid w:val="00CF1F02"/>
    <w:rsid w:val="00D844FC"/>
    <w:rsid w:val="00D85C52"/>
    <w:rsid w:val="00DC0114"/>
    <w:rsid w:val="00DD1743"/>
    <w:rsid w:val="00E168F2"/>
    <w:rsid w:val="00E2655D"/>
    <w:rsid w:val="00E3718C"/>
    <w:rsid w:val="00E82B10"/>
    <w:rsid w:val="00E83F07"/>
    <w:rsid w:val="00EC4C2E"/>
    <w:rsid w:val="00EC65FA"/>
    <w:rsid w:val="00F42035"/>
    <w:rsid w:val="00F5285F"/>
    <w:rsid w:val="00FD728B"/>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7BAD2"/>
  <w15:chartTrackingRefBased/>
  <w15:docId w15:val="{46340B16-955E-4E9E-9D19-C3307066B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9B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B31D5"/>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B31D5"/>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B31D5"/>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B31D5"/>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3B31D5"/>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3B31D5"/>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3B31D5"/>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3B31D5"/>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3B31D5"/>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1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B31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B31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31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31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3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1D5"/>
    <w:rPr>
      <w:rFonts w:eastAsiaTheme="majorEastAsia" w:cstheme="majorBidi"/>
      <w:color w:val="272727" w:themeColor="text1" w:themeTint="D8"/>
    </w:rPr>
  </w:style>
  <w:style w:type="paragraph" w:styleId="Title">
    <w:name w:val="Title"/>
    <w:basedOn w:val="Normal"/>
    <w:next w:val="Normal"/>
    <w:link w:val="TitleChar"/>
    <w:uiPriority w:val="10"/>
    <w:qFormat/>
    <w:rsid w:val="003B31D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B3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1D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B3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1D5"/>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3B31D5"/>
    <w:rPr>
      <w:i/>
      <w:iCs/>
      <w:color w:val="404040" w:themeColor="text1" w:themeTint="BF"/>
    </w:rPr>
  </w:style>
  <w:style w:type="paragraph" w:styleId="ListParagraph">
    <w:name w:val="List Paragraph"/>
    <w:basedOn w:val="Normal"/>
    <w:uiPriority w:val="34"/>
    <w:qFormat/>
    <w:rsid w:val="003B31D5"/>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3B31D5"/>
    <w:rPr>
      <w:i/>
      <w:iCs/>
      <w:color w:val="2F5496" w:themeColor="accent1" w:themeShade="BF"/>
    </w:rPr>
  </w:style>
  <w:style w:type="paragraph" w:styleId="IntenseQuote">
    <w:name w:val="Intense Quote"/>
    <w:basedOn w:val="Normal"/>
    <w:next w:val="Normal"/>
    <w:link w:val="IntenseQuoteChar"/>
    <w:uiPriority w:val="30"/>
    <w:qFormat/>
    <w:rsid w:val="003B31D5"/>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3B31D5"/>
    <w:rPr>
      <w:i/>
      <w:iCs/>
      <w:color w:val="2F5496" w:themeColor="accent1" w:themeShade="BF"/>
    </w:rPr>
  </w:style>
  <w:style w:type="character" w:styleId="IntenseReference">
    <w:name w:val="Intense Reference"/>
    <w:basedOn w:val="DefaultParagraphFont"/>
    <w:uiPriority w:val="32"/>
    <w:qFormat/>
    <w:rsid w:val="003B31D5"/>
    <w:rPr>
      <w:b/>
      <w:bCs/>
      <w:smallCaps/>
      <w:color w:val="2F5496" w:themeColor="accent1" w:themeShade="BF"/>
      <w:spacing w:val="5"/>
    </w:rPr>
  </w:style>
  <w:style w:type="paragraph" w:styleId="NormalWeb">
    <w:name w:val="Normal (Web)"/>
    <w:basedOn w:val="Normal"/>
    <w:link w:val="NormalWebChar"/>
    <w:uiPriority w:val="99"/>
    <w:unhideWhenUsed/>
    <w:rsid w:val="003B31D5"/>
    <w:pPr>
      <w:spacing w:before="100" w:beforeAutospacing="1" w:after="100" w:afterAutospacing="1"/>
    </w:pPr>
    <w:rPr>
      <w:lang w:eastAsia="en-US"/>
    </w:rPr>
  </w:style>
  <w:style w:type="character" w:styleId="CommentReference">
    <w:name w:val="annotation reference"/>
    <w:basedOn w:val="DefaultParagraphFont"/>
    <w:uiPriority w:val="99"/>
    <w:semiHidden/>
    <w:unhideWhenUsed/>
    <w:rsid w:val="00632D48"/>
    <w:rPr>
      <w:sz w:val="16"/>
      <w:szCs w:val="16"/>
    </w:rPr>
  </w:style>
  <w:style w:type="paragraph" w:styleId="CommentText">
    <w:name w:val="annotation text"/>
    <w:basedOn w:val="Normal"/>
    <w:link w:val="CommentTextChar"/>
    <w:uiPriority w:val="99"/>
    <w:semiHidden/>
    <w:unhideWhenUsed/>
    <w:rsid w:val="00632D48"/>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CommentTextChar">
    <w:name w:val="Comment Text Char"/>
    <w:basedOn w:val="DefaultParagraphFont"/>
    <w:link w:val="CommentText"/>
    <w:uiPriority w:val="99"/>
    <w:semiHidden/>
    <w:rsid w:val="00632D48"/>
    <w:rPr>
      <w:sz w:val="20"/>
      <w:szCs w:val="20"/>
    </w:rPr>
  </w:style>
  <w:style w:type="paragraph" w:styleId="CommentSubject">
    <w:name w:val="annotation subject"/>
    <w:basedOn w:val="CommentText"/>
    <w:next w:val="CommentText"/>
    <w:link w:val="CommentSubjectChar"/>
    <w:uiPriority w:val="99"/>
    <w:semiHidden/>
    <w:unhideWhenUsed/>
    <w:rsid w:val="00632D48"/>
    <w:rPr>
      <w:b/>
      <w:bCs/>
    </w:rPr>
  </w:style>
  <w:style w:type="character" w:customStyle="1" w:styleId="CommentSubjectChar">
    <w:name w:val="Comment Subject Char"/>
    <w:basedOn w:val="CommentTextChar"/>
    <w:link w:val="CommentSubject"/>
    <w:uiPriority w:val="99"/>
    <w:semiHidden/>
    <w:rsid w:val="00632D48"/>
    <w:rPr>
      <w:b/>
      <w:bCs/>
      <w:sz w:val="20"/>
      <w:szCs w:val="20"/>
    </w:rPr>
  </w:style>
  <w:style w:type="character" w:styleId="Strong">
    <w:name w:val="Strong"/>
    <w:basedOn w:val="DefaultParagraphFont"/>
    <w:uiPriority w:val="22"/>
    <w:qFormat/>
    <w:rsid w:val="003C49B0"/>
    <w:rPr>
      <w:b/>
      <w:bCs/>
    </w:rPr>
  </w:style>
  <w:style w:type="character" w:styleId="HTMLCode">
    <w:name w:val="HTML Code"/>
    <w:basedOn w:val="DefaultParagraphFont"/>
    <w:uiPriority w:val="99"/>
    <w:semiHidden/>
    <w:unhideWhenUsed/>
    <w:rsid w:val="003C49B0"/>
    <w:rPr>
      <w:rFonts w:ascii="Courier New" w:eastAsia="Times New Roman" w:hAnsi="Courier New" w:cs="Courier New"/>
      <w:sz w:val="20"/>
      <w:szCs w:val="20"/>
    </w:rPr>
  </w:style>
  <w:style w:type="character" w:styleId="Emphasis">
    <w:name w:val="Emphasis"/>
    <w:basedOn w:val="DefaultParagraphFont"/>
    <w:uiPriority w:val="20"/>
    <w:qFormat/>
    <w:rsid w:val="003C49B0"/>
    <w:rPr>
      <w:i/>
      <w:iCs/>
    </w:rPr>
  </w:style>
  <w:style w:type="character" w:styleId="PlaceholderText">
    <w:name w:val="Placeholder Text"/>
    <w:basedOn w:val="DefaultParagraphFont"/>
    <w:uiPriority w:val="99"/>
    <w:semiHidden/>
    <w:rsid w:val="003C49B0"/>
    <w:rPr>
      <w:color w:val="666666"/>
    </w:rPr>
  </w:style>
  <w:style w:type="character" w:customStyle="1" w:styleId="mord">
    <w:name w:val="mord"/>
    <w:basedOn w:val="DefaultParagraphFont"/>
    <w:rsid w:val="00371D61"/>
  </w:style>
  <w:style w:type="character" w:customStyle="1" w:styleId="vlist-s">
    <w:name w:val="vlist-s"/>
    <w:basedOn w:val="DefaultParagraphFont"/>
    <w:rsid w:val="00371D61"/>
  </w:style>
  <w:style w:type="character" w:customStyle="1" w:styleId="mrel">
    <w:name w:val="mrel"/>
    <w:basedOn w:val="DefaultParagraphFont"/>
    <w:rsid w:val="00371D61"/>
  </w:style>
  <w:style w:type="character" w:customStyle="1" w:styleId="mbin">
    <w:name w:val="mbin"/>
    <w:basedOn w:val="DefaultParagraphFont"/>
    <w:rsid w:val="00371D61"/>
  </w:style>
  <w:style w:type="character" w:customStyle="1" w:styleId="mpunct">
    <w:name w:val="mpunct"/>
    <w:basedOn w:val="DefaultParagraphFont"/>
    <w:rsid w:val="00371D61"/>
  </w:style>
  <w:style w:type="character" w:customStyle="1" w:styleId="minner">
    <w:name w:val="minner"/>
    <w:basedOn w:val="DefaultParagraphFont"/>
    <w:rsid w:val="00371D61"/>
  </w:style>
  <w:style w:type="character" w:customStyle="1" w:styleId="delimsizing">
    <w:name w:val="delimsizing"/>
    <w:basedOn w:val="DefaultParagraphFont"/>
    <w:rsid w:val="00474917"/>
  </w:style>
  <w:style w:type="paragraph" w:customStyle="1" w:styleId="MDPI39equation">
    <w:name w:val="MDPI_3.9_equation"/>
    <w:qFormat/>
    <w:rsid w:val="00BC345F"/>
    <w:pPr>
      <w:adjustRightInd w:val="0"/>
      <w:snapToGrid w:val="0"/>
      <w:spacing w:before="120" w:after="120" w:line="280" w:lineRule="atLeast"/>
      <w:ind w:left="709"/>
      <w:jc w:val="center"/>
    </w:pPr>
    <w:rPr>
      <w:rFonts w:ascii="Palatino Linotype" w:eastAsia="Times New Roman" w:hAnsi="Palatino Linotype" w:cs="Times New Roman"/>
      <w:snapToGrid w:val="0"/>
      <w:color w:val="000000"/>
      <w:kern w:val="0"/>
      <w:sz w:val="20"/>
      <w:szCs w:val="22"/>
      <w:lang w:eastAsia="de-DE" w:bidi="en-US"/>
      <w14:ligatures w14:val="none"/>
    </w:rPr>
  </w:style>
  <w:style w:type="paragraph" w:customStyle="1" w:styleId="EndNoteBibliographyTitle">
    <w:name w:val="EndNote Bibliography Title"/>
    <w:basedOn w:val="Normal"/>
    <w:link w:val="EndNoteBibliographyTitleChar"/>
    <w:rsid w:val="00E168F2"/>
    <w:pPr>
      <w:jc w:val="center"/>
    </w:pPr>
    <w:rPr>
      <w:noProof/>
      <w:lang w:val="en-GB"/>
    </w:rPr>
  </w:style>
  <w:style w:type="character" w:customStyle="1" w:styleId="NormalWebChar">
    <w:name w:val="Normal (Web) Char"/>
    <w:basedOn w:val="DefaultParagraphFont"/>
    <w:link w:val="NormalWeb"/>
    <w:uiPriority w:val="99"/>
    <w:rsid w:val="00E168F2"/>
    <w:rPr>
      <w:rFonts w:ascii="Times New Roman" w:eastAsia="Times New Roman" w:hAnsi="Times New Roman" w:cs="Times New Roman"/>
      <w:kern w:val="0"/>
      <w14:ligatures w14:val="none"/>
    </w:rPr>
  </w:style>
  <w:style w:type="character" w:customStyle="1" w:styleId="EndNoteBibliographyTitleChar">
    <w:name w:val="EndNote Bibliography Title Char"/>
    <w:basedOn w:val="NormalWebChar"/>
    <w:link w:val="EndNoteBibliographyTitle"/>
    <w:rsid w:val="00E168F2"/>
    <w:rPr>
      <w:rFonts w:ascii="Times New Roman" w:eastAsia="Times New Roman" w:hAnsi="Times New Roman" w:cs="Times New Roman"/>
      <w:noProof/>
      <w:kern w:val="0"/>
      <w:lang w:val="en-GB" w:eastAsia="en-GB"/>
      <w14:ligatures w14:val="none"/>
    </w:rPr>
  </w:style>
  <w:style w:type="paragraph" w:customStyle="1" w:styleId="EndNoteBibliography">
    <w:name w:val="EndNote Bibliography"/>
    <w:basedOn w:val="Normal"/>
    <w:link w:val="EndNoteBibliographyChar"/>
    <w:rsid w:val="00E168F2"/>
    <w:pPr>
      <w:jc w:val="both"/>
    </w:pPr>
    <w:rPr>
      <w:noProof/>
      <w:lang w:val="en-GB"/>
    </w:rPr>
  </w:style>
  <w:style w:type="character" w:customStyle="1" w:styleId="EndNoteBibliographyChar">
    <w:name w:val="EndNote Bibliography Char"/>
    <w:basedOn w:val="NormalWebChar"/>
    <w:link w:val="EndNoteBibliography"/>
    <w:rsid w:val="00E168F2"/>
    <w:rPr>
      <w:rFonts w:ascii="Times New Roman" w:eastAsia="Times New Roman" w:hAnsi="Times New Roman" w:cs="Times New Roman"/>
      <w:noProof/>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2494</Words>
  <Characters>14221</Characters>
  <Application>Microsoft Office Word</Application>
  <DocSecurity>0</DocSecurity>
  <Lines>118</Lines>
  <Paragraphs>33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MCT</dc:creator>
  <cp:keywords/>
  <dc:description/>
  <cp:lastModifiedBy>MCT</cp:lastModifiedBy>
  <cp:revision>7</cp:revision>
  <dcterms:created xsi:type="dcterms:W3CDTF">2025-12-11T17:19:00Z</dcterms:created>
  <dcterms:modified xsi:type="dcterms:W3CDTF">2025-12-11T17:32:00Z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f10f28f8-0598-4ff3-9fe8-59f57b5fd552</vt:lpwstr>
  </property>
</Properties>
</file>