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15F37" w14:textId="77777777" w:rsidR="008B2BEC" w:rsidRPr="00033C8B" w:rsidRDefault="008B2BEC" w:rsidP="008B2BEC">
      <w:pPr>
        <w:rPr>
          <w:rFonts w:ascii="Palatino Linotype" w:hAnsi="Palatino Linotype"/>
          <w:b/>
          <w:bCs/>
          <w:sz w:val="48"/>
          <w:szCs w:val="48"/>
        </w:rPr>
      </w:pPr>
      <w:bookmarkStart w:id="0" w:name="OLE_LINK32"/>
      <w:bookmarkStart w:id="1" w:name="OLE_LINK26"/>
      <w:bookmarkStart w:id="2" w:name="OLE_LINK27"/>
      <w:r w:rsidRPr="00033C8B">
        <w:rPr>
          <w:rFonts w:ascii="Palatino Linotype" w:hAnsi="Palatino Linotype"/>
          <w:b/>
          <w:bCs/>
          <w:sz w:val="48"/>
          <w:szCs w:val="48"/>
        </w:rPr>
        <w:t>For research article</w:t>
      </w:r>
    </w:p>
    <w:p w14:paraId="421E925A" w14:textId="77777777" w:rsidR="008B2BEC" w:rsidRPr="00033C8B" w:rsidRDefault="008B2BEC" w:rsidP="008B2BEC">
      <w:pPr>
        <w:rPr>
          <w:rFonts w:ascii="Palatino Linotype" w:hAnsi="Palatino Linotype"/>
        </w:rPr>
      </w:pPr>
    </w:p>
    <w:p w14:paraId="29E16A94" w14:textId="77777777" w:rsidR="008B2BEC" w:rsidRPr="00033C8B" w:rsidRDefault="008B2BEC" w:rsidP="008B2BEC">
      <w:pPr>
        <w:rPr>
          <w:rFonts w:ascii="Palatino Linotype" w:hAnsi="Palatino Linotype"/>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8B2BEC" w:rsidRPr="00033C8B" w14:paraId="71DC2172" w14:textId="77777777" w:rsidTr="0088042E">
        <w:tc>
          <w:tcPr>
            <w:tcW w:w="8834" w:type="dxa"/>
          </w:tcPr>
          <w:p w14:paraId="47C2681D" w14:textId="77777777" w:rsidR="008B2BEC" w:rsidRPr="009E14C4" w:rsidRDefault="008B2BEC" w:rsidP="0088042E">
            <w:pPr>
              <w:pStyle w:val="af0"/>
              <w:widowControl/>
              <w:spacing w:line="240" w:lineRule="auto"/>
              <w:ind w:left="0"/>
              <w:contextualSpacing/>
              <w:jc w:val="left"/>
              <w:rPr>
                <w:rFonts w:ascii="Palatino Linotype" w:eastAsiaTheme="majorEastAsia" w:hAnsi="Palatino Linotype" w:cstheme="majorBidi"/>
                <w:b w:val="0"/>
                <w:bCs w:val="0"/>
                <w:spacing w:val="-10"/>
                <w:kern w:val="28"/>
                <w:sz w:val="52"/>
                <w:szCs w:val="52"/>
                <w:lang w:val="en-GB" w:eastAsia="en-US"/>
              </w:rPr>
            </w:pPr>
            <w:r w:rsidRPr="009E14C4">
              <w:rPr>
                <w:rFonts w:ascii="Palatino Linotype" w:eastAsiaTheme="majorEastAsia" w:hAnsi="Palatino Linotype" w:cstheme="majorBidi"/>
                <w:b w:val="0"/>
                <w:bCs w:val="0"/>
                <w:spacing w:val="-10"/>
                <w:kern w:val="28"/>
                <w:sz w:val="52"/>
                <w:szCs w:val="52"/>
                <w:lang w:val="en-GB" w:eastAsia="en-US"/>
              </w:rPr>
              <w:t>Response to Reviewer X Comments</w:t>
            </w:r>
          </w:p>
          <w:p w14:paraId="0820EACB" w14:textId="77777777" w:rsidR="008B2BEC" w:rsidRPr="00033C8B" w:rsidRDefault="008B2BEC" w:rsidP="0088042E">
            <w:pPr>
              <w:rPr>
                <w:rFonts w:ascii="Palatino Linotype" w:hAnsi="Palatino Linotype"/>
                <w:lang w:val="en-GB"/>
              </w:rPr>
            </w:pPr>
          </w:p>
        </w:tc>
      </w:tr>
    </w:tbl>
    <w:p w14:paraId="145C13A2" w14:textId="77777777" w:rsidR="00A335CE" w:rsidRDefault="00000000">
      <w:pPr>
        <w:spacing w:line="480" w:lineRule="auto"/>
        <w:rPr>
          <w:sz w:val="24"/>
          <w:szCs w:val="24"/>
        </w:rPr>
      </w:pPr>
      <w:r>
        <w:rPr>
          <w:sz w:val="24"/>
          <w:szCs w:val="24"/>
        </w:rPr>
        <w:t xml:space="preserve">Paper submitted to </w:t>
      </w:r>
      <w:r>
        <w:rPr>
          <w:rFonts w:hint="eastAsia"/>
          <w:sz w:val="24"/>
          <w:szCs w:val="24"/>
        </w:rPr>
        <w:t>Foods</w:t>
      </w:r>
    </w:p>
    <w:p w14:paraId="2B69E8AC" w14:textId="77777777" w:rsidR="00A335CE" w:rsidRDefault="00000000">
      <w:pPr>
        <w:spacing w:line="480" w:lineRule="auto"/>
        <w:rPr>
          <w:sz w:val="24"/>
          <w:szCs w:val="24"/>
        </w:rPr>
      </w:pPr>
      <w:r>
        <w:rPr>
          <w:sz w:val="24"/>
          <w:szCs w:val="24"/>
        </w:rPr>
        <w:t>Manuscript ID:</w:t>
      </w:r>
      <w:r>
        <w:rPr>
          <w:rFonts w:hint="eastAsia"/>
          <w:sz w:val="24"/>
          <w:szCs w:val="24"/>
        </w:rPr>
        <w:t xml:space="preserve"> </w:t>
      </w:r>
      <w:r>
        <w:rPr>
          <w:sz w:val="24"/>
          <w:szCs w:val="24"/>
        </w:rPr>
        <w:t>foods-3537678</w:t>
      </w:r>
    </w:p>
    <w:p w14:paraId="190FD884" w14:textId="77777777" w:rsidR="00A335CE" w:rsidRDefault="00000000">
      <w:pPr>
        <w:spacing w:line="480" w:lineRule="auto"/>
        <w:rPr>
          <w:sz w:val="24"/>
          <w:szCs w:val="24"/>
        </w:rPr>
      </w:pPr>
      <w:r>
        <w:rPr>
          <w:sz w:val="24"/>
          <w:szCs w:val="24"/>
        </w:rPr>
        <w:t>Title: Mechanism of Textural Reorganization in Silkworm Chrysalis and Pea Protein Extrusion: Structural Evolution and Quality Characteristic</w:t>
      </w:r>
    </w:p>
    <w:p w14:paraId="0FF2051D" w14:textId="77777777" w:rsidR="00A335CE" w:rsidRDefault="00A335CE">
      <w:pPr>
        <w:spacing w:line="480" w:lineRule="auto"/>
        <w:rPr>
          <w:sz w:val="24"/>
          <w:szCs w:val="24"/>
        </w:rPr>
      </w:pPr>
    </w:p>
    <w:p w14:paraId="52BAF61C" w14:textId="77777777" w:rsidR="00A335CE" w:rsidRDefault="00000000">
      <w:pPr>
        <w:spacing w:line="480" w:lineRule="auto"/>
        <w:rPr>
          <w:b/>
          <w:sz w:val="24"/>
          <w:szCs w:val="24"/>
        </w:rPr>
      </w:pPr>
      <w:bookmarkStart w:id="3" w:name="OLE_LINK34"/>
      <w:bookmarkStart w:id="4" w:name="OLE_LINK33"/>
      <w:bookmarkStart w:id="5" w:name="OLE_LINK1"/>
      <w:bookmarkStart w:id="6" w:name="OLE_LINK2"/>
      <w:r>
        <w:rPr>
          <w:b/>
          <w:sz w:val="24"/>
          <w:szCs w:val="24"/>
        </w:rPr>
        <w:t>Dear Editors and Reviewers:</w:t>
      </w:r>
    </w:p>
    <w:bookmarkEnd w:id="3"/>
    <w:bookmarkEnd w:id="4"/>
    <w:p w14:paraId="6980826F" w14:textId="77777777" w:rsidR="00A335CE" w:rsidRDefault="00000000">
      <w:pPr>
        <w:spacing w:line="480" w:lineRule="auto"/>
        <w:ind w:firstLineChars="250" w:firstLine="600"/>
        <w:rPr>
          <w:sz w:val="24"/>
          <w:szCs w:val="24"/>
        </w:rPr>
      </w:pPr>
      <w:r>
        <w:rPr>
          <w:sz w:val="24"/>
          <w:szCs w:val="24"/>
        </w:rPr>
        <w:t>Thank you for your letter and for the reviewer’s comments on our manuscript entitled “Mechanism of Textural Reorganization in Silkworm Chrysalis and Pea Protein Extrusion: Structural Evolution and Quality Characteristic”. Those comments are all valuable and very helpful for revising and improving our paper, as well as the important guiding significance to our researches. At present, we have studied comments carefully and have made correction, making the whole manuscript more structured. The modified parts are marked in red. We have revised carefully which we hope meet with approval. We also responded point by point to each reviewer comments as listed below, along with a clear indication of the location of the revision.</w:t>
      </w:r>
    </w:p>
    <w:p w14:paraId="0218DC9B" w14:textId="77777777" w:rsidR="00A335CE" w:rsidRDefault="00A335CE">
      <w:pPr>
        <w:spacing w:line="480" w:lineRule="auto"/>
        <w:ind w:firstLineChars="250" w:firstLine="600"/>
        <w:rPr>
          <w:sz w:val="24"/>
          <w:szCs w:val="24"/>
        </w:rPr>
      </w:pPr>
    </w:p>
    <w:p w14:paraId="0ED3D897" w14:textId="77777777" w:rsidR="00A335CE" w:rsidRDefault="00000000">
      <w:pPr>
        <w:spacing w:line="480" w:lineRule="auto"/>
        <w:rPr>
          <w:b/>
          <w:sz w:val="24"/>
          <w:szCs w:val="24"/>
        </w:rPr>
      </w:pPr>
      <w:bookmarkStart w:id="7" w:name="OLE_LINK56"/>
      <w:bookmarkStart w:id="8" w:name="OLE_LINK55"/>
      <w:r>
        <w:rPr>
          <w:b/>
          <w:sz w:val="24"/>
          <w:szCs w:val="24"/>
        </w:rPr>
        <w:t>To Reviewer #1:</w:t>
      </w:r>
    </w:p>
    <w:p w14:paraId="7028C7C3" w14:textId="77777777" w:rsidR="00A335CE" w:rsidRDefault="00000000">
      <w:pPr>
        <w:spacing w:line="480" w:lineRule="auto"/>
        <w:rPr>
          <w:sz w:val="24"/>
          <w:szCs w:val="24"/>
        </w:rPr>
      </w:pPr>
      <w:r>
        <w:rPr>
          <w:b/>
          <w:color w:val="0070C0"/>
          <w:sz w:val="24"/>
          <w:szCs w:val="24"/>
        </w:rPr>
        <w:t>Comment 1:</w:t>
      </w:r>
      <w:bookmarkEnd w:id="7"/>
      <w:bookmarkEnd w:id="8"/>
      <w:r>
        <w:rPr>
          <w:b/>
          <w:sz w:val="24"/>
          <w:szCs w:val="24"/>
        </w:rPr>
        <w:t xml:space="preserve"> </w:t>
      </w:r>
      <w:bookmarkStart w:id="9" w:name="OLE_LINK11"/>
      <w:bookmarkStart w:id="10" w:name="OLE_LINK12"/>
      <w:bookmarkStart w:id="11" w:name="OLE_LINK57"/>
      <w:bookmarkStart w:id="12" w:name="OLE_LINK58"/>
      <w:bookmarkStart w:id="13" w:name="OLE_LINK59"/>
      <w:r>
        <w:rPr>
          <w:sz w:val="24"/>
          <w:szCs w:val="24"/>
        </w:rPr>
        <w:t xml:space="preserve">Lines 112-122: The content of these lines appears to be more appropriate </w:t>
      </w:r>
      <w:r>
        <w:rPr>
          <w:sz w:val="24"/>
          <w:szCs w:val="24"/>
        </w:rPr>
        <w:lastRenderedPageBreak/>
        <w:t>for the methodology, results, or discussion sections. Consider relocating or removing these sentences to maintain a clear flow within the introduction.</w:t>
      </w:r>
    </w:p>
    <w:p w14:paraId="67846971" w14:textId="77777777" w:rsidR="00A335CE" w:rsidRDefault="00000000">
      <w:pPr>
        <w:spacing w:line="480" w:lineRule="auto"/>
        <w:rPr>
          <w:color w:val="000000"/>
          <w:sz w:val="24"/>
          <w:szCs w:val="24"/>
        </w:rPr>
      </w:pPr>
      <w:r>
        <w:rPr>
          <w:b/>
          <w:sz w:val="24"/>
          <w:szCs w:val="24"/>
          <w:u w:val="single"/>
        </w:rPr>
        <w:t>Authors Response:</w:t>
      </w:r>
      <w:r>
        <w:rPr>
          <w:sz w:val="24"/>
          <w:szCs w:val="24"/>
        </w:rPr>
        <w:t xml:space="preserve"> </w:t>
      </w:r>
      <w:bookmarkEnd w:id="9"/>
      <w:bookmarkEnd w:id="10"/>
      <w:r>
        <w:rPr>
          <w:color w:val="000000"/>
          <w:sz w:val="24"/>
          <w:szCs w:val="24"/>
        </w:rPr>
        <w:t>We sincerely thank you for taking time to read the article and give us your comments.</w:t>
      </w:r>
      <w:r>
        <w:rPr>
          <w:color w:val="000000"/>
        </w:rPr>
        <w:t xml:space="preserve"> </w:t>
      </w:r>
      <w:r w:rsidRPr="00055F24">
        <w:rPr>
          <w:color w:val="000000"/>
          <w:sz w:val="24"/>
          <w:szCs w:val="24"/>
        </w:rPr>
        <w:t xml:space="preserve">We have reorganized the logic of this section according to your comments, deleting some parts and highlighting the purpose of our study. This change has made the introduction flow more smoothly and clearly. </w:t>
      </w:r>
      <w:r>
        <w:rPr>
          <w:color w:val="000000"/>
          <w:sz w:val="24"/>
          <w:szCs w:val="24"/>
        </w:rPr>
        <w:t>We are grateful once again for your guidance, which has significantly improved the quality of our article</w:t>
      </w:r>
      <w:r>
        <w:rPr>
          <w:rFonts w:hint="eastAsia"/>
          <w:color w:val="000000"/>
          <w:sz w:val="24"/>
          <w:szCs w:val="24"/>
        </w:rPr>
        <w:t>. m</w:t>
      </w:r>
      <w:r>
        <w:rPr>
          <w:color w:val="000000"/>
          <w:sz w:val="24"/>
          <w:szCs w:val="24"/>
        </w:rPr>
        <w:t xml:space="preserve">odifications are marked in red: </w:t>
      </w:r>
    </w:p>
    <w:p w14:paraId="5DCDF994" w14:textId="4BA94571" w:rsidR="00A335CE" w:rsidRDefault="00000000">
      <w:pPr>
        <w:spacing w:line="480" w:lineRule="auto"/>
        <w:rPr>
          <w:color w:val="0000FF"/>
          <w:sz w:val="24"/>
          <w:szCs w:val="24"/>
        </w:rPr>
      </w:pPr>
      <w:r>
        <w:rPr>
          <w:color w:val="0000FF"/>
          <w:sz w:val="24"/>
          <w:szCs w:val="24"/>
        </w:rPr>
        <w:t xml:space="preserve">(Line </w:t>
      </w:r>
      <w:r>
        <w:rPr>
          <w:rFonts w:hint="eastAsia"/>
          <w:color w:val="0000FF"/>
          <w:sz w:val="24"/>
          <w:szCs w:val="24"/>
        </w:rPr>
        <w:t>117</w:t>
      </w:r>
      <w:r>
        <w:rPr>
          <w:color w:val="0000FF"/>
          <w:sz w:val="24"/>
          <w:szCs w:val="24"/>
        </w:rPr>
        <w:t>-</w:t>
      </w:r>
      <w:r>
        <w:rPr>
          <w:rFonts w:hint="eastAsia"/>
          <w:color w:val="0000FF"/>
          <w:sz w:val="24"/>
          <w:szCs w:val="24"/>
        </w:rPr>
        <w:t>12</w:t>
      </w:r>
      <w:r w:rsidR="00B451F2">
        <w:rPr>
          <w:rFonts w:hint="eastAsia"/>
          <w:color w:val="0000FF"/>
          <w:sz w:val="24"/>
          <w:szCs w:val="24"/>
        </w:rPr>
        <w:t>5</w:t>
      </w:r>
      <w:r>
        <w:rPr>
          <w:color w:val="0000FF"/>
          <w:sz w:val="24"/>
          <w:szCs w:val="24"/>
        </w:rPr>
        <w:t xml:space="preserve"> in the new revised manuscript)</w:t>
      </w:r>
    </w:p>
    <w:bookmarkEnd w:id="5"/>
    <w:bookmarkEnd w:id="6"/>
    <w:bookmarkEnd w:id="11"/>
    <w:bookmarkEnd w:id="12"/>
    <w:bookmarkEnd w:id="13"/>
    <w:p w14:paraId="41EC8153" w14:textId="77777777" w:rsidR="00A335CE" w:rsidRDefault="00000000">
      <w:pPr>
        <w:spacing w:line="480" w:lineRule="auto"/>
        <w:rPr>
          <w:bCs/>
          <w:color w:val="FF0000"/>
          <w:sz w:val="24"/>
          <w:szCs w:val="24"/>
          <w:lang w:bidi="ar"/>
        </w:rPr>
      </w:pPr>
      <w:r>
        <w:rPr>
          <w:bCs/>
          <w:color w:val="FF0000"/>
          <w:sz w:val="24"/>
          <w:szCs w:val="24"/>
          <w:lang w:bidi="ar"/>
        </w:rPr>
        <w:t>This study examined the conformational changes of SCP and PPI under high-moisture extrusion at elevated temperatures and pressures. The mixed extruded products were subjected to a comprehensive evaluation, employing a range of analytical techniques, including texture analysis, FTIR analysis, thermal property analysis, amino acid type analysis, rheological analysis, color analysis, and microscopic and macroscopic structure characterization. The evolution of the two protein recombination mechanisms during the extrusion process of PPI and SCP was elucidated in great detail, thereby providing a novel theoretical reference and practical basis for the determination of the optimal mixing ratio of SCP and PPI proteins.</w:t>
      </w:r>
    </w:p>
    <w:p w14:paraId="292A2FD6" w14:textId="77777777" w:rsidR="00A335CE" w:rsidRDefault="00000000">
      <w:pPr>
        <w:spacing w:line="480" w:lineRule="auto"/>
        <w:rPr>
          <w:b/>
          <w:sz w:val="24"/>
          <w:szCs w:val="24"/>
        </w:rPr>
      </w:pPr>
      <w:r>
        <w:rPr>
          <w:b/>
          <w:color w:val="0070C0"/>
          <w:sz w:val="24"/>
          <w:szCs w:val="24"/>
        </w:rPr>
        <w:t>Comment 2:</w:t>
      </w:r>
      <w:r>
        <w:rPr>
          <w:b/>
          <w:sz w:val="24"/>
          <w:szCs w:val="24"/>
        </w:rPr>
        <w:t xml:space="preserve"> </w:t>
      </w:r>
      <w:bookmarkStart w:id="14" w:name="OLE_LINK74"/>
      <w:bookmarkStart w:id="15" w:name="OLE_LINK46"/>
      <w:r>
        <w:rPr>
          <w:bCs/>
          <w:sz w:val="24"/>
          <w:szCs w:val="24"/>
        </w:rPr>
        <w:t>Line 133: Please provide the rationale for the selection of the specific PPI:SCP ratios used in this study. Clarification of the selection criteria is necessary for the reader to understand the experimental design</w:t>
      </w:r>
    </w:p>
    <w:p w14:paraId="5279E0AF" w14:textId="77777777" w:rsidR="00A335CE" w:rsidRDefault="00000000">
      <w:pPr>
        <w:spacing w:line="480" w:lineRule="auto"/>
        <w:rPr>
          <w:b/>
          <w:sz w:val="24"/>
          <w:szCs w:val="24"/>
        </w:rPr>
      </w:pPr>
      <w:r>
        <w:rPr>
          <w:b/>
          <w:sz w:val="24"/>
          <w:szCs w:val="24"/>
          <w:u w:val="single"/>
        </w:rPr>
        <w:t>Authors Response:</w:t>
      </w:r>
      <w:r>
        <w:t xml:space="preserve"> </w:t>
      </w:r>
      <w:r>
        <w:rPr>
          <w:bCs/>
          <w:sz w:val="24"/>
          <w:szCs w:val="24"/>
        </w:rPr>
        <w:t xml:space="preserve">Thank you very much for your comment and as you say, </w:t>
      </w:r>
      <w:r>
        <w:rPr>
          <w:bCs/>
          <w:sz w:val="24"/>
          <w:szCs w:val="24"/>
        </w:rPr>
        <w:lastRenderedPageBreak/>
        <w:t>clarification on the choice of ratio between SCP and PPI is much needed.</w:t>
      </w:r>
      <w:r>
        <w:t xml:space="preserve"> </w:t>
      </w:r>
      <w:r>
        <w:rPr>
          <w:bCs/>
          <w:sz w:val="24"/>
          <w:szCs w:val="24"/>
        </w:rPr>
        <w:t>Here we would like to make it clear that our research team has conducted several pre-extrusion pre-tests on the ratio of SCP and PPI in the early stage, and the results of the pre-tests showed that when SCP accounted for too large a proportion of the SCP replaced pea protein as the main protein substrate of the extruded product, and that such a product could no longer satisfy the requirements of meat analogs from the point of view of organoleptic and textural aspects, and therefore we finally decided to add a small amount of SCP to join the PPI for blending to maintain the meat analog characteristics of the product. Again, we have made this clear in the manuscript and have used the red color treatment</w:t>
      </w:r>
      <w:r>
        <w:rPr>
          <w:rFonts w:hint="eastAsia"/>
          <w:bCs/>
          <w:sz w:val="24"/>
          <w:szCs w:val="24"/>
        </w:rPr>
        <w:t>:</w:t>
      </w:r>
    </w:p>
    <w:p w14:paraId="28AD7F67" w14:textId="2D6E5750" w:rsidR="00A335CE" w:rsidRDefault="00000000">
      <w:pPr>
        <w:spacing w:line="480" w:lineRule="auto"/>
        <w:rPr>
          <w:color w:val="0000FF"/>
          <w:sz w:val="24"/>
          <w:szCs w:val="24"/>
        </w:rPr>
      </w:pPr>
      <w:r>
        <w:rPr>
          <w:color w:val="0000FF"/>
          <w:sz w:val="24"/>
          <w:szCs w:val="24"/>
        </w:rPr>
        <w:t xml:space="preserve">(Line </w:t>
      </w:r>
      <w:r>
        <w:rPr>
          <w:rFonts w:hint="eastAsia"/>
          <w:color w:val="0000FF"/>
          <w:sz w:val="24"/>
          <w:szCs w:val="24"/>
        </w:rPr>
        <w:t>13</w:t>
      </w:r>
      <w:r w:rsidR="00B451F2">
        <w:rPr>
          <w:rFonts w:hint="eastAsia"/>
          <w:color w:val="0000FF"/>
          <w:sz w:val="24"/>
          <w:szCs w:val="24"/>
        </w:rPr>
        <w:t>6</w:t>
      </w:r>
      <w:r>
        <w:rPr>
          <w:color w:val="0000FF"/>
          <w:sz w:val="24"/>
          <w:szCs w:val="24"/>
        </w:rPr>
        <w:t>-</w:t>
      </w:r>
      <w:r>
        <w:rPr>
          <w:rFonts w:hint="eastAsia"/>
          <w:color w:val="0000FF"/>
          <w:sz w:val="24"/>
          <w:szCs w:val="24"/>
        </w:rPr>
        <w:t>1</w:t>
      </w:r>
      <w:r w:rsidR="00B451F2">
        <w:rPr>
          <w:rFonts w:hint="eastAsia"/>
          <w:color w:val="0000FF"/>
          <w:sz w:val="24"/>
          <w:szCs w:val="24"/>
        </w:rPr>
        <w:t>39</w:t>
      </w:r>
      <w:r>
        <w:rPr>
          <w:color w:val="0000FF"/>
          <w:sz w:val="24"/>
          <w:szCs w:val="24"/>
        </w:rPr>
        <w:t xml:space="preserve"> in the new revised manuscript)</w:t>
      </w:r>
    </w:p>
    <w:p w14:paraId="06E3C5BD" w14:textId="77777777" w:rsidR="00B451F2" w:rsidRDefault="00B451F2">
      <w:pPr>
        <w:spacing w:line="480" w:lineRule="auto"/>
        <w:rPr>
          <w:bCs/>
          <w:sz w:val="24"/>
          <w:szCs w:val="24"/>
        </w:rPr>
      </w:pPr>
      <w:r w:rsidRPr="00B451F2">
        <w:rPr>
          <w:bCs/>
          <w:sz w:val="24"/>
          <w:szCs w:val="24"/>
        </w:rPr>
        <w:t xml:space="preserve">The protein blends employed in the study comprised SCP and PPI, which were blended for 20 minutes using a blender (Kele Machinery Equipment Co., Ltd., Zhengzhou, China). Samples of varying concentrations were prepared. </w:t>
      </w:r>
      <w:r w:rsidRPr="00B451F2">
        <w:rPr>
          <w:bCs/>
          <w:color w:val="FF0000"/>
          <w:sz w:val="24"/>
          <w:szCs w:val="24"/>
        </w:rPr>
        <w:t>SCP and PPI were mixed at different mass ratios (w/w), and after a number of preliminary pre-tests, it was finalized that SCP accounted for 0%, 3%, 6%, 9%, 12% and 15% of the total mixture, respectively. The PPI was utilized as the control sample (CK).</w:t>
      </w:r>
    </w:p>
    <w:p w14:paraId="6E519B9B" w14:textId="651F8FFD" w:rsidR="00A335CE" w:rsidRDefault="00000000">
      <w:pPr>
        <w:spacing w:line="480" w:lineRule="auto"/>
        <w:rPr>
          <w:b/>
          <w:sz w:val="24"/>
          <w:szCs w:val="24"/>
        </w:rPr>
      </w:pPr>
      <w:r>
        <w:rPr>
          <w:b/>
          <w:color w:val="0070C0"/>
          <w:sz w:val="24"/>
          <w:szCs w:val="24"/>
        </w:rPr>
        <w:t>Comment</w:t>
      </w:r>
      <w:r>
        <w:rPr>
          <w:rFonts w:hint="eastAsia"/>
          <w:b/>
          <w:color w:val="0070C0"/>
          <w:sz w:val="24"/>
          <w:szCs w:val="24"/>
        </w:rPr>
        <w:t xml:space="preserve"> 3</w:t>
      </w:r>
      <w:r>
        <w:rPr>
          <w:b/>
          <w:color w:val="0070C0"/>
          <w:sz w:val="24"/>
          <w:szCs w:val="24"/>
        </w:rPr>
        <w:t>:</w:t>
      </w:r>
      <w:r>
        <w:rPr>
          <w:rFonts w:hint="eastAsia"/>
          <w:b/>
          <w:color w:val="0070C0"/>
          <w:sz w:val="24"/>
          <w:szCs w:val="24"/>
        </w:rPr>
        <w:t xml:space="preserve"> </w:t>
      </w:r>
      <w:r>
        <w:rPr>
          <w:bCs/>
          <w:sz w:val="24"/>
          <w:szCs w:val="24"/>
        </w:rPr>
        <w:t>Line 285: The use of ascending and descending superscript letters to denote statistical differences in Table 2 is confusing. Consider adopting a consistent direction (e.g., all ascending or all descending) to improve clarity for the reader.</w:t>
      </w:r>
    </w:p>
    <w:p w14:paraId="4BCB6D1D" w14:textId="77777777" w:rsidR="00A335CE" w:rsidRDefault="00000000">
      <w:pPr>
        <w:spacing w:line="480" w:lineRule="auto"/>
        <w:rPr>
          <w:color w:val="000000"/>
          <w:sz w:val="24"/>
          <w:szCs w:val="24"/>
        </w:rPr>
      </w:pPr>
      <w:r>
        <w:rPr>
          <w:b/>
          <w:sz w:val="24"/>
          <w:szCs w:val="24"/>
          <w:u w:val="single"/>
        </w:rPr>
        <w:t>Authors Response:</w:t>
      </w:r>
      <w:r>
        <w:rPr>
          <w:color w:val="000000"/>
          <w:sz w:val="24"/>
          <w:szCs w:val="24"/>
        </w:rPr>
        <w:t xml:space="preserve"> We sincerely thank you for taking time to read the article and give us your comments.</w:t>
      </w:r>
      <w:r>
        <w:t xml:space="preserve"> </w:t>
      </w:r>
      <w:r>
        <w:rPr>
          <w:color w:val="000000"/>
          <w:sz w:val="24"/>
          <w:szCs w:val="24"/>
        </w:rPr>
        <w:t xml:space="preserve">We are very sorry for the slip up in labeling the statistical differences </w:t>
      </w:r>
      <w:r>
        <w:rPr>
          <w:color w:val="000000"/>
          <w:sz w:val="24"/>
          <w:szCs w:val="24"/>
        </w:rPr>
        <w:lastRenderedPageBreak/>
        <w:t>in Table 2, we have now corrected it so that the labeling of the statistical differences throughout Table 2 shows a uniform trend, thank you again for your comments. Below is the revised table, and the same changes have been presented in line 284 of the manuscript.</w:t>
      </w:r>
    </w:p>
    <w:p w14:paraId="5625C946" w14:textId="77777777" w:rsidR="00A335CE" w:rsidRDefault="00000000">
      <w:pPr>
        <w:spacing w:line="480" w:lineRule="auto"/>
        <w:jc w:val="center"/>
        <w:rPr>
          <w:color w:val="FF0000"/>
          <w:sz w:val="24"/>
          <w:szCs w:val="24"/>
        </w:rPr>
      </w:pPr>
      <w:r>
        <w:rPr>
          <w:color w:val="FF0000"/>
          <w:sz w:val="24"/>
          <w:szCs w:val="24"/>
        </w:rPr>
        <w:t>Table 2. Effect of different SCP addition ratios on the texture characteristics of extruded materials</w:t>
      </w:r>
    </w:p>
    <w:tbl>
      <w:tblPr>
        <w:tblStyle w:val="af4"/>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7"/>
        <w:gridCol w:w="285"/>
        <w:gridCol w:w="990"/>
        <w:gridCol w:w="1276"/>
        <w:gridCol w:w="1133"/>
        <w:gridCol w:w="1048"/>
        <w:gridCol w:w="1219"/>
        <w:gridCol w:w="1218"/>
      </w:tblGrid>
      <w:tr w:rsidR="00A335CE" w14:paraId="2322A71D" w14:textId="77777777">
        <w:trPr>
          <w:jc w:val="center"/>
        </w:trPr>
        <w:tc>
          <w:tcPr>
            <w:tcW w:w="855" w:type="pct"/>
            <w:gridSpan w:val="2"/>
            <w:tcBorders>
              <w:top w:val="single" w:sz="12" w:space="0" w:color="auto"/>
            </w:tcBorders>
            <w:shd w:val="clear" w:color="auto" w:fill="auto"/>
            <w:vAlign w:val="center"/>
          </w:tcPr>
          <w:p w14:paraId="02A7772C" w14:textId="77777777" w:rsidR="00A335CE" w:rsidRDefault="00000000">
            <w:pPr>
              <w:pStyle w:val="a5"/>
              <w:jc w:val="center"/>
              <w:rPr>
                <w:sz w:val="16"/>
                <w:szCs w:val="15"/>
              </w:rPr>
            </w:pPr>
            <w:bookmarkStart w:id="16" w:name="_Hlk193205644"/>
            <w:r>
              <w:rPr>
                <w:sz w:val="16"/>
                <w:szCs w:val="15"/>
              </w:rPr>
              <w:t>Addition of SCP</w:t>
            </w:r>
          </w:p>
        </w:tc>
        <w:tc>
          <w:tcPr>
            <w:tcW w:w="596" w:type="pct"/>
            <w:tcBorders>
              <w:top w:val="single" w:sz="12" w:space="0" w:color="auto"/>
            </w:tcBorders>
            <w:shd w:val="clear" w:color="auto" w:fill="auto"/>
            <w:vAlign w:val="center"/>
          </w:tcPr>
          <w:p w14:paraId="6D93864F" w14:textId="77777777" w:rsidR="00A335CE" w:rsidRDefault="00000000">
            <w:pPr>
              <w:pStyle w:val="a5"/>
              <w:jc w:val="center"/>
              <w:rPr>
                <w:sz w:val="16"/>
                <w:szCs w:val="15"/>
              </w:rPr>
            </w:pPr>
            <w:r>
              <w:rPr>
                <w:rFonts w:hint="eastAsia"/>
                <w:sz w:val="16"/>
                <w:szCs w:val="15"/>
              </w:rPr>
              <w:t>Hardness</w:t>
            </w:r>
          </w:p>
        </w:tc>
        <w:tc>
          <w:tcPr>
            <w:tcW w:w="768" w:type="pct"/>
            <w:tcBorders>
              <w:top w:val="single" w:sz="12" w:space="0" w:color="auto"/>
            </w:tcBorders>
            <w:shd w:val="clear" w:color="auto" w:fill="auto"/>
            <w:vAlign w:val="center"/>
          </w:tcPr>
          <w:p w14:paraId="4F946ECD" w14:textId="77777777" w:rsidR="00A335CE" w:rsidRDefault="00000000">
            <w:pPr>
              <w:pStyle w:val="a5"/>
              <w:jc w:val="center"/>
              <w:rPr>
                <w:color w:val="FF0000"/>
                <w:sz w:val="16"/>
                <w:szCs w:val="15"/>
              </w:rPr>
            </w:pPr>
            <w:r>
              <w:rPr>
                <w:rFonts w:hint="eastAsia"/>
                <w:color w:val="FF0000"/>
                <w:sz w:val="16"/>
                <w:szCs w:val="15"/>
              </w:rPr>
              <w:t>A</w:t>
            </w:r>
            <w:r>
              <w:rPr>
                <w:color w:val="FF0000"/>
                <w:sz w:val="16"/>
                <w:szCs w:val="15"/>
              </w:rPr>
              <w:t>dhesiveness</w:t>
            </w:r>
          </w:p>
        </w:tc>
        <w:tc>
          <w:tcPr>
            <w:tcW w:w="682" w:type="pct"/>
            <w:tcBorders>
              <w:top w:val="single" w:sz="12" w:space="0" w:color="auto"/>
            </w:tcBorders>
            <w:shd w:val="clear" w:color="auto" w:fill="auto"/>
            <w:vAlign w:val="center"/>
          </w:tcPr>
          <w:p w14:paraId="0C6B80D3" w14:textId="77777777" w:rsidR="00A335CE" w:rsidRDefault="00000000">
            <w:pPr>
              <w:pStyle w:val="a5"/>
              <w:jc w:val="center"/>
              <w:rPr>
                <w:sz w:val="16"/>
                <w:szCs w:val="15"/>
              </w:rPr>
            </w:pPr>
            <w:r>
              <w:rPr>
                <w:sz w:val="16"/>
                <w:szCs w:val="15"/>
              </w:rPr>
              <w:t>Resilience</w:t>
            </w:r>
          </w:p>
        </w:tc>
        <w:tc>
          <w:tcPr>
            <w:tcW w:w="631" w:type="pct"/>
            <w:tcBorders>
              <w:top w:val="single" w:sz="12" w:space="0" w:color="auto"/>
            </w:tcBorders>
            <w:shd w:val="clear" w:color="auto" w:fill="auto"/>
            <w:vAlign w:val="center"/>
          </w:tcPr>
          <w:p w14:paraId="1339C3AC" w14:textId="77777777" w:rsidR="00A335CE" w:rsidRDefault="00000000">
            <w:pPr>
              <w:pStyle w:val="a5"/>
              <w:jc w:val="center"/>
              <w:rPr>
                <w:sz w:val="16"/>
                <w:szCs w:val="15"/>
              </w:rPr>
            </w:pPr>
            <w:r>
              <w:rPr>
                <w:sz w:val="16"/>
                <w:szCs w:val="15"/>
              </w:rPr>
              <w:t>Springiness</w:t>
            </w:r>
          </w:p>
        </w:tc>
        <w:tc>
          <w:tcPr>
            <w:tcW w:w="734" w:type="pct"/>
            <w:tcBorders>
              <w:top w:val="single" w:sz="12" w:space="0" w:color="auto"/>
            </w:tcBorders>
            <w:shd w:val="clear" w:color="auto" w:fill="auto"/>
            <w:vAlign w:val="center"/>
          </w:tcPr>
          <w:p w14:paraId="2A14469F" w14:textId="77777777" w:rsidR="00A335CE" w:rsidRDefault="00000000">
            <w:pPr>
              <w:pStyle w:val="a5"/>
              <w:jc w:val="center"/>
              <w:rPr>
                <w:sz w:val="16"/>
                <w:szCs w:val="15"/>
              </w:rPr>
            </w:pPr>
            <w:r>
              <w:rPr>
                <w:rFonts w:hint="eastAsia"/>
                <w:sz w:val="16"/>
                <w:szCs w:val="15"/>
              </w:rPr>
              <w:t>G</w:t>
            </w:r>
            <w:r>
              <w:rPr>
                <w:sz w:val="16"/>
                <w:szCs w:val="15"/>
              </w:rPr>
              <w:t>umminess</w:t>
            </w:r>
          </w:p>
        </w:tc>
        <w:tc>
          <w:tcPr>
            <w:tcW w:w="733" w:type="pct"/>
            <w:tcBorders>
              <w:top w:val="single" w:sz="12" w:space="0" w:color="auto"/>
            </w:tcBorders>
            <w:shd w:val="clear" w:color="auto" w:fill="auto"/>
            <w:vAlign w:val="center"/>
          </w:tcPr>
          <w:p w14:paraId="66E610E2" w14:textId="77777777" w:rsidR="00A335CE" w:rsidRDefault="00000000">
            <w:pPr>
              <w:pStyle w:val="a5"/>
              <w:jc w:val="center"/>
              <w:rPr>
                <w:sz w:val="16"/>
                <w:szCs w:val="15"/>
              </w:rPr>
            </w:pPr>
            <w:r>
              <w:rPr>
                <w:sz w:val="16"/>
                <w:szCs w:val="15"/>
              </w:rPr>
              <w:t>Chewiness</w:t>
            </w:r>
          </w:p>
        </w:tc>
      </w:tr>
      <w:tr w:rsidR="00A335CE" w14:paraId="3236E6C2" w14:textId="77777777">
        <w:trPr>
          <w:jc w:val="center"/>
        </w:trPr>
        <w:tc>
          <w:tcPr>
            <w:tcW w:w="684" w:type="pct"/>
            <w:tcBorders>
              <w:bottom w:val="single" w:sz="6" w:space="0" w:color="auto"/>
            </w:tcBorders>
            <w:shd w:val="clear" w:color="auto" w:fill="auto"/>
            <w:vAlign w:val="center"/>
          </w:tcPr>
          <w:p w14:paraId="0371C46D" w14:textId="77777777" w:rsidR="00A335CE" w:rsidRDefault="00000000">
            <w:pPr>
              <w:pStyle w:val="a5"/>
              <w:ind w:firstLine="480"/>
              <w:jc w:val="center"/>
              <w:rPr>
                <w:sz w:val="16"/>
                <w:szCs w:val="15"/>
              </w:rPr>
            </w:pPr>
            <w:r>
              <w:rPr>
                <w:rFonts w:hint="eastAsia"/>
                <w:sz w:val="16"/>
                <w:szCs w:val="15"/>
              </w:rPr>
              <w:t>%</w:t>
            </w:r>
          </w:p>
        </w:tc>
        <w:tc>
          <w:tcPr>
            <w:tcW w:w="767" w:type="pct"/>
            <w:gridSpan w:val="2"/>
            <w:tcBorders>
              <w:bottom w:val="single" w:sz="6" w:space="0" w:color="auto"/>
            </w:tcBorders>
            <w:shd w:val="clear" w:color="auto" w:fill="auto"/>
            <w:vAlign w:val="center"/>
          </w:tcPr>
          <w:p w14:paraId="3E89489D" w14:textId="77777777" w:rsidR="00A335CE" w:rsidRDefault="00000000">
            <w:pPr>
              <w:pStyle w:val="a5"/>
              <w:ind w:firstLine="480"/>
              <w:jc w:val="center"/>
              <w:rPr>
                <w:sz w:val="16"/>
                <w:szCs w:val="15"/>
              </w:rPr>
            </w:pPr>
            <w:r>
              <w:rPr>
                <w:sz w:val="16"/>
                <w:szCs w:val="15"/>
              </w:rPr>
              <w:t>N</w:t>
            </w:r>
          </w:p>
        </w:tc>
        <w:tc>
          <w:tcPr>
            <w:tcW w:w="768" w:type="pct"/>
            <w:tcBorders>
              <w:bottom w:val="single" w:sz="6" w:space="0" w:color="auto"/>
            </w:tcBorders>
            <w:shd w:val="clear" w:color="auto" w:fill="auto"/>
            <w:vAlign w:val="center"/>
          </w:tcPr>
          <w:p w14:paraId="33B37FA9" w14:textId="77777777" w:rsidR="00A335CE" w:rsidRDefault="00000000">
            <w:pPr>
              <w:pStyle w:val="a5"/>
              <w:ind w:firstLine="480"/>
              <w:rPr>
                <w:color w:val="FF0000"/>
                <w:sz w:val="16"/>
                <w:szCs w:val="15"/>
              </w:rPr>
            </w:pPr>
            <w:r>
              <w:rPr>
                <w:color w:val="FF0000"/>
                <w:sz w:val="16"/>
                <w:szCs w:val="15"/>
              </w:rPr>
              <w:t>N·s</w:t>
            </w:r>
          </w:p>
        </w:tc>
        <w:tc>
          <w:tcPr>
            <w:tcW w:w="682" w:type="pct"/>
            <w:tcBorders>
              <w:bottom w:val="single" w:sz="6" w:space="0" w:color="auto"/>
            </w:tcBorders>
            <w:shd w:val="clear" w:color="auto" w:fill="auto"/>
            <w:vAlign w:val="center"/>
          </w:tcPr>
          <w:p w14:paraId="08353AF5" w14:textId="77777777" w:rsidR="00A335CE" w:rsidRDefault="00000000">
            <w:pPr>
              <w:pStyle w:val="a5"/>
              <w:ind w:firstLine="480"/>
              <w:rPr>
                <w:sz w:val="16"/>
                <w:szCs w:val="15"/>
              </w:rPr>
            </w:pPr>
            <w:r>
              <w:rPr>
                <w:sz w:val="16"/>
                <w:szCs w:val="15"/>
              </w:rPr>
              <w:t>%</w:t>
            </w:r>
          </w:p>
        </w:tc>
        <w:tc>
          <w:tcPr>
            <w:tcW w:w="631" w:type="pct"/>
            <w:tcBorders>
              <w:bottom w:val="single" w:sz="6" w:space="0" w:color="auto"/>
            </w:tcBorders>
            <w:shd w:val="clear" w:color="auto" w:fill="auto"/>
            <w:vAlign w:val="center"/>
          </w:tcPr>
          <w:p w14:paraId="7D238432" w14:textId="77777777" w:rsidR="00A335CE" w:rsidRDefault="00000000">
            <w:pPr>
              <w:pStyle w:val="a5"/>
              <w:ind w:firstLine="480"/>
              <w:rPr>
                <w:sz w:val="16"/>
                <w:szCs w:val="15"/>
              </w:rPr>
            </w:pPr>
            <w:r>
              <w:rPr>
                <w:sz w:val="16"/>
                <w:szCs w:val="15"/>
              </w:rPr>
              <w:t>%</w:t>
            </w:r>
          </w:p>
        </w:tc>
        <w:tc>
          <w:tcPr>
            <w:tcW w:w="734" w:type="pct"/>
            <w:tcBorders>
              <w:bottom w:val="single" w:sz="6" w:space="0" w:color="auto"/>
            </w:tcBorders>
            <w:shd w:val="clear" w:color="auto" w:fill="auto"/>
            <w:vAlign w:val="center"/>
          </w:tcPr>
          <w:p w14:paraId="56935F09" w14:textId="77777777" w:rsidR="00A335CE" w:rsidRDefault="00A335CE">
            <w:pPr>
              <w:pStyle w:val="a5"/>
              <w:ind w:firstLine="480"/>
              <w:jc w:val="center"/>
              <w:rPr>
                <w:sz w:val="16"/>
                <w:szCs w:val="15"/>
              </w:rPr>
            </w:pPr>
          </w:p>
        </w:tc>
        <w:tc>
          <w:tcPr>
            <w:tcW w:w="733" w:type="pct"/>
            <w:tcBorders>
              <w:bottom w:val="single" w:sz="6" w:space="0" w:color="auto"/>
            </w:tcBorders>
            <w:shd w:val="clear" w:color="auto" w:fill="auto"/>
            <w:vAlign w:val="center"/>
          </w:tcPr>
          <w:p w14:paraId="6EB1B342" w14:textId="77777777" w:rsidR="00A335CE" w:rsidRDefault="00A335CE">
            <w:pPr>
              <w:pStyle w:val="a5"/>
              <w:ind w:firstLine="480"/>
              <w:jc w:val="center"/>
              <w:rPr>
                <w:sz w:val="16"/>
                <w:szCs w:val="15"/>
              </w:rPr>
            </w:pPr>
          </w:p>
        </w:tc>
      </w:tr>
      <w:tr w:rsidR="00A335CE" w14:paraId="16441665" w14:textId="77777777">
        <w:trPr>
          <w:jc w:val="center"/>
        </w:trPr>
        <w:tc>
          <w:tcPr>
            <w:tcW w:w="684" w:type="pct"/>
            <w:tcBorders>
              <w:top w:val="single" w:sz="6" w:space="0" w:color="auto"/>
            </w:tcBorders>
            <w:shd w:val="clear" w:color="auto" w:fill="auto"/>
            <w:vAlign w:val="center"/>
          </w:tcPr>
          <w:p w14:paraId="7F3F7D02" w14:textId="77777777" w:rsidR="00A335CE" w:rsidRDefault="00000000">
            <w:pPr>
              <w:pStyle w:val="a5"/>
              <w:jc w:val="center"/>
              <w:rPr>
                <w:sz w:val="16"/>
                <w:szCs w:val="15"/>
              </w:rPr>
            </w:pPr>
            <w:r>
              <w:rPr>
                <w:sz w:val="16"/>
                <w:szCs w:val="15"/>
              </w:rPr>
              <w:t>CK</w:t>
            </w:r>
          </w:p>
        </w:tc>
        <w:tc>
          <w:tcPr>
            <w:tcW w:w="767" w:type="pct"/>
            <w:gridSpan w:val="2"/>
            <w:tcBorders>
              <w:top w:val="single" w:sz="6" w:space="0" w:color="auto"/>
            </w:tcBorders>
            <w:shd w:val="clear" w:color="auto" w:fill="auto"/>
            <w:vAlign w:val="center"/>
          </w:tcPr>
          <w:p w14:paraId="41ABC271" w14:textId="77777777" w:rsidR="00A335CE" w:rsidRDefault="00000000">
            <w:pPr>
              <w:pStyle w:val="a5"/>
              <w:rPr>
                <w:sz w:val="16"/>
                <w:szCs w:val="15"/>
              </w:rPr>
            </w:pPr>
            <w:r>
              <w:rPr>
                <w:sz w:val="16"/>
                <w:szCs w:val="15"/>
              </w:rPr>
              <w:t>97.41±1.13</w:t>
            </w:r>
            <w:r>
              <w:rPr>
                <w:sz w:val="16"/>
                <w:szCs w:val="15"/>
                <w:vertAlign w:val="superscript"/>
              </w:rPr>
              <w:t>a</w:t>
            </w:r>
          </w:p>
        </w:tc>
        <w:tc>
          <w:tcPr>
            <w:tcW w:w="768" w:type="pct"/>
            <w:tcBorders>
              <w:top w:val="single" w:sz="6" w:space="0" w:color="auto"/>
            </w:tcBorders>
            <w:shd w:val="clear" w:color="auto" w:fill="auto"/>
            <w:vAlign w:val="center"/>
          </w:tcPr>
          <w:p w14:paraId="754F47AF" w14:textId="77777777" w:rsidR="00A335CE" w:rsidRDefault="00000000">
            <w:pPr>
              <w:pStyle w:val="a5"/>
              <w:rPr>
                <w:color w:val="FF0000"/>
                <w:sz w:val="16"/>
                <w:szCs w:val="15"/>
                <w:lang w:eastAsia="zh-CN"/>
              </w:rPr>
            </w:pPr>
            <w:r>
              <w:rPr>
                <w:color w:val="FF0000"/>
                <w:sz w:val="16"/>
                <w:szCs w:val="15"/>
              </w:rPr>
              <w:t>0.92±0.23</w:t>
            </w:r>
            <w:r>
              <w:rPr>
                <w:rFonts w:hint="eastAsia"/>
                <w:color w:val="FF0000"/>
                <w:sz w:val="16"/>
                <w:szCs w:val="15"/>
                <w:vertAlign w:val="superscript"/>
                <w:lang w:eastAsia="zh-CN"/>
              </w:rPr>
              <w:t>a</w:t>
            </w:r>
          </w:p>
        </w:tc>
        <w:tc>
          <w:tcPr>
            <w:tcW w:w="682" w:type="pct"/>
            <w:tcBorders>
              <w:top w:val="single" w:sz="6" w:space="0" w:color="auto"/>
            </w:tcBorders>
            <w:shd w:val="clear" w:color="auto" w:fill="auto"/>
            <w:vAlign w:val="center"/>
          </w:tcPr>
          <w:p w14:paraId="7D7DEE38" w14:textId="77777777" w:rsidR="00A335CE" w:rsidRDefault="00000000">
            <w:pPr>
              <w:pStyle w:val="a5"/>
              <w:rPr>
                <w:sz w:val="16"/>
                <w:szCs w:val="15"/>
              </w:rPr>
            </w:pPr>
            <w:r>
              <w:rPr>
                <w:sz w:val="16"/>
                <w:szCs w:val="15"/>
              </w:rPr>
              <w:t>36.33±0.44</w:t>
            </w:r>
            <w:r>
              <w:rPr>
                <w:sz w:val="16"/>
                <w:szCs w:val="15"/>
                <w:vertAlign w:val="superscript"/>
              </w:rPr>
              <w:t>a</w:t>
            </w:r>
          </w:p>
        </w:tc>
        <w:tc>
          <w:tcPr>
            <w:tcW w:w="631" w:type="pct"/>
            <w:tcBorders>
              <w:top w:val="single" w:sz="6" w:space="0" w:color="auto"/>
            </w:tcBorders>
            <w:shd w:val="clear" w:color="auto" w:fill="auto"/>
            <w:vAlign w:val="center"/>
          </w:tcPr>
          <w:p w14:paraId="6328DF0A" w14:textId="77777777" w:rsidR="00A335CE" w:rsidRDefault="00000000">
            <w:pPr>
              <w:pStyle w:val="a5"/>
              <w:rPr>
                <w:sz w:val="16"/>
                <w:szCs w:val="15"/>
              </w:rPr>
            </w:pPr>
            <w:r>
              <w:rPr>
                <w:sz w:val="16"/>
                <w:szCs w:val="15"/>
              </w:rPr>
              <w:t>92.16±1.20</w:t>
            </w:r>
            <w:r>
              <w:rPr>
                <w:sz w:val="16"/>
                <w:szCs w:val="15"/>
                <w:vertAlign w:val="superscript"/>
              </w:rPr>
              <w:t>a</w:t>
            </w:r>
          </w:p>
        </w:tc>
        <w:tc>
          <w:tcPr>
            <w:tcW w:w="734" w:type="pct"/>
            <w:tcBorders>
              <w:top w:val="single" w:sz="6" w:space="0" w:color="auto"/>
            </w:tcBorders>
            <w:shd w:val="clear" w:color="auto" w:fill="auto"/>
            <w:vAlign w:val="center"/>
          </w:tcPr>
          <w:p w14:paraId="320176D9" w14:textId="77777777" w:rsidR="00A335CE" w:rsidRDefault="00000000">
            <w:pPr>
              <w:pStyle w:val="a5"/>
              <w:rPr>
                <w:sz w:val="16"/>
                <w:szCs w:val="15"/>
              </w:rPr>
            </w:pPr>
            <w:r>
              <w:rPr>
                <w:sz w:val="16"/>
                <w:szCs w:val="15"/>
              </w:rPr>
              <w:t>75.36±1.19</w:t>
            </w:r>
            <w:r>
              <w:rPr>
                <w:sz w:val="16"/>
                <w:szCs w:val="15"/>
                <w:vertAlign w:val="superscript"/>
              </w:rPr>
              <w:t>a</w:t>
            </w:r>
          </w:p>
        </w:tc>
        <w:tc>
          <w:tcPr>
            <w:tcW w:w="733" w:type="pct"/>
            <w:tcBorders>
              <w:top w:val="single" w:sz="6" w:space="0" w:color="auto"/>
            </w:tcBorders>
            <w:shd w:val="clear" w:color="auto" w:fill="auto"/>
            <w:vAlign w:val="center"/>
          </w:tcPr>
          <w:p w14:paraId="7D39321A" w14:textId="77777777" w:rsidR="00A335CE" w:rsidRDefault="00000000">
            <w:pPr>
              <w:pStyle w:val="a5"/>
              <w:rPr>
                <w:sz w:val="16"/>
                <w:szCs w:val="15"/>
              </w:rPr>
            </w:pPr>
            <w:r>
              <w:rPr>
                <w:sz w:val="16"/>
                <w:szCs w:val="15"/>
              </w:rPr>
              <w:t>69.45±1.91</w:t>
            </w:r>
            <w:r>
              <w:rPr>
                <w:sz w:val="16"/>
                <w:szCs w:val="15"/>
                <w:vertAlign w:val="superscript"/>
              </w:rPr>
              <w:t>a</w:t>
            </w:r>
          </w:p>
        </w:tc>
      </w:tr>
      <w:tr w:rsidR="00A335CE" w14:paraId="427B228D" w14:textId="77777777">
        <w:trPr>
          <w:jc w:val="center"/>
        </w:trPr>
        <w:tc>
          <w:tcPr>
            <w:tcW w:w="684" w:type="pct"/>
            <w:shd w:val="clear" w:color="auto" w:fill="auto"/>
            <w:vAlign w:val="center"/>
          </w:tcPr>
          <w:p w14:paraId="4D1BD969" w14:textId="77777777" w:rsidR="00A335CE" w:rsidRDefault="00000000">
            <w:pPr>
              <w:pStyle w:val="a5"/>
              <w:jc w:val="center"/>
              <w:rPr>
                <w:sz w:val="16"/>
                <w:szCs w:val="15"/>
              </w:rPr>
            </w:pPr>
            <w:r>
              <w:rPr>
                <w:sz w:val="16"/>
                <w:szCs w:val="15"/>
              </w:rPr>
              <w:t>3</w:t>
            </w:r>
          </w:p>
        </w:tc>
        <w:tc>
          <w:tcPr>
            <w:tcW w:w="767" w:type="pct"/>
            <w:gridSpan w:val="2"/>
            <w:shd w:val="clear" w:color="auto" w:fill="auto"/>
            <w:vAlign w:val="center"/>
          </w:tcPr>
          <w:p w14:paraId="40707E3E" w14:textId="77777777" w:rsidR="00A335CE" w:rsidRDefault="00000000">
            <w:pPr>
              <w:pStyle w:val="a5"/>
              <w:rPr>
                <w:sz w:val="16"/>
                <w:szCs w:val="15"/>
              </w:rPr>
            </w:pPr>
            <w:r>
              <w:rPr>
                <w:sz w:val="16"/>
                <w:szCs w:val="15"/>
              </w:rPr>
              <w:t>97.12±3.95</w:t>
            </w:r>
            <w:r>
              <w:rPr>
                <w:sz w:val="16"/>
                <w:szCs w:val="15"/>
                <w:vertAlign w:val="superscript"/>
              </w:rPr>
              <w:t>a</w:t>
            </w:r>
          </w:p>
        </w:tc>
        <w:tc>
          <w:tcPr>
            <w:tcW w:w="768" w:type="pct"/>
            <w:shd w:val="clear" w:color="auto" w:fill="auto"/>
            <w:vAlign w:val="center"/>
          </w:tcPr>
          <w:p w14:paraId="36A7D5FC" w14:textId="77777777" w:rsidR="00A335CE" w:rsidRDefault="00000000">
            <w:pPr>
              <w:pStyle w:val="a5"/>
              <w:rPr>
                <w:color w:val="FF0000"/>
                <w:sz w:val="16"/>
                <w:szCs w:val="15"/>
                <w:lang w:eastAsia="zh-CN"/>
              </w:rPr>
            </w:pPr>
            <w:r>
              <w:rPr>
                <w:color w:val="FF0000"/>
                <w:sz w:val="16"/>
                <w:szCs w:val="15"/>
              </w:rPr>
              <w:t>1.10±0.34</w:t>
            </w:r>
            <w:r>
              <w:rPr>
                <w:rFonts w:hint="eastAsia"/>
                <w:color w:val="FF0000"/>
                <w:sz w:val="16"/>
                <w:szCs w:val="15"/>
                <w:vertAlign w:val="superscript"/>
                <w:lang w:eastAsia="zh-CN"/>
              </w:rPr>
              <w:t>a</w:t>
            </w:r>
          </w:p>
        </w:tc>
        <w:tc>
          <w:tcPr>
            <w:tcW w:w="682" w:type="pct"/>
            <w:shd w:val="clear" w:color="auto" w:fill="auto"/>
            <w:vAlign w:val="center"/>
          </w:tcPr>
          <w:p w14:paraId="5FC8E6A2" w14:textId="77777777" w:rsidR="00A335CE" w:rsidRDefault="00000000">
            <w:pPr>
              <w:pStyle w:val="a5"/>
              <w:rPr>
                <w:sz w:val="16"/>
                <w:szCs w:val="15"/>
              </w:rPr>
            </w:pPr>
            <w:r>
              <w:rPr>
                <w:sz w:val="16"/>
                <w:szCs w:val="15"/>
              </w:rPr>
              <w:t>35.57±1.06</w:t>
            </w:r>
            <w:r>
              <w:rPr>
                <w:sz w:val="16"/>
                <w:szCs w:val="15"/>
                <w:vertAlign w:val="superscript"/>
              </w:rPr>
              <w:t>a,b</w:t>
            </w:r>
          </w:p>
        </w:tc>
        <w:tc>
          <w:tcPr>
            <w:tcW w:w="631" w:type="pct"/>
            <w:shd w:val="clear" w:color="auto" w:fill="auto"/>
            <w:vAlign w:val="center"/>
          </w:tcPr>
          <w:p w14:paraId="3944B6A2" w14:textId="77777777" w:rsidR="00A335CE" w:rsidRDefault="00000000">
            <w:pPr>
              <w:pStyle w:val="a5"/>
              <w:rPr>
                <w:sz w:val="16"/>
                <w:szCs w:val="15"/>
              </w:rPr>
            </w:pPr>
            <w:r>
              <w:rPr>
                <w:sz w:val="16"/>
                <w:szCs w:val="15"/>
              </w:rPr>
              <w:t>89.64±2.77</w:t>
            </w:r>
            <w:r>
              <w:rPr>
                <w:sz w:val="16"/>
                <w:szCs w:val="15"/>
                <w:vertAlign w:val="superscript"/>
              </w:rPr>
              <w:t>a</w:t>
            </w:r>
          </w:p>
        </w:tc>
        <w:tc>
          <w:tcPr>
            <w:tcW w:w="734" w:type="pct"/>
            <w:shd w:val="clear" w:color="auto" w:fill="auto"/>
            <w:vAlign w:val="center"/>
          </w:tcPr>
          <w:p w14:paraId="1C1F4044" w14:textId="77777777" w:rsidR="00A335CE" w:rsidRDefault="00000000">
            <w:pPr>
              <w:pStyle w:val="a5"/>
              <w:rPr>
                <w:sz w:val="16"/>
                <w:szCs w:val="15"/>
              </w:rPr>
            </w:pPr>
            <w:r>
              <w:rPr>
                <w:sz w:val="16"/>
                <w:szCs w:val="15"/>
              </w:rPr>
              <w:t>74.26±2.10</w:t>
            </w:r>
            <w:r>
              <w:rPr>
                <w:sz w:val="16"/>
                <w:szCs w:val="15"/>
                <w:vertAlign w:val="superscript"/>
              </w:rPr>
              <w:t>a</w:t>
            </w:r>
          </w:p>
        </w:tc>
        <w:tc>
          <w:tcPr>
            <w:tcW w:w="733" w:type="pct"/>
            <w:tcBorders>
              <w:right w:val="single" w:sz="6" w:space="0" w:color="auto"/>
            </w:tcBorders>
            <w:shd w:val="clear" w:color="auto" w:fill="auto"/>
            <w:vAlign w:val="center"/>
          </w:tcPr>
          <w:p w14:paraId="75F13B41" w14:textId="77777777" w:rsidR="00A335CE" w:rsidRDefault="00000000">
            <w:pPr>
              <w:pStyle w:val="a5"/>
              <w:rPr>
                <w:sz w:val="16"/>
                <w:szCs w:val="15"/>
              </w:rPr>
            </w:pPr>
            <w:r>
              <w:rPr>
                <w:sz w:val="16"/>
                <w:szCs w:val="15"/>
              </w:rPr>
              <w:t>66.61±3.91</w:t>
            </w:r>
            <w:r>
              <w:rPr>
                <w:sz w:val="16"/>
                <w:szCs w:val="15"/>
                <w:vertAlign w:val="superscript"/>
              </w:rPr>
              <w:t>a</w:t>
            </w:r>
          </w:p>
        </w:tc>
      </w:tr>
      <w:tr w:rsidR="00A335CE" w14:paraId="220482C8" w14:textId="77777777">
        <w:trPr>
          <w:jc w:val="center"/>
        </w:trPr>
        <w:tc>
          <w:tcPr>
            <w:tcW w:w="684" w:type="pct"/>
            <w:shd w:val="clear" w:color="auto" w:fill="auto"/>
            <w:vAlign w:val="center"/>
          </w:tcPr>
          <w:p w14:paraId="08E95178" w14:textId="77777777" w:rsidR="00A335CE" w:rsidRDefault="00000000">
            <w:pPr>
              <w:pStyle w:val="a5"/>
              <w:jc w:val="center"/>
              <w:rPr>
                <w:sz w:val="16"/>
                <w:szCs w:val="15"/>
              </w:rPr>
            </w:pPr>
            <w:r>
              <w:rPr>
                <w:sz w:val="16"/>
                <w:szCs w:val="15"/>
              </w:rPr>
              <w:t>6</w:t>
            </w:r>
          </w:p>
        </w:tc>
        <w:tc>
          <w:tcPr>
            <w:tcW w:w="767" w:type="pct"/>
            <w:gridSpan w:val="2"/>
            <w:shd w:val="clear" w:color="auto" w:fill="auto"/>
            <w:vAlign w:val="center"/>
          </w:tcPr>
          <w:p w14:paraId="79E71EB0" w14:textId="77777777" w:rsidR="00A335CE" w:rsidRDefault="00000000">
            <w:pPr>
              <w:pStyle w:val="a5"/>
              <w:rPr>
                <w:sz w:val="16"/>
                <w:szCs w:val="15"/>
              </w:rPr>
            </w:pPr>
            <w:r>
              <w:rPr>
                <w:sz w:val="16"/>
                <w:szCs w:val="15"/>
              </w:rPr>
              <w:t>89.11±0.21</w:t>
            </w:r>
            <w:r>
              <w:rPr>
                <w:sz w:val="16"/>
                <w:szCs w:val="15"/>
                <w:vertAlign w:val="superscript"/>
              </w:rPr>
              <w:t>b</w:t>
            </w:r>
          </w:p>
        </w:tc>
        <w:tc>
          <w:tcPr>
            <w:tcW w:w="768" w:type="pct"/>
            <w:shd w:val="clear" w:color="auto" w:fill="auto"/>
            <w:vAlign w:val="center"/>
          </w:tcPr>
          <w:p w14:paraId="32914BB0" w14:textId="77777777" w:rsidR="00A335CE" w:rsidRDefault="00000000">
            <w:pPr>
              <w:pStyle w:val="a5"/>
              <w:rPr>
                <w:color w:val="FF0000"/>
                <w:sz w:val="16"/>
                <w:szCs w:val="15"/>
                <w:lang w:eastAsia="zh-CN"/>
              </w:rPr>
            </w:pPr>
            <w:r>
              <w:rPr>
                <w:color w:val="FF0000"/>
                <w:sz w:val="16"/>
                <w:szCs w:val="15"/>
              </w:rPr>
              <w:t>1.02±0.12</w:t>
            </w:r>
            <w:r>
              <w:rPr>
                <w:rFonts w:hint="eastAsia"/>
                <w:color w:val="FF0000"/>
                <w:sz w:val="16"/>
                <w:szCs w:val="15"/>
                <w:vertAlign w:val="superscript"/>
                <w:lang w:eastAsia="zh-CN"/>
              </w:rPr>
              <w:t>a</w:t>
            </w:r>
          </w:p>
        </w:tc>
        <w:tc>
          <w:tcPr>
            <w:tcW w:w="682" w:type="pct"/>
            <w:shd w:val="clear" w:color="auto" w:fill="auto"/>
            <w:vAlign w:val="center"/>
          </w:tcPr>
          <w:p w14:paraId="0B115B42" w14:textId="77777777" w:rsidR="00A335CE" w:rsidRDefault="00000000">
            <w:pPr>
              <w:pStyle w:val="a5"/>
              <w:rPr>
                <w:sz w:val="16"/>
                <w:szCs w:val="15"/>
              </w:rPr>
            </w:pPr>
            <w:r>
              <w:rPr>
                <w:sz w:val="16"/>
                <w:szCs w:val="15"/>
              </w:rPr>
              <w:t>34.56±0.27</w:t>
            </w:r>
            <w:r>
              <w:rPr>
                <w:sz w:val="16"/>
                <w:szCs w:val="15"/>
                <w:vertAlign w:val="superscript"/>
              </w:rPr>
              <w:t>b,c</w:t>
            </w:r>
          </w:p>
        </w:tc>
        <w:tc>
          <w:tcPr>
            <w:tcW w:w="631" w:type="pct"/>
            <w:shd w:val="clear" w:color="auto" w:fill="auto"/>
            <w:vAlign w:val="center"/>
          </w:tcPr>
          <w:p w14:paraId="33E6AEEC" w14:textId="77777777" w:rsidR="00A335CE" w:rsidRDefault="00000000">
            <w:pPr>
              <w:pStyle w:val="a5"/>
              <w:rPr>
                <w:sz w:val="16"/>
                <w:szCs w:val="15"/>
              </w:rPr>
            </w:pPr>
            <w:r>
              <w:rPr>
                <w:sz w:val="16"/>
                <w:szCs w:val="15"/>
              </w:rPr>
              <w:t>91.75±0.60</w:t>
            </w:r>
            <w:r>
              <w:rPr>
                <w:sz w:val="16"/>
                <w:szCs w:val="15"/>
                <w:vertAlign w:val="superscript"/>
              </w:rPr>
              <w:t>a</w:t>
            </w:r>
          </w:p>
        </w:tc>
        <w:tc>
          <w:tcPr>
            <w:tcW w:w="734" w:type="pct"/>
            <w:shd w:val="clear" w:color="auto" w:fill="auto"/>
            <w:vAlign w:val="center"/>
          </w:tcPr>
          <w:p w14:paraId="33D15333" w14:textId="77777777" w:rsidR="00A335CE" w:rsidRDefault="00000000">
            <w:pPr>
              <w:pStyle w:val="a5"/>
              <w:rPr>
                <w:sz w:val="16"/>
                <w:szCs w:val="15"/>
              </w:rPr>
            </w:pPr>
            <w:r>
              <w:rPr>
                <w:sz w:val="16"/>
                <w:szCs w:val="15"/>
              </w:rPr>
              <w:t>67.16±0.71</w:t>
            </w:r>
            <w:r>
              <w:rPr>
                <w:sz w:val="16"/>
                <w:szCs w:val="15"/>
                <w:vertAlign w:val="superscript"/>
              </w:rPr>
              <w:t>b</w:t>
            </w:r>
          </w:p>
        </w:tc>
        <w:tc>
          <w:tcPr>
            <w:tcW w:w="733" w:type="pct"/>
            <w:shd w:val="clear" w:color="auto" w:fill="auto"/>
            <w:vAlign w:val="center"/>
          </w:tcPr>
          <w:p w14:paraId="00719F9A" w14:textId="77777777" w:rsidR="00A335CE" w:rsidRDefault="00000000">
            <w:pPr>
              <w:pStyle w:val="a5"/>
              <w:rPr>
                <w:sz w:val="16"/>
                <w:szCs w:val="15"/>
              </w:rPr>
            </w:pPr>
            <w:r>
              <w:rPr>
                <w:sz w:val="16"/>
                <w:szCs w:val="15"/>
              </w:rPr>
              <w:t>61.61±0.48</w:t>
            </w:r>
            <w:r>
              <w:rPr>
                <w:sz w:val="16"/>
                <w:szCs w:val="15"/>
                <w:vertAlign w:val="superscript"/>
              </w:rPr>
              <w:t>b</w:t>
            </w:r>
          </w:p>
        </w:tc>
      </w:tr>
      <w:tr w:rsidR="00A335CE" w14:paraId="6FDA2EFD" w14:textId="77777777">
        <w:trPr>
          <w:jc w:val="center"/>
        </w:trPr>
        <w:tc>
          <w:tcPr>
            <w:tcW w:w="684" w:type="pct"/>
            <w:shd w:val="clear" w:color="auto" w:fill="auto"/>
            <w:vAlign w:val="center"/>
          </w:tcPr>
          <w:p w14:paraId="2219F01A" w14:textId="77777777" w:rsidR="00A335CE" w:rsidRDefault="00000000">
            <w:pPr>
              <w:pStyle w:val="a5"/>
              <w:jc w:val="center"/>
              <w:rPr>
                <w:sz w:val="16"/>
                <w:szCs w:val="15"/>
              </w:rPr>
            </w:pPr>
            <w:r>
              <w:rPr>
                <w:sz w:val="16"/>
                <w:szCs w:val="15"/>
              </w:rPr>
              <w:t>9</w:t>
            </w:r>
          </w:p>
        </w:tc>
        <w:tc>
          <w:tcPr>
            <w:tcW w:w="767" w:type="pct"/>
            <w:gridSpan w:val="2"/>
            <w:shd w:val="clear" w:color="auto" w:fill="auto"/>
            <w:vAlign w:val="center"/>
          </w:tcPr>
          <w:p w14:paraId="581CD253" w14:textId="77777777" w:rsidR="00A335CE" w:rsidRDefault="00000000">
            <w:pPr>
              <w:pStyle w:val="a5"/>
              <w:rPr>
                <w:sz w:val="16"/>
                <w:szCs w:val="15"/>
              </w:rPr>
            </w:pPr>
            <w:r>
              <w:rPr>
                <w:sz w:val="16"/>
                <w:szCs w:val="15"/>
              </w:rPr>
              <w:t>84.39±1.39</w:t>
            </w:r>
            <w:r>
              <w:rPr>
                <w:sz w:val="16"/>
                <w:szCs w:val="15"/>
                <w:vertAlign w:val="superscript"/>
              </w:rPr>
              <w:t>c</w:t>
            </w:r>
          </w:p>
        </w:tc>
        <w:tc>
          <w:tcPr>
            <w:tcW w:w="768" w:type="pct"/>
            <w:shd w:val="clear" w:color="auto" w:fill="auto"/>
            <w:vAlign w:val="center"/>
          </w:tcPr>
          <w:p w14:paraId="64BD972D" w14:textId="77777777" w:rsidR="00A335CE" w:rsidRDefault="00000000">
            <w:pPr>
              <w:pStyle w:val="a5"/>
              <w:rPr>
                <w:color w:val="FF0000"/>
                <w:sz w:val="16"/>
                <w:szCs w:val="15"/>
                <w:lang w:eastAsia="zh-CN"/>
              </w:rPr>
            </w:pPr>
            <w:r>
              <w:rPr>
                <w:color w:val="FF0000"/>
                <w:sz w:val="16"/>
                <w:szCs w:val="15"/>
              </w:rPr>
              <w:t>0.96±0.10</w:t>
            </w:r>
            <w:r>
              <w:rPr>
                <w:rFonts w:hint="eastAsia"/>
                <w:color w:val="FF0000"/>
                <w:sz w:val="16"/>
                <w:szCs w:val="15"/>
                <w:vertAlign w:val="superscript"/>
                <w:lang w:eastAsia="zh-CN"/>
              </w:rPr>
              <w:t>a</w:t>
            </w:r>
          </w:p>
        </w:tc>
        <w:tc>
          <w:tcPr>
            <w:tcW w:w="682" w:type="pct"/>
            <w:shd w:val="clear" w:color="auto" w:fill="auto"/>
            <w:vAlign w:val="center"/>
          </w:tcPr>
          <w:p w14:paraId="585D7369" w14:textId="77777777" w:rsidR="00A335CE" w:rsidRDefault="00000000">
            <w:pPr>
              <w:pStyle w:val="a5"/>
              <w:rPr>
                <w:sz w:val="16"/>
                <w:szCs w:val="15"/>
              </w:rPr>
            </w:pPr>
            <w:r>
              <w:rPr>
                <w:sz w:val="16"/>
                <w:szCs w:val="15"/>
              </w:rPr>
              <w:t>34.52±0.77</w:t>
            </w:r>
            <w:r>
              <w:rPr>
                <w:sz w:val="16"/>
                <w:szCs w:val="15"/>
                <w:vertAlign w:val="superscript"/>
              </w:rPr>
              <w:t>b,c</w:t>
            </w:r>
          </w:p>
        </w:tc>
        <w:tc>
          <w:tcPr>
            <w:tcW w:w="631" w:type="pct"/>
            <w:shd w:val="clear" w:color="auto" w:fill="auto"/>
            <w:vAlign w:val="center"/>
          </w:tcPr>
          <w:p w14:paraId="142169B9" w14:textId="77777777" w:rsidR="00A335CE" w:rsidRDefault="00000000">
            <w:pPr>
              <w:pStyle w:val="a5"/>
              <w:rPr>
                <w:sz w:val="16"/>
                <w:szCs w:val="15"/>
              </w:rPr>
            </w:pPr>
            <w:r>
              <w:rPr>
                <w:sz w:val="16"/>
                <w:szCs w:val="15"/>
              </w:rPr>
              <w:t>90.48±1.07</w:t>
            </w:r>
            <w:r>
              <w:rPr>
                <w:sz w:val="16"/>
                <w:szCs w:val="15"/>
                <w:vertAlign w:val="superscript"/>
              </w:rPr>
              <w:t>a</w:t>
            </w:r>
          </w:p>
        </w:tc>
        <w:tc>
          <w:tcPr>
            <w:tcW w:w="734" w:type="pct"/>
            <w:shd w:val="clear" w:color="auto" w:fill="auto"/>
            <w:vAlign w:val="center"/>
          </w:tcPr>
          <w:p w14:paraId="60E1AB3B" w14:textId="77777777" w:rsidR="00A335CE" w:rsidRDefault="00000000">
            <w:pPr>
              <w:pStyle w:val="a5"/>
              <w:rPr>
                <w:sz w:val="16"/>
                <w:szCs w:val="15"/>
              </w:rPr>
            </w:pPr>
            <w:r>
              <w:rPr>
                <w:sz w:val="16"/>
                <w:szCs w:val="15"/>
              </w:rPr>
              <w:t>63.21±1.09</w:t>
            </w:r>
            <w:r>
              <w:rPr>
                <w:sz w:val="16"/>
                <w:szCs w:val="15"/>
                <w:vertAlign w:val="superscript"/>
              </w:rPr>
              <w:t>c</w:t>
            </w:r>
          </w:p>
        </w:tc>
        <w:tc>
          <w:tcPr>
            <w:tcW w:w="733" w:type="pct"/>
            <w:shd w:val="clear" w:color="auto" w:fill="auto"/>
            <w:vAlign w:val="center"/>
          </w:tcPr>
          <w:p w14:paraId="4C72EC25" w14:textId="77777777" w:rsidR="00A335CE" w:rsidRDefault="00000000">
            <w:pPr>
              <w:pStyle w:val="a5"/>
              <w:rPr>
                <w:sz w:val="16"/>
                <w:szCs w:val="15"/>
              </w:rPr>
            </w:pPr>
            <w:r>
              <w:rPr>
                <w:sz w:val="16"/>
                <w:szCs w:val="15"/>
              </w:rPr>
              <w:t>57.19±1.48</w:t>
            </w:r>
            <w:r>
              <w:rPr>
                <w:sz w:val="16"/>
                <w:szCs w:val="15"/>
                <w:vertAlign w:val="superscript"/>
              </w:rPr>
              <w:t>c</w:t>
            </w:r>
          </w:p>
        </w:tc>
      </w:tr>
      <w:tr w:rsidR="00A335CE" w14:paraId="5E604BA5" w14:textId="77777777">
        <w:trPr>
          <w:jc w:val="center"/>
        </w:trPr>
        <w:tc>
          <w:tcPr>
            <w:tcW w:w="684" w:type="pct"/>
            <w:shd w:val="clear" w:color="auto" w:fill="auto"/>
            <w:vAlign w:val="center"/>
          </w:tcPr>
          <w:p w14:paraId="2049A12A" w14:textId="77777777" w:rsidR="00A335CE" w:rsidRDefault="00000000">
            <w:pPr>
              <w:pStyle w:val="a5"/>
              <w:jc w:val="center"/>
              <w:rPr>
                <w:sz w:val="16"/>
                <w:szCs w:val="15"/>
              </w:rPr>
            </w:pPr>
            <w:r>
              <w:rPr>
                <w:sz w:val="16"/>
                <w:szCs w:val="15"/>
              </w:rPr>
              <w:t>12</w:t>
            </w:r>
          </w:p>
        </w:tc>
        <w:tc>
          <w:tcPr>
            <w:tcW w:w="767" w:type="pct"/>
            <w:gridSpan w:val="2"/>
            <w:shd w:val="clear" w:color="auto" w:fill="auto"/>
            <w:vAlign w:val="center"/>
          </w:tcPr>
          <w:p w14:paraId="43B88879" w14:textId="77777777" w:rsidR="00A335CE" w:rsidRDefault="00000000">
            <w:pPr>
              <w:pStyle w:val="a5"/>
              <w:rPr>
                <w:sz w:val="16"/>
                <w:szCs w:val="15"/>
              </w:rPr>
            </w:pPr>
            <w:r>
              <w:rPr>
                <w:sz w:val="16"/>
                <w:szCs w:val="15"/>
              </w:rPr>
              <w:t>80.06±0.90</w:t>
            </w:r>
            <w:r>
              <w:rPr>
                <w:sz w:val="16"/>
                <w:szCs w:val="15"/>
                <w:vertAlign w:val="superscript"/>
              </w:rPr>
              <w:t>d</w:t>
            </w:r>
          </w:p>
        </w:tc>
        <w:tc>
          <w:tcPr>
            <w:tcW w:w="768" w:type="pct"/>
            <w:shd w:val="clear" w:color="auto" w:fill="auto"/>
            <w:vAlign w:val="center"/>
          </w:tcPr>
          <w:p w14:paraId="195856FC" w14:textId="77777777" w:rsidR="00A335CE" w:rsidRDefault="00000000">
            <w:pPr>
              <w:pStyle w:val="a5"/>
              <w:rPr>
                <w:color w:val="FF0000"/>
                <w:sz w:val="16"/>
                <w:szCs w:val="15"/>
              </w:rPr>
            </w:pPr>
            <w:r>
              <w:rPr>
                <w:color w:val="FF0000"/>
                <w:sz w:val="16"/>
                <w:szCs w:val="15"/>
              </w:rPr>
              <w:t>0.49±0.14</w:t>
            </w:r>
            <w:r>
              <w:rPr>
                <w:color w:val="FF0000"/>
                <w:sz w:val="16"/>
                <w:szCs w:val="15"/>
                <w:vertAlign w:val="superscript"/>
              </w:rPr>
              <w:t>b</w:t>
            </w:r>
          </w:p>
        </w:tc>
        <w:tc>
          <w:tcPr>
            <w:tcW w:w="682" w:type="pct"/>
            <w:shd w:val="clear" w:color="auto" w:fill="auto"/>
            <w:vAlign w:val="center"/>
          </w:tcPr>
          <w:p w14:paraId="6D0DD0E5" w14:textId="77777777" w:rsidR="00A335CE" w:rsidRDefault="00000000">
            <w:pPr>
              <w:pStyle w:val="a5"/>
              <w:rPr>
                <w:sz w:val="16"/>
                <w:szCs w:val="15"/>
              </w:rPr>
            </w:pPr>
            <w:r>
              <w:rPr>
                <w:sz w:val="16"/>
                <w:szCs w:val="15"/>
              </w:rPr>
              <w:t>33.43±0.58</w:t>
            </w:r>
            <w:r>
              <w:rPr>
                <w:sz w:val="16"/>
                <w:szCs w:val="15"/>
                <w:vertAlign w:val="superscript"/>
              </w:rPr>
              <w:t>c</w:t>
            </w:r>
          </w:p>
        </w:tc>
        <w:tc>
          <w:tcPr>
            <w:tcW w:w="631" w:type="pct"/>
            <w:shd w:val="clear" w:color="auto" w:fill="auto"/>
            <w:vAlign w:val="center"/>
          </w:tcPr>
          <w:p w14:paraId="4613C8BE" w14:textId="77777777" w:rsidR="00A335CE" w:rsidRDefault="00000000">
            <w:pPr>
              <w:pStyle w:val="a5"/>
              <w:rPr>
                <w:sz w:val="16"/>
                <w:szCs w:val="15"/>
              </w:rPr>
            </w:pPr>
            <w:r>
              <w:rPr>
                <w:sz w:val="16"/>
                <w:szCs w:val="15"/>
              </w:rPr>
              <w:t>92.26±1.30</w:t>
            </w:r>
            <w:r>
              <w:rPr>
                <w:sz w:val="16"/>
                <w:szCs w:val="15"/>
                <w:vertAlign w:val="superscript"/>
              </w:rPr>
              <w:t>a</w:t>
            </w:r>
          </w:p>
        </w:tc>
        <w:tc>
          <w:tcPr>
            <w:tcW w:w="734" w:type="pct"/>
            <w:shd w:val="clear" w:color="auto" w:fill="auto"/>
            <w:vAlign w:val="center"/>
          </w:tcPr>
          <w:p w14:paraId="0008FC11" w14:textId="77777777" w:rsidR="00A335CE" w:rsidRDefault="00000000">
            <w:pPr>
              <w:pStyle w:val="a5"/>
              <w:rPr>
                <w:sz w:val="16"/>
                <w:szCs w:val="15"/>
              </w:rPr>
            </w:pPr>
            <w:r>
              <w:rPr>
                <w:sz w:val="16"/>
                <w:szCs w:val="15"/>
              </w:rPr>
              <w:t>59.27±1.01</w:t>
            </w:r>
            <w:r>
              <w:rPr>
                <w:sz w:val="16"/>
                <w:szCs w:val="15"/>
                <w:vertAlign w:val="superscript"/>
              </w:rPr>
              <w:t>d</w:t>
            </w:r>
          </w:p>
        </w:tc>
        <w:tc>
          <w:tcPr>
            <w:tcW w:w="733" w:type="pct"/>
            <w:shd w:val="clear" w:color="auto" w:fill="auto"/>
            <w:vAlign w:val="center"/>
          </w:tcPr>
          <w:p w14:paraId="73BABFE3" w14:textId="77777777" w:rsidR="00A335CE" w:rsidRDefault="00000000">
            <w:pPr>
              <w:pStyle w:val="a5"/>
              <w:rPr>
                <w:sz w:val="16"/>
                <w:szCs w:val="15"/>
              </w:rPr>
            </w:pPr>
            <w:r>
              <w:rPr>
                <w:sz w:val="16"/>
                <w:szCs w:val="15"/>
              </w:rPr>
              <w:t>54.68±1.06</w:t>
            </w:r>
            <w:r>
              <w:rPr>
                <w:sz w:val="16"/>
                <w:szCs w:val="15"/>
                <w:vertAlign w:val="superscript"/>
              </w:rPr>
              <w:t>c</w:t>
            </w:r>
          </w:p>
        </w:tc>
      </w:tr>
      <w:tr w:rsidR="00A335CE" w14:paraId="5E5A8D65" w14:textId="77777777">
        <w:trPr>
          <w:jc w:val="center"/>
        </w:trPr>
        <w:tc>
          <w:tcPr>
            <w:tcW w:w="684" w:type="pct"/>
            <w:tcBorders>
              <w:bottom w:val="single" w:sz="12" w:space="0" w:color="auto"/>
            </w:tcBorders>
            <w:shd w:val="clear" w:color="auto" w:fill="auto"/>
            <w:vAlign w:val="center"/>
          </w:tcPr>
          <w:p w14:paraId="2F42DAE0" w14:textId="77777777" w:rsidR="00A335CE" w:rsidRDefault="00000000">
            <w:pPr>
              <w:pStyle w:val="a5"/>
              <w:jc w:val="center"/>
              <w:rPr>
                <w:sz w:val="16"/>
                <w:szCs w:val="15"/>
              </w:rPr>
            </w:pPr>
            <w:r>
              <w:rPr>
                <w:sz w:val="16"/>
                <w:szCs w:val="15"/>
              </w:rPr>
              <w:t>15</w:t>
            </w:r>
          </w:p>
        </w:tc>
        <w:tc>
          <w:tcPr>
            <w:tcW w:w="767" w:type="pct"/>
            <w:gridSpan w:val="2"/>
            <w:tcBorders>
              <w:bottom w:val="single" w:sz="12" w:space="0" w:color="auto"/>
            </w:tcBorders>
            <w:shd w:val="clear" w:color="auto" w:fill="auto"/>
            <w:vAlign w:val="center"/>
          </w:tcPr>
          <w:p w14:paraId="32D3865D" w14:textId="77777777" w:rsidR="00A335CE" w:rsidRDefault="00000000">
            <w:pPr>
              <w:pStyle w:val="a5"/>
              <w:rPr>
                <w:sz w:val="16"/>
                <w:szCs w:val="15"/>
              </w:rPr>
            </w:pPr>
            <w:r>
              <w:rPr>
                <w:sz w:val="16"/>
                <w:szCs w:val="15"/>
              </w:rPr>
              <w:t>52.57±0.97</w:t>
            </w:r>
            <w:r>
              <w:rPr>
                <w:sz w:val="16"/>
                <w:szCs w:val="15"/>
                <w:vertAlign w:val="superscript"/>
              </w:rPr>
              <w:t>e</w:t>
            </w:r>
          </w:p>
        </w:tc>
        <w:tc>
          <w:tcPr>
            <w:tcW w:w="768" w:type="pct"/>
            <w:tcBorders>
              <w:bottom w:val="single" w:sz="12" w:space="0" w:color="auto"/>
            </w:tcBorders>
            <w:shd w:val="clear" w:color="auto" w:fill="auto"/>
            <w:vAlign w:val="center"/>
          </w:tcPr>
          <w:p w14:paraId="77D66018" w14:textId="77777777" w:rsidR="00A335CE" w:rsidRDefault="00000000">
            <w:pPr>
              <w:pStyle w:val="a5"/>
              <w:rPr>
                <w:color w:val="FF0000"/>
                <w:sz w:val="16"/>
                <w:szCs w:val="15"/>
                <w:lang w:eastAsia="zh-CN"/>
              </w:rPr>
            </w:pPr>
            <w:r>
              <w:rPr>
                <w:color w:val="FF0000"/>
                <w:sz w:val="16"/>
                <w:szCs w:val="15"/>
              </w:rPr>
              <w:t>0.11±0.02</w:t>
            </w:r>
            <w:r>
              <w:rPr>
                <w:rFonts w:hint="eastAsia"/>
                <w:color w:val="FF0000"/>
                <w:sz w:val="16"/>
                <w:szCs w:val="15"/>
                <w:vertAlign w:val="superscript"/>
                <w:lang w:eastAsia="zh-CN"/>
              </w:rPr>
              <w:t>c</w:t>
            </w:r>
          </w:p>
        </w:tc>
        <w:tc>
          <w:tcPr>
            <w:tcW w:w="682" w:type="pct"/>
            <w:tcBorders>
              <w:bottom w:val="single" w:sz="12" w:space="0" w:color="auto"/>
            </w:tcBorders>
            <w:shd w:val="clear" w:color="auto" w:fill="auto"/>
            <w:vAlign w:val="center"/>
          </w:tcPr>
          <w:p w14:paraId="76316F67" w14:textId="77777777" w:rsidR="00A335CE" w:rsidRDefault="00000000">
            <w:pPr>
              <w:pStyle w:val="a5"/>
              <w:rPr>
                <w:sz w:val="16"/>
                <w:szCs w:val="15"/>
              </w:rPr>
            </w:pPr>
            <w:r>
              <w:rPr>
                <w:sz w:val="16"/>
                <w:szCs w:val="15"/>
              </w:rPr>
              <w:t>30.72±0.82</w:t>
            </w:r>
            <w:r>
              <w:rPr>
                <w:sz w:val="16"/>
                <w:szCs w:val="15"/>
                <w:vertAlign w:val="superscript"/>
              </w:rPr>
              <w:t>d</w:t>
            </w:r>
          </w:p>
        </w:tc>
        <w:tc>
          <w:tcPr>
            <w:tcW w:w="631" w:type="pct"/>
            <w:tcBorders>
              <w:bottom w:val="single" w:sz="12" w:space="0" w:color="auto"/>
            </w:tcBorders>
            <w:shd w:val="clear" w:color="auto" w:fill="auto"/>
            <w:vAlign w:val="center"/>
          </w:tcPr>
          <w:p w14:paraId="618BB7D4" w14:textId="77777777" w:rsidR="00A335CE" w:rsidRDefault="00000000">
            <w:pPr>
              <w:pStyle w:val="a5"/>
              <w:rPr>
                <w:sz w:val="16"/>
                <w:szCs w:val="15"/>
              </w:rPr>
            </w:pPr>
            <w:r>
              <w:rPr>
                <w:sz w:val="16"/>
                <w:szCs w:val="15"/>
              </w:rPr>
              <w:t>89.87±0.43</w:t>
            </w:r>
            <w:r>
              <w:rPr>
                <w:sz w:val="16"/>
                <w:szCs w:val="15"/>
                <w:vertAlign w:val="superscript"/>
              </w:rPr>
              <w:t>a</w:t>
            </w:r>
          </w:p>
        </w:tc>
        <w:tc>
          <w:tcPr>
            <w:tcW w:w="734" w:type="pct"/>
            <w:tcBorders>
              <w:bottom w:val="single" w:sz="12" w:space="0" w:color="auto"/>
            </w:tcBorders>
            <w:shd w:val="clear" w:color="auto" w:fill="auto"/>
            <w:vAlign w:val="center"/>
          </w:tcPr>
          <w:p w14:paraId="48183222" w14:textId="77777777" w:rsidR="00A335CE" w:rsidRDefault="00000000">
            <w:pPr>
              <w:pStyle w:val="a5"/>
              <w:rPr>
                <w:sz w:val="16"/>
                <w:szCs w:val="15"/>
              </w:rPr>
            </w:pPr>
            <w:r>
              <w:rPr>
                <w:sz w:val="16"/>
                <w:szCs w:val="15"/>
              </w:rPr>
              <w:t>36.43±0.98</w:t>
            </w:r>
            <w:r>
              <w:rPr>
                <w:sz w:val="16"/>
                <w:szCs w:val="15"/>
                <w:vertAlign w:val="superscript"/>
              </w:rPr>
              <w:t>e</w:t>
            </w:r>
          </w:p>
        </w:tc>
        <w:tc>
          <w:tcPr>
            <w:tcW w:w="733" w:type="pct"/>
            <w:tcBorders>
              <w:bottom w:val="single" w:sz="12" w:space="0" w:color="auto"/>
            </w:tcBorders>
            <w:shd w:val="clear" w:color="auto" w:fill="auto"/>
            <w:vAlign w:val="center"/>
          </w:tcPr>
          <w:p w14:paraId="63480E54" w14:textId="77777777" w:rsidR="00A335CE" w:rsidRDefault="00000000">
            <w:pPr>
              <w:pStyle w:val="a5"/>
              <w:rPr>
                <w:sz w:val="16"/>
                <w:szCs w:val="15"/>
              </w:rPr>
            </w:pPr>
            <w:r>
              <w:rPr>
                <w:sz w:val="16"/>
                <w:szCs w:val="15"/>
              </w:rPr>
              <w:t>32.75±0.86</w:t>
            </w:r>
            <w:r>
              <w:rPr>
                <w:sz w:val="16"/>
                <w:szCs w:val="15"/>
                <w:vertAlign w:val="superscript"/>
              </w:rPr>
              <w:t>d</w:t>
            </w:r>
          </w:p>
        </w:tc>
      </w:tr>
    </w:tbl>
    <w:bookmarkEnd w:id="16"/>
    <w:p w14:paraId="52EF5693" w14:textId="77777777" w:rsidR="00A335CE" w:rsidRDefault="00000000">
      <w:pPr>
        <w:pStyle w:val="MDPI31text"/>
        <w:spacing w:after="240"/>
        <w:ind w:left="0" w:firstLine="0"/>
        <w:rPr>
          <w:rFonts w:eastAsiaTheme="minorEastAsia"/>
          <w:color w:val="000000" w:themeColor="text1"/>
          <w:lang w:eastAsia="zh-CN"/>
        </w:rPr>
      </w:pPr>
      <w:r>
        <w:rPr>
          <w:rFonts w:eastAsia="楷体"/>
          <w:color w:val="000000" w:themeColor="text1"/>
          <w:sz w:val="18"/>
          <w:szCs w:val="18"/>
        </w:rPr>
        <w:t>*Different lowercase letters superscripted indicate significant differences between extrusion property</w:t>
      </w:r>
      <w:r>
        <w:rPr>
          <w:rFonts w:eastAsia="楷体" w:hint="eastAsia"/>
          <w:color w:val="000000" w:themeColor="text1"/>
          <w:sz w:val="18"/>
          <w:szCs w:val="18"/>
        </w:rPr>
        <w:t xml:space="preserve"> </w:t>
      </w:r>
      <w:r>
        <w:rPr>
          <w:rFonts w:eastAsia="楷体"/>
          <w:color w:val="000000" w:themeColor="text1"/>
          <w:sz w:val="18"/>
          <w:szCs w:val="18"/>
        </w:rPr>
        <w:t>(</w:t>
      </w:r>
      <w:r>
        <w:rPr>
          <w:rFonts w:eastAsia="楷体"/>
          <w:i/>
          <w:iCs/>
          <w:color w:val="000000" w:themeColor="text1"/>
          <w:sz w:val="18"/>
          <w:szCs w:val="18"/>
        </w:rPr>
        <w:t>p</w:t>
      </w:r>
      <w:r>
        <w:rPr>
          <w:rFonts w:eastAsia="楷体"/>
          <w:color w:val="000000" w:themeColor="text1"/>
          <w:sz w:val="18"/>
          <w:szCs w:val="18"/>
        </w:rPr>
        <w:t xml:space="preserve"> &lt; 0.05).</w:t>
      </w:r>
    </w:p>
    <w:p w14:paraId="42D91B0C" w14:textId="77777777" w:rsidR="00A335CE" w:rsidRDefault="00000000">
      <w:pPr>
        <w:spacing w:line="480" w:lineRule="auto"/>
        <w:rPr>
          <w:bCs/>
          <w:sz w:val="24"/>
          <w:szCs w:val="24"/>
        </w:rPr>
      </w:pPr>
      <w:r>
        <w:rPr>
          <w:b/>
          <w:color w:val="0070C0"/>
          <w:sz w:val="24"/>
          <w:szCs w:val="24"/>
        </w:rPr>
        <w:t>Comment</w:t>
      </w:r>
      <w:r>
        <w:rPr>
          <w:rFonts w:hint="eastAsia"/>
          <w:b/>
          <w:color w:val="0070C0"/>
          <w:sz w:val="24"/>
          <w:szCs w:val="24"/>
        </w:rPr>
        <w:t xml:space="preserve"> 4</w:t>
      </w:r>
      <w:r>
        <w:rPr>
          <w:b/>
          <w:color w:val="0070C0"/>
          <w:sz w:val="24"/>
          <w:szCs w:val="24"/>
        </w:rPr>
        <w:t>:</w:t>
      </w:r>
      <w:r>
        <w:rPr>
          <w:rFonts w:hint="eastAsia"/>
          <w:bCs/>
          <w:color w:val="0070C0"/>
          <w:sz w:val="24"/>
          <w:szCs w:val="24"/>
        </w:rPr>
        <w:t xml:space="preserve"> </w:t>
      </w:r>
      <w:r>
        <w:rPr>
          <w:bCs/>
          <w:sz w:val="24"/>
          <w:szCs w:val="24"/>
        </w:rPr>
        <w:t>Line 287:</w:t>
      </w:r>
      <w:r>
        <w:rPr>
          <w:rFonts w:hint="eastAsia"/>
          <w:bCs/>
          <w:sz w:val="24"/>
          <w:szCs w:val="24"/>
        </w:rPr>
        <w:t xml:space="preserve"> </w:t>
      </w:r>
      <w:r>
        <w:rPr>
          <w:bCs/>
          <w:sz w:val="24"/>
          <w:szCs w:val="24"/>
        </w:rPr>
        <w:t>The discussion of the textural characteristics of the extrudates is inadequate. Please expand this section by comparing your findings with relevant research and existing commercial products. This comparison is essential for demonstrating the significance of your results.</w:t>
      </w:r>
      <w:r>
        <w:rPr>
          <w:rFonts w:hint="eastAsia"/>
        </w:rPr>
        <w:t xml:space="preserve"> </w:t>
      </w:r>
    </w:p>
    <w:p w14:paraId="1DEF6671" w14:textId="77777777" w:rsidR="00A335CE" w:rsidRDefault="00000000">
      <w:pPr>
        <w:spacing w:line="480" w:lineRule="auto"/>
        <w:rPr>
          <w:bCs/>
          <w:sz w:val="24"/>
          <w:szCs w:val="24"/>
        </w:rPr>
      </w:pPr>
      <w:r>
        <w:rPr>
          <w:b/>
          <w:sz w:val="24"/>
          <w:szCs w:val="24"/>
          <w:u w:val="single"/>
        </w:rPr>
        <w:t>Authors Response:</w:t>
      </w:r>
      <w:r>
        <w:rPr>
          <w:color w:val="000000"/>
          <w:sz w:val="24"/>
          <w:szCs w:val="24"/>
        </w:rPr>
        <w:t xml:space="preserve"> </w:t>
      </w:r>
      <w:r>
        <w:rPr>
          <w:bCs/>
          <w:sz w:val="24"/>
          <w:szCs w:val="24"/>
        </w:rPr>
        <w:t>We sincerely thank you for taking the time to read and comment on our manuscript, and in fact we agree with your suggestion so much that we have further compared our findings with those of other studies and added them to our Discussion section, which will improve the quality of our article, as described below:</w:t>
      </w:r>
    </w:p>
    <w:p w14:paraId="0439B0AE" w14:textId="5CAF59AD" w:rsidR="00A335CE" w:rsidRDefault="00000000">
      <w:pPr>
        <w:spacing w:line="480" w:lineRule="auto"/>
        <w:rPr>
          <w:color w:val="0000FF"/>
          <w:sz w:val="24"/>
          <w:szCs w:val="24"/>
        </w:rPr>
      </w:pPr>
      <w:r>
        <w:rPr>
          <w:color w:val="0000FF"/>
          <w:sz w:val="24"/>
          <w:szCs w:val="24"/>
        </w:rPr>
        <w:t xml:space="preserve">(Line </w:t>
      </w:r>
      <w:r>
        <w:rPr>
          <w:rFonts w:hint="eastAsia"/>
          <w:color w:val="0000FF"/>
          <w:sz w:val="24"/>
          <w:szCs w:val="24"/>
        </w:rPr>
        <w:t>3</w:t>
      </w:r>
      <w:r w:rsidR="00B451F2">
        <w:rPr>
          <w:rFonts w:hint="eastAsia"/>
          <w:color w:val="0000FF"/>
          <w:sz w:val="24"/>
          <w:szCs w:val="24"/>
        </w:rPr>
        <w:t>08</w:t>
      </w:r>
      <w:r>
        <w:rPr>
          <w:color w:val="0000FF"/>
          <w:sz w:val="24"/>
          <w:szCs w:val="24"/>
        </w:rPr>
        <w:t>-</w:t>
      </w:r>
      <w:r>
        <w:rPr>
          <w:rFonts w:hint="eastAsia"/>
          <w:color w:val="0000FF"/>
          <w:sz w:val="24"/>
          <w:szCs w:val="24"/>
        </w:rPr>
        <w:t>31</w:t>
      </w:r>
      <w:r w:rsidR="00B451F2">
        <w:rPr>
          <w:rFonts w:hint="eastAsia"/>
          <w:color w:val="0000FF"/>
          <w:sz w:val="24"/>
          <w:szCs w:val="24"/>
        </w:rPr>
        <w:t>7</w:t>
      </w:r>
      <w:r>
        <w:rPr>
          <w:color w:val="0000FF"/>
          <w:sz w:val="24"/>
          <w:szCs w:val="24"/>
        </w:rPr>
        <w:t xml:space="preserve"> in the new revised manuscript)</w:t>
      </w:r>
    </w:p>
    <w:p w14:paraId="343BBC75" w14:textId="77777777" w:rsidR="00A335CE" w:rsidRDefault="00BE05C7">
      <w:pPr>
        <w:spacing w:line="480" w:lineRule="auto"/>
        <w:rPr>
          <w:bCs/>
          <w:color w:val="FF0000"/>
          <w:sz w:val="24"/>
          <w:szCs w:val="24"/>
        </w:rPr>
      </w:pPr>
      <w:bookmarkStart w:id="17" w:name="_Hlk193553845"/>
      <w:r w:rsidRPr="00BE05C7">
        <w:rPr>
          <w:bCs/>
          <w:color w:val="FF0000"/>
          <w:sz w:val="24"/>
          <w:szCs w:val="24"/>
        </w:rPr>
        <w:lastRenderedPageBreak/>
        <w:t>Extruded samples with the addition of SCP were softer in texture compared to the pea protein extrudates produced in the existing study</w:t>
      </w:r>
      <w:r>
        <w:rPr>
          <w:rFonts w:hint="eastAsia"/>
          <w:bCs/>
          <w:color w:val="FF0000"/>
          <w:sz w:val="24"/>
          <w:szCs w:val="24"/>
        </w:rPr>
        <w:t xml:space="preserve"> [13]</w:t>
      </w:r>
      <w:r w:rsidRPr="00BE05C7">
        <w:rPr>
          <w:bCs/>
          <w:color w:val="FF0000"/>
          <w:sz w:val="24"/>
          <w:szCs w:val="24"/>
        </w:rPr>
        <w:t>.</w:t>
      </w:r>
      <w:r>
        <w:rPr>
          <w:rFonts w:hint="eastAsia"/>
          <w:bCs/>
          <w:color w:val="FF0000"/>
          <w:sz w:val="24"/>
          <w:szCs w:val="24"/>
        </w:rPr>
        <w:t xml:space="preserve"> </w:t>
      </w:r>
      <w:bookmarkEnd w:id="17"/>
      <w:r>
        <w:rPr>
          <w:bCs/>
          <w:color w:val="FF0000"/>
          <w:sz w:val="24"/>
          <w:szCs w:val="24"/>
        </w:rPr>
        <w:t>In the study by Wang et al</w:t>
      </w:r>
      <w:r>
        <w:rPr>
          <w:rFonts w:hint="eastAsia"/>
          <w:bCs/>
          <w:color w:val="FF0000"/>
          <w:sz w:val="24"/>
          <w:szCs w:val="24"/>
        </w:rPr>
        <w:t>. [38]</w:t>
      </w:r>
      <w:r>
        <w:rPr>
          <w:bCs/>
          <w:color w:val="FF0000"/>
          <w:sz w:val="24"/>
          <w:szCs w:val="24"/>
        </w:rPr>
        <w:t>, the impact of incorporating silkworm pupa peptide on yogurt fermentation and quality was examined. The findings indicated that the addition of silkworm pupa peptide in quantities greater than 0.7% resulted in a reduction of the texture characteristics of yogurt. In a separate study, Segovia et al.</w:t>
      </w:r>
      <w:r>
        <w:rPr>
          <w:rFonts w:hint="eastAsia"/>
          <w:bCs/>
          <w:color w:val="FF0000"/>
          <w:sz w:val="24"/>
          <w:szCs w:val="24"/>
        </w:rPr>
        <w:t xml:space="preserve"> [20]</w:t>
      </w:r>
      <w:r>
        <w:rPr>
          <w:bCs/>
          <w:color w:val="FF0000"/>
          <w:sz w:val="24"/>
          <w:szCs w:val="24"/>
        </w:rPr>
        <w:t xml:space="preserve"> utilised extrusion technology to produce snacks by mixing corn grits with alphitobius diaperinus. The results demonstrated that the incorporation of alphitobius diaperinus led to a deterioration in the textural properties of the snacks. These results are also analogous to the findings of our study.</w:t>
      </w:r>
    </w:p>
    <w:p w14:paraId="72B9A5A6" w14:textId="77777777" w:rsidR="00A335CE" w:rsidRDefault="00000000">
      <w:pPr>
        <w:spacing w:line="480" w:lineRule="auto"/>
        <w:rPr>
          <w:bCs/>
          <w:sz w:val="24"/>
          <w:szCs w:val="24"/>
        </w:rPr>
      </w:pPr>
      <w:r>
        <w:rPr>
          <w:b/>
          <w:color w:val="0070C0"/>
          <w:sz w:val="24"/>
          <w:szCs w:val="24"/>
        </w:rPr>
        <w:t>Comment</w:t>
      </w:r>
      <w:r>
        <w:rPr>
          <w:rFonts w:hint="eastAsia"/>
          <w:b/>
          <w:color w:val="0070C0"/>
          <w:sz w:val="24"/>
          <w:szCs w:val="24"/>
        </w:rPr>
        <w:t xml:space="preserve"> 5</w:t>
      </w:r>
      <w:r>
        <w:rPr>
          <w:b/>
          <w:color w:val="0070C0"/>
          <w:sz w:val="24"/>
          <w:szCs w:val="24"/>
        </w:rPr>
        <w:t>:</w:t>
      </w:r>
      <w:r>
        <w:rPr>
          <w:rFonts w:hint="eastAsia"/>
          <w:bCs/>
          <w:color w:val="0070C0"/>
          <w:sz w:val="24"/>
          <w:szCs w:val="24"/>
        </w:rPr>
        <w:t xml:space="preserve"> </w:t>
      </w:r>
      <w:r>
        <w:rPr>
          <w:bCs/>
          <w:sz w:val="24"/>
          <w:szCs w:val="24"/>
        </w:rPr>
        <w:t>Line 310: The discussion of transverse and longitudinal shear force and the fibrous degree of the extrudates is insufficiently developed. Please provide a more in-depth analysis of these parameters and their implications.</w:t>
      </w:r>
      <w:r>
        <w:rPr>
          <w:rFonts w:hint="eastAsia"/>
          <w:bCs/>
          <w:sz w:val="24"/>
          <w:szCs w:val="24"/>
        </w:rPr>
        <w:t xml:space="preserve"> </w:t>
      </w:r>
    </w:p>
    <w:p w14:paraId="5714C6A4" w14:textId="77777777" w:rsidR="00A335CE" w:rsidRDefault="00000000">
      <w:pPr>
        <w:spacing w:line="480" w:lineRule="auto"/>
        <w:rPr>
          <w:bCs/>
          <w:sz w:val="24"/>
          <w:szCs w:val="24"/>
        </w:rPr>
      </w:pPr>
      <w:r>
        <w:rPr>
          <w:b/>
          <w:sz w:val="24"/>
          <w:szCs w:val="24"/>
          <w:u w:val="single"/>
        </w:rPr>
        <w:t>Authors Response:</w:t>
      </w:r>
      <w:r>
        <w:t xml:space="preserve"> </w:t>
      </w:r>
      <w:r>
        <w:rPr>
          <w:bCs/>
          <w:sz w:val="24"/>
          <w:szCs w:val="24"/>
        </w:rPr>
        <w:t>We agree with your suggestions and therefore we have researched the literature in depth with a view to discussing this section in more depth, which will help us to improve the quality of the article, which has been revised as follows:</w:t>
      </w:r>
    </w:p>
    <w:p w14:paraId="53156CCD" w14:textId="7E3FC718" w:rsidR="00A335CE" w:rsidRDefault="00000000">
      <w:pPr>
        <w:spacing w:line="480" w:lineRule="auto"/>
        <w:rPr>
          <w:color w:val="0000FF"/>
          <w:sz w:val="24"/>
          <w:szCs w:val="24"/>
        </w:rPr>
      </w:pPr>
      <w:r>
        <w:rPr>
          <w:color w:val="0000FF"/>
          <w:sz w:val="24"/>
          <w:szCs w:val="24"/>
        </w:rPr>
        <w:t xml:space="preserve">(Line </w:t>
      </w:r>
      <w:r>
        <w:rPr>
          <w:rFonts w:hint="eastAsia"/>
          <w:color w:val="0000FF"/>
          <w:sz w:val="24"/>
          <w:szCs w:val="24"/>
        </w:rPr>
        <w:t>32</w:t>
      </w:r>
      <w:r w:rsidR="00B451F2">
        <w:rPr>
          <w:rFonts w:hint="eastAsia"/>
          <w:color w:val="0000FF"/>
          <w:sz w:val="24"/>
          <w:szCs w:val="24"/>
        </w:rPr>
        <w:t>2</w:t>
      </w:r>
      <w:r>
        <w:rPr>
          <w:color w:val="0000FF"/>
          <w:sz w:val="24"/>
          <w:szCs w:val="24"/>
        </w:rPr>
        <w:t>-</w:t>
      </w:r>
      <w:r>
        <w:rPr>
          <w:rFonts w:hint="eastAsia"/>
          <w:color w:val="0000FF"/>
          <w:sz w:val="24"/>
          <w:szCs w:val="24"/>
        </w:rPr>
        <w:t>32</w:t>
      </w:r>
      <w:r w:rsidR="00B451F2">
        <w:rPr>
          <w:rFonts w:hint="eastAsia"/>
          <w:color w:val="0000FF"/>
          <w:sz w:val="24"/>
          <w:szCs w:val="24"/>
        </w:rPr>
        <w:t>8</w:t>
      </w:r>
      <w:r>
        <w:rPr>
          <w:rFonts w:hint="eastAsia"/>
          <w:color w:val="0000FF"/>
          <w:sz w:val="24"/>
          <w:szCs w:val="24"/>
        </w:rPr>
        <w:t xml:space="preserve"> </w:t>
      </w:r>
      <w:r>
        <w:rPr>
          <w:color w:val="0000FF"/>
          <w:sz w:val="24"/>
          <w:szCs w:val="24"/>
        </w:rPr>
        <w:t>in the new revised manuscript)</w:t>
      </w:r>
    </w:p>
    <w:p w14:paraId="77FBCB89" w14:textId="77777777" w:rsidR="00A335CE" w:rsidRDefault="00000000">
      <w:pPr>
        <w:spacing w:line="480" w:lineRule="auto"/>
        <w:rPr>
          <w:bCs/>
          <w:sz w:val="24"/>
          <w:szCs w:val="24"/>
        </w:rPr>
      </w:pPr>
      <w:r>
        <w:rPr>
          <w:bCs/>
          <w:sz w:val="24"/>
          <w:szCs w:val="24"/>
        </w:rPr>
        <w:t xml:space="preserve">Fig.3 illustrates the impact of SCP supplementation on the fibrous degree of the extrudate. </w:t>
      </w:r>
      <w:r>
        <w:rPr>
          <w:bCs/>
          <w:color w:val="FF0000"/>
          <w:sz w:val="24"/>
          <w:szCs w:val="24"/>
        </w:rPr>
        <w:t xml:space="preserve">Cutting against the grain in animal meat has been shown to require higher cutting forces </w:t>
      </w:r>
      <w:r>
        <w:rPr>
          <w:rFonts w:hint="eastAsia"/>
          <w:bCs/>
          <w:color w:val="FF0000"/>
          <w:sz w:val="24"/>
          <w:szCs w:val="24"/>
        </w:rPr>
        <w:t>[39]</w:t>
      </w:r>
      <w:r>
        <w:rPr>
          <w:bCs/>
          <w:color w:val="FF0000"/>
          <w:sz w:val="24"/>
          <w:szCs w:val="24"/>
        </w:rPr>
        <w:t xml:space="preserve">. Furthermore, a fibrous degree greater than 1 indicates that cutting the extruded sample necessitates higher transverse cutting forces, suggesting that the fibrous structure is formed along the longitudinal direction, a phenomenon analogous to that observed in real meat </w:t>
      </w:r>
      <w:r>
        <w:rPr>
          <w:rFonts w:hint="eastAsia"/>
          <w:bCs/>
          <w:color w:val="FF0000"/>
          <w:sz w:val="24"/>
          <w:szCs w:val="24"/>
        </w:rPr>
        <w:t>[40]</w:t>
      </w:r>
      <w:r>
        <w:rPr>
          <w:bCs/>
          <w:color w:val="FF0000"/>
          <w:sz w:val="24"/>
          <w:szCs w:val="24"/>
        </w:rPr>
        <w:t xml:space="preserve">. Lee et al. </w:t>
      </w:r>
      <w:r>
        <w:rPr>
          <w:rFonts w:hint="eastAsia"/>
          <w:bCs/>
          <w:color w:val="FF0000"/>
          <w:sz w:val="24"/>
          <w:szCs w:val="24"/>
        </w:rPr>
        <w:t xml:space="preserve">[39] </w:t>
      </w:r>
      <w:r>
        <w:rPr>
          <w:bCs/>
          <w:color w:val="FF0000"/>
          <w:sz w:val="24"/>
          <w:szCs w:val="24"/>
        </w:rPr>
        <w:t xml:space="preserve">utilised a mixture of PPI and soy </w:t>
      </w:r>
      <w:r>
        <w:rPr>
          <w:bCs/>
          <w:color w:val="FF0000"/>
          <w:sz w:val="24"/>
          <w:szCs w:val="24"/>
        </w:rPr>
        <w:lastRenderedPageBreak/>
        <w:t xml:space="preserve">protein isolate, and high-moisture extrusion was performed, resulting in a fibrous degree of the extruded products ranging from 0.9 to 1.2, which is analogous to our fibrous degree distribution. </w:t>
      </w:r>
      <w:r>
        <w:rPr>
          <w:bCs/>
          <w:sz w:val="24"/>
          <w:szCs w:val="24"/>
        </w:rPr>
        <w:t xml:space="preserve">It can be observed that the incorporation of SCP resulted in a reduction in the fibrous degree of the extruded sample, from 1.15 to 0.89, the longitudinal shear force and transverse shear force of the extruded sample exhibited a tendency to decrease with the continuous addition of SCP. </w:t>
      </w:r>
    </w:p>
    <w:p w14:paraId="11BC4986" w14:textId="77777777" w:rsidR="00A335CE" w:rsidRDefault="00000000">
      <w:pPr>
        <w:spacing w:line="480" w:lineRule="auto"/>
        <w:rPr>
          <w:bCs/>
          <w:sz w:val="24"/>
          <w:szCs w:val="24"/>
        </w:rPr>
      </w:pPr>
      <w:r>
        <w:rPr>
          <w:b/>
          <w:color w:val="0070C0"/>
          <w:sz w:val="24"/>
          <w:szCs w:val="24"/>
        </w:rPr>
        <w:t>Comment</w:t>
      </w:r>
      <w:r>
        <w:rPr>
          <w:rFonts w:hint="eastAsia"/>
          <w:b/>
          <w:color w:val="0070C0"/>
          <w:sz w:val="24"/>
          <w:szCs w:val="24"/>
        </w:rPr>
        <w:t xml:space="preserve"> 6</w:t>
      </w:r>
      <w:r>
        <w:rPr>
          <w:b/>
          <w:color w:val="0070C0"/>
          <w:sz w:val="24"/>
          <w:szCs w:val="24"/>
        </w:rPr>
        <w:t>:</w:t>
      </w:r>
      <w:r>
        <w:rPr>
          <w:rFonts w:hint="eastAsia"/>
          <w:bCs/>
          <w:color w:val="0070C0"/>
          <w:sz w:val="24"/>
          <w:szCs w:val="24"/>
        </w:rPr>
        <w:t xml:space="preserve"> </w:t>
      </w:r>
      <w:r>
        <w:rPr>
          <w:bCs/>
          <w:sz w:val="24"/>
          <w:szCs w:val="24"/>
        </w:rPr>
        <w:t>Line 312: Please provide citations and supporting arguments for the statement made in this line.</w:t>
      </w:r>
      <w:r>
        <w:rPr>
          <w:rFonts w:hint="eastAsia"/>
        </w:rPr>
        <w:t xml:space="preserve"> </w:t>
      </w:r>
    </w:p>
    <w:p w14:paraId="7F5D4BCE" w14:textId="77777777" w:rsidR="00A335CE" w:rsidRDefault="00000000">
      <w:pPr>
        <w:spacing w:line="480" w:lineRule="auto"/>
        <w:rPr>
          <w:b/>
          <w:sz w:val="24"/>
          <w:szCs w:val="24"/>
        </w:rPr>
      </w:pPr>
      <w:r>
        <w:rPr>
          <w:b/>
          <w:sz w:val="24"/>
          <w:szCs w:val="24"/>
          <w:u w:val="single"/>
        </w:rPr>
        <w:t>Authors Response:</w:t>
      </w:r>
      <w:r>
        <w:t xml:space="preserve"> </w:t>
      </w:r>
      <w:r>
        <w:rPr>
          <w:bCs/>
          <w:sz w:val="24"/>
          <w:szCs w:val="24"/>
        </w:rPr>
        <w:t>Thank you very much for taking the time to read our manuscript</w:t>
      </w:r>
      <w:r w:rsidR="00BE05C7">
        <w:rPr>
          <w:rFonts w:hint="eastAsia"/>
          <w:bCs/>
          <w:sz w:val="24"/>
          <w:szCs w:val="24"/>
        </w:rPr>
        <w:t>.</w:t>
      </w:r>
      <w:r>
        <w:rPr>
          <w:bCs/>
          <w:sz w:val="24"/>
          <w:szCs w:val="24"/>
        </w:rPr>
        <w:t xml:space="preserve"> Line 312 mentions:</w:t>
      </w:r>
      <w:r>
        <w:rPr>
          <w:rFonts w:hint="eastAsia"/>
          <w:bCs/>
          <w:sz w:val="24"/>
          <w:szCs w:val="24"/>
        </w:rPr>
        <w:t xml:space="preserve"> </w:t>
      </w:r>
      <w:r>
        <w:rPr>
          <w:bCs/>
          <w:sz w:val="24"/>
          <w:szCs w:val="24"/>
        </w:rPr>
        <w:t>This can be attributed to the fact that during the extrusion process, SCP exhibits a poor aggregation effect in the molding zone due to its inherent amino acid composition and secondary structure, as well as the low content of sulfur-containing amino acids. In fact, regarding the amino acid content of SCP, we have actually examined it later in 3.7 Amino acid analysis, and the distribution of the various amino acid contents of SCP presented in Table 5 elucidates the discussion in line 312 of the manuscript, and we thank you once again for your comments and suggestions.</w:t>
      </w:r>
    </w:p>
    <w:p w14:paraId="39320B88" w14:textId="77777777" w:rsidR="00A335CE" w:rsidRDefault="00000000">
      <w:pPr>
        <w:spacing w:line="480" w:lineRule="auto"/>
        <w:rPr>
          <w:bCs/>
          <w:sz w:val="24"/>
          <w:szCs w:val="24"/>
        </w:rPr>
      </w:pPr>
      <w:r>
        <w:rPr>
          <w:b/>
          <w:color w:val="0070C0"/>
          <w:sz w:val="24"/>
          <w:szCs w:val="24"/>
        </w:rPr>
        <w:t>Comment</w:t>
      </w:r>
      <w:r>
        <w:rPr>
          <w:rFonts w:hint="eastAsia"/>
          <w:b/>
          <w:color w:val="0070C0"/>
          <w:sz w:val="24"/>
          <w:szCs w:val="24"/>
        </w:rPr>
        <w:t xml:space="preserve"> 7</w:t>
      </w:r>
      <w:r>
        <w:rPr>
          <w:b/>
          <w:color w:val="0070C0"/>
          <w:sz w:val="24"/>
          <w:szCs w:val="24"/>
        </w:rPr>
        <w:t>:</w:t>
      </w:r>
      <w:r>
        <w:rPr>
          <w:rFonts w:hint="eastAsia"/>
          <w:bCs/>
          <w:color w:val="0070C0"/>
          <w:sz w:val="24"/>
          <w:szCs w:val="24"/>
        </w:rPr>
        <w:t xml:space="preserve"> </w:t>
      </w:r>
      <w:r>
        <w:rPr>
          <w:bCs/>
          <w:sz w:val="24"/>
          <w:szCs w:val="24"/>
        </w:rPr>
        <w:t>Line 403: While the analysis of small amplitude oscillation shear stress measurements is well-contrasted within this study, a more comprehensive comparison with existing literature is needed to contextualize the findings.</w:t>
      </w:r>
      <w:r>
        <w:rPr>
          <w:rFonts w:hint="eastAsia"/>
        </w:rPr>
        <w:t xml:space="preserve"> </w:t>
      </w:r>
    </w:p>
    <w:p w14:paraId="4FF1373F" w14:textId="77777777" w:rsidR="00A335CE" w:rsidRDefault="00000000">
      <w:pPr>
        <w:spacing w:line="480" w:lineRule="auto"/>
        <w:rPr>
          <w:bCs/>
          <w:sz w:val="24"/>
          <w:szCs w:val="24"/>
        </w:rPr>
      </w:pPr>
      <w:r>
        <w:rPr>
          <w:b/>
          <w:sz w:val="24"/>
          <w:szCs w:val="24"/>
          <w:u w:val="single"/>
        </w:rPr>
        <w:t>Authors Response:</w:t>
      </w:r>
      <w:r w:rsidR="00BE05C7">
        <w:rPr>
          <w:rFonts w:hint="eastAsia"/>
          <w:b/>
          <w:sz w:val="24"/>
          <w:szCs w:val="24"/>
          <w:u w:val="single"/>
        </w:rPr>
        <w:t xml:space="preserve"> </w:t>
      </w:r>
      <w:r>
        <w:rPr>
          <w:bCs/>
          <w:sz w:val="24"/>
          <w:szCs w:val="24"/>
        </w:rPr>
        <w:t>We agree with your comments and have further investigated the literature to compare the rheological behavior of our samples, which has improved the quality of our article, and the revised manuscript is shown below:</w:t>
      </w:r>
    </w:p>
    <w:p w14:paraId="73E159BB" w14:textId="48854064" w:rsidR="00A335CE" w:rsidRDefault="00000000">
      <w:pPr>
        <w:spacing w:line="480" w:lineRule="auto"/>
        <w:rPr>
          <w:color w:val="0000FF"/>
          <w:sz w:val="24"/>
          <w:szCs w:val="24"/>
        </w:rPr>
      </w:pPr>
      <w:r>
        <w:rPr>
          <w:color w:val="0000FF"/>
          <w:sz w:val="24"/>
          <w:szCs w:val="24"/>
        </w:rPr>
        <w:lastRenderedPageBreak/>
        <w:t xml:space="preserve">(Line </w:t>
      </w:r>
      <w:r>
        <w:rPr>
          <w:rFonts w:hint="eastAsia"/>
          <w:color w:val="0000FF"/>
          <w:sz w:val="24"/>
          <w:szCs w:val="24"/>
        </w:rPr>
        <w:t>40</w:t>
      </w:r>
      <w:r w:rsidR="00B451F2">
        <w:rPr>
          <w:rFonts w:hint="eastAsia"/>
          <w:color w:val="0000FF"/>
          <w:sz w:val="24"/>
          <w:szCs w:val="24"/>
        </w:rPr>
        <w:t>6</w:t>
      </w:r>
      <w:r>
        <w:rPr>
          <w:rFonts w:hint="eastAsia"/>
          <w:color w:val="0000FF"/>
          <w:sz w:val="24"/>
          <w:szCs w:val="24"/>
        </w:rPr>
        <w:t>-4</w:t>
      </w:r>
      <w:r w:rsidR="00B451F2">
        <w:rPr>
          <w:rFonts w:hint="eastAsia"/>
          <w:color w:val="0000FF"/>
          <w:sz w:val="24"/>
          <w:szCs w:val="24"/>
        </w:rPr>
        <w:t>08</w:t>
      </w:r>
      <w:r>
        <w:rPr>
          <w:rFonts w:hint="eastAsia"/>
          <w:color w:val="0000FF"/>
          <w:sz w:val="24"/>
          <w:szCs w:val="24"/>
        </w:rPr>
        <w:t xml:space="preserve"> </w:t>
      </w:r>
      <w:r>
        <w:rPr>
          <w:color w:val="0000FF"/>
          <w:sz w:val="24"/>
          <w:szCs w:val="24"/>
        </w:rPr>
        <w:t>in the new revised manuscript)</w:t>
      </w:r>
    </w:p>
    <w:p w14:paraId="273C3FB7" w14:textId="77777777" w:rsidR="00A335CE" w:rsidRDefault="00000000">
      <w:pPr>
        <w:spacing w:line="480" w:lineRule="auto"/>
        <w:rPr>
          <w:bCs/>
          <w:sz w:val="24"/>
          <w:szCs w:val="24"/>
        </w:rPr>
      </w:pPr>
      <w:r>
        <w:rPr>
          <w:bCs/>
          <w:sz w:val="24"/>
          <w:szCs w:val="24"/>
        </w:rPr>
        <w:t>The fitting results indicate that the consistency coefficient (K) of the samples exhibited a trend of initial decrease and subsequent increase, reaching a minimum at 12% of the SCP addition, with a minimum value of 3.33 Pa·s</w:t>
      </w:r>
      <w:r>
        <w:rPr>
          <w:bCs/>
          <w:sz w:val="24"/>
          <w:szCs w:val="24"/>
          <w:vertAlign w:val="superscript"/>
        </w:rPr>
        <w:t>n</w:t>
      </w:r>
      <w:r>
        <w:rPr>
          <w:bCs/>
          <w:sz w:val="24"/>
          <w:szCs w:val="24"/>
        </w:rPr>
        <w:t xml:space="preserve">. </w:t>
      </w:r>
      <w:r>
        <w:rPr>
          <w:bCs/>
          <w:color w:val="FF0000"/>
          <w:sz w:val="24"/>
          <w:szCs w:val="24"/>
        </w:rPr>
        <w:t>The flow behavior indices (n) of all the feedstocks were less than 1, indicating that the sample solutions were all pseudoplastic fluids [</w:t>
      </w:r>
      <w:r>
        <w:rPr>
          <w:rFonts w:hint="eastAsia"/>
          <w:bCs/>
          <w:color w:val="FF0000"/>
          <w:sz w:val="24"/>
          <w:szCs w:val="24"/>
        </w:rPr>
        <w:t>46</w:t>
      </w:r>
      <w:r>
        <w:rPr>
          <w:bCs/>
          <w:color w:val="FF0000"/>
          <w:sz w:val="24"/>
          <w:szCs w:val="24"/>
        </w:rPr>
        <w:t>]. These results are consistent with previously reported flow curves for pea and soy proteins [</w:t>
      </w:r>
      <w:r>
        <w:rPr>
          <w:rFonts w:hint="eastAsia"/>
          <w:bCs/>
          <w:color w:val="FF0000"/>
          <w:sz w:val="24"/>
          <w:szCs w:val="24"/>
        </w:rPr>
        <w:t>47</w:t>
      </w:r>
      <w:r>
        <w:rPr>
          <w:bCs/>
          <w:color w:val="FF0000"/>
          <w:sz w:val="24"/>
          <w:szCs w:val="24"/>
        </w:rPr>
        <w:t>].</w:t>
      </w:r>
    </w:p>
    <w:p w14:paraId="4D650ECB" w14:textId="77777777" w:rsidR="00A335CE" w:rsidRDefault="00000000">
      <w:pPr>
        <w:spacing w:line="480" w:lineRule="auto"/>
        <w:rPr>
          <w:bCs/>
          <w:sz w:val="24"/>
          <w:szCs w:val="24"/>
        </w:rPr>
      </w:pPr>
      <w:r>
        <w:rPr>
          <w:b/>
          <w:color w:val="0070C0"/>
          <w:sz w:val="24"/>
          <w:szCs w:val="24"/>
        </w:rPr>
        <w:t>Comment</w:t>
      </w:r>
      <w:r>
        <w:rPr>
          <w:rFonts w:hint="eastAsia"/>
          <w:b/>
          <w:color w:val="0070C0"/>
          <w:sz w:val="24"/>
          <w:szCs w:val="24"/>
        </w:rPr>
        <w:t xml:space="preserve"> 8</w:t>
      </w:r>
      <w:r>
        <w:rPr>
          <w:b/>
          <w:color w:val="0070C0"/>
          <w:sz w:val="24"/>
          <w:szCs w:val="24"/>
        </w:rPr>
        <w:t>:</w:t>
      </w:r>
      <w:r>
        <w:rPr>
          <w:rFonts w:hint="eastAsia"/>
          <w:bCs/>
          <w:color w:val="0070C0"/>
          <w:sz w:val="24"/>
          <w:szCs w:val="24"/>
        </w:rPr>
        <w:t xml:space="preserve"> </w:t>
      </w:r>
      <w:r>
        <w:rPr>
          <w:bCs/>
          <w:sz w:val="24"/>
          <w:szCs w:val="24"/>
        </w:rPr>
        <w:t>Edible Insect-Based Food Formulations: The discussion should be expanded to include a review of current edible insect-based food formulations produced using advanced technologies, such as humid extrusion. This will strengthen the justification for your novel food formulation and highlight its advantages over existing products.</w:t>
      </w:r>
    </w:p>
    <w:p w14:paraId="38F56E3E" w14:textId="77777777" w:rsidR="00A335CE" w:rsidRDefault="00000000">
      <w:pPr>
        <w:spacing w:line="480" w:lineRule="auto"/>
        <w:rPr>
          <w:bCs/>
          <w:sz w:val="24"/>
          <w:szCs w:val="24"/>
        </w:rPr>
      </w:pPr>
      <w:r>
        <w:rPr>
          <w:b/>
          <w:sz w:val="24"/>
          <w:szCs w:val="24"/>
          <w:u w:val="single"/>
        </w:rPr>
        <w:t>Authors Response:</w:t>
      </w:r>
      <w:r>
        <w:t xml:space="preserve"> </w:t>
      </w:r>
      <w:r>
        <w:rPr>
          <w:bCs/>
          <w:sz w:val="24"/>
          <w:szCs w:val="24"/>
        </w:rPr>
        <w:t>We very much agree with your comments and have expanded our discussion to include products such as silkworm pupa peptide yogurt</w:t>
      </w:r>
      <w:r>
        <w:rPr>
          <w:rFonts w:hint="eastAsia"/>
          <w:bCs/>
          <w:sz w:val="24"/>
          <w:szCs w:val="24"/>
        </w:rPr>
        <w:t xml:space="preserve"> [1] and</w:t>
      </w:r>
      <w:r>
        <w:rPr>
          <w:bCs/>
          <w:sz w:val="24"/>
          <w:szCs w:val="24"/>
        </w:rPr>
        <w:t xml:space="preserve"> edible insect-based extruded snack</w:t>
      </w:r>
      <w:r>
        <w:rPr>
          <w:rFonts w:hint="eastAsia"/>
          <w:bCs/>
          <w:sz w:val="24"/>
          <w:szCs w:val="24"/>
        </w:rPr>
        <w:t xml:space="preserve"> [2]</w:t>
      </w:r>
      <w:r>
        <w:rPr>
          <w:bCs/>
          <w:sz w:val="24"/>
          <w:szCs w:val="24"/>
        </w:rPr>
        <w:t>, which further improves the quality of our article, and we thank you again for your comments.</w:t>
      </w:r>
    </w:p>
    <w:p w14:paraId="3A931AF6" w14:textId="77777777" w:rsidR="00A335CE" w:rsidRDefault="00000000">
      <w:pPr>
        <w:spacing w:line="480" w:lineRule="auto"/>
        <w:rPr>
          <w:bCs/>
          <w:sz w:val="24"/>
          <w:szCs w:val="24"/>
        </w:rPr>
      </w:pPr>
      <w:r>
        <w:rPr>
          <w:b/>
          <w:color w:val="0070C0"/>
          <w:sz w:val="24"/>
          <w:szCs w:val="24"/>
        </w:rPr>
        <w:t>Comment</w:t>
      </w:r>
      <w:r>
        <w:rPr>
          <w:rFonts w:hint="eastAsia"/>
          <w:b/>
          <w:color w:val="0070C0"/>
          <w:sz w:val="24"/>
          <w:szCs w:val="24"/>
        </w:rPr>
        <w:t xml:space="preserve"> 9</w:t>
      </w:r>
      <w:r>
        <w:rPr>
          <w:b/>
          <w:color w:val="0070C0"/>
          <w:sz w:val="24"/>
          <w:szCs w:val="24"/>
        </w:rPr>
        <w:t>:</w:t>
      </w:r>
      <w:r>
        <w:rPr>
          <w:rFonts w:hint="eastAsia"/>
          <w:bCs/>
          <w:color w:val="0070C0"/>
          <w:sz w:val="24"/>
          <w:szCs w:val="24"/>
        </w:rPr>
        <w:t xml:space="preserve"> </w:t>
      </w:r>
      <w:r>
        <w:rPr>
          <w:bCs/>
          <w:sz w:val="24"/>
          <w:szCs w:val="24"/>
        </w:rPr>
        <w:t>International Units: Please ensure consistent use of international units throughout the manuscript (e.g., 'mL' for milliliters, 'h' for hours). Inconsistencies like 'ml' and 'mL', or 'h' and 'hours' detract from the professional presentation of the work.</w:t>
      </w:r>
    </w:p>
    <w:p w14:paraId="387E326C" w14:textId="77777777" w:rsidR="00A335CE" w:rsidRDefault="00000000">
      <w:pPr>
        <w:spacing w:line="480" w:lineRule="auto"/>
        <w:rPr>
          <w:b/>
          <w:sz w:val="24"/>
          <w:szCs w:val="24"/>
        </w:rPr>
      </w:pPr>
      <w:r>
        <w:rPr>
          <w:b/>
          <w:sz w:val="24"/>
          <w:szCs w:val="24"/>
          <w:u w:val="single"/>
        </w:rPr>
        <w:t>Authors Response:</w:t>
      </w:r>
      <w:r>
        <w:t xml:space="preserve"> </w:t>
      </w:r>
      <w:r>
        <w:rPr>
          <w:bCs/>
          <w:sz w:val="24"/>
          <w:szCs w:val="24"/>
        </w:rPr>
        <w:t xml:space="preserve">Thank you very much for your comments. The consistent use of international units in the manuscript is crucial to the quality of the manuscript, and we have actively revised the full text of the manuscript where inconsistent units appear, </w:t>
      </w:r>
      <w:r>
        <w:rPr>
          <w:bCs/>
          <w:sz w:val="24"/>
          <w:szCs w:val="24"/>
        </w:rPr>
        <w:lastRenderedPageBreak/>
        <w:t>and have listed them in red below:</w:t>
      </w:r>
    </w:p>
    <w:p w14:paraId="5C613804" w14:textId="4883F483" w:rsidR="00A335CE" w:rsidRDefault="00000000">
      <w:pPr>
        <w:spacing w:line="480" w:lineRule="auto"/>
        <w:rPr>
          <w:color w:val="0000FF"/>
          <w:sz w:val="24"/>
          <w:szCs w:val="24"/>
        </w:rPr>
      </w:pPr>
      <w:r>
        <w:rPr>
          <w:color w:val="0000FF"/>
          <w:sz w:val="24"/>
          <w:szCs w:val="24"/>
        </w:rPr>
        <w:t xml:space="preserve">(Line </w:t>
      </w:r>
      <w:r>
        <w:rPr>
          <w:rFonts w:hint="eastAsia"/>
          <w:color w:val="0000FF"/>
          <w:sz w:val="24"/>
          <w:szCs w:val="24"/>
        </w:rPr>
        <w:t>1</w:t>
      </w:r>
      <w:r w:rsidR="00B451F2">
        <w:rPr>
          <w:rFonts w:hint="eastAsia"/>
          <w:color w:val="0000FF"/>
          <w:sz w:val="24"/>
          <w:szCs w:val="24"/>
        </w:rPr>
        <w:t>57</w:t>
      </w:r>
      <w:r>
        <w:rPr>
          <w:rFonts w:hint="eastAsia"/>
          <w:color w:val="0000FF"/>
          <w:sz w:val="24"/>
          <w:szCs w:val="24"/>
        </w:rPr>
        <w:t xml:space="preserve"> and line 23</w:t>
      </w:r>
      <w:r w:rsidR="00B451F2">
        <w:rPr>
          <w:rFonts w:hint="eastAsia"/>
          <w:color w:val="0000FF"/>
          <w:sz w:val="24"/>
          <w:szCs w:val="24"/>
        </w:rPr>
        <w:t>4</w:t>
      </w:r>
      <w:r>
        <w:rPr>
          <w:color w:val="0000FF"/>
          <w:sz w:val="24"/>
          <w:szCs w:val="24"/>
        </w:rPr>
        <w:t xml:space="preserve"> in the new revised manuscript)</w:t>
      </w:r>
    </w:p>
    <w:p w14:paraId="18AEE90B" w14:textId="77777777" w:rsidR="00A335CE" w:rsidRDefault="00000000">
      <w:pPr>
        <w:spacing w:line="480" w:lineRule="auto"/>
        <w:rPr>
          <w:bCs/>
          <w:sz w:val="24"/>
          <w:szCs w:val="24"/>
        </w:rPr>
      </w:pPr>
      <w:r>
        <w:rPr>
          <w:bCs/>
          <w:sz w:val="24"/>
          <w:szCs w:val="24"/>
        </w:rPr>
        <w:t xml:space="preserve">The extruded mixed protein powder (0.2 g) was dispersed in 5 </w:t>
      </w:r>
      <w:r>
        <w:rPr>
          <w:bCs/>
          <w:color w:val="FF0000"/>
          <w:sz w:val="24"/>
          <w:szCs w:val="24"/>
        </w:rPr>
        <w:t>mL</w:t>
      </w:r>
      <w:r>
        <w:rPr>
          <w:bCs/>
          <w:sz w:val="24"/>
          <w:szCs w:val="24"/>
        </w:rPr>
        <w:t xml:space="preserve"> deionised water, mixed using a vortex mixer, and stored at 4 °C for 24 h. Following centrifugation at 3000 g for 15 min, the supernatant was removed and the weight of the centrifuge tube and the residue was recorded.</w:t>
      </w:r>
    </w:p>
    <w:p w14:paraId="092EFA94" w14:textId="77777777" w:rsidR="00A335CE" w:rsidRDefault="00000000">
      <w:pPr>
        <w:spacing w:line="480" w:lineRule="auto"/>
        <w:rPr>
          <w:bCs/>
          <w:sz w:val="24"/>
          <w:szCs w:val="24"/>
        </w:rPr>
      </w:pPr>
      <w:r>
        <w:rPr>
          <w:bCs/>
          <w:sz w:val="24"/>
          <w:szCs w:val="24"/>
        </w:rPr>
        <w:t xml:space="preserve">The solution is heated in a furnace at 110 °C for </w:t>
      </w:r>
      <w:r>
        <w:rPr>
          <w:bCs/>
          <w:color w:val="FF0000"/>
          <w:sz w:val="24"/>
          <w:szCs w:val="24"/>
        </w:rPr>
        <w:t>24 h</w:t>
      </w:r>
      <w:r>
        <w:rPr>
          <w:bCs/>
          <w:sz w:val="24"/>
          <w:szCs w:val="24"/>
        </w:rPr>
        <w:t>.</w:t>
      </w:r>
    </w:p>
    <w:p w14:paraId="6697BB2C" w14:textId="77777777" w:rsidR="00A335CE" w:rsidRPr="002965C8" w:rsidRDefault="00A335CE">
      <w:pPr>
        <w:widowControl/>
        <w:jc w:val="left"/>
        <w:rPr>
          <w:bCs/>
          <w:sz w:val="24"/>
          <w:szCs w:val="24"/>
        </w:rPr>
      </w:pPr>
    </w:p>
    <w:p w14:paraId="65F46937" w14:textId="77777777" w:rsidR="00A335CE" w:rsidRDefault="00000000">
      <w:pPr>
        <w:widowControl/>
        <w:jc w:val="left"/>
        <w:rPr>
          <w:b/>
          <w:sz w:val="24"/>
          <w:szCs w:val="24"/>
          <w:u w:val="single"/>
        </w:rPr>
      </w:pPr>
      <w:r>
        <w:rPr>
          <w:rFonts w:hint="eastAsia"/>
          <w:b/>
          <w:sz w:val="24"/>
          <w:szCs w:val="24"/>
          <w:u w:val="single"/>
        </w:rPr>
        <w:t>Reference:</w:t>
      </w:r>
    </w:p>
    <w:p w14:paraId="6C7541D6" w14:textId="77777777" w:rsidR="00A335CE" w:rsidRPr="00055F24" w:rsidRDefault="00000000">
      <w:pPr>
        <w:spacing w:line="360" w:lineRule="auto"/>
        <w:rPr>
          <w:bCs/>
          <w:sz w:val="24"/>
          <w:szCs w:val="24"/>
        </w:rPr>
      </w:pPr>
      <w:r w:rsidRPr="00055F24">
        <w:rPr>
          <w:bCs/>
          <w:sz w:val="24"/>
          <w:szCs w:val="24"/>
        </w:rPr>
        <w:t>[1] Wang W, Wang N, Liu C, et al. Effect of silkworm pupae peptide on the fermenta-tion and quality of yogurt. Journal of Food Processing and Preservation, 2017, 41(3): e12893. https://doi.org/10.1111/jfpp.12893</w:t>
      </w:r>
    </w:p>
    <w:p w14:paraId="696BAD4B" w14:textId="77777777" w:rsidR="00BE05C7" w:rsidRDefault="00000000">
      <w:pPr>
        <w:spacing w:line="360" w:lineRule="auto"/>
        <w:rPr>
          <w:rStyle w:val="af8"/>
          <w:bCs/>
          <w:sz w:val="24"/>
          <w:szCs w:val="24"/>
        </w:rPr>
      </w:pPr>
      <w:r w:rsidRPr="00055F24">
        <w:rPr>
          <w:bCs/>
          <w:sz w:val="24"/>
          <w:szCs w:val="24"/>
          <w:lang w:val="fr-FR"/>
        </w:rPr>
        <w:t xml:space="preserve">[2] García-Segovia P, Igual M, Noguerol T A, et al. </w:t>
      </w:r>
      <w:r w:rsidRPr="00055F24">
        <w:rPr>
          <w:bCs/>
          <w:sz w:val="24"/>
          <w:szCs w:val="24"/>
        </w:rPr>
        <w:t xml:space="preserve">Use of insects and pea powder as alternative protein and mineral sources in extruded snacks. European food research and technology, 2020, 246(4): 703-712. </w:t>
      </w:r>
      <w:hyperlink r:id="rId6" w:history="1">
        <w:r w:rsidR="00BE05C7" w:rsidRPr="00055F24">
          <w:rPr>
            <w:rStyle w:val="af8"/>
            <w:bCs/>
            <w:sz w:val="24"/>
            <w:szCs w:val="24"/>
          </w:rPr>
          <w:t>https://doi.org/10.1007/s00217-020-03441-y</w:t>
        </w:r>
      </w:hyperlink>
    </w:p>
    <w:p w14:paraId="62E40E81" w14:textId="77777777" w:rsidR="00BE05C7" w:rsidRPr="00BE05C7" w:rsidRDefault="00BE05C7">
      <w:pPr>
        <w:spacing w:line="360" w:lineRule="auto"/>
        <w:rPr>
          <w:rStyle w:val="af8"/>
          <w:b/>
          <w:sz w:val="24"/>
          <w:szCs w:val="24"/>
          <w:u w:val="none"/>
        </w:rPr>
      </w:pPr>
      <w:r w:rsidRPr="00BE05C7">
        <w:rPr>
          <w:rStyle w:val="af8"/>
          <w:b/>
          <w:sz w:val="24"/>
          <w:szCs w:val="24"/>
          <w:u w:val="none"/>
        </w:rPr>
        <w:t>The new references cited after the extended discussion are as follows</w:t>
      </w:r>
      <w:r w:rsidRPr="00BE05C7">
        <w:rPr>
          <w:rStyle w:val="af8"/>
          <w:rFonts w:hint="eastAsia"/>
          <w:b/>
          <w:sz w:val="24"/>
          <w:szCs w:val="24"/>
          <w:u w:val="none"/>
        </w:rPr>
        <w:t>:</w:t>
      </w:r>
    </w:p>
    <w:p w14:paraId="620D5928" w14:textId="77777777" w:rsidR="009840D3" w:rsidRPr="00BE05C7" w:rsidRDefault="009840D3" w:rsidP="009840D3">
      <w:pPr>
        <w:spacing w:line="360" w:lineRule="auto"/>
        <w:rPr>
          <w:bCs/>
          <w:color w:val="FF0000"/>
          <w:sz w:val="24"/>
          <w:szCs w:val="24"/>
        </w:rPr>
      </w:pPr>
      <w:r w:rsidRPr="00BE05C7">
        <w:rPr>
          <w:rFonts w:hint="eastAsia"/>
          <w:bCs/>
          <w:color w:val="FF0000"/>
          <w:sz w:val="24"/>
          <w:szCs w:val="24"/>
          <w:lang w:val="fr-FR"/>
        </w:rPr>
        <w:t>[</w:t>
      </w:r>
      <w:r w:rsidRPr="00BE05C7">
        <w:rPr>
          <w:bCs/>
          <w:color w:val="FF0000"/>
          <w:sz w:val="24"/>
          <w:szCs w:val="24"/>
          <w:lang w:val="fr-FR"/>
        </w:rPr>
        <w:t>38</w:t>
      </w:r>
      <w:r w:rsidRPr="00BE05C7">
        <w:rPr>
          <w:rFonts w:hint="eastAsia"/>
          <w:bCs/>
          <w:color w:val="FF0000"/>
          <w:sz w:val="24"/>
          <w:szCs w:val="24"/>
          <w:lang w:val="fr-FR"/>
        </w:rPr>
        <w:t>]</w:t>
      </w:r>
      <w:r w:rsidRPr="00BE05C7">
        <w:rPr>
          <w:bCs/>
          <w:color w:val="FF0000"/>
          <w:sz w:val="24"/>
          <w:szCs w:val="24"/>
          <w:lang w:val="fr-FR"/>
        </w:rPr>
        <w:tab/>
        <w:t xml:space="preserve">Wang W, Wang N, Liu C, et al. </w:t>
      </w:r>
      <w:r w:rsidRPr="00BE05C7">
        <w:rPr>
          <w:bCs/>
          <w:color w:val="FF0000"/>
          <w:sz w:val="24"/>
          <w:szCs w:val="24"/>
        </w:rPr>
        <w:t>Effect of silkworm pupae peptide on the fermentation and quality of yogurt. Journal of Food Processing and Preservation, 2017, 41(3): e12893. https://doi.org/10.1111/jfpp.12893</w:t>
      </w:r>
    </w:p>
    <w:p w14:paraId="35223BC2" w14:textId="77777777" w:rsidR="009840D3" w:rsidRPr="00BE05C7" w:rsidRDefault="009840D3" w:rsidP="009840D3">
      <w:pPr>
        <w:spacing w:line="360" w:lineRule="auto"/>
        <w:rPr>
          <w:bCs/>
          <w:color w:val="FF0000"/>
          <w:sz w:val="24"/>
          <w:szCs w:val="24"/>
        </w:rPr>
      </w:pPr>
      <w:r w:rsidRPr="00BE05C7">
        <w:rPr>
          <w:rFonts w:hint="eastAsia"/>
          <w:bCs/>
          <w:color w:val="FF0000"/>
          <w:sz w:val="24"/>
          <w:szCs w:val="24"/>
        </w:rPr>
        <w:t>[</w:t>
      </w:r>
      <w:r w:rsidRPr="00BE05C7">
        <w:rPr>
          <w:bCs/>
          <w:color w:val="FF0000"/>
          <w:sz w:val="24"/>
          <w:szCs w:val="24"/>
        </w:rPr>
        <w:t>39</w:t>
      </w:r>
      <w:r w:rsidRPr="00BE05C7">
        <w:rPr>
          <w:rFonts w:hint="eastAsia"/>
          <w:bCs/>
          <w:color w:val="FF0000"/>
          <w:sz w:val="24"/>
          <w:szCs w:val="24"/>
        </w:rPr>
        <w:t>]</w:t>
      </w:r>
      <w:r w:rsidRPr="00BE05C7">
        <w:rPr>
          <w:bCs/>
          <w:color w:val="FF0000"/>
          <w:sz w:val="24"/>
          <w:szCs w:val="24"/>
        </w:rPr>
        <w:tab/>
        <w:t>Lee J S, Kim S, Jeong Y J, et al. Impact of interactions between soy and pea proteins on quality characteristics of high-moisture meat analogues prepared via extrusion cooking process. Food Hydrocolloids, 2023, 139: 108567. https://doi.org/ 10.1016/J.FOODHYD.2023.108567</w:t>
      </w:r>
    </w:p>
    <w:p w14:paraId="7D5B4E59" w14:textId="77777777" w:rsidR="009840D3" w:rsidRPr="00BE05C7" w:rsidRDefault="009840D3" w:rsidP="009840D3">
      <w:pPr>
        <w:spacing w:line="360" w:lineRule="auto"/>
        <w:rPr>
          <w:bCs/>
          <w:color w:val="FF0000"/>
          <w:sz w:val="24"/>
          <w:szCs w:val="24"/>
        </w:rPr>
      </w:pPr>
      <w:r w:rsidRPr="00B451F2">
        <w:rPr>
          <w:rFonts w:hint="eastAsia"/>
          <w:bCs/>
          <w:color w:val="FF0000"/>
          <w:sz w:val="24"/>
          <w:szCs w:val="24"/>
        </w:rPr>
        <w:t>[</w:t>
      </w:r>
      <w:r w:rsidRPr="00B451F2">
        <w:rPr>
          <w:bCs/>
          <w:color w:val="FF0000"/>
          <w:sz w:val="24"/>
          <w:szCs w:val="24"/>
        </w:rPr>
        <w:t>40</w:t>
      </w:r>
      <w:r w:rsidRPr="00B451F2">
        <w:rPr>
          <w:rFonts w:hint="eastAsia"/>
          <w:bCs/>
          <w:color w:val="FF0000"/>
          <w:sz w:val="24"/>
          <w:szCs w:val="24"/>
        </w:rPr>
        <w:t>]</w:t>
      </w:r>
      <w:r w:rsidRPr="00B451F2">
        <w:rPr>
          <w:bCs/>
          <w:color w:val="FF0000"/>
          <w:sz w:val="24"/>
          <w:szCs w:val="24"/>
        </w:rPr>
        <w:tab/>
        <w:t xml:space="preserve">Ferawati F, Zahari I, Barman M, et al. </w:t>
      </w:r>
      <w:r w:rsidRPr="00BE05C7">
        <w:rPr>
          <w:bCs/>
          <w:color w:val="FF0000"/>
          <w:sz w:val="24"/>
          <w:szCs w:val="24"/>
        </w:rPr>
        <w:t xml:space="preserve">High-moisture meat analogues produced from yellow pea and faba bean protein isolates/concentrate: Effect of raw material composition and extrusion parameters on texture properties. Foods, 2021, 10(4): 843. </w:t>
      </w:r>
      <w:hyperlink r:id="rId7" w:history="1">
        <w:r w:rsidRPr="00BE05C7">
          <w:rPr>
            <w:rStyle w:val="af8"/>
            <w:bCs/>
            <w:color w:val="FF0000"/>
            <w:sz w:val="24"/>
            <w:szCs w:val="24"/>
          </w:rPr>
          <w:t>https://doi.org/10.3390/FOODS10040843</w:t>
        </w:r>
      </w:hyperlink>
    </w:p>
    <w:p w14:paraId="32D9BA79" w14:textId="77777777" w:rsidR="009840D3" w:rsidRPr="00BE05C7" w:rsidRDefault="009840D3" w:rsidP="00BE05C7">
      <w:pPr>
        <w:wordWrap w:val="0"/>
        <w:spacing w:line="360" w:lineRule="auto"/>
        <w:rPr>
          <w:bCs/>
          <w:color w:val="FF0000"/>
          <w:sz w:val="24"/>
          <w:szCs w:val="24"/>
        </w:rPr>
      </w:pPr>
      <w:r w:rsidRPr="00BE05C7">
        <w:rPr>
          <w:rFonts w:hint="eastAsia"/>
          <w:bCs/>
          <w:color w:val="FF0000"/>
          <w:sz w:val="24"/>
          <w:szCs w:val="24"/>
        </w:rPr>
        <w:t>[</w:t>
      </w:r>
      <w:r w:rsidRPr="00BE05C7">
        <w:rPr>
          <w:bCs/>
          <w:color w:val="FF0000"/>
          <w:sz w:val="24"/>
          <w:szCs w:val="24"/>
        </w:rPr>
        <w:t>46</w:t>
      </w:r>
      <w:r w:rsidRPr="00BE05C7">
        <w:rPr>
          <w:rFonts w:hint="eastAsia"/>
          <w:bCs/>
          <w:color w:val="FF0000"/>
          <w:sz w:val="24"/>
          <w:szCs w:val="24"/>
        </w:rPr>
        <w:t>]</w:t>
      </w:r>
      <w:r w:rsidRPr="00BE05C7">
        <w:rPr>
          <w:bCs/>
          <w:color w:val="FF0000"/>
          <w:sz w:val="24"/>
          <w:szCs w:val="24"/>
        </w:rPr>
        <w:tab/>
        <w:t>Beck S M, Knoerzer K, Sellahewa J, et al. Effect of different heat-treatme</w:t>
      </w:r>
      <w:r w:rsidRPr="00BE05C7">
        <w:rPr>
          <w:bCs/>
          <w:color w:val="FF0000"/>
          <w:sz w:val="24"/>
          <w:szCs w:val="24"/>
        </w:rPr>
        <w:lastRenderedPageBreak/>
        <w:t>nt times and applied shear on secondary structure, molecular weight distribution, solubility and rheo-logical properties of pea protein isolate as investigated by capillary rheometry. Journal of food engineering, 2017, 208: 66-76. https://doi.org/10.1016/j.jfoodeng.2017.03.016</w:t>
      </w:r>
    </w:p>
    <w:p w14:paraId="65D37D76" w14:textId="77777777" w:rsidR="009840D3" w:rsidRPr="00BE05C7" w:rsidRDefault="009840D3" w:rsidP="009840D3">
      <w:pPr>
        <w:spacing w:line="360" w:lineRule="auto"/>
        <w:rPr>
          <w:bCs/>
          <w:color w:val="FF0000"/>
          <w:sz w:val="24"/>
          <w:szCs w:val="24"/>
        </w:rPr>
      </w:pPr>
      <w:r w:rsidRPr="00B451F2">
        <w:rPr>
          <w:rFonts w:hint="eastAsia"/>
          <w:bCs/>
          <w:color w:val="FF0000"/>
          <w:sz w:val="24"/>
          <w:szCs w:val="24"/>
        </w:rPr>
        <w:t>[</w:t>
      </w:r>
      <w:r w:rsidRPr="00B451F2">
        <w:rPr>
          <w:bCs/>
          <w:color w:val="FF0000"/>
          <w:sz w:val="24"/>
          <w:szCs w:val="24"/>
        </w:rPr>
        <w:t>47</w:t>
      </w:r>
      <w:r w:rsidRPr="00B451F2">
        <w:rPr>
          <w:rFonts w:hint="eastAsia"/>
          <w:bCs/>
          <w:color w:val="FF0000"/>
          <w:sz w:val="24"/>
          <w:szCs w:val="24"/>
        </w:rPr>
        <w:t>]</w:t>
      </w:r>
      <w:r w:rsidRPr="00B451F2">
        <w:rPr>
          <w:bCs/>
          <w:color w:val="FF0000"/>
          <w:sz w:val="24"/>
          <w:szCs w:val="24"/>
        </w:rPr>
        <w:tab/>
        <w:t xml:space="preserve">Xia S, Xue Y, Xue C, et al. </w:t>
      </w:r>
      <w:r w:rsidRPr="00BE05C7">
        <w:rPr>
          <w:bCs/>
          <w:color w:val="FF0000"/>
          <w:sz w:val="24"/>
          <w:szCs w:val="24"/>
        </w:rPr>
        <w:t>Structural and rheological properties of meat analogues from Haematococcus pluvialis resi-due-pea protein by high moisture extrusion. LWT, 2021 154, 112756. https://doi.org/10.1016/j.lwt.2021.112756</w:t>
      </w:r>
    </w:p>
    <w:p w14:paraId="7D80F8F9" w14:textId="77777777" w:rsidR="00A335CE" w:rsidRDefault="00000000">
      <w:pPr>
        <w:widowControl/>
        <w:jc w:val="left"/>
        <w:rPr>
          <w:bCs/>
          <w:szCs w:val="21"/>
        </w:rPr>
      </w:pPr>
      <w:r>
        <w:rPr>
          <w:bCs/>
          <w:szCs w:val="21"/>
        </w:rPr>
        <w:br w:type="page"/>
      </w:r>
    </w:p>
    <w:p w14:paraId="4DF5FDAA" w14:textId="0AACF5DB" w:rsidR="00A335CE" w:rsidRDefault="004066D9">
      <w:pPr>
        <w:spacing w:line="480" w:lineRule="auto"/>
        <w:rPr>
          <w:sz w:val="24"/>
          <w:szCs w:val="24"/>
        </w:rPr>
      </w:pPr>
      <w:r>
        <w:rPr>
          <w:rFonts w:hint="eastAsia"/>
          <w:sz w:val="24"/>
          <w:szCs w:val="24"/>
        </w:rPr>
        <w:lastRenderedPageBreak/>
        <w:t>W</w:t>
      </w:r>
      <w:r>
        <w:rPr>
          <w:sz w:val="24"/>
          <w:szCs w:val="24"/>
        </w:rPr>
        <w:t>e again sincerely thank you for taking the time to read and guide our manuscript and hope that our response is adequate. Your rigorous and detailed suggestions have been of great help to us in further improving the scientific and rigorous nature of the article. Once again, we express our most sincere thanks to you!</w:t>
      </w:r>
      <w:bookmarkEnd w:id="14"/>
    </w:p>
    <w:bookmarkEnd w:id="15"/>
    <w:p w14:paraId="71113327" w14:textId="77777777" w:rsidR="00A335CE" w:rsidRDefault="00A335CE">
      <w:pPr>
        <w:spacing w:line="480" w:lineRule="auto"/>
        <w:ind w:left="480" w:hangingChars="200" w:hanging="480"/>
        <w:rPr>
          <w:sz w:val="24"/>
          <w:szCs w:val="24"/>
        </w:rPr>
      </w:pPr>
    </w:p>
    <w:p w14:paraId="3BE45B8D" w14:textId="77777777" w:rsidR="00A335CE" w:rsidRDefault="00000000">
      <w:pPr>
        <w:spacing w:line="480" w:lineRule="auto"/>
        <w:ind w:left="480" w:hangingChars="200" w:hanging="480"/>
        <w:rPr>
          <w:sz w:val="24"/>
          <w:szCs w:val="24"/>
        </w:rPr>
      </w:pPr>
      <w:bookmarkStart w:id="18" w:name="OLE_LINK17"/>
      <w:bookmarkStart w:id="19" w:name="OLE_LINK3"/>
      <w:r>
        <w:rPr>
          <w:sz w:val="24"/>
          <w:szCs w:val="24"/>
        </w:rPr>
        <w:t>Best regards,</w:t>
      </w:r>
    </w:p>
    <w:p w14:paraId="4298F7C8" w14:textId="77777777" w:rsidR="00A335CE" w:rsidRDefault="00000000">
      <w:pPr>
        <w:spacing w:line="480" w:lineRule="auto"/>
        <w:ind w:left="480" w:hangingChars="200" w:hanging="480"/>
        <w:rPr>
          <w:sz w:val="24"/>
          <w:szCs w:val="24"/>
        </w:rPr>
      </w:pPr>
      <w:r>
        <w:rPr>
          <w:sz w:val="24"/>
          <w:szCs w:val="24"/>
        </w:rPr>
        <w:t xml:space="preserve">Min Wu, </w:t>
      </w:r>
    </w:p>
    <w:p w14:paraId="0166790B" w14:textId="77777777" w:rsidR="00A335CE" w:rsidRDefault="00000000">
      <w:pPr>
        <w:spacing w:line="480" w:lineRule="auto"/>
        <w:rPr>
          <w:b/>
          <w:sz w:val="24"/>
          <w:szCs w:val="24"/>
        </w:rPr>
      </w:pPr>
      <w:bookmarkStart w:id="20" w:name="OLE_LINK35"/>
      <w:bookmarkStart w:id="21" w:name="OLE_LINK37"/>
      <w:bookmarkStart w:id="22" w:name="OLE_LINK38"/>
      <w:bookmarkStart w:id="23" w:name="OLE_LINK36"/>
      <w:r>
        <w:rPr>
          <w:sz w:val="24"/>
          <w:szCs w:val="24"/>
        </w:rPr>
        <w:t>Ph.D, Associate Professor, Assistant Dean</w:t>
      </w:r>
    </w:p>
    <w:p w14:paraId="533E561D" w14:textId="77777777" w:rsidR="00A335CE" w:rsidRDefault="00000000">
      <w:pPr>
        <w:spacing w:line="480" w:lineRule="auto"/>
        <w:rPr>
          <w:b/>
          <w:sz w:val="24"/>
          <w:szCs w:val="24"/>
        </w:rPr>
      </w:pPr>
      <w:r>
        <w:rPr>
          <w:sz w:val="24"/>
          <w:szCs w:val="24"/>
        </w:rPr>
        <w:t>College of Engineering, China Agricultural University</w:t>
      </w:r>
    </w:p>
    <w:p w14:paraId="197A7C71" w14:textId="77777777" w:rsidR="00A335CE" w:rsidRDefault="00000000">
      <w:pPr>
        <w:spacing w:line="480" w:lineRule="auto"/>
        <w:rPr>
          <w:b/>
          <w:sz w:val="24"/>
          <w:szCs w:val="24"/>
        </w:rPr>
      </w:pPr>
      <w:r>
        <w:rPr>
          <w:sz w:val="24"/>
          <w:szCs w:val="24"/>
        </w:rPr>
        <w:t>Engineering Research Center for Modern Agricultural Equipment &amp; Facilities, the Ministry of Education, China</w:t>
      </w:r>
    </w:p>
    <w:p w14:paraId="0B04BB31" w14:textId="77777777" w:rsidR="00A335CE" w:rsidRDefault="00000000">
      <w:pPr>
        <w:spacing w:line="480" w:lineRule="auto"/>
        <w:rPr>
          <w:b/>
          <w:sz w:val="24"/>
          <w:szCs w:val="24"/>
        </w:rPr>
      </w:pPr>
      <w:r>
        <w:rPr>
          <w:sz w:val="24"/>
          <w:szCs w:val="24"/>
        </w:rPr>
        <w:t>No. 17 QinghuaEast Road, Haidian District, Beijing 100083, P. R. China</w:t>
      </w:r>
    </w:p>
    <w:p w14:paraId="4F8E0CDC" w14:textId="77777777" w:rsidR="00A335CE" w:rsidRPr="00055F24" w:rsidRDefault="00000000">
      <w:pPr>
        <w:spacing w:line="480" w:lineRule="auto"/>
        <w:rPr>
          <w:sz w:val="24"/>
          <w:szCs w:val="24"/>
          <w:lang w:val="fr-FR"/>
        </w:rPr>
      </w:pPr>
      <w:r>
        <w:rPr>
          <w:sz w:val="24"/>
          <w:szCs w:val="24"/>
          <w:lang w:val="fr-FR"/>
        </w:rPr>
        <w:t xml:space="preserve">E-mail: </w:t>
      </w:r>
      <w:r w:rsidR="00055F24" w:rsidRPr="00055F24">
        <w:rPr>
          <w:rFonts w:hint="eastAsia"/>
          <w:lang w:val="fr-FR"/>
        </w:rPr>
        <w:t>minwu</w:t>
      </w:r>
      <w:bookmarkEnd w:id="0"/>
      <w:bookmarkEnd w:id="1"/>
      <w:bookmarkEnd w:id="2"/>
      <w:bookmarkEnd w:id="18"/>
      <w:bookmarkEnd w:id="19"/>
      <w:bookmarkEnd w:id="20"/>
      <w:bookmarkEnd w:id="21"/>
      <w:bookmarkEnd w:id="22"/>
      <w:bookmarkEnd w:id="23"/>
      <w:r w:rsidR="00055F24" w:rsidRPr="00055F24">
        <w:rPr>
          <w:rFonts w:hint="eastAsia"/>
          <w:lang w:val="fr-FR"/>
        </w:rPr>
        <w:t>@cau.edu.</w:t>
      </w:r>
      <w:r w:rsidR="00055F24">
        <w:rPr>
          <w:rFonts w:hint="eastAsia"/>
          <w:lang w:val="fr-FR"/>
        </w:rPr>
        <w:t>cn</w:t>
      </w:r>
    </w:p>
    <w:sectPr w:rsidR="00A335CE" w:rsidRPr="00055F24">
      <w:pgSz w:w="11906" w:h="16838"/>
      <w:pgMar w:top="1440" w:right="1800" w:bottom="1440" w:left="1800" w:header="851" w:footer="992" w:gutter="0"/>
      <w:lnNumType w:countBy="1" w:restart="continuous"/>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460EE" w14:textId="77777777" w:rsidR="00D06D93" w:rsidRDefault="00D06D93" w:rsidP="00055F24">
      <w:r>
        <w:separator/>
      </w:r>
    </w:p>
  </w:endnote>
  <w:endnote w:type="continuationSeparator" w:id="0">
    <w:p w14:paraId="29245695" w14:textId="77777777" w:rsidR="00D06D93" w:rsidRDefault="00D06D93" w:rsidP="00055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default"/>
    <w:sig w:usb0="00000000"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EA43E" w14:textId="77777777" w:rsidR="00D06D93" w:rsidRDefault="00D06D93" w:rsidP="00055F24">
      <w:r>
        <w:separator/>
      </w:r>
    </w:p>
  </w:footnote>
  <w:footnote w:type="continuationSeparator" w:id="0">
    <w:p w14:paraId="5E87205E" w14:textId="77777777" w:rsidR="00D06D93" w:rsidRDefault="00D06D93" w:rsidP="00055F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rY0NDczMDAwMjYzNzdR0lEKTi0uzszPAykwMqsFAEhea4YtAAAA"/>
    <w:docVar w:name="commondata" w:val="eyJoZGlkIjoiYzZiN2ZiMzJlNzBlNmEyYWUzNDZlYjA4Y2QzNmVjYjkifQ=="/>
    <w:docVar w:name="EN.InstantFormat" w:val="&lt;ENInstantFormat&gt;&lt;Enabled&gt;1&lt;/Enabled&gt;&lt;ScanUnformatted&gt;1&lt;/ScanUnformatted&gt;&lt;ScanChanges&gt;1&lt;/ScanChanges&gt;&lt;Suspended&gt;1&lt;/Suspended&gt;&lt;/ENInstantFormat&gt;"/>
  </w:docVars>
  <w:rsids>
    <w:rsidRoot w:val="00172A27"/>
    <w:rsid w:val="000007C5"/>
    <w:rsid w:val="0000165C"/>
    <w:rsid w:val="000027B4"/>
    <w:rsid w:val="000057AA"/>
    <w:rsid w:val="000139B5"/>
    <w:rsid w:val="000165DF"/>
    <w:rsid w:val="00016E50"/>
    <w:rsid w:val="00017A6C"/>
    <w:rsid w:val="00021120"/>
    <w:rsid w:val="000216ED"/>
    <w:rsid w:val="00024706"/>
    <w:rsid w:val="00027F56"/>
    <w:rsid w:val="000310C3"/>
    <w:rsid w:val="00031F02"/>
    <w:rsid w:val="00032AE6"/>
    <w:rsid w:val="00035A6E"/>
    <w:rsid w:val="00036888"/>
    <w:rsid w:val="000369CE"/>
    <w:rsid w:val="00036CD9"/>
    <w:rsid w:val="0003774E"/>
    <w:rsid w:val="00037B7A"/>
    <w:rsid w:val="000422A2"/>
    <w:rsid w:val="00044B0A"/>
    <w:rsid w:val="0005115A"/>
    <w:rsid w:val="00054E36"/>
    <w:rsid w:val="000557A0"/>
    <w:rsid w:val="00055F24"/>
    <w:rsid w:val="00057B39"/>
    <w:rsid w:val="0006375B"/>
    <w:rsid w:val="00064716"/>
    <w:rsid w:val="000660DE"/>
    <w:rsid w:val="00066214"/>
    <w:rsid w:val="0006698A"/>
    <w:rsid w:val="000670F3"/>
    <w:rsid w:val="000745EE"/>
    <w:rsid w:val="00074B1C"/>
    <w:rsid w:val="00075787"/>
    <w:rsid w:val="00075C65"/>
    <w:rsid w:val="00075E92"/>
    <w:rsid w:val="000764BD"/>
    <w:rsid w:val="0007794B"/>
    <w:rsid w:val="00077953"/>
    <w:rsid w:val="000803B2"/>
    <w:rsid w:val="00080D4F"/>
    <w:rsid w:val="00084774"/>
    <w:rsid w:val="000855C4"/>
    <w:rsid w:val="00090C21"/>
    <w:rsid w:val="00097BD4"/>
    <w:rsid w:val="000A12F0"/>
    <w:rsid w:val="000A18F7"/>
    <w:rsid w:val="000A4280"/>
    <w:rsid w:val="000A6589"/>
    <w:rsid w:val="000B0838"/>
    <w:rsid w:val="000B2B5E"/>
    <w:rsid w:val="000B3179"/>
    <w:rsid w:val="000B36B3"/>
    <w:rsid w:val="000B4AB1"/>
    <w:rsid w:val="000B650A"/>
    <w:rsid w:val="000B67BB"/>
    <w:rsid w:val="000B6AD9"/>
    <w:rsid w:val="000B725B"/>
    <w:rsid w:val="000C4C79"/>
    <w:rsid w:val="000C53D4"/>
    <w:rsid w:val="000C59A9"/>
    <w:rsid w:val="000C5B07"/>
    <w:rsid w:val="000C746F"/>
    <w:rsid w:val="000C7732"/>
    <w:rsid w:val="000D0DA8"/>
    <w:rsid w:val="000D1CD6"/>
    <w:rsid w:val="000D353C"/>
    <w:rsid w:val="000D75CA"/>
    <w:rsid w:val="000D76DA"/>
    <w:rsid w:val="000D7704"/>
    <w:rsid w:val="000E09E1"/>
    <w:rsid w:val="000E0B80"/>
    <w:rsid w:val="000E1586"/>
    <w:rsid w:val="000E2842"/>
    <w:rsid w:val="000E4214"/>
    <w:rsid w:val="000E56B5"/>
    <w:rsid w:val="000E6091"/>
    <w:rsid w:val="000E685E"/>
    <w:rsid w:val="000F1779"/>
    <w:rsid w:val="000F25B1"/>
    <w:rsid w:val="000F3B15"/>
    <w:rsid w:val="000F4C81"/>
    <w:rsid w:val="000F4ECC"/>
    <w:rsid w:val="000F661A"/>
    <w:rsid w:val="001001DD"/>
    <w:rsid w:val="00100448"/>
    <w:rsid w:val="001008F9"/>
    <w:rsid w:val="0010144C"/>
    <w:rsid w:val="001031F7"/>
    <w:rsid w:val="00104621"/>
    <w:rsid w:val="00104B50"/>
    <w:rsid w:val="00106DC4"/>
    <w:rsid w:val="001109EA"/>
    <w:rsid w:val="001151CA"/>
    <w:rsid w:val="00116B1B"/>
    <w:rsid w:val="00121B9A"/>
    <w:rsid w:val="00124606"/>
    <w:rsid w:val="00124D17"/>
    <w:rsid w:val="0012590A"/>
    <w:rsid w:val="00127065"/>
    <w:rsid w:val="00130CA0"/>
    <w:rsid w:val="00131709"/>
    <w:rsid w:val="0013577E"/>
    <w:rsid w:val="00135C07"/>
    <w:rsid w:val="00137921"/>
    <w:rsid w:val="00143138"/>
    <w:rsid w:val="001443FC"/>
    <w:rsid w:val="00144FA8"/>
    <w:rsid w:val="0014530F"/>
    <w:rsid w:val="00147631"/>
    <w:rsid w:val="0014784F"/>
    <w:rsid w:val="00147EA9"/>
    <w:rsid w:val="0015400B"/>
    <w:rsid w:val="001602CA"/>
    <w:rsid w:val="001603AA"/>
    <w:rsid w:val="00160666"/>
    <w:rsid w:val="001616AF"/>
    <w:rsid w:val="00164429"/>
    <w:rsid w:val="00170CE2"/>
    <w:rsid w:val="00172A27"/>
    <w:rsid w:val="00173D15"/>
    <w:rsid w:val="00174EA8"/>
    <w:rsid w:val="001762F5"/>
    <w:rsid w:val="00176608"/>
    <w:rsid w:val="00176688"/>
    <w:rsid w:val="00181F16"/>
    <w:rsid w:val="0018443C"/>
    <w:rsid w:val="001850EC"/>
    <w:rsid w:val="00187451"/>
    <w:rsid w:val="00191116"/>
    <w:rsid w:val="00191880"/>
    <w:rsid w:val="00191FF0"/>
    <w:rsid w:val="001948FC"/>
    <w:rsid w:val="00194BAF"/>
    <w:rsid w:val="001951CB"/>
    <w:rsid w:val="00195265"/>
    <w:rsid w:val="00196A1D"/>
    <w:rsid w:val="001A147A"/>
    <w:rsid w:val="001A2168"/>
    <w:rsid w:val="001A290E"/>
    <w:rsid w:val="001A327C"/>
    <w:rsid w:val="001A33A6"/>
    <w:rsid w:val="001A4163"/>
    <w:rsid w:val="001B147C"/>
    <w:rsid w:val="001B2025"/>
    <w:rsid w:val="001B2DBB"/>
    <w:rsid w:val="001B5DB5"/>
    <w:rsid w:val="001B6101"/>
    <w:rsid w:val="001B77F4"/>
    <w:rsid w:val="001C0202"/>
    <w:rsid w:val="001C4F35"/>
    <w:rsid w:val="001C5094"/>
    <w:rsid w:val="001C6C5F"/>
    <w:rsid w:val="001C74CF"/>
    <w:rsid w:val="001C7522"/>
    <w:rsid w:val="001D04DA"/>
    <w:rsid w:val="001D0907"/>
    <w:rsid w:val="001D30FE"/>
    <w:rsid w:val="001D50D9"/>
    <w:rsid w:val="001D6113"/>
    <w:rsid w:val="001D6A49"/>
    <w:rsid w:val="001D6AD3"/>
    <w:rsid w:val="001E6E02"/>
    <w:rsid w:val="001F025C"/>
    <w:rsid w:val="001F101E"/>
    <w:rsid w:val="0020123C"/>
    <w:rsid w:val="00202BB4"/>
    <w:rsid w:val="0020335B"/>
    <w:rsid w:val="00207737"/>
    <w:rsid w:val="002126D0"/>
    <w:rsid w:val="002135A4"/>
    <w:rsid w:val="002169D3"/>
    <w:rsid w:val="00221AEA"/>
    <w:rsid w:val="00223109"/>
    <w:rsid w:val="00225372"/>
    <w:rsid w:val="002256F3"/>
    <w:rsid w:val="00230BC5"/>
    <w:rsid w:val="002336FB"/>
    <w:rsid w:val="00235BAC"/>
    <w:rsid w:val="0023671A"/>
    <w:rsid w:val="00236E94"/>
    <w:rsid w:val="00241EDE"/>
    <w:rsid w:val="00244642"/>
    <w:rsid w:val="00245E7F"/>
    <w:rsid w:val="00246333"/>
    <w:rsid w:val="002468CC"/>
    <w:rsid w:val="00246C95"/>
    <w:rsid w:val="00246D53"/>
    <w:rsid w:val="00247030"/>
    <w:rsid w:val="002473D1"/>
    <w:rsid w:val="00247770"/>
    <w:rsid w:val="00247EFE"/>
    <w:rsid w:val="00252ED2"/>
    <w:rsid w:val="002558A2"/>
    <w:rsid w:val="002567D9"/>
    <w:rsid w:val="00256F6C"/>
    <w:rsid w:val="002572EF"/>
    <w:rsid w:val="00257457"/>
    <w:rsid w:val="00257EDC"/>
    <w:rsid w:val="00260F4E"/>
    <w:rsid w:val="00260FD8"/>
    <w:rsid w:val="00261919"/>
    <w:rsid w:val="00262692"/>
    <w:rsid w:val="0026424B"/>
    <w:rsid w:val="002643AC"/>
    <w:rsid w:val="002700FC"/>
    <w:rsid w:val="00271461"/>
    <w:rsid w:val="00271C82"/>
    <w:rsid w:val="00272635"/>
    <w:rsid w:val="002729DD"/>
    <w:rsid w:val="00276FB0"/>
    <w:rsid w:val="00277178"/>
    <w:rsid w:val="002779FE"/>
    <w:rsid w:val="00280190"/>
    <w:rsid w:val="00281315"/>
    <w:rsid w:val="00282040"/>
    <w:rsid w:val="00291F9E"/>
    <w:rsid w:val="00293DFC"/>
    <w:rsid w:val="002951A3"/>
    <w:rsid w:val="002965C8"/>
    <w:rsid w:val="00297834"/>
    <w:rsid w:val="002A0EFA"/>
    <w:rsid w:val="002A2315"/>
    <w:rsid w:val="002A4589"/>
    <w:rsid w:val="002A4614"/>
    <w:rsid w:val="002A61E6"/>
    <w:rsid w:val="002A63CE"/>
    <w:rsid w:val="002B099A"/>
    <w:rsid w:val="002B2A6B"/>
    <w:rsid w:val="002B39B4"/>
    <w:rsid w:val="002B6118"/>
    <w:rsid w:val="002B6E58"/>
    <w:rsid w:val="002C11AC"/>
    <w:rsid w:val="002C2755"/>
    <w:rsid w:val="002C33F2"/>
    <w:rsid w:val="002C4B82"/>
    <w:rsid w:val="002C587C"/>
    <w:rsid w:val="002D07BF"/>
    <w:rsid w:val="002D1E0D"/>
    <w:rsid w:val="002D26CA"/>
    <w:rsid w:val="002D45F5"/>
    <w:rsid w:val="002D53DC"/>
    <w:rsid w:val="002D7832"/>
    <w:rsid w:val="002E1E38"/>
    <w:rsid w:val="002E2CB8"/>
    <w:rsid w:val="002E5579"/>
    <w:rsid w:val="002E666E"/>
    <w:rsid w:val="002E699C"/>
    <w:rsid w:val="002F056B"/>
    <w:rsid w:val="002F1864"/>
    <w:rsid w:val="002F1AED"/>
    <w:rsid w:val="002F2863"/>
    <w:rsid w:val="002F6454"/>
    <w:rsid w:val="002F65D1"/>
    <w:rsid w:val="002F7611"/>
    <w:rsid w:val="002F79A4"/>
    <w:rsid w:val="00300752"/>
    <w:rsid w:val="00301883"/>
    <w:rsid w:val="00302DE7"/>
    <w:rsid w:val="00305947"/>
    <w:rsid w:val="00313B3E"/>
    <w:rsid w:val="00313BEC"/>
    <w:rsid w:val="003147E6"/>
    <w:rsid w:val="0031625B"/>
    <w:rsid w:val="00316E8B"/>
    <w:rsid w:val="00320305"/>
    <w:rsid w:val="003215EF"/>
    <w:rsid w:val="00323948"/>
    <w:rsid w:val="00323BD3"/>
    <w:rsid w:val="00323E61"/>
    <w:rsid w:val="0033107B"/>
    <w:rsid w:val="00332150"/>
    <w:rsid w:val="003327C5"/>
    <w:rsid w:val="0033485C"/>
    <w:rsid w:val="00335E66"/>
    <w:rsid w:val="0033770D"/>
    <w:rsid w:val="003408CD"/>
    <w:rsid w:val="00340987"/>
    <w:rsid w:val="00340DDC"/>
    <w:rsid w:val="003417E9"/>
    <w:rsid w:val="00342A19"/>
    <w:rsid w:val="00343659"/>
    <w:rsid w:val="00345064"/>
    <w:rsid w:val="00345372"/>
    <w:rsid w:val="00345A1B"/>
    <w:rsid w:val="00347765"/>
    <w:rsid w:val="00352066"/>
    <w:rsid w:val="00352159"/>
    <w:rsid w:val="003529D4"/>
    <w:rsid w:val="00352E66"/>
    <w:rsid w:val="00352F7A"/>
    <w:rsid w:val="00353C04"/>
    <w:rsid w:val="003542BB"/>
    <w:rsid w:val="00354E22"/>
    <w:rsid w:val="00357193"/>
    <w:rsid w:val="003571BC"/>
    <w:rsid w:val="00357931"/>
    <w:rsid w:val="0036036D"/>
    <w:rsid w:val="003622BF"/>
    <w:rsid w:val="00365408"/>
    <w:rsid w:val="003704C8"/>
    <w:rsid w:val="0037077A"/>
    <w:rsid w:val="00372C19"/>
    <w:rsid w:val="00373264"/>
    <w:rsid w:val="00373530"/>
    <w:rsid w:val="003735BD"/>
    <w:rsid w:val="00375525"/>
    <w:rsid w:val="00375E48"/>
    <w:rsid w:val="00376C48"/>
    <w:rsid w:val="00376D50"/>
    <w:rsid w:val="003835F4"/>
    <w:rsid w:val="00383B10"/>
    <w:rsid w:val="003848A2"/>
    <w:rsid w:val="003860C7"/>
    <w:rsid w:val="00386D1F"/>
    <w:rsid w:val="00390829"/>
    <w:rsid w:val="0039163D"/>
    <w:rsid w:val="00393097"/>
    <w:rsid w:val="00393D82"/>
    <w:rsid w:val="00395825"/>
    <w:rsid w:val="0039670C"/>
    <w:rsid w:val="00397676"/>
    <w:rsid w:val="003976AB"/>
    <w:rsid w:val="00397A82"/>
    <w:rsid w:val="003A2161"/>
    <w:rsid w:val="003A26F1"/>
    <w:rsid w:val="003A5393"/>
    <w:rsid w:val="003B31BE"/>
    <w:rsid w:val="003B3469"/>
    <w:rsid w:val="003B42CF"/>
    <w:rsid w:val="003B4D90"/>
    <w:rsid w:val="003B5AAD"/>
    <w:rsid w:val="003B7376"/>
    <w:rsid w:val="003C1649"/>
    <w:rsid w:val="003C2392"/>
    <w:rsid w:val="003C7C39"/>
    <w:rsid w:val="003D3E30"/>
    <w:rsid w:val="003D490F"/>
    <w:rsid w:val="003D4C28"/>
    <w:rsid w:val="003D5CE6"/>
    <w:rsid w:val="003E2D27"/>
    <w:rsid w:val="003E4F89"/>
    <w:rsid w:val="003E799D"/>
    <w:rsid w:val="003F218F"/>
    <w:rsid w:val="003F2554"/>
    <w:rsid w:val="003F2A22"/>
    <w:rsid w:val="003F31AE"/>
    <w:rsid w:val="003F39E7"/>
    <w:rsid w:val="003F3C5D"/>
    <w:rsid w:val="003F6D70"/>
    <w:rsid w:val="003F7A73"/>
    <w:rsid w:val="00403E83"/>
    <w:rsid w:val="004066D9"/>
    <w:rsid w:val="004073BD"/>
    <w:rsid w:val="0040759A"/>
    <w:rsid w:val="0041338D"/>
    <w:rsid w:val="004133BE"/>
    <w:rsid w:val="004139B3"/>
    <w:rsid w:val="0041641C"/>
    <w:rsid w:val="00416AE4"/>
    <w:rsid w:val="004210EF"/>
    <w:rsid w:val="0042572F"/>
    <w:rsid w:val="00432C5B"/>
    <w:rsid w:val="004334B1"/>
    <w:rsid w:val="00434D2C"/>
    <w:rsid w:val="00435B37"/>
    <w:rsid w:val="00436317"/>
    <w:rsid w:val="004408C7"/>
    <w:rsid w:val="004431EB"/>
    <w:rsid w:val="00443755"/>
    <w:rsid w:val="00443C09"/>
    <w:rsid w:val="0044401F"/>
    <w:rsid w:val="004442E2"/>
    <w:rsid w:val="004453E8"/>
    <w:rsid w:val="00445794"/>
    <w:rsid w:val="00455156"/>
    <w:rsid w:val="00455FD5"/>
    <w:rsid w:val="00462237"/>
    <w:rsid w:val="00464C15"/>
    <w:rsid w:val="00464EAD"/>
    <w:rsid w:val="004665BA"/>
    <w:rsid w:val="00470A48"/>
    <w:rsid w:val="00470B94"/>
    <w:rsid w:val="00475E7F"/>
    <w:rsid w:val="0048244B"/>
    <w:rsid w:val="00482917"/>
    <w:rsid w:val="0048402D"/>
    <w:rsid w:val="00484F7A"/>
    <w:rsid w:val="004867E0"/>
    <w:rsid w:val="0048691F"/>
    <w:rsid w:val="00486A45"/>
    <w:rsid w:val="004879A7"/>
    <w:rsid w:val="00491507"/>
    <w:rsid w:val="00493FB9"/>
    <w:rsid w:val="0049571F"/>
    <w:rsid w:val="00495ABA"/>
    <w:rsid w:val="00496484"/>
    <w:rsid w:val="004A0E0E"/>
    <w:rsid w:val="004A1B83"/>
    <w:rsid w:val="004A2577"/>
    <w:rsid w:val="004B033C"/>
    <w:rsid w:val="004B0F9C"/>
    <w:rsid w:val="004B44D4"/>
    <w:rsid w:val="004B61E3"/>
    <w:rsid w:val="004C13C6"/>
    <w:rsid w:val="004C2DF2"/>
    <w:rsid w:val="004C453F"/>
    <w:rsid w:val="004C638F"/>
    <w:rsid w:val="004D090D"/>
    <w:rsid w:val="004D0CBF"/>
    <w:rsid w:val="004D1A6D"/>
    <w:rsid w:val="004D2DAD"/>
    <w:rsid w:val="004D422F"/>
    <w:rsid w:val="004D47B0"/>
    <w:rsid w:val="004E00A8"/>
    <w:rsid w:val="004E1A31"/>
    <w:rsid w:val="004E37EA"/>
    <w:rsid w:val="004E5B92"/>
    <w:rsid w:val="004F10ED"/>
    <w:rsid w:val="004F17A7"/>
    <w:rsid w:val="004F1BBF"/>
    <w:rsid w:val="004F215C"/>
    <w:rsid w:val="004F346B"/>
    <w:rsid w:val="004F440A"/>
    <w:rsid w:val="00500893"/>
    <w:rsid w:val="00500C1C"/>
    <w:rsid w:val="00501A28"/>
    <w:rsid w:val="005032F5"/>
    <w:rsid w:val="00503FA0"/>
    <w:rsid w:val="00506650"/>
    <w:rsid w:val="005078EB"/>
    <w:rsid w:val="00516100"/>
    <w:rsid w:val="0051647E"/>
    <w:rsid w:val="00521662"/>
    <w:rsid w:val="00522CC0"/>
    <w:rsid w:val="00526B93"/>
    <w:rsid w:val="00527036"/>
    <w:rsid w:val="005273BA"/>
    <w:rsid w:val="00527A69"/>
    <w:rsid w:val="00527F65"/>
    <w:rsid w:val="00531380"/>
    <w:rsid w:val="00531D2B"/>
    <w:rsid w:val="00535A28"/>
    <w:rsid w:val="00536DF9"/>
    <w:rsid w:val="005426A3"/>
    <w:rsid w:val="00543F4D"/>
    <w:rsid w:val="00544BAC"/>
    <w:rsid w:val="0055015D"/>
    <w:rsid w:val="00550193"/>
    <w:rsid w:val="0055089A"/>
    <w:rsid w:val="00550C65"/>
    <w:rsid w:val="005513C0"/>
    <w:rsid w:val="00552CF4"/>
    <w:rsid w:val="00560CEE"/>
    <w:rsid w:val="005612E7"/>
    <w:rsid w:val="00561805"/>
    <w:rsid w:val="005622D7"/>
    <w:rsid w:val="00562350"/>
    <w:rsid w:val="00562DBA"/>
    <w:rsid w:val="00564788"/>
    <w:rsid w:val="005651F7"/>
    <w:rsid w:val="005720D0"/>
    <w:rsid w:val="00572698"/>
    <w:rsid w:val="005733CD"/>
    <w:rsid w:val="00575F68"/>
    <w:rsid w:val="00576EB6"/>
    <w:rsid w:val="0058128A"/>
    <w:rsid w:val="0058136E"/>
    <w:rsid w:val="00582826"/>
    <w:rsid w:val="005833A6"/>
    <w:rsid w:val="005838DD"/>
    <w:rsid w:val="00584264"/>
    <w:rsid w:val="00584F66"/>
    <w:rsid w:val="0058664E"/>
    <w:rsid w:val="0059064B"/>
    <w:rsid w:val="00590F1F"/>
    <w:rsid w:val="0059394B"/>
    <w:rsid w:val="00594663"/>
    <w:rsid w:val="005957F7"/>
    <w:rsid w:val="0059585F"/>
    <w:rsid w:val="00596954"/>
    <w:rsid w:val="005A000B"/>
    <w:rsid w:val="005A2F85"/>
    <w:rsid w:val="005A3842"/>
    <w:rsid w:val="005A3978"/>
    <w:rsid w:val="005A3F6F"/>
    <w:rsid w:val="005A4DA1"/>
    <w:rsid w:val="005A53EE"/>
    <w:rsid w:val="005A6992"/>
    <w:rsid w:val="005B160B"/>
    <w:rsid w:val="005B16B5"/>
    <w:rsid w:val="005B1DB5"/>
    <w:rsid w:val="005B2401"/>
    <w:rsid w:val="005B2844"/>
    <w:rsid w:val="005B2D57"/>
    <w:rsid w:val="005B4143"/>
    <w:rsid w:val="005B46B0"/>
    <w:rsid w:val="005B6FC5"/>
    <w:rsid w:val="005B73DB"/>
    <w:rsid w:val="005C1584"/>
    <w:rsid w:val="005D0B4F"/>
    <w:rsid w:val="005D0CB7"/>
    <w:rsid w:val="005D1920"/>
    <w:rsid w:val="005D2D60"/>
    <w:rsid w:val="005D2DD3"/>
    <w:rsid w:val="005D4E71"/>
    <w:rsid w:val="005D6AA7"/>
    <w:rsid w:val="005E05EF"/>
    <w:rsid w:val="005E1BCA"/>
    <w:rsid w:val="005E272E"/>
    <w:rsid w:val="005E35FD"/>
    <w:rsid w:val="005E515A"/>
    <w:rsid w:val="005E5481"/>
    <w:rsid w:val="005E5AD9"/>
    <w:rsid w:val="005E619A"/>
    <w:rsid w:val="005E6268"/>
    <w:rsid w:val="005E67A0"/>
    <w:rsid w:val="005F0832"/>
    <w:rsid w:val="005F249B"/>
    <w:rsid w:val="005F25DE"/>
    <w:rsid w:val="005F2ACD"/>
    <w:rsid w:val="005F31E5"/>
    <w:rsid w:val="005F5C44"/>
    <w:rsid w:val="005F5E56"/>
    <w:rsid w:val="005F69E5"/>
    <w:rsid w:val="00603149"/>
    <w:rsid w:val="006042A3"/>
    <w:rsid w:val="00604C45"/>
    <w:rsid w:val="00605583"/>
    <w:rsid w:val="00605FA8"/>
    <w:rsid w:val="00607193"/>
    <w:rsid w:val="00610057"/>
    <w:rsid w:val="0061171F"/>
    <w:rsid w:val="00611936"/>
    <w:rsid w:val="006168AA"/>
    <w:rsid w:val="00620E7E"/>
    <w:rsid w:val="0062102A"/>
    <w:rsid w:val="00622A86"/>
    <w:rsid w:val="006245E8"/>
    <w:rsid w:val="00632C74"/>
    <w:rsid w:val="00635CAA"/>
    <w:rsid w:val="00642F2A"/>
    <w:rsid w:val="0064599E"/>
    <w:rsid w:val="0064793B"/>
    <w:rsid w:val="006505DE"/>
    <w:rsid w:val="00650E0E"/>
    <w:rsid w:val="00651264"/>
    <w:rsid w:val="00651E20"/>
    <w:rsid w:val="00654089"/>
    <w:rsid w:val="00655A72"/>
    <w:rsid w:val="00657504"/>
    <w:rsid w:val="006614D0"/>
    <w:rsid w:val="00662268"/>
    <w:rsid w:val="00662378"/>
    <w:rsid w:val="00662846"/>
    <w:rsid w:val="00662D62"/>
    <w:rsid w:val="006636E7"/>
    <w:rsid w:val="00663C5C"/>
    <w:rsid w:val="0067034E"/>
    <w:rsid w:val="00674AEE"/>
    <w:rsid w:val="00674C2F"/>
    <w:rsid w:val="006756F9"/>
    <w:rsid w:val="006815DF"/>
    <w:rsid w:val="00684BFA"/>
    <w:rsid w:val="00685112"/>
    <w:rsid w:val="00686D68"/>
    <w:rsid w:val="00686DF3"/>
    <w:rsid w:val="006877CF"/>
    <w:rsid w:val="006920CF"/>
    <w:rsid w:val="00695935"/>
    <w:rsid w:val="006A0AF9"/>
    <w:rsid w:val="006A0CCE"/>
    <w:rsid w:val="006A0F06"/>
    <w:rsid w:val="006A2619"/>
    <w:rsid w:val="006A2A2D"/>
    <w:rsid w:val="006A428E"/>
    <w:rsid w:val="006B12C0"/>
    <w:rsid w:val="006B14E3"/>
    <w:rsid w:val="006B1A1D"/>
    <w:rsid w:val="006B46E0"/>
    <w:rsid w:val="006B66B0"/>
    <w:rsid w:val="006C152D"/>
    <w:rsid w:val="006C209A"/>
    <w:rsid w:val="006C50F5"/>
    <w:rsid w:val="006C6B22"/>
    <w:rsid w:val="006C7AB8"/>
    <w:rsid w:val="006D0798"/>
    <w:rsid w:val="006D0989"/>
    <w:rsid w:val="006D1C84"/>
    <w:rsid w:val="006D26C3"/>
    <w:rsid w:val="006D2F60"/>
    <w:rsid w:val="006D3459"/>
    <w:rsid w:val="006D3A85"/>
    <w:rsid w:val="006D4B93"/>
    <w:rsid w:val="006D58EB"/>
    <w:rsid w:val="006E2604"/>
    <w:rsid w:val="006E4467"/>
    <w:rsid w:val="006E4B30"/>
    <w:rsid w:val="006E4C51"/>
    <w:rsid w:val="006E670E"/>
    <w:rsid w:val="006E6739"/>
    <w:rsid w:val="006E73F6"/>
    <w:rsid w:val="006E795B"/>
    <w:rsid w:val="006E7AB2"/>
    <w:rsid w:val="006F19E0"/>
    <w:rsid w:val="006F2010"/>
    <w:rsid w:val="006F20A6"/>
    <w:rsid w:val="006F3FA9"/>
    <w:rsid w:val="006F5191"/>
    <w:rsid w:val="00711941"/>
    <w:rsid w:val="00717392"/>
    <w:rsid w:val="00717A9E"/>
    <w:rsid w:val="00720519"/>
    <w:rsid w:val="00720CAF"/>
    <w:rsid w:val="007211BF"/>
    <w:rsid w:val="007248F9"/>
    <w:rsid w:val="00726AEA"/>
    <w:rsid w:val="0073182E"/>
    <w:rsid w:val="0073478E"/>
    <w:rsid w:val="00734D0E"/>
    <w:rsid w:val="00735B98"/>
    <w:rsid w:val="00735EE5"/>
    <w:rsid w:val="007377C4"/>
    <w:rsid w:val="007416AA"/>
    <w:rsid w:val="00741A8A"/>
    <w:rsid w:val="00741E5A"/>
    <w:rsid w:val="00743971"/>
    <w:rsid w:val="007454D2"/>
    <w:rsid w:val="007506CE"/>
    <w:rsid w:val="00751740"/>
    <w:rsid w:val="007521C8"/>
    <w:rsid w:val="0075229B"/>
    <w:rsid w:val="007531DB"/>
    <w:rsid w:val="00753E56"/>
    <w:rsid w:val="00755870"/>
    <w:rsid w:val="00756637"/>
    <w:rsid w:val="0075707B"/>
    <w:rsid w:val="007604B9"/>
    <w:rsid w:val="007605C7"/>
    <w:rsid w:val="00762B0C"/>
    <w:rsid w:val="00762D8B"/>
    <w:rsid w:val="00765683"/>
    <w:rsid w:val="00766376"/>
    <w:rsid w:val="007709B3"/>
    <w:rsid w:val="00771231"/>
    <w:rsid w:val="00772610"/>
    <w:rsid w:val="00776632"/>
    <w:rsid w:val="00776D99"/>
    <w:rsid w:val="00776F9A"/>
    <w:rsid w:val="00780306"/>
    <w:rsid w:val="00781C20"/>
    <w:rsid w:val="00782853"/>
    <w:rsid w:val="00785E72"/>
    <w:rsid w:val="00786B5C"/>
    <w:rsid w:val="0079487A"/>
    <w:rsid w:val="00794DA9"/>
    <w:rsid w:val="0079633F"/>
    <w:rsid w:val="00796B42"/>
    <w:rsid w:val="00796FC7"/>
    <w:rsid w:val="007A04D7"/>
    <w:rsid w:val="007A079F"/>
    <w:rsid w:val="007A1B82"/>
    <w:rsid w:val="007A3326"/>
    <w:rsid w:val="007A35AB"/>
    <w:rsid w:val="007A38FB"/>
    <w:rsid w:val="007A3BA1"/>
    <w:rsid w:val="007A41AE"/>
    <w:rsid w:val="007A7043"/>
    <w:rsid w:val="007B0008"/>
    <w:rsid w:val="007B296E"/>
    <w:rsid w:val="007B4525"/>
    <w:rsid w:val="007B4C2E"/>
    <w:rsid w:val="007B4F35"/>
    <w:rsid w:val="007B5230"/>
    <w:rsid w:val="007B6748"/>
    <w:rsid w:val="007B6C4C"/>
    <w:rsid w:val="007C005E"/>
    <w:rsid w:val="007C1F95"/>
    <w:rsid w:val="007C40D6"/>
    <w:rsid w:val="007C4863"/>
    <w:rsid w:val="007C5310"/>
    <w:rsid w:val="007C6B69"/>
    <w:rsid w:val="007D129F"/>
    <w:rsid w:val="007D1736"/>
    <w:rsid w:val="007D1F26"/>
    <w:rsid w:val="007D2567"/>
    <w:rsid w:val="007D277F"/>
    <w:rsid w:val="007D4F5A"/>
    <w:rsid w:val="007D7B40"/>
    <w:rsid w:val="007E038D"/>
    <w:rsid w:val="007E5485"/>
    <w:rsid w:val="007E6AC6"/>
    <w:rsid w:val="007E6FB2"/>
    <w:rsid w:val="007F06A5"/>
    <w:rsid w:val="007F0984"/>
    <w:rsid w:val="007F20A8"/>
    <w:rsid w:val="007F298F"/>
    <w:rsid w:val="007F3003"/>
    <w:rsid w:val="007F4054"/>
    <w:rsid w:val="007F5000"/>
    <w:rsid w:val="007F561B"/>
    <w:rsid w:val="007F5FEB"/>
    <w:rsid w:val="007F70C9"/>
    <w:rsid w:val="007F74C2"/>
    <w:rsid w:val="008013D8"/>
    <w:rsid w:val="0080280C"/>
    <w:rsid w:val="008045E8"/>
    <w:rsid w:val="00805498"/>
    <w:rsid w:val="0081353A"/>
    <w:rsid w:val="00815869"/>
    <w:rsid w:val="00816544"/>
    <w:rsid w:val="00816779"/>
    <w:rsid w:val="00817A83"/>
    <w:rsid w:val="00817DB2"/>
    <w:rsid w:val="00821F77"/>
    <w:rsid w:val="00823070"/>
    <w:rsid w:val="00825937"/>
    <w:rsid w:val="008275EB"/>
    <w:rsid w:val="00831184"/>
    <w:rsid w:val="00834DE3"/>
    <w:rsid w:val="0084168C"/>
    <w:rsid w:val="00846EC9"/>
    <w:rsid w:val="0085053E"/>
    <w:rsid w:val="008534C6"/>
    <w:rsid w:val="00854C31"/>
    <w:rsid w:val="00855398"/>
    <w:rsid w:val="00857D52"/>
    <w:rsid w:val="00857DDB"/>
    <w:rsid w:val="00860D33"/>
    <w:rsid w:val="008610CE"/>
    <w:rsid w:val="0086113F"/>
    <w:rsid w:val="00862D20"/>
    <w:rsid w:val="0086437C"/>
    <w:rsid w:val="008653DA"/>
    <w:rsid w:val="00867484"/>
    <w:rsid w:val="00871369"/>
    <w:rsid w:val="0087261A"/>
    <w:rsid w:val="00873C05"/>
    <w:rsid w:val="00874FAF"/>
    <w:rsid w:val="008753B3"/>
    <w:rsid w:val="008754B0"/>
    <w:rsid w:val="008759A5"/>
    <w:rsid w:val="00876356"/>
    <w:rsid w:val="0087772A"/>
    <w:rsid w:val="00877E2D"/>
    <w:rsid w:val="00883D91"/>
    <w:rsid w:val="00885580"/>
    <w:rsid w:val="00885EC7"/>
    <w:rsid w:val="008866B6"/>
    <w:rsid w:val="00887907"/>
    <w:rsid w:val="00894B39"/>
    <w:rsid w:val="00894DAB"/>
    <w:rsid w:val="00897887"/>
    <w:rsid w:val="008A380D"/>
    <w:rsid w:val="008A4115"/>
    <w:rsid w:val="008B18DA"/>
    <w:rsid w:val="008B2BEC"/>
    <w:rsid w:val="008B5B5A"/>
    <w:rsid w:val="008B6FC4"/>
    <w:rsid w:val="008B7F2C"/>
    <w:rsid w:val="008C06FF"/>
    <w:rsid w:val="008C3A54"/>
    <w:rsid w:val="008C49C8"/>
    <w:rsid w:val="008C5DD4"/>
    <w:rsid w:val="008C7D76"/>
    <w:rsid w:val="008D0766"/>
    <w:rsid w:val="008D0F67"/>
    <w:rsid w:val="008D5F7D"/>
    <w:rsid w:val="008E2BEF"/>
    <w:rsid w:val="008E6331"/>
    <w:rsid w:val="008E69FC"/>
    <w:rsid w:val="008E6C88"/>
    <w:rsid w:val="008F001C"/>
    <w:rsid w:val="008F04CC"/>
    <w:rsid w:val="008F1B64"/>
    <w:rsid w:val="008F5131"/>
    <w:rsid w:val="008F565D"/>
    <w:rsid w:val="008F6D83"/>
    <w:rsid w:val="00900BDA"/>
    <w:rsid w:val="00902D1F"/>
    <w:rsid w:val="00906014"/>
    <w:rsid w:val="009163EB"/>
    <w:rsid w:val="00916880"/>
    <w:rsid w:val="009168AE"/>
    <w:rsid w:val="0091690F"/>
    <w:rsid w:val="009233EB"/>
    <w:rsid w:val="00923A17"/>
    <w:rsid w:val="00927463"/>
    <w:rsid w:val="00931AC7"/>
    <w:rsid w:val="00935D62"/>
    <w:rsid w:val="00936276"/>
    <w:rsid w:val="0093710F"/>
    <w:rsid w:val="00940622"/>
    <w:rsid w:val="00941D91"/>
    <w:rsid w:val="0094340E"/>
    <w:rsid w:val="009446D7"/>
    <w:rsid w:val="00944A94"/>
    <w:rsid w:val="0094626A"/>
    <w:rsid w:val="0094730A"/>
    <w:rsid w:val="00952C06"/>
    <w:rsid w:val="00954BB9"/>
    <w:rsid w:val="00955035"/>
    <w:rsid w:val="00957F3F"/>
    <w:rsid w:val="0096121F"/>
    <w:rsid w:val="00961969"/>
    <w:rsid w:val="0096300F"/>
    <w:rsid w:val="00963693"/>
    <w:rsid w:val="00963F63"/>
    <w:rsid w:val="00965F16"/>
    <w:rsid w:val="00970BC2"/>
    <w:rsid w:val="009718FA"/>
    <w:rsid w:val="00971A10"/>
    <w:rsid w:val="00971B2F"/>
    <w:rsid w:val="009728EC"/>
    <w:rsid w:val="00980B26"/>
    <w:rsid w:val="009840D3"/>
    <w:rsid w:val="00986DB7"/>
    <w:rsid w:val="00987122"/>
    <w:rsid w:val="009872BB"/>
    <w:rsid w:val="009875AB"/>
    <w:rsid w:val="0099187F"/>
    <w:rsid w:val="00992C62"/>
    <w:rsid w:val="00997479"/>
    <w:rsid w:val="009976DB"/>
    <w:rsid w:val="009A014A"/>
    <w:rsid w:val="009A5954"/>
    <w:rsid w:val="009A6CB3"/>
    <w:rsid w:val="009B2DC3"/>
    <w:rsid w:val="009B2E7D"/>
    <w:rsid w:val="009B5118"/>
    <w:rsid w:val="009B5D56"/>
    <w:rsid w:val="009B6504"/>
    <w:rsid w:val="009B6840"/>
    <w:rsid w:val="009B6958"/>
    <w:rsid w:val="009B6976"/>
    <w:rsid w:val="009B69D3"/>
    <w:rsid w:val="009B795F"/>
    <w:rsid w:val="009C20C3"/>
    <w:rsid w:val="009C42BF"/>
    <w:rsid w:val="009D1782"/>
    <w:rsid w:val="009D3B5F"/>
    <w:rsid w:val="009D3EDC"/>
    <w:rsid w:val="009D75DD"/>
    <w:rsid w:val="009E3660"/>
    <w:rsid w:val="009E3679"/>
    <w:rsid w:val="009E393F"/>
    <w:rsid w:val="009F1352"/>
    <w:rsid w:val="009F1AB6"/>
    <w:rsid w:val="009F200E"/>
    <w:rsid w:val="009F2363"/>
    <w:rsid w:val="009F2DC9"/>
    <w:rsid w:val="009F68A1"/>
    <w:rsid w:val="00A062A9"/>
    <w:rsid w:val="00A06819"/>
    <w:rsid w:val="00A1204E"/>
    <w:rsid w:val="00A120B9"/>
    <w:rsid w:val="00A13DD2"/>
    <w:rsid w:val="00A15AD9"/>
    <w:rsid w:val="00A21A7B"/>
    <w:rsid w:val="00A22D6B"/>
    <w:rsid w:val="00A23AFD"/>
    <w:rsid w:val="00A266BA"/>
    <w:rsid w:val="00A305AD"/>
    <w:rsid w:val="00A335CE"/>
    <w:rsid w:val="00A34D41"/>
    <w:rsid w:val="00A37D91"/>
    <w:rsid w:val="00A4179F"/>
    <w:rsid w:val="00A4233A"/>
    <w:rsid w:val="00A45FAD"/>
    <w:rsid w:val="00A474C7"/>
    <w:rsid w:val="00A51824"/>
    <w:rsid w:val="00A52574"/>
    <w:rsid w:val="00A54871"/>
    <w:rsid w:val="00A559AC"/>
    <w:rsid w:val="00A61466"/>
    <w:rsid w:val="00A6513C"/>
    <w:rsid w:val="00A655F9"/>
    <w:rsid w:val="00A65BBD"/>
    <w:rsid w:val="00A65E85"/>
    <w:rsid w:val="00A67F45"/>
    <w:rsid w:val="00A70CD5"/>
    <w:rsid w:val="00A70E77"/>
    <w:rsid w:val="00A70EC6"/>
    <w:rsid w:val="00A748B1"/>
    <w:rsid w:val="00A75785"/>
    <w:rsid w:val="00A80F39"/>
    <w:rsid w:val="00A8273F"/>
    <w:rsid w:val="00A829C5"/>
    <w:rsid w:val="00A839F7"/>
    <w:rsid w:val="00A83B18"/>
    <w:rsid w:val="00A84D19"/>
    <w:rsid w:val="00A854EF"/>
    <w:rsid w:val="00A87C27"/>
    <w:rsid w:val="00A90FB1"/>
    <w:rsid w:val="00A917D0"/>
    <w:rsid w:val="00A91AA0"/>
    <w:rsid w:val="00A92377"/>
    <w:rsid w:val="00A932D0"/>
    <w:rsid w:val="00A9397F"/>
    <w:rsid w:val="00A93C8A"/>
    <w:rsid w:val="00A94960"/>
    <w:rsid w:val="00AA06D5"/>
    <w:rsid w:val="00AA1C8C"/>
    <w:rsid w:val="00AA3BD1"/>
    <w:rsid w:val="00AB02C0"/>
    <w:rsid w:val="00AB04D6"/>
    <w:rsid w:val="00AB0D14"/>
    <w:rsid w:val="00AB1DF9"/>
    <w:rsid w:val="00AB246E"/>
    <w:rsid w:val="00AB6175"/>
    <w:rsid w:val="00AB6832"/>
    <w:rsid w:val="00AB6CB6"/>
    <w:rsid w:val="00AB7F8B"/>
    <w:rsid w:val="00AC4CFE"/>
    <w:rsid w:val="00AC5FE8"/>
    <w:rsid w:val="00AC7121"/>
    <w:rsid w:val="00AD1EC8"/>
    <w:rsid w:val="00AD4D47"/>
    <w:rsid w:val="00AD622B"/>
    <w:rsid w:val="00AD6C47"/>
    <w:rsid w:val="00AD706A"/>
    <w:rsid w:val="00AE0D4C"/>
    <w:rsid w:val="00AE2D13"/>
    <w:rsid w:val="00AE53B7"/>
    <w:rsid w:val="00AE6B64"/>
    <w:rsid w:val="00AE7964"/>
    <w:rsid w:val="00AF00C0"/>
    <w:rsid w:val="00AF112F"/>
    <w:rsid w:val="00AF2374"/>
    <w:rsid w:val="00AF4162"/>
    <w:rsid w:val="00AF4B74"/>
    <w:rsid w:val="00AF4FFC"/>
    <w:rsid w:val="00AF6AAA"/>
    <w:rsid w:val="00AF747D"/>
    <w:rsid w:val="00B0132B"/>
    <w:rsid w:val="00B01B99"/>
    <w:rsid w:val="00B04F0A"/>
    <w:rsid w:val="00B06D5B"/>
    <w:rsid w:val="00B06FD1"/>
    <w:rsid w:val="00B070F2"/>
    <w:rsid w:val="00B118DB"/>
    <w:rsid w:val="00B11F5E"/>
    <w:rsid w:val="00B1575A"/>
    <w:rsid w:val="00B17758"/>
    <w:rsid w:val="00B21A64"/>
    <w:rsid w:val="00B2249A"/>
    <w:rsid w:val="00B24302"/>
    <w:rsid w:val="00B2759A"/>
    <w:rsid w:val="00B300D5"/>
    <w:rsid w:val="00B3038A"/>
    <w:rsid w:val="00B33D28"/>
    <w:rsid w:val="00B34763"/>
    <w:rsid w:val="00B375E6"/>
    <w:rsid w:val="00B451F2"/>
    <w:rsid w:val="00B4702E"/>
    <w:rsid w:val="00B5282D"/>
    <w:rsid w:val="00B55DFC"/>
    <w:rsid w:val="00B633C4"/>
    <w:rsid w:val="00B643DE"/>
    <w:rsid w:val="00B6519E"/>
    <w:rsid w:val="00B66F02"/>
    <w:rsid w:val="00B67242"/>
    <w:rsid w:val="00B7115E"/>
    <w:rsid w:val="00B724F1"/>
    <w:rsid w:val="00B73D4E"/>
    <w:rsid w:val="00B75AF6"/>
    <w:rsid w:val="00B7662C"/>
    <w:rsid w:val="00B83B2D"/>
    <w:rsid w:val="00B8558E"/>
    <w:rsid w:val="00B860D3"/>
    <w:rsid w:val="00B8720C"/>
    <w:rsid w:val="00B877DA"/>
    <w:rsid w:val="00B92242"/>
    <w:rsid w:val="00B92984"/>
    <w:rsid w:val="00B92EEF"/>
    <w:rsid w:val="00B9353E"/>
    <w:rsid w:val="00B94131"/>
    <w:rsid w:val="00B94CA8"/>
    <w:rsid w:val="00B94E46"/>
    <w:rsid w:val="00B95FC8"/>
    <w:rsid w:val="00B9738E"/>
    <w:rsid w:val="00BA2117"/>
    <w:rsid w:val="00BA2FC4"/>
    <w:rsid w:val="00BA4B3F"/>
    <w:rsid w:val="00BA504F"/>
    <w:rsid w:val="00BA5890"/>
    <w:rsid w:val="00BA614B"/>
    <w:rsid w:val="00BB0BCD"/>
    <w:rsid w:val="00BB0FDD"/>
    <w:rsid w:val="00BB1603"/>
    <w:rsid w:val="00BB1E8A"/>
    <w:rsid w:val="00BB3803"/>
    <w:rsid w:val="00BB396A"/>
    <w:rsid w:val="00BB4E81"/>
    <w:rsid w:val="00BB61A7"/>
    <w:rsid w:val="00BB681C"/>
    <w:rsid w:val="00BB6E27"/>
    <w:rsid w:val="00BC164D"/>
    <w:rsid w:val="00BC2BC3"/>
    <w:rsid w:val="00BC4C88"/>
    <w:rsid w:val="00BC532F"/>
    <w:rsid w:val="00BC64F3"/>
    <w:rsid w:val="00BD18E1"/>
    <w:rsid w:val="00BD19AB"/>
    <w:rsid w:val="00BD1D2D"/>
    <w:rsid w:val="00BD2042"/>
    <w:rsid w:val="00BD2955"/>
    <w:rsid w:val="00BD43A3"/>
    <w:rsid w:val="00BD5B31"/>
    <w:rsid w:val="00BE00EB"/>
    <w:rsid w:val="00BE05C7"/>
    <w:rsid w:val="00BE3AE5"/>
    <w:rsid w:val="00BE52A0"/>
    <w:rsid w:val="00BF2930"/>
    <w:rsid w:val="00BF4CCC"/>
    <w:rsid w:val="00BF51C1"/>
    <w:rsid w:val="00BF6C7E"/>
    <w:rsid w:val="00C02290"/>
    <w:rsid w:val="00C05240"/>
    <w:rsid w:val="00C0665B"/>
    <w:rsid w:val="00C07853"/>
    <w:rsid w:val="00C078C9"/>
    <w:rsid w:val="00C11AF0"/>
    <w:rsid w:val="00C1414B"/>
    <w:rsid w:val="00C15F87"/>
    <w:rsid w:val="00C17E76"/>
    <w:rsid w:val="00C20F8C"/>
    <w:rsid w:val="00C22386"/>
    <w:rsid w:val="00C22928"/>
    <w:rsid w:val="00C22A84"/>
    <w:rsid w:val="00C231D4"/>
    <w:rsid w:val="00C256E9"/>
    <w:rsid w:val="00C3030D"/>
    <w:rsid w:val="00C30813"/>
    <w:rsid w:val="00C31977"/>
    <w:rsid w:val="00C351F5"/>
    <w:rsid w:val="00C35D84"/>
    <w:rsid w:val="00C37B83"/>
    <w:rsid w:val="00C37CBE"/>
    <w:rsid w:val="00C40F1A"/>
    <w:rsid w:val="00C40FF9"/>
    <w:rsid w:val="00C4191A"/>
    <w:rsid w:val="00C41EF6"/>
    <w:rsid w:val="00C466DF"/>
    <w:rsid w:val="00C46B6A"/>
    <w:rsid w:val="00C5209A"/>
    <w:rsid w:val="00C53531"/>
    <w:rsid w:val="00C53876"/>
    <w:rsid w:val="00C53B90"/>
    <w:rsid w:val="00C562E3"/>
    <w:rsid w:val="00C56DCA"/>
    <w:rsid w:val="00C57F88"/>
    <w:rsid w:val="00C630B8"/>
    <w:rsid w:val="00C632C7"/>
    <w:rsid w:val="00C64199"/>
    <w:rsid w:val="00C64B72"/>
    <w:rsid w:val="00C704BF"/>
    <w:rsid w:val="00C752A3"/>
    <w:rsid w:val="00C77406"/>
    <w:rsid w:val="00C7778A"/>
    <w:rsid w:val="00C77F62"/>
    <w:rsid w:val="00C802D7"/>
    <w:rsid w:val="00C83150"/>
    <w:rsid w:val="00C85031"/>
    <w:rsid w:val="00C86EBC"/>
    <w:rsid w:val="00C91D3A"/>
    <w:rsid w:val="00C922FE"/>
    <w:rsid w:val="00C9292F"/>
    <w:rsid w:val="00C937E1"/>
    <w:rsid w:val="00CA05D4"/>
    <w:rsid w:val="00CA3A61"/>
    <w:rsid w:val="00CA3D22"/>
    <w:rsid w:val="00CA44BB"/>
    <w:rsid w:val="00CA73C1"/>
    <w:rsid w:val="00CB4671"/>
    <w:rsid w:val="00CC13AA"/>
    <w:rsid w:val="00CC2AE5"/>
    <w:rsid w:val="00CC35BD"/>
    <w:rsid w:val="00CC42C8"/>
    <w:rsid w:val="00CC56ED"/>
    <w:rsid w:val="00CC6F9C"/>
    <w:rsid w:val="00CC7812"/>
    <w:rsid w:val="00CC7BB2"/>
    <w:rsid w:val="00CD30EB"/>
    <w:rsid w:val="00CD4FB6"/>
    <w:rsid w:val="00CD51DB"/>
    <w:rsid w:val="00CD5332"/>
    <w:rsid w:val="00CD6DAB"/>
    <w:rsid w:val="00CD727F"/>
    <w:rsid w:val="00CD7784"/>
    <w:rsid w:val="00CD7C8C"/>
    <w:rsid w:val="00CE4C20"/>
    <w:rsid w:val="00CE4F08"/>
    <w:rsid w:val="00CE547C"/>
    <w:rsid w:val="00CE6BBD"/>
    <w:rsid w:val="00CE7C2F"/>
    <w:rsid w:val="00CF01EE"/>
    <w:rsid w:val="00CF028C"/>
    <w:rsid w:val="00CF0409"/>
    <w:rsid w:val="00CF549D"/>
    <w:rsid w:val="00CF5FDA"/>
    <w:rsid w:val="00CF6395"/>
    <w:rsid w:val="00CF7A6A"/>
    <w:rsid w:val="00D00E0B"/>
    <w:rsid w:val="00D02240"/>
    <w:rsid w:val="00D04647"/>
    <w:rsid w:val="00D0506C"/>
    <w:rsid w:val="00D05692"/>
    <w:rsid w:val="00D06D93"/>
    <w:rsid w:val="00D06EC8"/>
    <w:rsid w:val="00D0761F"/>
    <w:rsid w:val="00D10532"/>
    <w:rsid w:val="00D10B82"/>
    <w:rsid w:val="00D1206F"/>
    <w:rsid w:val="00D12294"/>
    <w:rsid w:val="00D136F0"/>
    <w:rsid w:val="00D13DC1"/>
    <w:rsid w:val="00D17657"/>
    <w:rsid w:val="00D21135"/>
    <w:rsid w:val="00D21884"/>
    <w:rsid w:val="00D2202E"/>
    <w:rsid w:val="00D23326"/>
    <w:rsid w:val="00D237DB"/>
    <w:rsid w:val="00D24E4D"/>
    <w:rsid w:val="00D321D9"/>
    <w:rsid w:val="00D32A77"/>
    <w:rsid w:val="00D36188"/>
    <w:rsid w:val="00D36B40"/>
    <w:rsid w:val="00D373B8"/>
    <w:rsid w:val="00D4034C"/>
    <w:rsid w:val="00D41F07"/>
    <w:rsid w:val="00D44128"/>
    <w:rsid w:val="00D4490A"/>
    <w:rsid w:val="00D50F49"/>
    <w:rsid w:val="00D52CBC"/>
    <w:rsid w:val="00D5433A"/>
    <w:rsid w:val="00D56334"/>
    <w:rsid w:val="00D56B0A"/>
    <w:rsid w:val="00D57AD7"/>
    <w:rsid w:val="00D61663"/>
    <w:rsid w:val="00D62FEE"/>
    <w:rsid w:val="00D647B6"/>
    <w:rsid w:val="00D66B60"/>
    <w:rsid w:val="00D70607"/>
    <w:rsid w:val="00D73C27"/>
    <w:rsid w:val="00D74B69"/>
    <w:rsid w:val="00D7557C"/>
    <w:rsid w:val="00D75B08"/>
    <w:rsid w:val="00D765DB"/>
    <w:rsid w:val="00D81FCD"/>
    <w:rsid w:val="00D8385F"/>
    <w:rsid w:val="00D83E07"/>
    <w:rsid w:val="00D84F39"/>
    <w:rsid w:val="00D8590C"/>
    <w:rsid w:val="00D85B9F"/>
    <w:rsid w:val="00D86C9A"/>
    <w:rsid w:val="00D86E02"/>
    <w:rsid w:val="00D8763B"/>
    <w:rsid w:val="00D917DE"/>
    <w:rsid w:val="00D94A19"/>
    <w:rsid w:val="00D95B64"/>
    <w:rsid w:val="00D96B95"/>
    <w:rsid w:val="00DA093C"/>
    <w:rsid w:val="00DA2365"/>
    <w:rsid w:val="00DA5556"/>
    <w:rsid w:val="00DA5CD7"/>
    <w:rsid w:val="00DB0BA2"/>
    <w:rsid w:val="00DB2A65"/>
    <w:rsid w:val="00DB634E"/>
    <w:rsid w:val="00DB76C4"/>
    <w:rsid w:val="00DC0EF7"/>
    <w:rsid w:val="00DC2738"/>
    <w:rsid w:val="00DC2EE6"/>
    <w:rsid w:val="00DC47E1"/>
    <w:rsid w:val="00DC69B5"/>
    <w:rsid w:val="00DD034A"/>
    <w:rsid w:val="00DD5681"/>
    <w:rsid w:val="00DD6603"/>
    <w:rsid w:val="00DD79EB"/>
    <w:rsid w:val="00DE15CE"/>
    <w:rsid w:val="00DE206E"/>
    <w:rsid w:val="00DE25E6"/>
    <w:rsid w:val="00DE270A"/>
    <w:rsid w:val="00DE2D0F"/>
    <w:rsid w:val="00DE3C9A"/>
    <w:rsid w:val="00DE43CE"/>
    <w:rsid w:val="00DE5FF4"/>
    <w:rsid w:val="00DF0213"/>
    <w:rsid w:val="00DF2B53"/>
    <w:rsid w:val="00DF496F"/>
    <w:rsid w:val="00DF52A2"/>
    <w:rsid w:val="00DF69F5"/>
    <w:rsid w:val="00DF6A09"/>
    <w:rsid w:val="00DF6A52"/>
    <w:rsid w:val="00E0240C"/>
    <w:rsid w:val="00E02C2E"/>
    <w:rsid w:val="00E043D8"/>
    <w:rsid w:val="00E045D4"/>
    <w:rsid w:val="00E060C6"/>
    <w:rsid w:val="00E10527"/>
    <w:rsid w:val="00E11196"/>
    <w:rsid w:val="00E12104"/>
    <w:rsid w:val="00E13256"/>
    <w:rsid w:val="00E1394C"/>
    <w:rsid w:val="00E13A5C"/>
    <w:rsid w:val="00E13BCC"/>
    <w:rsid w:val="00E164C6"/>
    <w:rsid w:val="00E17A55"/>
    <w:rsid w:val="00E17AFB"/>
    <w:rsid w:val="00E17B27"/>
    <w:rsid w:val="00E17EC0"/>
    <w:rsid w:val="00E20B2A"/>
    <w:rsid w:val="00E214F4"/>
    <w:rsid w:val="00E224CF"/>
    <w:rsid w:val="00E225F3"/>
    <w:rsid w:val="00E24047"/>
    <w:rsid w:val="00E24B38"/>
    <w:rsid w:val="00E274CD"/>
    <w:rsid w:val="00E3054C"/>
    <w:rsid w:val="00E31313"/>
    <w:rsid w:val="00E316E0"/>
    <w:rsid w:val="00E335EE"/>
    <w:rsid w:val="00E335F6"/>
    <w:rsid w:val="00E35242"/>
    <w:rsid w:val="00E368F5"/>
    <w:rsid w:val="00E36BA3"/>
    <w:rsid w:val="00E40BE0"/>
    <w:rsid w:val="00E423D8"/>
    <w:rsid w:val="00E433E2"/>
    <w:rsid w:val="00E44DD1"/>
    <w:rsid w:val="00E458DD"/>
    <w:rsid w:val="00E51879"/>
    <w:rsid w:val="00E5227B"/>
    <w:rsid w:val="00E52D4A"/>
    <w:rsid w:val="00E538F9"/>
    <w:rsid w:val="00E53C53"/>
    <w:rsid w:val="00E5431C"/>
    <w:rsid w:val="00E548E7"/>
    <w:rsid w:val="00E55E44"/>
    <w:rsid w:val="00E57048"/>
    <w:rsid w:val="00E6288B"/>
    <w:rsid w:val="00E63321"/>
    <w:rsid w:val="00E647C5"/>
    <w:rsid w:val="00E65BD4"/>
    <w:rsid w:val="00E662E4"/>
    <w:rsid w:val="00E67CE3"/>
    <w:rsid w:val="00E73F44"/>
    <w:rsid w:val="00E746F1"/>
    <w:rsid w:val="00E75D5C"/>
    <w:rsid w:val="00E81270"/>
    <w:rsid w:val="00E82320"/>
    <w:rsid w:val="00E826AC"/>
    <w:rsid w:val="00E84280"/>
    <w:rsid w:val="00E85C03"/>
    <w:rsid w:val="00E86E2A"/>
    <w:rsid w:val="00E86F0D"/>
    <w:rsid w:val="00E93DE6"/>
    <w:rsid w:val="00E9560A"/>
    <w:rsid w:val="00E965F7"/>
    <w:rsid w:val="00EA0A5A"/>
    <w:rsid w:val="00EA12FC"/>
    <w:rsid w:val="00EA27D7"/>
    <w:rsid w:val="00EA3787"/>
    <w:rsid w:val="00EA380A"/>
    <w:rsid w:val="00EA38A8"/>
    <w:rsid w:val="00EA45EF"/>
    <w:rsid w:val="00EA6B25"/>
    <w:rsid w:val="00EB19AD"/>
    <w:rsid w:val="00EB4485"/>
    <w:rsid w:val="00EC5EF8"/>
    <w:rsid w:val="00EC6892"/>
    <w:rsid w:val="00EC7BA6"/>
    <w:rsid w:val="00ED3841"/>
    <w:rsid w:val="00ED3F02"/>
    <w:rsid w:val="00ED69C7"/>
    <w:rsid w:val="00ED6D03"/>
    <w:rsid w:val="00EE02DA"/>
    <w:rsid w:val="00EE2438"/>
    <w:rsid w:val="00EE5472"/>
    <w:rsid w:val="00EF321D"/>
    <w:rsid w:val="00EF49D0"/>
    <w:rsid w:val="00EF5A44"/>
    <w:rsid w:val="00EF667F"/>
    <w:rsid w:val="00EF671F"/>
    <w:rsid w:val="00F01DE8"/>
    <w:rsid w:val="00F06765"/>
    <w:rsid w:val="00F0710C"/>
    <w:rsid w:val="00F076D3"/>
    <w:rsid w:val="00F07757"/>
    <w:rsid w:val="00F1191B"/>
    <w:rsid w:val="00F1310F"/>
    <w:rsid w:val="00F15A23"/>
    <w:rsid w:val="00F1700B"/>
    <w:rsid w:val="00F225F0"/>
    <w:rsid w:val="00F2270F"/>
    <w:rsid w:val="00F22723"/>
    <w:rsid w:val="00F24772"/>
    <w:rsid w:val="00F24F3E"/>
    <w:rsid w:val="00F2713A"/>
    <w:rsid w:val="00F323AB"/>
    <w:rsid w:val="00F33360"/>
    <w:rsid w:val="00F3400B"/>
    <w:rsid w:val="00F34110"/>
    <w:rsid w:val="00F34B5A"/>
    <w:rsid w:val="00F35F92"/>
    <w:rsid w:val="00F36299"/>
    <w:rsid w:val="00F377B9"/>
    <w:rsid w:val="00F41860"/>
    <w:rsid w:val="00F42324"/>
    <w:rsid w:val="00F443BA"/>
    <w:rsid w:val="00F454F7"/>
    <w:rsid w:val="00F5281D"/>
    <w:rsid w:val="00F5384C"/>
    <w:rsid w:val="00F53A66"/>
    <w:rsid w:val="00F61560"/>
    <w:rsid w:val="00F6261E"/>
    <w:rsid w:val="00F6393D"/>
    <w:rsid w:val="00F65177"/>
    <w:rsid w:val="00F6532D"/>
    <w:rsid w:val="00F658AE"/>
    <w:rsid w:val="00F66185"/>
    <w:rsid w:val="00F678C3"/>
    <w:rsid w:val="00F70992"/>
    <w:rsid w:val="00F70A0C"/>
    <w:rsid w:val="00F7160F"/>
    <w:rsid w:val="00F72022"/>
    <w:rsid w:val="00F746D5"/>
    <w:rsid w:val="00F75AA9"/>
    <w:rsid w:val="00F7657F"/>
    <w:rsid w:val="00F80136"/>
    <w:rsid w:val="00F803C0"/>
    <w:rsid w:val="00F81576"/>
    <w:rsid w:val="00F818A0"/>
    <w:rsid w:val="00F82DBC"/>
    <w:rsid w:val="00F86663"/>
    <w:rsid w:val="00F87DA5"/>
    <w:rsid w:val="00F90DED"/>
    <w:rsid w:val="00F95D33"/>
    <w:rsid w:val="00F9607C"/>
    <w:rsid w:val="00F965CA"/>
    <w:rsid w:val="00F96A51"/>
    <w:rsid w:val="00F9705D"/>
    <w:rsid w:val="00FA36E2"/>
    <w:rsid w:val="00FA60BF"/>
    <w:rsid w:val="00FB3236"/>
    <w:rsid w:val="00FB3372"/>
    <w:rsid w:val="00FB3C9B"/>
    <w:rsid w:val="00FB483D"/>
    <w:rsid w:val="00FB5155"/>
    <w:rsid w:val="00FC0435"/>
    <w:rsid w:val="00FC1D4E"/>
    <w:rsid w:val="00FC37A5"/>
    <w:rsid w:val="00FC672C"/>
    <w:rsid w:val="00FD400A"/>
    <w:rsid w:val="00FD54C3"/>
    <w:rsid w:val="00FD5A69"/>
    <w:rsid w:val="00FD7865"/>
    <w:rsid w:val="00FE2F39"/>
    <w:rsid w:val="00FE47A1"/>
    <w:rsid w:val="00FE784E"/>
    <w:rsid w:val="00FF05D5"/>
    <w:rsid w:val="00FF1A31"/>
    <w:rsid w:val="00FF1B42"/>
    <w:rsid w:val="00FF2D41"/>
    <w:rsid w:val="00FF3663"/>
    <w:rsid w:val="00FF4907"/>
    <w:rsid w:val="00FF53D1"/>
    <w:rsid w:val="00FF5F7F"/>
    <w:rsid w:val="00FF6CED"/>
    <w:rsid w:val="00FF732C"/>
    <w:rsid w:val="00FF7FC4"/>
    <w:rsid w:val="014829DE"/>
    <w:rsid w:val="01DF2041"/>
    <w:rsid w:val="02184F3A"/>
    <w:rsid w:val="03820E78"/>
    <w:rsid w:val="03836A76"/>
    <w:rsid w:val="04E11CA6"/>
    <w:rsid w:val="06396D9D"/>
    <w:rsid w:val="063D228B"/>
    <w:rsid w:val="06E067D8"/>
    <w:rsid w:val="06E15F8D"/>
    <w:rsid w:val="08E458C1"/>
    <w:rsid w:val="09C07219"/>
    <w:rsid w:val="0A2A19F9"/>
    <w:rsid w:val="0CD2759B"/>
    <w:rsid w:val="0D473BC0"/>
    <w:rsid w:val="0EFE38B6"/>
    <w:rsid w:val="0F1D38DB"/>
    <w:rsid w:val="0F8641F4"/>
    <w:rsid w:val="0FE10DAC"/>
    <w:rsid w:val="11274EE5"/>
    <w:rsid w:val="138C263E"/>
    <w:rsid w:val="139D72A1"/>
    <w:rsid w:val="15510782"/>
    <w:rsid w:val="15C973C2"/>
    <w:rsid w:val="15F66C34"/>
    <w:rsid w:val="16900E36"/>
    <w:rsid w:val="1A0C2D7B"/>
    <w:rsid w:val="1AC11F06"/>
    <w:rsid w:val="1BE861A8"/>
    <w:rsid w:val="1FD73839"/>
    <w:rsid w:val="20880DD0"/>
    <w:rsid w:val="21040A3D"/>
    <w:rsid w:val="21FF6ED4"/>
    <w:rsid w:val="226A69DF"/>
    <w:rsid w:val="22923710"/>
    <w:rsid w:val="230E18AC"/>
    <w:rsid w:val="257A33DD"/>
    <w:rsid w:val="26C3750D"/>
    <w:rsid w:val="29315893"/>
    <w:rsid w:val="29B11398"/>
    <w:rsid w:val="2A377BD6"/>
    <w:rsid w:val="2A3A313B"/>
    <w:rsid w:val="2ABB0720"/>
    <w:rsid w:val="2B996359"/>
    <w:rsid w:val="2C680433"/>
    <w:rsid w:val="2CA739F5"/>
    <w:rsid w:val="2CEB2465"/>
    <w:rsid w:val="2DA74F8B"/>
    <w:rsid w:val="2E525AC4"/>
    <w:rsid w:val="2EE27C7F"/>
    <w:rsid w:val="30775C7E"/>
    <w:rsid w:val="31537B90"/>
    <w:rsid w:val="356674DA"/>
    <w:rsid w:val="39BD78E5"/>
    <w:rsid w:val="3A030B34"/>
    <w:rsid w:val="3A4818A4"/>
    <w:rsid w:val="3AAF1923"/>
    <w:rsid w:val="3B2C087E"/>
    <w:rsid w:val="3B9052B1"/>
    <w:rsid w:val="3C591233"/>
    <w:rsid w:val="3C8A61A4"/>
    <w:rsid w:val="3CE34694"/>
    <w:rsid w:val="3D6638AE"/>
    <w:rsid w:val="3E3A0462"/>
    <w:rsid w:val="40071BDE"/>
    <w:rsid w:val="409273D5"/>
    <w:rsid w:val="41D37CA5"/>
    <w:rsid w:val="424C5BA2"/>
    <w:rsid w:val="42CA1361"/>
    <w:rsid w:val="44D04970"/>
    <w:rsid w:val="457C60EA"/>
    <w:rsid w:val="46410AC4"/>
    <w:rsid w:val="46687557"/>
    <w:rsid w:val="478B2DD0"/>
    <w:rsid w:val="48F13107"/>
    <w:rsid w:val="49747FC0"/>
    <w:rsid w:val="49BE123B"/>
    <w:rsid w:val="4BE95665"/>
    <w:rsid w:val="50A4430D"/>
    <w:rsid w:val="50DA04F9"/>
    <w:rsid w:val="54422A68"/>
    <w:rsid w:val="560C77D2"/>
    <w:rsid w:val="56535AEE"/>
    <w:rsid w:val="574865E8"/>
    <w:rsid w:val="58090D3A"/>
    <w:rsid w:val="59383B07"/>
    <w:rsid w:val="5ABF12B7"/>
    <w:rsid w:val="5CC76201"/>
    <w:rsid w:val="5D72616D"/>
    <w:rsid w:val="5DA0717E"/>
    <w:rsid w:val="5E223201"/>
    <w:rsid w:val="5E413D91"/>
    <w:rsid w:val="5E6173A7"/>
    <w:rsid w:val="608F5287"/>
    <w:rsid w:val="633A4E53"/>
    <w:rsid w:val="634E1DDE"/>
    <w:rsid w:val="646D3B32"/>
    <w:rsid w:val="650E0E71"/>
    <w:rsid w:val="65CE23AE"/>
    <w:rsid w:val="678B055D"/>
    <w:rsid w:val="690C3314"/>
    <w:rsid w:val="6942647E"/>
    <w:rsid w:val="694C640B"/>
    <w:rsid w:val="6A7E0331"/>
    <w:rsid w:val="6A8D126F"/>
    <w:rsid w:val="6B533A81"/>
    <w:rsid w:val="6BF07522"/>
    <w:rsid w:val="6C6B6BA9"/>
    <w:rsid w:val="6C7E0384"/>
    <w:rsid w:val="6CA27CE2"/>
    <w:rsid w:val="6DD706D5"/>
    <w:rsid w:val="6E274D51"/>
    <w:rsid w:val="6ECC6A11"/>
    <w:rsid w:val="6F997ED1"/>
    <w:rsid w:val="6FDC6F9E"/>
    <w:rsid w:val="71EC42E8"/>
    <w:rsid w:val="723021DF"/>
    <w:rsid w:val="729B5D0E"/>
    <w:rsid w:val="7394240D"/>
    <w:rsid w:val="74850A24"/>
    <w:rsid w:val="75134281"/>
    <w:rsid w:val="7557416E"/>
    <w:rsid w:val="75C65674"/>
    <w:rsid w:val="75F407B2"/>
    <w:rsid w:val="764D37C3"/>
    <w:rsid w:val="77AB6863"/>
    <w:rsid w:val="780210D7"/>
    <w:rsid w:val="78255D9E"/>
    <w:rsid w:val="7A37456E"/>
    <w:rsid w:val="7B3B2796"/>
    <w:rsid w:val="7B7F7F7B"/>
    <w:rsid w:val="7C2B1EB0"/>
    <w:rsid w:val="7D562F5D"/>
    <w:rsid w:val="7E1E5591"/>
    <w:rsid w:val="7E2712AA"/>
    <w:rsid w:val="7F7A0FD5"/>
    <w:rsid w:val="7FE646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D2DF9"/>
  <w15:docId w15:val="{3AE6AD97-B835-4B6A-9717-0AC40E613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unhideWhenUsed="1" w:qFormat="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pPr>
      <w:keepNext/>
      <w:keepLines/>
      <w:spacing w:before="260" w:after="260" w:line="416" w:lineRule="auto"/>
      <w:outlineLvl w:val="1"/>
    </w:pPr>
    <w:rPr>
      <w:rFonts w:ascii="等线 Light" w:eastAsia="等线 Light" w:hAnsi="等线 Light"/>
      <w:b/>
      <w:bCs/>
      <w:sz w:val="32"/>
      <w:szCs w:val="32"/>
    </w:rPr>
  </w:style>
  <w:style w:type="paragraph" w:styleId="3">
    <w:name w:val="heading 3"/>
    <w:basedOn w:val="a"/>
    <w:link w:val="30"/>
    <w:uiPriority w:val="9"/>
    <w:qFormat/>
    <w:pPr>
      <w:widowControl/>
      <w:spacing w:before="100" w:beforeAutospacing="1" w:after="100" w:afterAutospacing="1"/>
      <w:jc w:val="left"/>
      <w:outlineLvl w:val="2"/>
    </w:pPr>
    <w:rPr>
      <w:rFonts w:ascii="宋体" w:hAnsi="宋体"/>
      <w:b/>
      <w:bCs/>
      <w:kern w:val="0"/>
      <w:sz w:val="27"/>
      <w:szCs w:val="27"/>
    </w:rPr>
  </w:style>
  <w:style w:type="paragraph" w:styleId="4">
    <w:name w:val="heading 4"/>
    <w:basedOn w:val="a"/>
    <w:next w:val="a"/>
    <w:link w:val="40"/>
    <w:uiPriority w:val="9"/>
    <w:qFormat/>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rPr>
      <w:kern w:val="0"/>
      <w:sz w:val="20"/>
      <w:szCs w:val="20"/>
    </w:rPr>
  </w:style>
  <w:style w:type="paragraph" w:styleId="a5">
    <w:name w:val="Body Text"/>
    <w:link w:val="a6"/>
    <w:qFormat/>
    <w:pPr>
      <w:spacing w:after="120" w:line="340" w:lineRule="atLeast"/>
      <w:jc w:val="both"/>
    </w:pPr>
    <w:rPr>
      <w:rFonts w:ascii="Palatino Linotype" w:hAnsi="Palatino Linotype"/>
      <w:color w:val="000000"/>
      <w:sz w:val="24"/>
      <w:lang w:eastAsia="de-DE"/>
    </w:rPr>
  </w:style>
  <w:style w:type="paragraph" w:styleId="a7">
    <w:name w:val="endnote text"/>
    <w:basedOn w:val="a"/>
    <w:link w:val="a8"/>
    <w:uiPriority w:val="99"/>
    <w:semiHidden/>
    <w:unhideWhenUsed/>
    <w:qFormat/>
    <w:pPr>
      <w:snapToGrid w:val="0"/>
      <w:jc w:val="left"/>
    </w:pPr>
  </w:style>
  <w:style w:type="paragraph" w:styleId="a9">
    <w:name w:val="Balloon Text"/>
    <w:basedOn w:val="a"/>
    <w:link w:val="aa"/>
    <w:uiPriority w:val="99"/>
    <w:unhideWhenUsed/>
    <w:rPr>
      <w:kern w:val="0"/>
      <w:sz w:val="18"/>
      <w:szCs w:val="18"/>
    </w:rPr>
  </w:style>
  <w:style w:type="paragraph" w:styleId="ab">
    <w:name w:val="footer"/>
    <w:basedOn w:val="a"/>
    <w:link w:val="ac"/>
    <w:uiPriority w:val="99"/>
    <w:unhideWhenUsed/>
    <w:pPr>
      <w:tabs>
        <w:tab w:val="center" w:pos="4153"/>
        <w:tab w:val="right" w:pos="8306"/>
      </w:tabs>
      <w:snapToGrid w:val="0"/>
      <w:jc w:val="left"/>
    </w:pPr>
    <w:rPr>
      <w:kern w:val="0"/>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kern w:val="0"/>
      <w:sz w:val="18"/>
      <w:szCs w:val="18"/>
    </w:rPr>
  </w:style>
  <w:style w:type="paragraph" w:styleId="HTML">
    <w:name w:val="HTML Preformatted"/>
    <w:basedOn w:val="a"/>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f">
    <w:name w:val="Normal (Web)"/>
    <w:basedOn w:val="a"/>
    <w:uiPriority w:val="99"/>
    <w:unhideWhenUsed/>
    <w:qFormat/>
    <w:rPr>
      <w:sz w:val="24"/>
    </w:rPr>
  </w:style>
  <w:style w:type="paragraph" w:styleId="af0">
    <w:name w:val="Title"/>
    <w:basedOn w:val="a"/>
    <w:link w:val="af1"/>
    <w:qFormat/>
    <w:pPr>
      <w:spacing w:line="480" w:lineRule="auto"/>
      <w:ind w:left="1"/>
      <w:jc w:val="center"/>
    </w:pPr>
    <w:rPr>
      <w:rFonts w:ascii="Arial" w:hAnsi="Arial"/>
      <w:b/>
      <w:bCs/>
      <w:kern w:val="0"/>
      <w:sz w:val="24"/>
      <w:szCs w:val="24"/>
    </w:rPr>
  </w:style>
  <w:style w:type="paragraph" w:styleId="af2">
    <w:name w:val="annotation subject"/>
    <w:basedOn w:val="a3"/>
    <w:next w:val="a3"/>
    <w:link w:val="af3"/>
    <w:uiPriority w:val="99"/>
    <w:unhideWhenUsed/>
    <w:qFormat/>
    <w:rPr>
      <w:b/>
      <w:bCs/>
    </w:rPr>
  </w:style>
  <w:style w:type="table" w:styleId="af4">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endnote reference"/>
    <w:basedOn w:val="a0"/>
    <w:uiPriority w:val="99"/>
    <w:semiHidden/>
    <w:unhideWhenUsed/>
    <w:qFormat/>
    <w:rPr>
      <w:vertAlign w:val="superscript"/>
    </w:rPr>
  </w:style>
  <w:style w:type="character" w:styleId="af6">
    <w:name w:val="FollowedHyperlink"/>
    <w:uiPriority w:val="99"/>
    <w:unhideWhenUsed/>
    <w:qFormat/>
    <w:rPr>
      <w:color w:val="800080"/>
      <w:u w:val="single"/>
    </w:rPr>
  </w:style>
  <w:style w:type="character" w:styleId="af7">
    <w:name w:val="line number"/>
    <w:uiPriority w:val="99"/>
    <w:unhideWhenUsed/>
    <w:qFormat/>
  </w:style>
  <w:style w:type="character" w:styleId="af8">
    <w:name w:val="Hyperlink"/>
    <w:uiPriority w:val="99"/>
    <w:unhideWhenUsed/>
    <w:qFormat/>
    <w:rPr>
      <w:color w:val="0000FF"/>
      <w:u w:val="single"/>
    </w:rPr>
  </w:style>
  <w:style w:type="character" w:styleId="af9">
    <w:name w:val="annotation reference"/>
    <w:uiPriority w:val="99"/>
    <w:unhideWhenUsed/>
    <w:qFormat/>
    <w:rPr>
      <w:sz w:val="21"/>
      <w:szCs w:val="21"/>
    </w:rPr>
  </w:style>
  <w:style w:type="character" w:customStyle="1" w:styleId="10">
    <w:name w:val="标题 1 字符"/>
    <w:link w:val="1"/>
    <w:uiPriority w:val="9"/>
    <w:qFormat/>
    <w:rPr>
      <w:b/>
      <w:bCs/>
      <w:kern w:val="44"/>
      <w:sz w:val="44"/>
      <w:szCs w:val="44"/>
    </w:rPr>
  </w:style>
  <w:style w:type="character" w:customStyle="1" w:styleId="20">
    <w:name w:val="标题 2 字符"/>
    <w:link w:val="2"/>
    <w:uiPriority w:val="9"/>
    <w:qFormat/>
    <w:rPr>
      <w:rFonts w:ascii="等线 Light" w:eastAsia="等线 Light" w:hAnsi="等线 Light" w:cs="Times New Roman"/>
      <w:b/>
      <w:bCs/>
      <w:kern w:val="2"/>
      <w:sz w:val="32"/>
      <w:szCs w:val="32"/>
    </w:rPr>
  </w:style>
  <w:style w:type="character" w:customStyle="1" w:styleId="30">
    <w:name w:val="标题 3 字符"/>
    <w:link w:val="3"/>
    <w:uiPriority w:val="9"/>
    <w:qFormat/>
    <w:rPr>
      <w:rFonts w:ascii="宋体" w:eastAsia="宋体" w:hAnsi="宋体" w:cs="宋体"/>
      <w:b/>
      <w:bCs/>
      <w:kern w:val="0"/>
      <w:sz w:val="27"/>
      <w:szCs w:val="27"/>
    </w:rPr>
  </w:style>
  <w:style w:type="character" w:customStyle="1" w:styleId="40">
    <w:name w:val="标题 4 字符"/>
    <w:link w:val="4"/>
    <w:uiPriority w:val="9"/>
    <w:semiHidden/>
    <w:qFormat/>
    <w:rPr>
      <w:rFonts w:ascii="Cambria" w:eastAsia="宋体" w:hAnsi="Cambria" w:cs="Times New Roman"/>
      <w:b/>
      <w:bCs/>
      <w:kern w:val="2"/>
      <w:sz w:val="28"/>
      <w:szCs w:val="28"/>
    </w:rPr>
  </w:style>
  <w:style w:type="character" w:customStyle="1" w:styleId="a4">
    <w:name w:val="批注文字 字符"/>
    <w:link w:val="a3"/>
    <w:uiPriority w:val="99"/>
    <w:qFormat/>
    <w:rPr>
      <w:rFonts w:ascii="Calibri" w:eastAsia="宋体" w:hAnsi="Calibri" w:cs="Times New Roman"/>
    </w:rPr>
  </w:style>
  <w:style w:type="character" w:customStyle="1" w:styleId="aa">
    <w:name w:val="批注框文本 字符"/>
    <w:link w:val="a9"/>
    <w:uiPriority w:val="99"/>
    <w:semiHidden/>
    <w:rPr>
      <w:rFonts w:ascii="Calibri" w:eastAsia="宋体" w:hAnsi="Calibri" w:cs="Times New Roman"/>
      <w:sz w:val="18"/>
      <w:szCs w:val="18"/>
    </w:rPr>
  </w:style>
  <w:style w:type="character" w:customStyle="1" w:styleId="ac">
    <w:name w:val="页脚 字符"/>
    <w:link w:val="ab"/>
    <w:uiPriority w:val="99"/>
    <w:qFormat/>
    <w:rPr>
      <w:rFonts w:ascii="Calibri" w:eastAsia="宋体" w:hAnsi="Calibri" w:cs="Times New Roman"/>
      <w:sz w:val="18"/>
      <w:szCs w:val="18"/>
    </w:rPr>
  </w:style>
  <w:style w:type="character" w:customStyle="1" w:styleId="ae">
    <w:name w:val="页眉 字符"/>
    <w:link w:val="ad"/>
    <w:uiPriority w:val="99"/>
    <w:qFormat/>
    <w:rPr>
      <w:rFonts w:ascii="Calibri" w:eastAsia="宋体" w:hAnsi="Calibri" w:cs="Times New Roman"/>
      <w:sz w:val="18"/>
      <w:szCs w:val="18"/>
    </w:rPr>
  </w:style>
  <w:style w:type="character" w:customStyle="1" w:styleId="HTML0">
    <w:name w:val="HTML 预设格式 字符"/>
    <w:link w:val="HTML"/>
    <w:uiPriority w:val="99"/>
    <w:semiHidden/>
    <w:qFormat/>
    <w:rPr>
      <w:rFonts w:ascii="宋体" w:eastAsia="宋体" w:hAnsi="宋体" w:cs="宋体"/>
      <w:kern w:val="0"/>
      <w:sz w:val="24"/>
      <w:szCs w:val="24"/>
    </w:rPr>
  </w:style>
  <w:style w:type="character" w:customStyle="1" w:styleId="af1">
    <w:name w:val="标题 字符"/>
    <w:link w:val="af0"/>
    <w:qFormat/>
    <w:rPr>
      <w:rFonts w:ascii="Arial" w:eastAsia="宋体" w:hAnsi="Arial" w:cs="Arial"/>
      <w:b/>
      <w:bCs/>
      <w:sz w:val="24"/>
      <w:szCs w:val="24"/>
    </w:rPr>
  </w:style>
  <w:style w:type="character" w:customStyle="1" w:styleId="af3">
    <w:name w:val="批注主题 字符"/>
    <w:link w:val="af2"/>
    <w:uiPriority w:val="99"/>
    <w:semiHidden/>
    <w:qFormat/>
    <w:rPr>
      <w:rFonts w:ascii="Calibri" w:eastAsia="宋体" w:hAnsi="Calibri" w:cs="Times New Roman"/>
      <w:b/>
      <w:bCs/>
    </w:rPr>
  </w:style>
  <w:style w:type="character" w:customStyle="1" w:styleId="longtext1">
    <w:name w:val="long_text1"/>
    <w:qFormat/>
    <w:rPr>
      <w:sz w:val="13"/>
      <w:szCs w:val="13"/>
    </w:rPr>
  </w:style>
  <w:style w:type="character" w:customStyle="1" w:styleId="Char">
    <w:name w:val="正文文本 Char"/>
    <w:qFormat/>
    <w:rPr>
      <w:rFonts w:eastAsia="宋体"/>
      <w:sz w:val="32"/>
      <w:lang w:val="en-US" w:eastAsia="zh-CN" w:bidi="ar-SA"/>
    </w:rPr>
  </w:style>
  <w:style w:type="character" w:customStyle="1" w:styleId="opdicttext2">
    <w:name w:val="op_dict_text2"/>
    <w:qFormat/>
  </w:style>
  <w:style w:type="paragraph" w:customStyle="1" w:styleId="11">
    <w:name w:val="修订1"/>
    <w:uiPriority w:val="99"/>
    <w:unhideWhenUsed/>
    <w:rPr>
      <w:kern w:val="2"/>
      <w:sz w:val="21"/>
      <w:szCs w:val="22"/>
    </w:rPr>
  </w:style>
  <w:style w:type="character" w:customStyle="1" w:styleId="ts-alignment-element">
    <w:name w:val="ts-alignment-element"/>
    <w:qFormat/>
  </w:style>
  <w:style w:type="character" w:customStyle="1" w:styleId="ts-alignment-element-highlighted">
    <w:name w:val="ts-alignment-element-highlighted"/>
    <w:qFormat/>
  </w:style>
  <w:style w:type="paragraph" w:customStyle="1" w:styleId="EndNoteBibliography">
    <w:name w:val="EndNote Bibliography"/>
    <w:basedOn w:val="a"/>
    <w:link w:val="EndNoteBibliography0"/>
    <w:qFormat/>
    <w:pPr>
      <w:ind w:firstLineChars="200" w:firstLine="480"/>
      <w:jc w:val="left"/>
    </w:pPr>
    <w:rPr>
      <w:rFonts w:eastAsia="等线"/>
      <w:bCs/>
      <w:sz w:val="24"/>
      <w:szCs w:val="24"/>
    </w:rPr>
  </w:style>
  <w:style w:type="character" w:customStyle="1" w:styleId="EndNoteBibliography0">
    <w:name w:val="EndNote Bibliography 字符"/>
    <w:link w:val="EndNoteBibliography"/>
    <w:qFormat/>
    <w:rPr>
      <w:rFonts w:ascii="Times New Roman" w:eastAsia="等线" w:hAnsi="Times New Roman"/>
      <w:bCs/>
      <w:kern w:val="2"/>
      <w:sz w:val="24"/>
      <w:szCs w:val="24"/>
    </w:rPr>
  </w:style>
  <w:style w:type="paragraph" w:customStyle="1" w:styleId="12">
    <w:name w:val="书目1"/>
    <w:basedOn w:val="a"/>
    <w:next w:val="a"/>
    <w:uiPriority w:val="37"/>
    <w:unhideWhenUsed/>
    <w:pPr>
      <w:ind w:left="720" w:hanging="720"/>
    </w:pPr>
  </w:style>
  <w:style w:type="table" w:customStyle="1" w:styleId="61">
    <w:name w:val="清单表 6 彩色1"/>
    <w:basedOn w:val="a1"/>
    <w:qFormat/>
    <w:rPr>
      <w:rFonts w:eastAsia="Times New Roman"/>
      <w:color w:val="000000"/>
    </w:rPr>
    <w:tblPr>
      <w:tblBorders>
        <w:top w:val="single" w:sz="4" w:space="0" w:color="000000"/>
        <w:bottom w:val="single" w:sz="4" w:space="0" w:color="000000"/>
      </w:tblBorders>
    </w:tblPr>
    <w:tblStylePr w:type="firstRow">
      <w:rPr>
        <w:rFonts w:ascii="Courier" w:hAnsi="Courier" w:cs="Courier" w:hint="default"/>
        <w:b/>
        <w:bCs/>
      </w:rPr>
      <w:tblPr/>
      <w:tcPr>
        <w:tcBorders>
          <w:top w:val="nil"/>
          <w:left w:val="nil"/>
          <w:bottom w:val="single" w:sz="4" w:space="0" w:color="000000"/>
          <w:right w:val="nil"/>
          <w:insideH w:val="nil"/>
          <w:insideV w:val="nil"/>
          <w:tl2br w:val="nil"/>
          <w:tr2bl w:val="nil"/>
        </w:tcBorders>
      </w:tcPr>
    </w:tblStylePr>
    <w:tblStylePr w:type="lastRow">
      <w:rPr>
        <w:rFonts w:ascii="Courier" w:hAnsi="Courier" w:cs="Courier" w:hint="default"/>
        <w:b/>
        <w:bCs/>
      </w:rPr>
      <w:tblPr/>
      <w:tcPr>
        <w:tcBorders>
          <w:top w:val="double" w:sz="2" w:space="0" w:color="000000"/>
          <w:left w:val="nil"/>
          <w:bottom w:val="nil"/>
          <w:right w:val="nil"/>
          <w:insideH w:val="nil"/>
          <w:insideV w:val="nil"/>
          <w:tl2br w:val="nil"/>
          <w:tr2bl w:val="nil"/>
        </w:tcBorders>
      </w:tcPr>
    </w:tblStylePr>
    <w:tblStylePr w:type="firstCol">
      <w:rPr>
        <w:rFonts w:ascii="Courier" w:hAnsi="Courier" w:cs="Courier" w:hint="default"/>
        <w:b/>
        <w:bCs/>
      </w:rPr>
    </w:tblStylePr>
    <w:tblStylePr w:type="lastCol">
      <w:rPr>
        <w:rFonts w:ascii="Courier" w:hAnsi="Courier" w:cs="Courier" w:hint="default"/>
        <w:b/>
        <w:bCs/>
      </w:rPr>
    </w:tblStylePr>
    <w:tblStylePr w:type="band1Vert">
      <w:tblPr/>
      <w:tcPr>
        <w:shd w:val="clear" w:color="auto" w:fill="CCCCCC"/>
      </w:tcPr>
    </w:tblStylePr>
    <w:tblStylePr w:type="band1Horz">
      <w:tblPr/>
      <w:tcPr>
        <w:shd w:val="clear" w:color="auto" w:fill="CCCCCC"/>
      </w:tcPr>
    </w:tblStylePr>
  </w:style>
  <w:style w:type="table" w:customStyle="1" w:styleId="13">
    <w:name w:val="网格型1"/>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5"/>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网格型7"/>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网格型8"/>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尾注文本 字符"/>
    <w:basedOn w:val="a0"/>
    <w:link w:val="a7"/>
    <w:uiPriority w:val="99"/>
    <w:semiHidden/>
    <w:qFormat/>
    <w:rPr>
      <w:kern w:val="2"/>
      <w:sz w:val="21"/>
      <w:szCs w:val="22"/>
    </w:rPr>
  </w:style>
  <w:style w:type="character" w:customStyle="1" w:styleId="a6">
    <w:name w:val="正文文本 字符"/>
    <w:basedOn w:val="a0"/>
    <w:link w:val="a5"/>
    <w:qFormat/>
    <w:rPr>
      <w:rFonts w:ascii="Palatino Linotype" w:hAnsi="Palatino Linotype"/>
      <w:color w:val="000000"/>
      <w:sz w:val="24"/>
      <w:lang w:eastAsia="de-DE"/>
    </w:rPr>
  </w:style>
  <w:style w:type="paragraph" w:customStyle="1" w:styleId="MDPI31text">
    <w:name w:val="MDPI_3.1_text"/>
    <w:link w:val="MDPI31text0"/>
    <w:qFormat/>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character" w:customStyle="1" w:styleId="MDPI31text0">
    <w:name w:val="MDPI_3.1_text 字符"/>
    <w:basedOn w:val="a0"/>
    <w:link w:val="MDPI31text"/>
    <w:qFormat/>
    <w:rPr>
      <w:rFonts w:ascii="Palatino Linotype" w:eastAsia="Times New Roman" w:hAnsi="Palatino Linotype"/>
      <w:snapToGrid w:val="0"/>
      <w:color w:val="000000"/>
      <w:szCs w:val="22"/>
      <w:lang w:eastAsia="de-DE" w:bidi="en-US"/>
    </w:rPr>
  </w:style>
  <w:style w:type="character" w:customStyle="1" w:styleId="14">
    <w:name w:val="未处理的提及1"/>
    <w:basedOn w:val="a0"/>
    <w:uiPriority w:val="99"/>
    <w:semiHidden/>
    <w:unhideWhenUsed/>
    <w:qFormat/>
    <w:rPr>
      <w:color w:val="605E5C"/>
      <w:shd w:val="clear" w:color="auto" w:fill="E1DFDD"/>
    </w:rPr>
  </w:style>
  <w:style w:type="paragraph" w:styleId="afa">
    <w:name w:val="Revision"/>
    <w:hidden/>
    <w:uiPriority w:val="99"/>
    <w:unhideWhenUsed/>
    <w:rsid w:val="00055F24"/>
    <w:rPr>
      <w:kern w:val="2"/>
      <w:sz w:val="21"/>
      <w:szCs w:val="22"/>
    </w:rPr>
  </w:style>
  <w:style w:type="character" w:styleId="afb">
    <w:name w:val="Unresolved Mention"/>
    <w:basedOn w:val="a0"/>
    <w:uiPriority w:val="99"/>
    <w:semiHidden/>
    <w:unhideWhenUsed/>
    <w:rsid w:val="001874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272924">
      <w:bodyDiv w:val="1"/>
      <w:marLeft w:val="0"/>
      <w:marRight w:val="0"/>
      <w:marTop w:val="0"/>
      <w:marBottom w:val="0"/>
      <w:divBdr>
        <w:top w:val="none" w:sz="0" w:space="0" w:color="auto"/>
        <w:left w:val="none" w:sz="0" w:space="0" w:color="auto"/>
        <w:bottom w:val="none" w:sz="0" w:space="0" w:color="auto"/>
        <w:right w:val="none" w:sz="0" w:space="0" w:color="auto"/>
      </w:divBdr>
    </w:div>
    <w:div w:id="852185402">
      <w:bodyDiv w:val="1"/>
      <w:marLeft w:val="0"/>
      <w:marRight w:val="0"/>
      <w:marTop w:val="0"/>
      <w:marBottom w:val="0"/>
      <w:divBdr>
        <w:top w:val="none" w:sz="0" w:space="0" w:color="auto"/>
        <w:left w:val="none" w:sz="0" w:space="0" w:color="auto"/>
        <w:bottom w:val="none" w:sz="0" w:space="0" w:color="auto"/>
        <w:right w:val="none" w:sz="0" w:space="0" w:color="auto"/>
      </w:divBdr>
      <w:divsChild>
        <w:div w:id="1111974506">
          <w:marLeft w:val="0"/>
          <w:marRight w:val="0"/>
          <w:marTop w:val="0"/>
          <w:marBottom w:val="120"/>
          <w:divBdr>
            <w:top w:val="none" w:sz="0" w:space="0" w:color="auto"/>
            <w:left w:val="none" w:sz="0" w:space="0" w:color="auto"/>
            <w:bottom w:val="none" w:sz="0" w:space="0" w:color="auto"/>
            <w:right w:val="none" w:sz="0" w:space="0" w:color="auto"/>
          </w:divBdr>
        </w:div>
      </w:divsChild>
    </w:div>
    <w:div w:id="1882091569">
      <w:bodyDiv w:val="1"/>
      <w:marLeft w:val="0"/>
      <w:marRight w:val="0"/>
      <w:marTop w:val="0"/>
      <w:marBottom w:val="0"/>
      <w:divBdr>
        <w:top w:val="none" w:sz="0" w:space="0" w:color="auto"/>
        <w:left w:val="none" w:sz="0" w:space="0" w:color="auto"/>
        <w:bottom w:val="none" w:sz="0" w:space="0" w:color="auto"/>
        <w:right w:val="none" w:sz="0" w:space="0" w:color="auto"/>
      </w:divBdr>
    </w:div>
    <w:div w:id="1980845762">
      <w:bodyDiv w:val="1"/>
      <w:marLeft w:val="0"/>
      <w:marRight w:val="0"/>
      <w:marTop w:val="0"/>
      <w:marBottom w:val="0"/>
      <w:divBdr>
        <w:top w:val="none" w:sz="0" w:space="0" w:color="auto"/>
        <w:left w:val="none" w:sz="0" w:space="0" w:color="auto"/>
        <w:bottom w:val="none" w:sz="0" w:space="0" w:color="auto"/>
        <w:right w:val="none" w:sz="0" w:space="0" w:color="auto"/>
      </w:divBdr>
      <w:divsChild>
        <w:div w:id="640116796">
          <w:marLeft w:val="0"/>
          <w:marRight w:val="0"/>
          <w:marTop w:val="0"/>
          <w:marBottom w:val="1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i.org/10.3390/FOODS1004084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07/s00217-020-03441-y"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2167</Words>
  <Characters>12356</Characters>
  <Application>Microsoft Office Word</Application>
  <DocSecurity>0</DocSecurity>
  <Lines>102</Lines>
  <Paragraphs>28</Paragraphs>
  <ScaleCrop>false</ScaleCrop>
  <Company/>
  <LinksUpToDate>false</LinksUpToDate>
  <CharactersWithSpaces>14495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Jun-jie Xing</dc:creator>
  <cp:lastModifiedBy>章 勋</cp:lastModifiedBy>
  <cp:revision>5</cp:revision>
  <cp:lastPrinted>2018-06-09T11:19:00Z</cp:lastPrinted>
  <dcterms:created xsi:type="dcterms:W3CDTF">2025-03-22T09:13:00Z</dcterms:created>
  <dcterms:modified xsi:type="dcterms:W3CDTF">2025-03-22T12:29:00Z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ZOTERO_PREF_1">
    <vt:lpwstr>&lt;data data-version="3" zotero-version="6.0.27"&gt;&lt;session id="FIzgiJzJ"/&gt;&lt;style id="http://www.zotero.org/styles/bioresource-technology" hasBibliography="1" bibliographyStyleHasBeenSet="1"/&gt;&lt;prefs&gt;&lt;pref name="fieldType" value="Field"/&gt;&lt;/prefs&gt;&lt;/data&gt;</vt:lpwstr>
  </property>
  <property fmtid="{D5CDD505-2E9C-101B-9397-08002B2CF9AE}" pid="4" name="ICV">
    <vt:lpwstr>0D09F61F948742B893E4D37CB2D2B38A_13</vt:lpwstr>
  </property>
  <property fmtid="{D5CDD505-2E9C-101B-9397-08002B2CF9AE}" pid="5" name="KSOTemplateDocerSaveRecord">
    <vt:lpwstr>eyJoZGlkIjoiODlmYWEzZmQ3NDZiN2RhN2IyNmMyYjc1Njg4YTIyZTEiLCJ1c2VySWQiOiI1ODUxMDMyMzUifQ==</vt:lpwstr>
  </property>
</Properties>
</file>