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D987B" w14:textId="57B1EA48" w:rsidR="005344F3" w:rsidRPr="006453D9" w:rsidRDefault="005344F3" w:rsidP="005344F3">
      <w:pPr>
        <w:pStyle w:val="MDPI11articletype"/>
      </w:pPr>
      <w:r w:rsidRPr="006453D9">
        <w:t>Article</w:t>
      </w:r>
    </w:p>
    <w:p w14:paraId="390CF7AB" w14:textId="77777777" w:rsidR="009778E3" w:rsidRDefault="009778E3" w:rsidP="005344F3">
      <w:pPr>
        <w:pStyle w:val="MDPI13authornames"/>
        <w:rPr>
          <w:snapToGrid w:val="0"/>
          <w:sz w:val="36"/>
          <w:szCs w:val="20"/>
        </w:rPr>
      </w:pPr>
      <w:r w:rsidRPr="009778E3">
        <w:rPr>
          <w:snapToGrid w:val="0"/>
          <w:sz w:val="36"/>
          <w:szCs w:val="20"/>
        </w:rPr>
        <w:t>Influence of Avocado Plantations as Driver of Land-Use and Land-Cover Change in Chile’s Aconcagua Basin</w:t>
      </w:r>
    </w:p>
    <w:p w14:paraId="393A23E9" w14:textId="4D330A04" w:rsidR="0039243C" w:rsidRPr="009778E3" w:rsidRDefault="009778E3" w:rsidP="005344F3">
      <w:pPr>
        <w:pStyle w:val="MDPI13authornames"/>
        <w:rPr>
          <w:lang w:val="es-CL"/>
        </w:rPr>
      </w:pPr>
      <w:r w:rsidRPr="009778E3">
        <w:rPr>
          <w:lang w:val="es-CL"/>
        </w:rPr>
        <w:t xml:space="preserve">Iongel Duran-Llacer </w:t>
      </w:r>
      <w:r w:rsidRPr="007E2BB7">
        <w:rPr>
          <w:vertAlign w:val="superscript"/>
          <w:lang w:val="es-CL"/>
        </w:rPr>
        <w:t>1,2*</w:t>
      </w:r>
      <w:r w:rsidRPr="009778E3">
        <w:rPr>
          <w:lang w:val="es-CL"/>
        </w:rPr>
        <w:t xml:space="preserve">, Andrés A. Salazar </w:t>
      </w:r>
      <w:r w:rsidRPr="007E2BB7">
        <w:rPr>
          <w:vertAlign w:val="superscript"/>
          <w:lang w:val="es-CL"/>
        </w:rPr>
        <w:t>3</w:t>
      </w:r>
      <w:r w:rsidRPr="009778E3">
        <w:rPr>
          <w:lang w:val="es-CL"/>
        </w:rPr>
        <w:t>, Pedro Mondaca</w:t>
      </w:r>
      <w:r w:rsidRPr="007E2BB7">
        <w:rPr>
          <w:vertAlign w:val="superscript"/>
          <w:lang w:val="es-CL"/>
        </w:rPr>
        <w:t>4</w:t>
      </w:r>
      <w:r w:rsidRPr="009778E3">
        <w:rPr>
          <w:lang w:val="es-CL"/>
        </w:rPr>
        <w:t xml:space="preserve">, Lien Rodríguez-López </w:t>
      </w:r>
      <w:r w:rsidRPr="007E2BB7">
        <w:rPr>
          <w:vertAlign w:val="superscript"/>
          <w:lang w:val="es-CL"/>
        </w:rPr>
        <w:t>5</w:t>
      </w:r>
      <w:r w:rsidRPr="009778E3">
        <w:rPr>
          <w:lang w:val="es-CL"/>
        </w:rPr>
        <w:t>, Rebeca Martínez-Retureta</w:t>
      </w:r>
      <w:r w:rsidRPr="007E2BB7">
        <w:rPr>
          <w:vertAlign w:val="superscript"/>
          <w:lang w:val="es-CL"/>
        </w:rPr>
        <w:t>6</w:t>
      </w:r>
      <w:r w:rsidRPr="009778E3">
        <w:rPr>
          <w:lang w:val="es-CL"/>
        </w:rPr>
        <w:t xml:space="preserve">, Francisco Zambrano </w:t>
      </w:r>
      <w:r w:rsidRPr="007E2BB7">
        <w:rPr>
          <w:vertAlign w:val="superscript"/>
          <w:lang w:val="es-CL"/>
        </w:rPr>
        <w:t>2</w:t>
      </w:r>
      <w:r w:rsidRPr="009778E3">
        <w:rPr>
          <w:lang w:val="es-CL"/>
        </w:rPr>
        <w:t xml:space="preserve"> Fabian Llanos </w:t>
      </w:r>
      <w:r w:rsidRPr="007E2BB7">
        <w:rPr>
          <w:vertAlign w:val="superscript"/>
          <w:lang w:val="es-CL"/>
        </w:rPr>
        <w:t>2</w:t>
      </w:r>
      <w:r w:rsidRPr="009778E3">
        <w:rPr>
          <w:lang w:val="es-CL"/>
        </w:rPr>
        <w:t xml:space="preserve">and Frederic Frappart </w:t>
      </w:r>
      <w:r w:rsidRPr="007E2BB7">
        <w:rPr>
          <w:vertAlign w:val="superscript"/>
          <w:lang w:val="es-CL"/>
        </w:rPr>
        <w:t>7</w:t>
      </w:r>
    </w:p>
    <w:tbl>
      <w:tblPr>
        <w:tblpPr w:leftFromText="198" w:rightFromText="198" w:vertAnchor="page" w:horzAnchor="margin" w:tblpY="11407"/>
        <w:tblW w:w="2410" w:type="dxa"/>
        <w:tblLayout w:type="fixed"/>
        <w:tblCellMar>
          <w:left w:w="0" w:type="dxa"/>
          <w:right w:w="0" w:type="dxa"/>
        </w:tblCellMar>
        <w:tblLook w:val="04A0" w:firstRow="1" w:lastRow="0" w:firstColumn="1" w:lastColumn="0" w:noHBand="0" w:noVBand="1"/>
      </w:tblPr>
      <w:tblGrid>
        <w:gridCol w:w="2410"/>
      </w:tblGrid>
      <w:tr w:rsidR="0039243C" w:rsidRPr="00D61D1F" w14:paraId="506173CF" w14:textId="77777777" w:rsidTr="000D20E3">
        <w:tc>
          <w:tcPr>
            <w:tcW w:w="2410" w:type="dxa"/>
            <w:shd w:val="clear" w:color="auto" w:fill="auto"/>
          </w:tcPr>
          <w:p w14:paraId="06808022" w14:textId="77777777" w:rsidR="0039243C" w:rsidRDefault="0039243C" w:rsidP="000D20E3">
            <w:pPr>
              <w:pStyle w:val="MDPI15academiceditor"/>
              <w:spacing w:before="0" w:after="120"/>
            </w:pPr>
            <w:r>
              <w:t xml:space="preserve">Academic Editor: </w:t>
            </w:r>
            <w:proofErr w:type="spellStart"/>
            <w:r>
              <w:t>Firstname</w:t>
            </w:r>
            <w:proofErr w:type="spellEnd"/>
            <w:r>
              <w:t xml:space="preserve"> Lastname</w:t>
            </w:r>
          </w:p>
          <w:p w14:paraId="0AC04DB4" w14:textId="77777777" w:rsidR="0039243C" w:rsidRPr="009F18D1" w:rsidRDefault="0039243C" w:rsidP="000D20E3">
            <w:pPr>
              <w:pStyle w:val="MDPI14history"/>
              <w:spacing w:before="120"/>
            </w:pPr>
            <w:r w:rsidRPr="009F18D1">
              <w:t>Received: date</w:t>
            </w:r>
          </w:p>
          <w:p w14:paraId="0E71B275" w14:textId="77777777" w:rsidR="0039243C" w:rsidRDefault="0039243C" w:rsidP="000D20E3">
            <w:pPr>
              <w:pStyle w:val="MDPI14history"/>
            </w:pPr>
            <w:r>
              <w:t>Revised: date</w:t>
            </w:r>
          </w:p>
          <w:p w14:paraId="3AD7F198" w14:textId="77777777" w:rsidR="0039243C" w:rsidRPr="009F18D1" w:rsidRDefault="0039243C" w:rsidP="000D20E3">
            <w:pPr>
              <w:pStyle w:val="MDPI14history"/>
            </w:pPr>
            <w:r>
              <w:t>Accepted: date</w:t>
            </w:r>
          </w:p>
          <w:p w14:paraId="095C2BD0" w14:textId="77777777" w:rsidR="0039243C" w:rsidRPr="009F18D1" w:rsidRDefault="0039243C" w:rsidP="000D20E3">
            <w:pPr>
              <w:pStyle w:val="MDPI14history"/>
              <w:spacing w:after="120"/>
            </w:pPr>
            <w:r w:rsidRPr="009F18D1">
              <w:t>Published: date</w:t>
            </w:r>
          </w:p>
          <w:p w14:paraId="30098B01" w14:textId="77777777" w:rsidR="0039243C" w:rsidRPr="00D61D1F" w:rsidRDefault="0039243C" w:rsidP="000D20E3">
            <w:pPr>
              <w:pStyle w:val="MDPI61citation"/>
              <w:rPr>
                <w:lang w:bidi="en-US"/>
              </w:rPr>
            </w:pPr>
            <w:r w:rsidRPr="00242122">
              <w:rPr>
                <w:b/>
                <w:lang w:bidi="en-US"/>
              </w:rPr>
              <w:t xml:space="preserve">Citation: </w:t>
            </w:r>
            <w:r>
              <w:rPr>
                <w:lang w:bidi="en-US"/>
              </w:rPr>
              <w:t>To be added by editorial staff during production.</w:t>
            </w:r>
          </w:p>
          <w:p w14:paraId="792660EE" w14:textId="77777777" w:rsidR="0039243C" w:rsidRPr="00D61D1F" w:rsidRDefault="0039243C" w:rsidP="000D20E3">
            <w:pPr>
              <w:pStyle w:val="MDPI72copyright"/>
              <w:rPr>
                <w:rFonts w:eastAsia="DengXian"/>
                <w:lang w:bidi="en-US"/>
              </w:rPr>
            </w:pPr>
            <w:r w:rsidRPr="00D61D1F">
              <w:rPr>
                <w:rFonts w:eastAsia="DengXian"/>
                <w:b/>
                <w:lang w:bidi="en-US"/>
              </w:rPr>
              <w:t>Copyright:</w:t>
            </w:r>
            <w:r w:rsidRPr="00D61D1F">
              <w:rPr>
                <w:rFonts w:eastAsia="DengXian"/>
                <w:lang w:bidi="en-US"/>
              </w:rPr>
              <w:t xml:space="preserve"> </w:t>
            </w:r>
            <w:r>
              <w:rPr>
                <w:rFonts w:eastAsia="DengXian"/>
                <w:lang w:bidi="en-US"/>
              </w:rPr>
              <w:t xml:space="preserve">© 2025 by the authors. Submitted for possible open access publication under the terms and conditions of the Creative Commons </w:t>
            </w:r>
            <w:r w:rsidRPr="00D61D1F">
              <w:rPr>
                <w:rFonts w:eastAsia="DengXian"/>
                <w:lang w:bidi="en-US"/>
              </w:rPr>
              <w:t>Attribution (CC BY) license (</w:t>
            </w:r>
            <w:r>
              <w:rPr>
                <w:rFonts w:eastAsia="DengXian"/>
                <w:lang w:bidi="en-US"/>
              </w:rPr>
              <w:t>https://</w:t>
            </w:r>
            <w:r w:rsidRPr="00D61D1F">
              <w:rPr>
                <w:rFonts w:eastAsia="DengXian"/>
                <w:lang w:bidi="en-US"/>
              </w:rPr>
              <w:t>creativecommons.org/licenses/by/4.0/).</w:t>
            </w:r>
          </w:p>
        </w:tc>
      </w:tr>
    </w:tbl>
    <w:p w14:paraId="00733862" w14:textId="77777777" w:rsidR="009778E3" w:rsidRPr="009778E3" w:rsidRDefault="009778E3" w:rsidP="009778E3">
      <w:pPr>
        <w:pStyle w:val="MDPI16affiliation"/>
        <w:rPr>
          <w:lang w:val="es-CL"/>
        </w:rPr>
      </w:pPr>
      <w:r w:rsidRPr="009778E3">
        <w:rPr>
          <w:vertAlign w:val="superscript"/>
          <w:lang w:val="es-CL"/>
        </w:rPr>
        <w:t xml:space="preserve">1 </w:t>
      </w:r>
      <w:r w:rsidRPr="009778E3">
        <w:rPr>
          <w:lang w:val="es-CL"/>
        </w:rPr>
        <w:t xml:space="preserve">Escuela de Ingeniería en Medio Ambiente y Sustentabilidad y Escuela de Ingeniería Forestal, Facultad de Ciencias, Ingeniería y Tecnología, Universidad Mayor, Camino La Pirámide 5750, Santiago 8580745, Chile </w:t>
      </w:r>
    </w:p>
    <w:p w14:paraId="5F46BF59" w14:textId="6B9E3758" w:rsidR="009778E3" w:rsidRPr="009778E3" w:rsidRDefault="009778E3" w:rsidP="009778E3">
      <w:pPr>
        <w:pStyle w:val="MDPI16affiliation"/>
        <w:rPr>
          <w:lang w:val="es-CL"/>
        </w:rPr>
      </w:pPr>
      <w:r w:rsidRPr="009778E3">
        <w:rPr>
          <w:vertAlign w:val="superscript"/>
          <w:lang w:val="es-CL"/>
        </w:rPr>
        <w:t xml:space="preserve">2 </w:t>
      </w:r>
      <w:r w:rsidRPr="009778E3">
        <w:rPr>
          <w:lang w:val="es-CL"/>
        </w:rPr>
        <w:t xml:space="preserve">Hémera Centro de Observación de la Tierra, Facultad de Ciencias, Ingeniería y Tecnología, Universidad Mayor, Camino La Pirámide 5750, Santiago 8580745, Chile; </w:t>
      </w:r>
      <w:hyperlink r:id="rId8" w:history="1">
        <w:r w:rsidRPr="00574C8C">
          <w:rPr>
            <w:rStyle w:val="Hipervnculo"/>
            <w:lang w:val="es-CL"/>
          </w:rPr>
          <w:t>francisco.zambrano@umayor.cl</w:t>
        </w:r>
      </w:hyperlink>
      <w:r w:rsidR="005E1C32">
        <w:rPr>
          <w:lang w:val="es-CL"/>
        </w:rPr>
        <w:t xml:space="preserve">; </w:t>
      </w:r>
      <w:hyperlink r:id="rId9" w:history="1">
        <w:r w:rsidR="005E1C32" w:rsidRPr="00EA6B5D">
          <w:rPr>
            <w:rStyle w:val="Hipervnculo"/>
            <w:lang w:val="es-CL"/>
          </w:rPr>
          <w:t>fabian.llanos@umayor.cl</w:t>
        </w:r>
      </w:hyperlink>
      <w:r w:rsidR="005E1C32">
        <w:rPr>
          <w:lang w:val="es-CL"/>
        </w:rPr>
        <w:t xml:space="preserve"> </w:t>
      </w:r>
    </w:p>
    <w:p w14:paraId="38279891" w14:textId="10777658" w:rsidR="009778E3" w:rsidRPr="009778E3" w:rsidRDefault="009778E3" w:rsidP="009778E3">
      <w:pPr>
        <w:pStyle w:val="MDPI16affiliation"/>
        <w:rPr>
          <w:lang w:val="es-CL"/>
        </w:rPr>
      </w:pPr>
      <w:r w:rsidRPr="009778E3">
        <w:rPr>
          <w:vertAlign w:val="superscript"/>
          <w:lang w:val="es-CL"/>
        </w:rPr>
        <w:t>3</w:t>
      </w:r>
      <w:r w:rsidRPr="009778E3">
        <w:rPr>
          <w:lang w:val="es-CL"/>
        </w:rPr>
        <w:t xml:space="preserve"> Boreal Austral, Santiago, Chile; </w:t>
      </w:r>
      <w:hyperlink r:id="rId10" w:history="1">
        <w:r w:rsidRPr="00574C8C">
          <w:rPr>
            <w:rStyle w:val="Hipervnculo"/>
            <w:lang w:val="es-CL"/>
          </w:rPr>
          <w:t>ajsalazar@uc.cl</w:t>
        </w:r>
      </w:hyperlink>
      <w:r>
        <w:rPr>
          <w:lang w:val="es-CL"/>
        </w:rPr>
        <w:t xml:space="preserve"> </w:t>
      </w:r>
    </w:p>
    <w:p w14:paraId="6214D2CF" w14:textId="16676DF6" w:rsidR="009778E3" w:rsidRPr="009778E3" w:rsidRDefault="009778E3" w:rsidP="009778E3">
      <w:pPr>
        <w:pStyle w:val="MDPI16affiliation"/>
        <w:rPr>
          <w:lang w:val="es-CL"/>
        </w:rPr>
      </w:pPr>
      <w:r w:rsidRPr="009778E3">
        <w:rPr>
          <w:vertAlign w:val="superscript"/>
          <w:lang w:val="es-CL"/>
        </w:rPr>
        <w:t>4</w:t>
      </w:r>
      <w:r w:rsidRPr="009778E3">
        <w:rPr>
          <w:lang w:val="es-CL"/>
        </w:rPr>
        <w:t xml:space="preserve"> Laboratorio de Agrobiotecnología, Departamento de Química, Universidad Técnica Federico Santa María, Avenida España 1680, Valparaíso, Chile; </w:t>
      </w:r>
      <w:hyperlink r:id="rId11" w:history="1">
        <w:r w:rsidRPr="00574C8C">
          <w:rPr>
            <w:rStyle w:val="Hipervnculo"/>
            <w:lang w:val="es-CL"/>
          </w:rPr>
          <w:t>pedro.mondaca@usm.cl</w:t>
        </w:r>
      </w:hyperlink>
      <w:r>
        <w:rPr>
          <w:lang w:val="es-CL"/>
        </w:rPr>
        <w:t xml:space="preserve"> </w:t>
      </w:r>
      <w:r w:rsidRPr="009778E3">
        <w:rPr>
          <w:lang w:val="es-CL"/>
        </w:rPr>
        <w:t xml:space="preserve"> </w:t>
      </w:r>
    </w:p>
    <w:p w14:paraId="53E82AC3" w14:textId="7C1B682F" w:rsidR="009778E3" w:rsidRPr="009778E3" w:rsidRDefault="009778E3" w:rsidP="009778E3">
      <w:pPr>
        <w:pStyle w:val="MDPI16affiliation"/>
        <w:rPr>
          <w:lang w:val="es-CL"/>
        </w:rPr>
      </w:pPr>
      <w:r w:rsidRPr="009778E3">
        <w:rPr>
          <w:vertAlign w:val="superscript"/>
          <w:lang w:val="es-CL"/>
        </w:rPr>
        <w:t>5</w:t>
      </w:r>
      <w:r w:rsidRPr="009778E3">
        <w:rPr>
          <w:lang w:val="es-CL"/>
        </w:rPr>
        <w:t xml:space="preserve"> Facultad de Ingeniería,</w:t>
      </w:r>
      <w:r w:rsidR="00A24FC5">
        <w:rPr>
          <w:lang w:val="es-CL"/>
        </w:rPr>
        <w:t xml:space="preserve"> </w:t>
      </w:r>
      <w:r w:rsidRPr="009778E3">
        <w:rPr>
          <w:lang w:val="es-CL"/>
        </w:rPr>
        <w:t xml:space="preserve">Universidad San Sebastián, Lientur 1457, Concepción 4030000, Chile; </w:t>
      </w:r>
      <w:hyperlink r:id="rId12" w:history="1">
        <w:r w:rsidRPr="00574C8C">
          <w:rPr>
            <w:rStyle w:val="Hipervnculo"/>
            <w:lang w:val="es-CL"/>
          </w:rPr>
          <w:t>lien.rodriguez@uss.cl</w:t>
        </w:r>
      </w:hyperlink>
      <w:r>
        <w:rPr>
          <w:lang w:val="es-CL"/>
        </w:rPr>
        <w:t xml:space="preserve"> </w:t>
      </w:r>
    </w:p>
    <w:p w14:paraId="0CBD5355" w14:textId="7F32BD3E" w:rsidR="009778E3" w:rsidRPr="009778E3" w:rsidRDefault="009778E3" w:rsidP="009778E3">
      <w:pPr>
        <w:pStyle w:val="MDPI16affiliation"/>
        <w:rPr>
          <w:lang w:val="es-CL"/>
        </w:rPr>
      </w:pPr>
      <w:r w:rsidRPr="009778E3">
        <w:rPr>
          <w:vertAlign w:val="superscript"/>
          <w:lang w:val="es-CL"/>
        </w:rPr>
        <w:t>6</w:t>
      </w:r>
      <w:r w:rsidRPr="009778E3">
        <w:rPr>
          <w:lang w:val="es-CL"/>
        </w:rPr>
        <w:t xml:space="preserve"> Departamento de Ciencias Ambientales, Facultad de Recursos Naturales, Universidad Católica de Temuco, Rudecindo Ortega 02950, Temuco, Chile; </w:t>
      </w:r>
      <w:hyperlink r:id="rId13" w:history="1">
        <w:r w:rsidRPr="00574C8C">
          <w:rPr>
            <w:rStyle w:val="Hipervnculo"/>
            <w:lang w:val="es-CL"/>
          </w:rPr>
          <w:t>rebeca.martinez@uct.cl</w:t>
        </w:r>
      </w:hyperlink>
      <w:r>
        <w:rPr>
          <w:lang w:val="es-CL"/>
        </w:rPr>
        <w:t xml:space="preserve"> </w:t>
      </w:r>
      <w:r w:rsidRPr="009778E3">
        <w:rPr>
          <w:lang w:val="es-CL"/>
        </w:rPr>
        <w:t xml:space="preserve"> </w:t>
      </w:r>
    </w:p>
    <w:p w14:paraId="5632AB36" w14:textId="7D52A096" w:rsidR="009778E3" w:rsidRPr="009778E3" w:rsidRDefault="009778E3" w:rsidP="009778E3">
      <w:pPr>
        <w:pStyle w:val="MDPI16affiliation"/>
        <w:rPr>
          <w:lang w:val="es-CL"/>
        </w:rPr>
      </w:pPr>
      <w:r w:rsidRPr="009778E3">
        <w:rPr>
          <w:vertAlign w:val="superscript"/>
          <w:lang w:val="es-CL"/>
        </w:rPr>
        <w:t xml:space="preserve">7 </w:t>
      </w:r>
      <w:r w:rsidRPr="009778E3">
        <w:rPr>
          <w:lang w:val="es-CL"/>
        </w:rPr>
        <w:t xml:space="preserve">ISPA, UMR 1391 INRAE, </w:t>
      </w:r>
      <w:proofErr w:type="spellStart"/>
      <w:r w:rsidRPr="009778E3">
        <w:rPr>
          <w:lang w:val="es-CL"/>
        </w:rPr>
        <w:t>Bordeaux</w:t>
      </w:r>
      <w:proofErr w:type="spellEnd"/>
      <w:r w:rsidRPr="009778E3">
        <w:rPr>
          <w:lang w:val="es-CL"/>
        </w:rPr>
        <w:t xml:space="preserve"> </w:t>
      </w:r>
      <w:proofErr w:type="spellStart"/>
      <w:r w:rsidRPr="009778E3">
        <w:rPr>
          <w:lang w:val="es-CL"/>
        </w:rPr>
        <w:t>Sciences</w:t>
      </w:r>
      <w:proofErr w:type="spellEnd"/>
      <w:r w:rsidRPr="009778E3">
        <w:rPr>
          <w:lang w:val="es-CL"/>
        </w:rPr>
        <w:t xml:space="preserve"> Agro, 33140 </w:t>
      </w:r>
      <w:r>
        <w:rPr>
          <w:lang w:val="es-CL"/>
        </w:rPr>
        <w:t>Villenave</w:t>
      </w:r>
      <w:r w:rsidRPr="009778E3">
        <w:rPr>
          <w:lang w:val="es-CL"/>
        </w:rPr>
        <w:t xml:space="preserve">-d’Ornon, France; </w:t>
      </w:r>
      <w:hyperlink r:id="rId14" w:history="1">
        <w:r w:rsidRPr="00574C8C">
          <w:rPr>
            <w:rStyle w:val="Hipervnculo"/>
            <w:lang w:val="es-CL"/>
          </w:rPr>
          <w:t>frederic.frappart@inrae.fr</w:t>
        </w:r>
      </w:hyperlink>
      <w:r>
        <w:rPr>
          <w:lang w:val="es-CL"/>
        </w:rPr>
        <w:t xml:space="preserve"> </w:t>
      </w:r>
    </w:p>
    <w:p w14:paraId="27E82CFB" w14:textId="649280A9" w:rsidR="009778E3" w:rsidRPr="00550626" w:rsidRDefault="009778E3" w:rsidP="009778E3">
      <w:pPr>
        <w:pStyle w:val="MDPI16affiliation"/>
      </w:pPr>
      <w:r>
        <w:t>*</w:t>
      </w:r>
      <w:r>
        <w:tab/>
        <w:t xml:space="preserve">Correspondence: </w:t>
      </w:r>
      <w:hyperlink r:id="rId15" w:history="1">
        <w:r w:rsidRPr="00574C8C">
          <w:rPr>
            <w:rStyle w:val="Hipervnculo"/>
          </w:rPr>
          <w:t>iongel.duran@umayor.cl</w:t>
        </w:r>
      </w:hyperlink>
      <w:r>
        <w:t xml:space="preserve"> </w:t>
      </w:r>
    </w:p>
    <w:p w14:paraId="39F8F259" w14:textId="0929442C" w:rsidR="005344F3" w:rsidRPr="00242122" w:rsidRDefault="005344F3" w:rsidP="00242122">
      <w:pPr>
        <w:pStyle w:val="MDPI17abstract"/>
        <w:rPr>
          <w:szCs w:val="18"/>
        </w:rPr>
      </w:pPr>
      <w:r w:rsidRPr="00242122">
        <w:rPr>
          <w:b/>
          <w:szCs w:val="18"/>
        </w:rPr>
        <w:t xml:space="preserve">Abstract: </w:t>
      </w:r>
      <w:r w:rsidR="009778E3" w:rsidRPr="009778E3">
        <w:rPr>
          <w:szCs w:val="18"/>
        </w:rPr>
        <w:t xml:space="preserve">Land use and land cover (LULC) change is a dynamic process influenced by various factors, including agricultural expansion. </w:t>
      </w:r>
      <w:r w:rsidR="00B6059B" w:rsidRPr="00B6059B">
        <w:rPr>
          <w:szCs w:val="18"/>
        </w:rPr>
        <w:t xml:space="preserve">In Chile's Aconcagua Basin, avocado plantations are potentially driving territorial transformations. However, current land cover data lacks the resolution required to accurately assess this impact. Accordingly, our study used advanced </w:t>
      </w:r>
      <w:r w:rsidR="00004096" w:rsidRPr="00004096">
        <w:rPr>
          <w:szCs w:val="18"/>
        </w:rPr>
        <w:t>geospatial analysis techniques</w:t>
      </w:r>
      <w:r w:rsidR="00004096">
        <w:rPr>
          <w:szCs w:val="18"/>
        </w:rPr>
        <w:t xml:space="preserve"> </w:t>
      </w:r>
      <w:r w:rsidR="00B6059B" w:rsidRPr="00B6059B">
        <w:rPr>
          <w:szCs w:val="18"/>
        </w:rPr>
        <w:t>to address this gap.</w:t>
      </w:r>
      <w:r w:rsidR="009778E3" w:rsidRPr="009778E3">
        <w:rPr>
          <w:szCs w:val="18"/>
        </w:rPr>
        <w:t xml:space="preserve"> Through a detailed analysis of the spatial and temporal changes, it was determined that the most significant expansion of avocado plantations occurred between 2003 and 2013, with an increase of 402%. This growth primarily took place at the expense of native vegetation, particularly sclerophyllous shrubland, as well as other agricultural lands, near agricultural and urban lands. By 2023, changes in avocado </w:t>
      </w:r>
      <w:r w:rsidR="009778E3" w:rsidRPr="007954D9">
        <w:rPr>
          <w:szCs w:val="18"/>
          <w:highlight w:val="yellow"/>
        </w:rPr>
        <w:t xml:space="preserve">plantation </w:t>
      </w:r>
      <w:r w:rsidR="007954D9" w:rsidRPr="007954D9">
        <w:rPr>
          <w:szCs w:val="18"/>
          <w:highlight w:val="yellow"/>
        </w:rPr>
        <w:t>were</w:t>
      </w:r>
      <w:r w:rsidR="009778E3" w:rsidRPr="007954D9">
        <w:rPr>
          <w:szCs w:val="18"/>
          <w:highlight w:val="yellow"/>
        </w:rPr>
        <w:t xml:space="preserve"> significantly slowe</w:t>
      </w:r>
      <w:r w:rsidR="007954D9" w:rsidRPr="007954D9">
        <w:rPr>
          <w:szCs w:val="18"/>
          <w:highlight w:val="yellow"/>
        </w:rPr>
        <w:t>r</w:t>
      </w:r>
      <w:r w:rsidR="009778E3" w:rsidRPr="009778E3">
        <w:rPr>
          <w:szCs w:val="18"/>
        </w:rPr>
        <w:t xml:space="preserve">, with minimal alterations in LULC (5%), suggesting a possible influence of drought on small-scale farmers. </w:t>
      </w:r>
      <w:r w:rsidR="00CB28A0" w:rsidRPr="00CB28A0">
        <w:rPr>
          <w:szCs w:val="18"/>
        </w:rPr>
        <w:t>However, the small loss of avocado plantation was mainly replaced by fruit farm</w:t>
      </w:r>
      <w:r w:rsidR="00D53E28">
        <w:rPr>
          <w:szCs w:val="18"/>
        </w:rPr>
        <w:t xml:space="preserve"> </w:t>
      </w:r>
      <w:r w:rsidR="00CB28A0" w:rsidRPr="00CB28A0">
        <w:rPr>
          <w:szCs w:val="18"/>
        </w:rPr>
        <w:t>land. Moreover, our findings suggest that while avocado plantations have become larger, more dominant, and more isolated, native vegetation has become more fragmented and reduced in patch size. Based on these results, sustainable land management practices were proposed</w:t>
      </w:r>
      <w:r w:rsidR="009778E3" w:rsidRPr="009778E3">
        <w:rPr>
          <w:szCs w:val="18"/>
        </w:rPr>
        <w:t>. These findings provide a crucial foundation for developing sustainable land management strategies that balance agricultural production with environmental sustainability, landscape transformation and the well-being of local communities.</w:t>
      </w:r>
    </w:p>
    <w:p w14:paraId="1E7624AA" w14:textId="494ACFC5" w:rsidR="005344F3" w:rsidRPr="00242122" w:rsidRDefault="005344F3" w:rsidP="00242122">
      <w:pPr>
        <w:pStyle w:val="MDPI18keywords"/>
        <w:rPr>
          <w:szCs w:val="18"/>
        </w:rPr>
      </w:pPr>
      <w:r w:rsidRPr="00242122">
        <w:rPr>
          <w:b/>
          <w:szCs w:val="18"/>
        </w:rPr>
        <w:t xml:space="preserve">Keywords: </w:t>
      </w:r>
      <w:r w:rsidR="007502E6" w:rsidRPr="007502E6">
        <w:rPr>
          <w:szCs w:val="18"/>
        </w:rPr>
        <w:t>land</w:t>
      </w:r>
      <w:r w:rsidR="00CB42CB">
        <w:rPr>
          <w:szCs w:val="18"/>
        </w:rPr>
        <w:t xml:space="preserve"> </w:t>
      </w:r>
      <w:r w:rsidR="007502E6" w:rsidRPr="007502E6">
        <w:rPr>
          <w:szCs w:val="18"/>
        </w:rPr>
        <w:t>use and land</w:t>
      </w:r>
      <w:r w:rsidR="00CB42CB">
        <w:rPr>
          <w:szCs w:val="18"/>
        </w:rPr>
        <w:t xml:space="preserve"> </w:t>
      </w:r>
      <w:r w:rsidR="007502E6" w:rsidRPr="007502E6">
        <w:rPr>
          <w:szCs w:val="18"/>
        </w:rPr>
        <w:t>cover change</w:t>
      </w:r>
      <w:r w:rsidR="009778E3" w:rsidRPr="009778E3">
        <w:rPr>
          <w:szCs w:val="18"/>
        </w:rPr>
        <w:t xml:space="preserve">; avocado; landscape transformation; sustainable land management; </w:t>
      </w:r>
      <w:r w:rsidR="00562886" w:rsidRPr="00562886">
        <w:rPr>
          <w:szCs w:val="18"/>
          <w:highlight w:val="yellow"/>
        </w:rPr>
        <w:t>land planning</w:t>
      </w:r>
    </w:p>
    <w:p w14:paraId="3569498D" w14:textId="77777777" w:rsidR="005344F3" w:rsidRDefault="005344F3" w:rsidP="00242122">
      <w:pPr>
        <w:pStyle w:val="MDPI19line"/>
      </w:pPr>
    </w:p>
    <w:p w14:paraId="72C8B268" w14:textId="77777777" w:rsidR="004A3FB8" w:rsidRDefault="004A3FB8" w:rsidP="004A3FB8">
      <w:pPr>
        <w:pStyle w:val="MDPI21heading1"/>
      </w:pPr>
    </w:p>
    <w:p w14:paraId="1EEEB7DF" w14:textId="77777777" w:rsidR="00562886" w:rsidRDefault="00562886" w:rsidP="004A3FB8">
      <w:pPr>
        <w:pStyle w:val="MDPI21heading1"/>
      </w:pPr>
    </w:p>
    <w:p w14:paraId="52A2113A" w14:textId="292E5D94" w:rsidR="004D72E4" w:rsidRDefault="005344F3" w:rsidP="004D72E4">
      <w:pPr>
        <w:pStyle w:val="MDPI21heading1"/>
        <w:numPr>
          <w:ilvl w:val="0"/>
          <w:numId w:val="24"/>
        </w:numPr>
      </w:pPr>
      <w:r w:rsidRPr="00242122">
        <w:lastRenderedPageBreak/>
        <w:t>Introduction</w:t>
      </w:r>
    </w:p>
    <w:p w14:paraId="2643C575" w14:textId="328F8D5F" w:rsidR="004D72E4" w:rsidRDefault="004D72E4" w:rsidP="00ED2C09">
      <w:pPr>
        <w:pStyle w:val="MDPI21heading1"/>
        <w:spacing w:before="0" w:after="0"/>
        <w:ind w:firstLine="425"/>
        <w:jc w:val="both"/>
        <w:rPr>
          <w:b w:val="0"/>
          <w:sz w:val="20"/>
        </w:rPr>
      </w:pPr>
      <w:r w:rsidRPr="004D72E4">
        <w:rPr>
          <w:b w:val="0"/>
          <w:sz w:val="20"/>
        </w:rPr>
        <w:t xml:space="preserve">Agriculture is a crucial activity providing most of the food for the human population although it requires about 38% of the global land surface </w:t>
      </w:r>
      <w:r w:rsidR="00F22178">
        <w:rPr>
          <w:b w:val="0"/>
          <w:sz w:val="20"/>
        </w:rPr>
        <w:fldChar w:fldCharType="begin" w:fldLock="1"/>
      </w:r>
      <w:r w:rsidR="00945B43">
        <w:rPr>
          <w:b w:val="0"/>
          <w:sz w:val="20"/>
        </w:rPr>
        <w:instrText>ADDIN CSL_CITATION {"citationItems":[{"id":"ITEM-1","itemData":{"ISBN":"978-92-5-133441-6","author":[{"dropping-particle":"","family":"Food and Agriculture Organization of the United Nations","given":"FAO","non-dropping-particle":"","parse-names":false,"suffix":""}],"id":"ITEM-1","issued":{"date-parts":[["2020"]]},"number-of-pages":"199-212","publisher":"FAO","publisher-place":"Rome","title":"The State of Food and Agriculture 2020. Overcoming water challenges in agriculture","type":"report"},"uris":["http://www.mendeley.com/documents/?uuid=d6024a26-4fc5-4bc1-9231-1ba3b22cb10f"]}],"mendeley":{"formattedCitation":"&lt;span style=\"baseline\"&gt;[1]&lt;/span&gt;","plainTextFormattedCitation":"[1]","previouslyFormattedCitation":"&lt;span style=\"baseline\"&gt;[1]&lt;/span&gt;"},"properties":{"noteIndex":0},"schema":"https://github.com/citation-style-language/schema/raw/master/csl-citation.json"}</w:instrText>
      </w:r>
      <w:r w:rsidR="00F22178">
        <w:rPr>
          <w:b w:val="0"/>
          <w:sz w:val="20"/>
        </w:rPr>
        <w:fldChar w:fldCharType="separate"/>
      </w:r>
      <w:r w:rsidR="00017A3E" w:rsidRPr="00017A3E">
        <w:rPr>
          <w:b w:val="0"/>
          <w:noProof/>
          <w:sz w:val="20"/>
        </w:rPr>
        <w:t>[1]</w:t>
      </w:r>
      <w:r w:rsidR="00F22178">
        <w:rPr>
          <w:b w:val="0"/>
          <w:sz w:val="20"/>
        </w:rPr>
        <w:fldChar w:fldCharType="end"/>
      </w:r>
      <w:r w:rsidRPr="004D72E4">
        <w:rPr>
          <w:b w:val="0"/>
          <w:sz w:val="20"/>
        </w:rPr>
        <w:t xml:space="preserve">. In central Chile, the expansion of agricultural land has occurred at the expense of shrublands between 1975 and 2008 </w:t>
      </w:r>
      <w:r w:rsidR="00017A3E">
        <w:rPr>
          <w:b w:val="0"/>
          <w:sz w:val="20"/>
        </w:rPr>
        <w:fldChar w:fldCharType="begin" w:fldLock="1"/>
      </w:r>
      <w:r w:rsidR="00017A3E">
        <w:rPr>
          <w:b w:val="0"/>
          <w:sz w:val="20"/>
        </w:rPr>
        <w:instrText>ADDIN CSL_CITATION {"citationItems":[{"id":"ITEM-1","itemData":{"DOI":"10.1016/j.apgeog.2009.12.003","ISSN":"01436228","abstract":"Land cover and its configuration in the landscape are crucial components in the provision of biodiversity and ecosystem services. In Mediterranean regions, natural landscapes mostly covered by evergreen vegetation have been to a large extent transformed into cultural landscapes since long time ago. We investigated land cover changes in Central Chile using multi-temporal satellite imagery taken in 1975, 1985, 1999 and 2008. The major trends in this highly dynamic landscape were reduction of dryland forest and conversion of shrubland to intensive land uses such as farmland. The average net annual deforestation rate was -1.7%, and shrubland reduction occurred at an annual rate of -0.7%; agriculture, urban areas and timber plantations increased at annual rates of 1.1%, 2.7% and 3.2%, respectively, during the 1975-2008 period. Total forest and shrubland loss rates were partly offset by passive revegetation. However, most of the areas that were passively revegetated remained as shrubland and did not turn into forests due to a low capacity of forest recovery. This resulted in a progressive loss and degradation of dryland forest over the entire region. Overall, the documented land cover changes increase provisioning services such as crops, cattle, and timber that are characteristic of cultural landscapes in the area but may cause an irreversible loss of biodiversity and a depletion of other ecological services provided by forests and shrubland. The implications for conservation of this area and the need for territorial planning and adapted land-use strategies are discussed. © 2009 Elsevier Ltd.","author":[{"dropping-particle":"","family":"Schulz","given":"Jennifer J.","non-dropping-particle":"","parse-names":false,"suffix":""},{"dropping-particle":"","family":"Cayuela","given":"Luis","non-dropping-particle":"","parse-names":false,"suffix":""},{"dropping-particle":"","family":"Echeverria","given":"Cristian","non-dropping-particle":"","parse-names":false,"suffix":""},{"dropping-particle":"","family":"Salas","given":"Javier","non-dropping-particle":"","parse-names":false,"suffix":""},{"dropping-particle":"","family":"Rey Benayas","given":"José María","non-dropping-particle":"","parse-names":false,"suffix":""}],"container-title":"Applied Geography","id":"ITEM-1","issue":"3","issued":{"date-parts":[["2010"]]},"page":"436-447","title":"Monitoring land cover change of the dryland forest landscape of Central Chile (1975-2008)","type":"article-journal","volume":"30"},"uris":["http://www.mendeley.com/documents/?uuid=6c3e2eb4-2d5e-4041-915b-1d3389febebb"]}],"mendeley":{"formattedCitation":"&lt;span style=\"baseline\"&gt;[2]&lt;/span&gt;","plainTextFormattedCitation":"[2]","previouslyFormattedCitation":"&lt;span style=\"baseline\"&gt;[2]&lt;/span&gt;"},"properties":{"noteIndex":0},"schema":"https://github.com/citation-style-language/schema/raw/master/csl-citation.json"}</w:instrText>
      </w:r>
      <w:r w:rsidR="00017A3E">
        <w:rPr>
          <w:b w:val="0"/>
          <w:sz w:val="20"/>
        </w:rPr>
        <w:fldChar w:fldCharType="separate"/>
      </w:r>
      <w:r w:rsidR="00017A3E" w:rsidRPr="00017A3E">
        <w:rPr>
          <w:b w:val="0"/>
          <w:noProof/>
          <w:sz w:val="20"/>
        </w:rPr>
        <w:t>[2]</w:t>
      </w:r>
      <w:r w:rsidR="00017A3E">
        <w:rPr>
          <w:b w:val="0"/>
          <w:sz w:val="20"/>
        </w:rPr>
        <w:fldChar w:fldCharType="end"/>
      </w:r>
      <w:r w:rsidRPr="004D72E4">
        <w:rPr>
          <w:b w:val="0"/>
          <w:sz w:val="20"/>
        </w:rPr>
        <w:t xml:space="preserve"> raising concerns about forest conservation and land planning. During the subsequent period in the Valparaíso Region, the area of fruit plantations has slightly decreased from 50,865 ha to 46,764 ha </w:t>
      </w:r>
      <w:r w:rsidR="00017A3E">
        <w:rPr>
          <w:b w:val="0"/>
          <w:sz w:val="20"/>
        </w:rPr>
        <w:fldChar w:fldCharType="begin" w:fldLock="1"/>
      </w:r>
      <w:r w:rsidR="00945B43">
        <w:rPr>
          <w:b w:val="0"/>
          <w:sz w:val="20"/>
        </w:rPr>
        <w:instrText>ADDIN CSL_CITATION {"citationItems":[{"id":"ITEM-1","itemData":{"author":[{"dropping-particle":"","family":"Centro de Información de Recursos Naturales","given":"CIREN","non-dropping-particle":"","parse-names":false,"suffix":""}],"id":"ITEM-1","issued":{"date-parts":[["2008"]]},"number-of-pages":"21","publisher":"CIREN","publisher-place":"Santiago, Chile","title":"Catastro frutícola 2008. Región de Valparaíso","type":"report"},"uris":["http://www.mendeley.com/documents/?uuid=8d1cc812-6906-486f-9de3-08e186c1d5b0"]},{"id":"ITEM-2","itemData":{"author":[{"dropping-particle":"","family":"Centro de Información de Recursos Naturales","given":"CIREN","non-dropping-particle":"","parse-names":false,"suffix":""}],"id":"ITEM-2","issued":{"date-parts":[["2023"]]},"number-of-pages":"26","publisher":"CIREN","publisher-place":"Santiago, Chile","title":"Catastro frutícola 2023. Región de Valparaíso","type":"report"},"uris":["http://www.mendeley.com/documents/?uuid=b651584a-6a43-4c4d-8b7e-796b1fd424c0"]}],"mendeley":{"formattedCitation":"&lt;span style=\"baseline\"&gt;[3,4]&lt;/span&gt;","plainTextFormattedCitation":"[3,4]","previouslyFormattedCitation":"&lt;span style=\"baseline\"&gt;[3,4]&lt;/span&gt;"},"properties":{"noteIndex":0},"schema":"https://github.com/citation-style-language/schema/raw/master/csl-citation.json"}</w:instrText>
      </w:r>
      <w:r w:rsidR="00017A3E">
        <w:rPr>
          <w:b w:val="0"/>
          <w:sz w:val="20"/>
        </w:rPr>
        <w:fldChar w:fldCharType="separate"/>
      </w:r>
      <w:r w:rsidR="00017A3E" w:rsidRPr="00017A3E">
        <w:rPr>
          <w:b w:val="0"/>
          <w:noProof/>
          <w:sz w:val="20"/>
        </w:rPr>
        <w:t>[3,4]</w:t>
      </w:r>
      <w:r w:rsidR="00017A3E">
        <w:rPr>
          <w:b w:val="0"/>
          <w:sz w:val="20"/>
        </w:rPr>
        <w:fldChar w:fldCharType="end"/>
      </w:r>
      <w:r w:rsidRPr="004D72E4">
        <w:rPr>
          <w:b w:val="0"/>
          <w:sz w:val="20"/>
        </w:rPr>
        <w:t>. Nevertheless, social environmental conflicts related to orchard plantation</w:t>
      </w:r>
      <w:r w:rsidR="00FB1E63" w:rsidRPr="00FB1E63">
        <w:rPr>
          <w:b w:val="0"/>
          <w:sz w:val="20"/>
          <w:highlight w:val="yellow"/>
        </w:rPr>
        <w:t>s</w:t>
      </w:r>
      <w:r w:rsidRPr="004D72E4">
        <w:rPr>
          <w:b w:val="0"/>
          <w:sz w:val="20"/>
        </w:rPr>
        <w:t xml:space="preserve"> remain, particularly concerning avocado plantations</w:t>
      </w:r>
      <w:r w:rsidR="00017A3E">
        <w:rPr>
          <w:b w:val="0"/>
          <w:sz w:val="20"/>
        </w:rPr>
        <w:t xml:space="preserve"> </w:t>
      </w:r>
      <w:r w:rsidR="00017A3E">
        <w:rPr>
          <w:b w:val="0"/>
          <w:sz w:val="20"/>
        </w:rPr>
        <w:fldChar w:fldCharType="begin" w:fldLock="1"/>
      </w:r>
      <w:r w:rsidR="00366BDC">
        <w:rPr>
          <w:b w:val="0"/>
          <w:sz w:val="20"/>
        </w:rPr>
        <w:instrText>ADDIN CSL_CITATION {"citationItems":[{"id":"ITEM-1","itemData":{"DOI":"10.4067/s0718-16202010000300010","abstract":"C. Youlton, P. Espejo, J. Biggs, M. Norambuena, M. Cisternas, A. Neaman, and E. Salgado, 2010. Quantification and control of runoff and soil erosion on avocado orchards on ridges along steep-hillslopes. Cien. Inv. Agr. 37(3): 113-123. Soil erosion increases after building downward ridges along steep hillslopes, in particular during the first winter. This erosion decreases when trees grow, but runoff increases. This study presents results of erosion under five different treatments: (i) soil cover with native vegetation, (ii) bare downward ridges, (iii) downward ridges with six year-old avocado orchard, (iv) downward ridges with plant cover and (v) downward ridges covered with agroindustrial waste sludge. The results revealed 20 t ha(-1) of soil erosion during the first year after ridges were built, while mitigation measures can reduce erosion in 90%. Adult orchard showed the largest runoff, which probably is due to the effect of a high and about constant soil moisture during irrigation period and smaller infiltration capacity of eroded soil.","author":[{"dropping-particle":"","family":"Youlton","given":"Cristian","non-dropping-particle":"","parse-names":false,"suffix":""},{"dropping-particle":"","family":"Espejo","given":"Paulina","non-dropping-particle":"","parse-names":false,"suffix":""},{"dropping-particle":"","family":"Biggs","given":"Jaime","non-dropping-particle":"","parse-names":false,"suffix":""},{"dropping-particle":"","family":"Norambuena","given":"Marcela","non-dropping-particle":"","parse-names":false,"suffix":""},{"dropping-particle":"","family":"Cisternas","given":"Marco","non-dropping-particle":"","parse-names":false,"suffix":""},{"dropping-particle":"","family":"Neaman","given":"Alexander","non-dropping-particle":"","parse-names":false,"suffix":""},{"dropping-particle":"","family":"Salgado","given":"Eduardo","non-dropping-particle":"","parse-names":false,"suffix":""}],"container-title":"Ciencia e investigación agraria","id":"ITEM-1","issue":"3","issued":{"date-parts":[["2010"]]},"page":"113-123","title":"Quantification and control of runoff and soil erosion on avocado orchards on ridges along steep-hillslopes","type":"article-journal","volume":"37"},"uris":["http://www.mendeley.com/documents/?uuid=fb227ae1-970b-44bf-8e7e-0f3dc8bedada"]},{"id":"ITEM-2","itemData":{"DOI":"10.1002/pan3.10085","ISSN":"25758314","abstract":"The search for healthy diets has led to a surge in the demand for functional foods or ‘superfoods’, which have now become popular among the middle- and high-income fractions of the society in developed regions of the world. ‘Superfoods’ are predominantly consumed far from their centres of origin and out of their cultural context with different environmental and social effects. Here, we present a series of case studies to provide an overview of the different environmental impacts driven by superfood expansion. We show that if these crops are to follow the path of other global commodities, then strong environmental impacts and large carbon footprints are expected in terms of land clearing, use of agrochemicals and transportation during times of high prices (boom) and social problems as farmers have to abandon their livelihoods when prices sink below the cost of production (bust). We also showcase how a combination of management practices, consumer choices and policy changes could help in alleviating the ecological footprint of these crops. A free Plain Language Summary can be found within the Supporting Information of this article.","author":[{"dropping-particle":"","family":"Magrach","given":"Ainhoa","non-dropping-particle":"","parse-names":false,"suffix":""},{"dropping-particle":"","family":"Sanz","given":"María José","non-dropping-particle":"","parse-names":false,"suffix":""}],"container-title":"People and Nature","id":"ITEM-2","issue":"2","issued":{"date-parts":[["2020"]]},"page":"267-278","title":"Environmental and social consequences of the increase in the demand for ‘superfoods’ world-wide","type":"article-journal","volume":"2"},"uris":["http://www.mendeley.com/documents/?uuid=3df6827c-3665-4fd0-b97f-bdbbdb92e6c7"]},{"id":"ITEM-3","itemData":{"DOI":"10.3390/su132212701","ISSN":"20711050","abstract":"Social unrest is on the rise worldwide amid deepening inequalities, environmental degradation, and job crises worsened by increasing social-environmental conflicts. In Chile, a social revolt in 2019 resulted in a national referendum in 2020. An ample majority (78.3% vs. 21.7%) voted to draft a new constitution to replace the current constitution drawn up under dictatorship. The result led to the emergence and empowerment of several organizations demanding an “ecological constitution”. In this context, we aim to analyze: (1) the main social-environmental conflicts in Chile and how they are related to the country’s current constitution, and (2) the potential drafting of an ecological constitution that addresses these conflicts. Across different industries in Chile, we observed common problems that are intrinsically related to the current constitution. This relationship seems to be perceived by Chilean citizens since a survey carried out in May 2021 found 79% support for an ecological constitution. Moreover, 105 of the 155 delegates to the constitutional convention proposed three or more environmental principles to be included in the new constitution. A potential ecological constitution entails principles that would improve the current situation of social-environmental conflicts in Chile. Based on our analysis, we recommend the establishment of watershed-based “territorial rights” in the new Chilean constitution to improve sustainability and environmental justice.","author":[{"dropping-particle":"","family":"Berasaluce","given":"Maite","non-dropping-particle":"","parse-names":false,"suffix":""},{"dropping-particle":"","family":"Díaz-Siefer","given":"Pablo","non-dropping-particle":"","parse-names":false,"suffix":""},{"dropping-particle":"","family":"Rodríguez-Díaz","given":"Paulina","non-dropping-particle":"","parse-names":false,"suffix":""},{"dropping-particle":"","family":"Mena-Carrasco","given":"Marcelo","non-dropping-particle":"","parse-names":false,"suffix":""},{"dropping-particle":"","family":"Ibarra","given":"José Tomás","non-dropping-particle":"","parse-names":false,"suffix":""},{"dropping-particle":"","family":"Celis-Diez","given":"Juan L.","non-dropping-particle":"","parse-names":false,"suffix":""},{"dropping-particle":"","family":"Mondaca","given":"Pedro","non-dropping-particle":"","parse-names":false,"suffix":""}],"container-title":"Sustainability (Switzerland)","id":"ITEM-3","issue":"22","issued":{"date-parts":[["2021"]]},"page":"1-25","title":"Social-environmental conflicts in chile: Is there any potential for an ecological constitution?","type":"article-journal","volume":"13"},"uris":["http://www.mendeley.com/documents/?uuid=494f5dc7-4332-48c8-9192-88c18246e1bb"]}],"mendeley":{"formattedCitation":"&lt;span style=\"baseline\"&gt;[5–7]&lt;/span&gt;","plainTextFormattedCitation":"[5–7]","previouslyFormattedCitation":"&lt;span style=\"baseline\"&gt;[5–7]&lt;/span&gt;"},"properties":{"noteIndex":0},"schema":"https://github.com/citation-style-language/schema/raw/master/csl-citation.json"}</w:instrText>
      </w:r>
      <w:r w:rsidR="00017A3E">
        <w:rPr>
          <w:b w:val="0"/>
          <w:sz w:val="20"/>
        </w:rPr>
        <w:fldChar w:fldCharType="separate"/>
      </w:r>
      <w:r w:rsidR="00017A3E" w:rsidRPr="00017A3E">
        <w:rPr>
          <w:b w:val="0"/>
          <w:noProof/>
          <w:sz w:val="20"/>
        </w:rPr>
        <w:t>[5–7]</w:t>
      </w:r>
      <w:r w:rsidR="00017A3E">
        <w:rPr>
          <w:b w:val="0"/>
          <w:sz w:val="20"/>
        </w:rPr>
        <w:fldChar w:fldCharType="end"/>
      </w:r>
      <w:r w:rsidRPr="004D72E4">
        <w:rPr>
          <w:b w:val="0"/>
          <w:sz w:val="20"/>
        </w:rPr>
        <w:t xml:space="preserve">. </w:t>
      </w:r>
      <w:r w:rsidR="0036231D" w:rsidRPr="0036231D">
        <w:rPr>
          <w:b w:val="0"/>
          <w:sz w:val="20"/>
        </w:rPr>
        <w:t xml:space="preserve">While one part </w:t>
      </w:r>
      <w:r w:rsidR="00B55708" w:rsidRPr="0036231D">
        <w:rPr>
          <w:b w:val="0"/>
          <w:sz w:val="20"/>
        </w:rPr>
        <w:t>suggests</w:t>
      </w:r>
      <w:r w:rsidR="0036231D" w:rsidRPr="0036231D">
        <w:rPr>
          <w:b w:val="0"/>
          <w:sz w:val="20"/>
        </w:rPr>
        <w:t xml:space="preserve"> that they have unsustainably expanded affecting rural communities, biodiversity and ecosystems</w:t>
      </w:r>
      <w:r w:rsidR="004B02F5">
        <w:rPr>
          <w:b w:val="0"/>
          <w:sz w:val="20"/>
        </w:rPr>
        <w:t xml:space="preserve"> </w:t>
      </w:r>
      <w:r w:rsidR="004B02F5">
        <w:rPr>
          <w:b w:val="0"/>
          <w:sz w:val="20"/>
        </w:rPr>
        <w:fldChar w:fldCharType="begin" w:fldLock="1"/>
      </w:r>
      <w:r w:rsidR="00CF0B43">
        <w:rPr>
          <w:b w:val="0"/>
          <w:sz w:val="20"/>
        </w:rPr>
        <w:instrText>ADDIN CSL_CITATION {"citationItems":[{"id":"ITEM-1","itemData":{"DOI":"10.1080/26395916.2024.2358471","ISSN":"26395916","abstract":"Wild pollinators play a crucial role in maintaining healthy ecosystems and sustaining agricultural productivity. However, their survival is at risk due to habitat loss and land use changes, exacerbating the ongoing biodiversity crisis, and jeopardising global food security. We assessed the contribution of native vegetation cover to pollination and avocado crop yield by modelling the abundance of native bees and the pollination services they provide in agroecosystems of the Aconcagua River basin in Central Chile. This region stands as a critical biodiversity hotspot, currently confronted with the challenge of land use change, especially due to the expansion of avocado (Persea americana Mill.) monocultures. Our findings revealed a clear relationship between native bee abundance, pollination services, and avocado yield as a function of natural vegetation cover surrounding the crops. Areas with a higher proportion of native vegetation exhibited the most abundant supply of pollination services, while within avocado crops show lower levels of pollination support. A spatial mismatch between supply and demand for pollination revealed by our results indicates that agricultural expansion threatens native pollinators and agricultural yield production in this region. The development of pollination maps has been proposed as a strategic tool to guide land-use planning decisions within agricultural landscapes. Prioritizing the conservation of native vegetation or adopting biodiversity-friendly practices can help mitigate the effects of agricultural expansion on wild pollinators. These strategies are vital for safeguarding biodiversity, ensuring food security, and mitigating the far-reaching impacts of the current biodiversity crisis. (Figure presented.).","author":[{"dropping-particle":"","family":"Lavín","given":"U.","non-dropping-particle":"","parse-names":false,"suffix":""},{"dropping-particle":"","family":"Martinez-Harms","given":"M. J.","non-dropping-particle":"","parse-names":false,"suffix":""},{"dropping-particle":"","family":"Celis-Diez","given":"J. L.","non-dropping-particle":"","parse-names":false,"suffix":""},{"dropping-particle":"","family":"Francois","given":"J. P.","non-dropping-particle":"","parse-names":false,"suffix":""},{"dropping-particle":"","family":"Aguirre","given":"Y.","non-dropping-particle":"","parse-names":false,"suffix":""},{"dropping-particle":"","family":"Martínez-Harms","given":"J.","non-dropping-particle":"","parse-names":false,"suffix":""}],"container-title":"Ecosystems and People","id":"ITEM-1","issue":"1","issued":{"date-parts":[["2024"]]},"publisher":"Taylor &amp; Francis","title":"Modelling pollination maps in agroecosystems of a Chilean biodiversity hotspot","type":"article-journal","volume":"20"},"uris":["http://www.mendeley.com/documents/?uuid=9ee17a56-1d5a-4929-9ba0-5fde54abe059"]},{"id":"ITEM-2","itemData":{"DOI":"10.3390/land12030631","ISSN":"2073445X","abstract":"The rapid expansion of avocado cultivation in Michoacán, Mexico, is one of the drivers of deforestation. We assessed the degree of fragmentation and functional connectivity of the remaining temperate forest within the Avocado Belt and prioritized patches that contribute the most to connectivity using a network-based approach and modelling different seed and pollen dispersal scenarios, including two types of patch attributes (size and degree of conservation). As landscape transformation in the region is rapid and ongoing, we updated the land-use and land-cover maps through a supervised classification of Sentinel-2 imagery, improving the reliability of our analyses. Temperate forest is highly fragmented within the region: most patches are small (&lt;30 ha), have a reduced core-area (28%), and irregular shapes. The degree of connectivity is very low (0.06), dropping to 0.019 when the degree of conservation of patches was considered. The top 100 ranked patches of forest that support the connectivity of seeds and pollen have different characteristics (i.e., size and topology) that may be considered for implementing conservation and management strategies. Seed dispersal seems to be more threatened by fragmentation than pollen dispersal, and patches that are important for maintaining seed connectivity are embedded in the denser zone of avocado orchards.","author":[{"dropping-particle":"","family":"Latorre-Cárdenas","given":"María Camila","non-dropping-particle":"","parse-names":false,"suffix":""},{"dropping-particle":"","family":"González-Rodríguez","given":"Antonio","non-dropping-particle":"","parse-names":false,"suffix":""},{"dropping-particle":"","family":"Godínez-Gómez","given":"Oscar","non-dropping-particle":"","parse-names":false,"suffix":""},{"dropping-particle":"","family":"Arima","given":"Eugenio Y.","non-dropping-particle":"","parse-names":false,"suffix":""},{"dropping-particle":"","family":"Young","given":"Kenneth R.","non-dropping-particle":"","parse-names":false,"suffix":""},{"dropping-particle":"","family":"Denvir","given":"Audrey","non-dropping-particle":"","parse-names":false,"suffix":""},{"dropping-particle":"","family":"García-Oliva","given":"Felipe","non-dropping-particle":"","parse-names":false,"suffix":""},{"dropping-particle":"","family":"Ghilardi","given":"Adrián","non-dropping-particle":"","parse-names":false,"suffix":""}],"container-title":"Land","id":"ITEM-2","issue":"3","issued":{"date-parts":[["2023"]]},"title":"Estimating Fragmentation and Connectivity Patterns of the Temperate Forest in an Avocado-Dominated Landscape to Propose Conservation Strategies","type":"article-journal","volume":"12"},"uris":["http://www.mendeley.com/documents/?uuid=3bfa98ec-644a-43b3-ad69-404bad1a0936"]},{"id":"ITEM-3","itemData":{"DOI":"10.1016/j.agsy.2022.103556","ISSN":"0308521X","abstract":"CONTEXT: Temperate forest ecosystems harbor great biodiversity and provide key ecosystem services. However, in Mexico they have been deforested for use in avocado orchards, which represents a major threat to ecosystems functioning and the conservation of biodiversity. OBJECTIVE: We evaluated the changes in soil chemical properties in a fragmented landscape of avocado agrosystems and forests in Mexico and the effects on plant quantity and quality (leaf area, canopy cover, DBH and chlorophyll content), leaf morphology, herbivory and fluctuating asymmetry in Quercus castanea and Q. obtusata. METHODS: Eight study sites were selected: i) areas with a more proportion of forest and less of avocado orchards, ii) areas with equal proportion of both forest and orchards, iii) areas with more proportion of orchards. In all sites, 15 adult trees at the edge and 15 trees in the interior of each fragment were selected for each oak species. Soil samples were also collected in all study sites to analyze their chemical properties. RESULTS AND CONCLUSIONS: We found higher concentration of Mg2+, NO3− and SO42− in soils of sites with more proportion of orchards. Total leaf area, canopy cover and DBH, as well the herbivory and FA levels were higher in these sites and in the edges of fragments for both oak species. Chlorophyll content was higher at forest edges than in the interior of fragments for all sites analyzed. Leaves of both oak species were more elongated and wider in sites with more proportion of orchards, as well in forest edges. Plant traits, herbivory and FA were related to chemical soil properties according to the proportion of forest and orchards, indicating that the mechanisms driving this interaction are scale-dependent and vary among habitat types according to proportion of forest. Herbivory was positively correlated with leaf area, DBH, chlorophyll content and FA for both oak species, indicating that herbivory increase as resource availability and quality increased along mosaic of avocado agrosystems. Our results showed that land use change of forest to avocado orchards, creates fragments with intense edge effects changing chemical soil properties, which in turn affect quantity and quality of resources to insect herbivores, as well as leaf morphology and FA levels of Q. castanea and Q. obtusata individuals. SIGNIFICANCE: Our study is the first to denote the importance of the maintenance and conservation of temperate forest ecosystems and their potential fun…","author":[{"dropping-particle":"","family":"Pérez-Solache","given":"Abel","non-dropping-particle":"","parse-names":false,"suffix":""},{"dropping-particle":"","family":"Vaca-Sánchez","given":"Marcela Sofía","non-dropping-particle":"","parse-names":false,"suffix":""},{"dropping-particle":"","family":"Maldonado-López","given":"Yurixhi","non-dropping-particle":"","parse-names":false,"suffix":""},{"dropping-particle":"","family":"Faria","given":"Maurício Lopes","non-dropping-particle":"De","parse-names":false,"suffix":""},{"dropping-particle":"","family":"Borges","given":"Magno Augusto Zazá","non-dropping-particle":"","parse-names":false,"suffix":""},{"dropping-particle":"","family":"Fagundes","given":"Marcílio","non-dropping-particle":"","parse-names":false,"suffix":""},{"dropping-particle":"","family":"Oyama","given":"Ken","non-dropping-particle":"","parse-names":false,"suffix":""},{"dropping-particle":"","family":"Méndez-Solórzano","given":"María Isabel","non-dropping-particle":"","parse-names":false,"suffix":""},{"dropping-particle":"","family":"Aguilar-Peralta","given":"Joan Sebastian","non-dropping-particle":"","parse-names":false,"suffix":""},{"dropping-particle":"","family":"Hernández-Guzmán","given":"Rafael","non-dropping-particle":"","parse-names":false,"suffix":""},{"dropping-particle":"","family":"Cuevas-Reyes","given":"Pablo","non-dropping-particle":"","parse-names":false,"suffix":""}],"container-title":"Agricultural Systems","id":"ITEM-3","issue":"November 2022","issued":{"date-parts":[["2023"]]},"title":"Changes in land use of temperate forests associated to avocado production in Mexico: Impacts on soil properties, plant traits and insect-plant interactions","type":"article-journal","volume":"204"},"uris":["http://www.mendeley.com/documents/?uuid=c63f5d04-0a29-4759-a808-ee3de0b79992"]}],"mendeley":{"formattedCitation":"&lt;span style=\"baseline\"&gt;[8–10]&lt;/span&gt;","plainTextFormattedCitation":"[8–10]","previouslyFormattedCitation":"&lt;span style=\"baseline\"&gt;[8–10]&lt;/span&gt;"},"properties":{"noteIndex":0},"schema":"https://github.com/citation-style-language/schema/raw/master/csl-citation.json"}</w:instrText>
      </w:r>
      <w:r w:rsidR="004B02F5">
        <w:rPr>
          <w:b w:val="0"/>
          <w:sz w:val="20"/>
        </w:rPr>
        <w:fldChar w:fldCharType="separate"/>
      </w:r>
      <w:r w:rsidR="004B02F5" w:rsidRPr="004B02F5">
        <w:rPr>
          <w:b w:val="0"/>
          <w:noProof/>
          <w:sz w:val="20"/>
        </w:rPr>
        <w:t>[8–10]</w:t>
      </w:r>
      <w:r w:rsidR="004B02F5">
        <w:rPr>
          <w:b w:val="0"/>
          <w:sz w:val="20"/>
        </w:rPr>
        <w:fldChar w:fldCharType="end"/>
      </w:r>
      <w:r w:rsidR="0036231D" w:rsidRPr="0036231D">
        <w:rPr>
          <w:b w:val="0"/>
          <w:sz w:val="20"/>
        </w:rPr>
        <w:t xml:space="preserve">, others claims that avocado plantation is ecologically sustainable because a higher </w:t>
      </w:r>
      <w:proofErr w:type="spellStart"/>
      <w:r w:rsidR="0036231D" w:rsidRPr="0036231D">
        <w:rPr>
          <w:b w:val="0"/>
          <w:sz w:val="20"/>
        </w:rPr>
        <w:t>intrapredial</w:t>
      </w:r>
      <w:proofErr w:type="spellEnd"/>
      <w:r w:rsidR="0036231D" w:rsidRPr="0036231D">
        <w:rPr>
          <w:b w:val="0"/>
          <w:sz w:val="20"/>
        </w:rPr>
        <w:t xml:space="preserve"> carbon sequestration</w:t>
      </w:r>
      <w:r w:rsidR="004B02F5">
        <w:rPr>
          <w:b w:val="0"/>
          <w:sz w:val="20"/>
        </w:rPr>
        <w:t xml:space="preserve"> </w:t>
      </w:r>
      <w:r w:rsidR="004B02F5">
        <w:rPr>
          <w:b w:val="0"/>
          <w:sz w:val="20"/>
        </w:rPr>
        <w:fldChar w:fldCharType="begin" w:fldLock="1"/>
      </w:r>
      <w:r w:rsidR="00CF0B43">
        <w:rPr>
          <w:b w:val="0"/>
          <w:sz w:val="20"/>
        </w:rPr>
        <w:instrText>ADDIN CSL_CITATION {"citationItems":[{"id":"ITEM-1","itemData":{"author":[{"dropping-particle":"","family":"CAZALAC","given":"","non-dropping-particle":"","parse-names":false,"suffix":""}],"id":"ITEM-1","issued":{"date-parts":[["2020"]]},"number-of-pages":"1-69","title":"Estado del arte ambiental de plantaciones de Persea americana Mill en Chile","type":"report"},"uris":["http://www.mendeley.com/documents/?uuid=f1c7f036-7f1e-4b6c-a4f1-a4bfb28fd408"]},{"id":"ITEM-2","itemData":{"ISBN":"9788490225370","URL":"https://redagricola.com/sustentabilidad-del-palto-en-chile/","abstract":"This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inequality.","accessed":{"date-parts":[["2025","1","4"]]},"author":[{"dropping-particle":"","family":"Redagrícola","given":"","non-dropping-particle":"","parse-names":false,"suffix":""}],"id":"ITEM-2","issued":{"date-parts":[["2022"]]},"title":"Sustentabilidad del palto en Chile","type":"webpage"},"uris":["http://www.mendeley.com/documents/?uuid=b7141033-61b4-4780-93e5-4dce6e02416c"]}],"mendeley":{"formattedCitation":"&lt;span style=\"baseline\"&gt;[11,12]&lt;/span&gt;","plainTextFormattedCitation":"[11,12]","previouslyFormattedCitation":"&lt;span style=\"baseline\"&gt;[11,12]&lt;/span&gt;"},"properties":{"noteIndex":0},"schema":"https://github.com/citation-style-language/schema/raw/master/csl-citation.json"}</w:instrText>
      </w:r>
      <w:r w:rsidR="004B02F5">
        <w:rPr>
          <w:b w:val="0"/>
          <w:sz w:val="20"/>
        </w:rPr>
        <w:fldChar w:fldCharType="separate"/>
      </w:r>
      <w:r w:rsidR="004B02F5" w:rsidRPr="004B02F5">
        <w:rPr>
          <w:b w:val="0"/>
          <w:noProof/>
          <w:sz w:val="20"/>
        </w:rPr>
        <w:t>[11,12]</w:t>
      </w:r>
      <w:r w:rsidR="004B02F5">
        <w:rPr>
          <w:b w:val="0"/>
          <w:sz w:val="20"/>
        </w:rPr>
        <w:fldChar w:fldCharType="end"/>
      </w:r>
      <w:r w:rsidR="0036231D" w:rsidRPr="0036231D">
        <w:rPr>
          <w:b w:val="0"/>
          <w:sz w:val="20"/>
        </w:rPr>
        <w:t>.</w:t>
      </w:r>
      <w:r w:rsidR="0036231D">
        <w:rPr>
          <w:b w:val="0"/>
          <w:sz w:val="20"/>
        </w:rPr>
        <w:t xml:space="preserve"> </w:t>
      </w:r>
      <w:r w:rsidR="0036231D" w:rsidRPr="0036231D">
        <w:rPr>
          <w:b w:val="0"/>
          <w:sz w:val="20"/>
        </w:rPr>
        <w:t>That controversy lacks a landscape perspective</w:t>
      </w:r>
      <w:r w:rsidR="00B55708">
        <w:rPr>
          <w:b w:val="0"/>
          <w:sz w:val="20"/>
        </w:rPr>
        <w:t xml:space="preserve">. </w:t>
      </w:r>
      <w:r w:rsidRPr="004D72E4">
        <w:rPr>
          <w:b w:val="0"/>
          <w:sz w:val="20"/>
        </w:rPr>
        <w:t>Th</w:t>
      </w:r>
      <w:r w:rsidR="0036231D">
        <w:rPr>
          <w:b w:val="0"/>
          <w:sz w:val="20"/>
        </w:rPr>
        <w:t>us</w:t>
      </w:r>
      <w:r w:rsidRPr="004D72E4">
        <w:rPr>
          <w:b w:val="0"/>
          <w:sz w:val="20"/>
        </w:rPr>
        <w:t xml:space="preserve">, an in-depth analysis of land use and land cover (LULC) change dynamics of avocado plantations </w:t>
      </w:r>
      <w:r w:rsidR="0036231D">
        <w:rPr>
          <w:b w:val="0"/>
          <w:sz w:val="20"/>
        </w:rPr>
        <w:t>is</w:t>
      </w:r>
      <w:r w:rsidRPr="004D72E4">
        <w:rPr>
          <w:b w:val="0"/>
          <w:sz w:val="20"/>
        </w:rPr>
        <w:t xml:space="preserve"> crucial for developing sustainable land management.</w:t>
      </w:r>
    </w:p>
    <w:p w14:paraId="0F2C8F55" w14:textId="77777777" w:rsidR="009303C6" w:rsidRDefault="004D72E4" w:rsidP="00FF127C">
      <w:pPr>
        <w:pStyle w:val="MDPI21heading1"/>
        <w:spacing w:before="0" w:after="0"/>
        <w:ind w:firstLine="425"/>
        <w:jc w:val="both"/>
        <w:rPr>
          <w:b w:val="0"/>
          <w:sz w:val="20"/>
        </w:rPr>
      </w:pPr>
      <w:r w:rsidRPr="004D72E4">
        <w:rPr>
          <w:b w:val="0"/>
          <w:sz w:val="20"/>
        </w:rPr>
        <w:t>LULC provides crucial insights into the complex interactions between terrestrial ecosystem changes and human behavior, revealing the primary drivers and consequences of environmental transformations</w:t>
      </w:r>
      <w:r w:rsidR="00366BDC">
        <w:rPr>
          <w:b w:val="0"/>
          <w:sz w:val="20"/>
        </w:rPr>
        <w:t xml:space="preserve"> </w:t>
      </w:r>
      <w:r w:rsidR="00366BDC">
        <w:rPr>
          <w:b w:val="0"/>
          <w:sz w:val="20"/>
        </w:rPr>
        <w:fldChar w:fldCharType="begin" w:fldLock="1"/>
      </w:r>
      <w:r w:rsidR="00CF0B43">
        <w:rPr>
          <w:b w:val="0"/>
          <w:sz w:val="20"/>
        </w:rPr>
        <w:instrText>ADDIN CSL_CITATION {"citationItems":[{"id":"ITEM-1","itemData":{"DOI":"10.3390/land11030419","ISSN":"2073445X","abstract":"Land use and land cover (LULC) change analysis is a systematic technique that aids in the comprehension of physical and non-physical interaction with the natural habitat and the pursuit of environmental sustainability. Research regarding LULC’s spatiotemporal changing patterns and the simulation of future scenarios offers a complete view of present and future development possibilities. To simulate the spatiotemporal change transition potential and future LULC simulation, we utilized multi-temporal remotely sensed big data from 1990 to 2020 with a 10-year interval. Independent variables (DEM, slope, and distance from roads) and an integrated CA-ANN methodology within the MOLUSCE plugin of QGIS were utilized. The findings reveal that physical and socioeconomic driving variables have a substantial effect on the patterns of the terrain. In the last three decades, the study area had a significant rise in impervious surface from 10.48% to 26.91%, as well as a minor increase in water from 1.30% to 1.67%. As a result, forest cover decreased from 12.60% to 8.74%, green space decreased from 26.34% to 16.57%, and barren land decreased from 49.28% to 46.11%. Additionally, the predictions (2030–2050) support the increasing trend towards impervious surface at the expense of significant quantities of forest and green space.","author":[{"dropping-particle":"","family":"Muhammad","given":"Rizwan","non-dropping-particle":"","parse-names":false,"suffix":""},{"dropping-particle":"","family":"Zhang","given":"Wenyin","non-dropping-particle":"","parse-names":false,"suffix":""},{"dropping-particle":"","family":"Abbas","given":"Zaheer","non-dropping-particle":"","parse-names":false,"suffix":""},{"dropping-particle":"","family":"Guo","given":"Feng","non-dropping-particle":"","parse-names":false,"suffix":""},{"dropping-particle":"","family":"Gwiazdzinski","given":"Luc","non-dropping-particle":"","parse-names":false,"suffix":""}],"container-title":"Land","id":"ITEM-1","issue":"3","issued":{"date-parts":[["2022"]]},"title":"Spatiotemporal Change Analysis and Prediction of Future Land Use and Land Cover Changes Using QGIS MOLUSCE Plugin and Remote Sensing Big Data: A Case Study of Linyi, China","type":"article-journal","volume":"11"},"uris":["http://www.mendeley.com/documents/?uuid=bb8bf86a-f443-4281-b267-77b98dfa2acd"]},{"id":"ITEM-2","itemData":{"DOI":"10.3390/rs14215361","ISSN":"20724292","abstract":"The upper Yellow River basin over the Tibetan Plateau (TP) is an important ecological barrier in northwestern China. Effective LULC products that enable the monitoring of changes in regional ecosystem types are of great importance for their environmental protection and macro-control. Here, we combined an 18-class LULC classification scheme based on ecosystem types with Sentinel-2 imagery, the Google Earth Engine (GEE) platform, and the random forest method to present new LULC products with a spatial resolution of 10 m in 2018 and 2020 for the upper Yellow River Basin over the TP and conducted monitoring of changes in ecosystem types. The results indicated that: (1) In 2018 and 2020, the overall accuracy (OA) of LULC maps ranged between 87.45% and 93.02%. (2) Grassland was the main LULC first-degree class in the research area, followed by wetland and water bodies and barren land. For the LULC second-degree class, the main LULC was grassland, followed by broadleaf shrub and marsh. (3) In the first-degree class of changes in ecosystem types, the largest area of progressive succession (positive) was grassland–shrubland (451.13 km2), whereas the largest area of retrogressive succession (negative) was grassland–barren (395.91 km2). In the second-degree class, the largest areas of progressive succession (positive) were grassland–broadleaf shrub (344.68 km2) and desert land–grassland (302.02 km2), whereas the largest areas of retrogressive succession (negative) were broadleaf shrubland–grassland (309.08 km2) and grassland–bare rock (193.89 km2). The northern and southwestern parts of the study area showed a trend towards positive succession, whereas the south-central Huangnan, northeastern Gannan, and central Aba Prefectures showed signs of retrogressive succession in their changes in ecosystem types. The purpose of this study was to provide basis data for basin-scale ecosystem monitoring and analysis with more detailed categories and reliable accuracy.","author":[{"dropping-particle":"","family":"Feng","given":"Senyao","non-dropping-particle":"","parse-names":false,"suffix":""},{"dropping-particle":"","family":"Li","given":"Wenlong","non-dropping-particle":"","parse-names":false,"suffix":""},{"dropping-particle":"","family":"Xu","given":"Jing","non-dropping-particle":"","parse-names":false,"suffix":""},{"dropping-particle":"","family":"Liang","given":"Tiangang","non-dropping-particle":"","parse-names":false,"suffix":""},{"dropping-particle":"","family":"Ma","given":"Xuanlong","non-dropping-particle":"","parse-names":false,"suffix":""},{"dropping-particle":"","family":"Wang","given":"Wenying","non-dropping-particle":"","parse-names":false,"suffix":""},{"dropping-particle":"","family":"Yu","given":"Hongyan","non-dropping-particle":"","parse-names":false,"suffix":""}],"container-title":"Remote Sensing","id":"ITEM-2","issue":"21","issued":{"date-parts":[["2022"]]},"page":"1-25","title":"Land Use/Land Cover Mapping Based on GEE for the Monitoring of Changes in Ecosystem Types in the Upper Yellow River Basin over the Tibetan Plateau","type":"article-journal","volume":"14"},"uris":["http://www.mendeley.com/documents/?uuid=bb606ce2-9595-4ae3-907d-f9305a310442"]},{"id":"ITEM-3","itemData":{"DOI":"10.3390/land10060550","ISSN":"2073445X","abstract":"Land‐use and land‐cover (LULC) changes are major drivers of biodiversity loss in semi-arid regions, such as the Caatinga biome located in the Northeast of Brazil. We investigated landscape dynamics and fragmentation in an area of the São Francisco Valley in the Brazilian Caatinga biome and measured the effect of these dynamics on ecological, functional and structural connectivity over a 33‐year period (1985–2018). We calculated landscape connectivity indices based on graph theory to quantify the effect of further agricultural expansion on ecological connectivity at the landscape scale. We used a multicriteria decision analysis that integrates graph‐based connectivity indices at the habitat patch scale, combined with an index of human disturbance to identify patches that, if conserved and restored, preserve the connectivity of the landscape most effectively. In the period studied, agriculture increased at a rate of 2104 ha/year, while native Caatinga vegetation decreased at a rate of 5203 ha/year. Both dense and open Caatinga became more fragmented, with the number of fragments increasing by 85.2% and 28.6%, respectively, whilst the average frag-ment size decreased by 84.8% and 6.1% for dense and open Caatinga, respectively. If agriculture patches were to expand by a 300 m buffer around each patch, the overall ecological connectivity could be reduced by 6–15%, depending on the species’ (small‐ to mid‐size terrestrial vertebrates) mobility characteristics for which the connectivity indices were calculated. We provided explicit spatial connectivity and fragmentation information for the conservation and restoration of the Caatinga vegetation in the studied area. This information helps with conservation planning in this rapidly changing ecosystem.","author":[{"dropping-particle":"","family":"Salazar","given":"Andrés A.","non-dropping-particle":"","parse-names":false,"suffix":""},{"dropping-particle":"","family":"Arellano","given":"Eduardo C.","non-dropping-particle":"","parse-names":false,"suffix":""},{"dropping-particle":"","family":"Muñoz‐sáez","given":"Andrés","non-dropping-particle":"","parse-names":false,"suffix":""},{"dropping-particle":"","family":"Miranda","given":"Marcelo D.","non-dropping-particle":"","parse-names":false,"suffix":""},{"dropping-particle":"","family":"Silva","given":"Fabiana Oliveira","non-dropping-particle":"da","parse-names":false,"suffix":""},{"dropping-particle":"","family":"Zielonka","given":"Natalia B.","non-dropping-particle":"","parse-names":false,"suffix":""},{"dropping-particle":"","family":"Crowther","given":"Liam P.","non-dropping-particle":"","parse-names":false,"suffix":""},{"dropping-particle":"","family":"Silva‐ferreira","given":"Vinina","non-dropping-particle":"","parse-names":false,"suffix":""},{"dropping-particle":"","family":"Oliveira‐reboucas","given":"Patricia","non-dropping-particle":"","parse-names":false,"suffix":""},{"dropping-particle":"V.","family":"Dicks","given":"Lynn","non-dropping-particle":"","parse-names":false,"suffix":""}],"container-title":"Land","id":"ITEM-3","issue":"6","issued":{"date-parts":[["2021"]]},"title":"Restoration and conservation of priority areas of caatinga’s semi‐arid forest remnants can support connectivity within an agricultural landscape","type":"article-journal","volume":"10"},"uris":["http://www.mendeley.com/documents/?uuid=26e27139-4f28-4c34-a2a4-79bf7157841c"]}],"mendeley":{"formattedCitation":"&lt;span style=\"baseline\"&gt;[13–15]&lt;/span&gt;","plainTextFormattedCitation":"[13–15]","previouslyFormattedCitation":"&lt;span style=\"baseline\"&gt;[13–15]&lt;/span&gt;"},"properties":{"noteIndex":0},"schema":"https://github.com/citation-style-language/schema/raw/master/csl-citation.json"}</w:instrText>
      </w:r>
      <w:r w:rsidR="00366BDC">
        <w:rPr>
          <w:b w:val="0"/>
          <w:sz w:val="20"/>
        </w:rPr>
        <w:fldChar w:fldCharType="separate"/>
      </w:r>
      <w:r w:rsidR="004B02F5" w:rsidRPr="004B02F5">
        <w:rPr>
          <w:b w:val="0"/>
          <w:noProof/>
          <w:sz w:val="20"/>
        </w:rPr>
        <w:t>[13–15]</w:t>
      </w:r>
      <w:r w:rsidR="00366BDC">
        <w:rPr>
          <w:b w:val="0"/>
          <w:sz w:val="20"/>
        </w:rPr>
        <w:fldChar w:fldCharType="end"/>
      </w:r>
      <w:r w:rsidRPr="004D72E4">
        <w:rPr>
          <w:b w:val="0"/>
          <w:sz w:val="20"/>
        </w:rPr>
        <w:t xml:space="preserve">. Various factors influence LULC changes, including local needs and environmental sustainability </w:t>
      </w:r>
      <w:r w:rsidR="00366BDC">
        <w:rPr>
          <w:b w:val="0"/>
          <w:sz w:val="20"/>
        </w:rPr>
        <w:fldChar w:fldCharType="begin" w:fldLock="1"/>
      </w:r>
      <w:r w:rsidR="00CF0B43">
        <w:rPr>
          <w:b w:val="0"/>
          <w:sz w:val="20"/>
        </w:rPr>
        <w:instrText>ADDIN CSL_CITATION {"citationItems":[{"id":"ITEM-1","itemData":{"DOI":"10.1080/09640568.2021.2001317","ISSN":"13600559","abstract":"With the recent advances in earth observation technologies, the increasing availability of data from more and more different satellite sensors as well as progress in semi-automated and automated classification techniques enable the (semi-) automated remote monitoring and analysis of large areas. Online platforms such as Google Earth Engine (GEE) bring data-driven techniques to the desktops of researchers while changing workflows and making excessive data downloads redundant. We present a study that utilizes machine learning algorithms on the GEE cloud computing platform for land use/land cover (LULC) mapping and change detection analysis using a Landsat satellite image time series. We applied different machine learning techniques to data from an environmentally sensitive area in Northern Iran. We tested their efficiency for LULC mapping and change detection analysis using the support vector machine (SVM), random forest (RF) and classification and regression tree (CART). We obtained LULC maps for the years 2000, 2005, 2010, 2015 and 2020. Training data was collected from field operations and historical datasets, and the respective LULC maps were validated using ground control points. In addition, we validated the reliability of the results through a spatial uncertainty analysis using Dempster-Shafer Theory (DST). The resulting accuracies of the classification outcomes varied significantly. SVM performed best with accuracies of 90.25%, 91.84%, 89.02%, 93.35% and 95.65% for 2000, 2005, 2010, 2015 and 2020, respectively. The spatial uncertainty analysis also validated the efficiency of SVM compared to RF and CART. The results confirm the potential of machine learning techniques for time series LULC mapping on the GEE platform while lowering the barriers to analyzing large amounts of satellite data. The results are also critical for decision-makers and authorities for analyzing the LULC changes and developing the respective environmental protection and polices in Northern Iran.","author":[{"dropping-particle":"","family":"Feizizadeh","given":"Bakhtiar","non-dropping-particle":"","parse-names":false,"suffix":""},{"dropping-particle":"","family":"Omarzadeh","given":"Davoud","non-dropping-particle":"","parse-names":false,"suffix":""},{"dropping-particle":"","family":"Kazemi Garajeh","given":"Mohammad","non-dropping-particle":"","parse-names":false,"suffix":""},{"dropping-particle":"","family":"Lakes","given":"Tobia","non-dropping-particle":"","parse-names":false,"suffix":""},{"dropping-particle":"","family":"Blaschke","given":"Thomas","non-dropping-particle":"","parse-names":false,"suffix":""}],"container-title":"Journal of Environmental Planning and Management","id":"ITEM-1","issue":"3","issued":{"date-parts":[["2023"]]},"page":"665-697","publisher":"Routledge","title":"Machine learning data-driven approaches for land use/cover mapping and trend analysis using Google Earth Engine","type":"article-journal","volume":"66"},"uris":["http://www.mendeley.com/documents/?uuid=905f8c86-8c57-4e55-bce4-4751f007d59e"]}],"mendeley":{"formattedCitation":"&lt;span style=\"baseline\"&gt;[16]&lt;/span&gt;","plainTextFormattedCitation":"[16]","previouslyFormattedCitation":"&lt;span style=\"baseline\"&gt;[16]&lt;/span&gt;"},"properties":{"noteIndex":0},"schema":"https://github.com/citation-style-language/schema/raw/master/csl-citation.json"}</w:instrText>
      </w:r>
      <w:r w:rsidR="00366BDC">
        <w:rPr>
          <w:b w:val="0"/>
          <w:sz w:val="20"/>
        </w:rPr>
        <w:fldChar w:fldCharType="separate"/>
      </w:r>
      <w:r w:rsidR="004B02F5" w:rsidRPr="004B02F5">
        <w:rPr>
          <w:b w:val="0"/>
          <w:noProof/>
          <w:sz w:val="20"/>
        </w:rPr>
        <w:t>[16]</w:t>
      </w:r>
      <w:r w:rsidR="00366BDC">
        <w:rPr>
          <w:b w:val="0"/>
          <w:sz w:val="20"/>
        </w:rPr>
        <w:fldChar w:fldCharType="end"/>
      </w:r>
      <w:r w:rsidRPr="004D72E4">
        <w:rPr>
          <w:b w:val="0"/>
          <w:sz w:val="20"/>
        </w:rPr>
        <w:t>, making it a key consideration in assessing both global and local dynamics in response to environmental and socioeconomic factors</w:t>
      </w:r>
      <w:r w:rsidR="00366BDC">
        <w:rPr>
          <w:b w:val="0"/>
          <w:sz w:val="20"/>
        </w:rPr>
        <w:t xml:space="preserve"> </w:t>
      </w:r>
      <w:r w:rsidR="00366BDC">
        <w:rPr>
          <w:b w:val="0"/>
          <w:sz w:val="20"/>
        </w:rPr>
        <w:fldChar w:fldCharType="begin" w:fldLock="1"/>
      </w:r>
      <w:r w:rsidR="00CF0B43">
        <w:rPr>
          <w:b w:val="0"/>
          <w:sz w:val="20"/>
        </w:rPr>
        <w:instrText>ADDIN CSL_CITATION {"citationItems":[{"id":"ITEM-1","itemData":{"DOI":"10.1016/j.uclim.2023.101766","ISSN":"22120955","abstract":"This research utilized remote sensing (RS) technology to analyze and monitor land use land cover (LULC) and climate change. This work mainly involves three components: (i) investigating the historical trends of LULC and land surface temperature (LST) using Landsat data for 1990, 2005, and 2020. (ii)Evaluate the impact of climate change on urban temperature for increased heat stress in the Multan region and (iii) Future predictions of LULC and LST for 2035 and 2050 by the CA-Markov Chain model. Supervised classification techniques were employed to classify the images into various LULC classes. Historical trends of LULC revealed that over the study period, the built-up area in Multan has increased by almost 30,435 Ha (8.34%), which would continue to reach40003 ha (10.96%) from 1990 to 2020 at the cost of vegetation loss, which is countlessly decreasing and will get from 283,145 Ha (−77.57%) in 2035 to264443 Ha (−71.4%) till 2050. Further, the findings about LST revealed that over the region, the average LST values have increased from 1.2 °C over the last two decades and will additionally include 1.8 °C until 2050.This study underscores the importance of RS technology in understanding past LULC changes and predicting future land transformations and temperature variations. The results contribute valuable insights for policymakers, land managers, and urban planners to make informed decisions for sustainable LULC and climate adaptation strategies in the face of growing urbanization and climate change challenges.","author":[{"dropping-particle":"","family":"Hussain","given":"Sajjad","non-dropping-particle":"","parse-names":false,"suffix":""},{"dropping-particle":"","family":"Mubeen","given":"Muhammad","non-dropping-particle":"","parse-names":false,"suffix":""},{"dropping-particle":"","family":"Nasim","given":"Wajid","non-dropping-particle":"","parse-names":false,"suffix":""},{"dropping-particle":"","family":"Mumtaz","given":"Faisal","non-dropping-particle":"","parse-names":false,"suffix":""},{"dropping-particle":"","family":"Abdo","given":"Hazem Ghassan","non-dropping-particle":"","parse-names":false,"suffix":""},{"dropping-particle":"","family":"Mostafazadeh","given":"Raoof","non-dropping-particle":"","parse-names":false,"suffix":""},{"dropping-particle":"","family":"Fahad","given":"Shah","non-dropping-particle":"","parse-names":false,"suffix":""}],"container-title":"Urban Climate","id":"ITEM-1","issue":"August 2023","issued":{"date-parts":[["2024"]]},"page":"101766","publisher":"Elsevier B.V.","title":"Assessment of future prediction of urban growth and climate change in district Multan, Pakistan using CA-Markov method","type":"article-journal","volume":"53"},"uris":["http://www.mendeley.com/documents/?uuid=0a4e1b90-ade8-4aed-a657-7e945bca2f8b"]}],"mendeley":{"formattedCitation":"&lt;span style=\"baseline\"&gt;[17]&lt;/span&gt;","plainTextFormattedCitation":"[17]","previouslyFormattedCitation":"&lt;span style=\"baseline\"&gt;[17]&lt;/span&gt;"},"properties":{"noteIndex":0},"schema":"https://github.com/citation-style-language/schema/raw/master/csl-citation.json"}</w:instrText>
      </w:r>
      <w:r w:rsidR="00366BDC">
        <w:rPr>
          <w:b w:val="0"/>
          <w:sz w:val="20"/>
        </w:rPr>
        <w:fldChar w:fldCharType="separate"/>
      </w:r>
      <w:r w:rsidR="004B02F5" w:rsidRPr="004B02F5">
        <w:rPr>
          <w:b w:val="0"/>
          <w:noProof/>
          <w:sz w:val="20"/>
        </w:rPr>
        <w:t>[17]</w:t>
      </w:r>
      <w:r w:rsidR="00366BDC">
        <w:rPr>
          <w:b w:val="0"/>
          <w:sz w:val="20"/>
        </w:rPr>
        <w:fldChar w:fldCharType="end"/>
      </w:r>
      <w:r w:rsidRPr="004D72E4">
        <w:rPr>
          <w:b w:val="0"/>
          <w:sz w:val="20"/>
        </w:rPr>
        <w:t xml:space="preserve">. As LULC continues to evolve, it has become a critical issue for decision-makers, economists, and scientists in evaluating environmental changes and developing sustainable land management strategies </w:t>
      </w:r>
      <w:r w:rsidR="00366BDC">
        <w:rPr>
          <w:b w:val="0"/>
          <w:sz w:val="20"/>
        </w:rPr>
        <w:fldChar w:fldCharType="begin" w:fldLock="1"/>
      </w:r>
      <w:r w:rsidR="00CF0B43">
        <w:rPr>
          <w:b w:val="0"/>
          <w:sz w:val="20"/>
        </w:rPr>
        <w:instrText>ADDIN CSL_CITATION {"citationItems":[{"id":"ITEM-1","itemData":{"DOI":"10.1007/s00168-022-01169-z","ISSN":"14320592","abstract":"Forest cover in the Rherhaya watershed of the Moroccan High Atlas region, characterized by its critical natural conditions, faces strong human pressure, leading to the fragmentation of the landscape. To improve natural capital management, to support stakeholders in their decision-making process and to sustain ecosystem services provided by the watershed, this work aims at developing a long-term vision of the local landscape. Land-use/land-cover change dynamics have been analyzed at 1984, 2000 and 2017 timestamps, and prospective modeling based on the Land Change Modeler (LCM) model has been used to develop a future vision of forest landscapes. LCM modeling approaches rely on two types of input maps: (1) maps of land cover at times before the calibration period and (2) maps of explanatory variables (that precludes land-use or land-cover change over time such as slope, altitude and accessibility: distance to roads or human settlement). The model is validated through the juxtaposition of the 2017 observed map and the predicted map for the same year using the trained model. The result shows an overall accuracy of 64.58 per cent. Based on the hypothesis of human pressures intensification in the future, the forecasted land-cover map by 2040 has been derived as a result of the explanatory variables. This prospective modeling, therefore, predicts by 2040 an expansion of buildings that will be made at the expense of bare soil surfaces. Indeed, this expansion will be linked to population growth stemming mainly due to a strong migration of populations from neighboring regions in search of better living conditions.","author":[{"dropping-particle":"","family":"Qacami","given":"Meryem","non-dropping-particle":"","parse-names":false,"suffix":""},{"dropping-particle":"","family":"Khattabi","given":"Abdellatif","non-dropping-particle":"","parse-names":false,"suffix":""},{"dropping-particle":"","family":"Lahssini","given":"Said","non-dropping-particle":"","parse-names":false,"suffix":""},{"dropping-particle":"","family":"Rifai","given":"Nabil","non-dropping-particle":"","parse-names":false,"suffix":""},{"dropping-particle":"","family":"Meliho","given":"Modeste","non-dropping-particle":"","parse-names":false,"suffix":""}],"container-title":"Annals of Regional Science","id":"ITEM-1","issue":"1","issued":{"date-parts":[["2023","2","1"]]},"page":"237-258","publisher":"Springer Science and Business Media Deutschland GmbH","title":"Land-cover/land-use change dynamics modeling based on land change modeler","type":"article-journal","volume":"70"},"uris":["http://www.mendeley.com/documents/?uuid=40a710e3-7f0d-3eca-90b1-cea15c3b4055"]}],"mendeley":{"formattedCitation":"&lt;span style=\"baseline\"&gt;[18]&lt;/span&gt;","plainTextFormattedCitation":"[18]","previouslyFormattedCitation":"&lt;span style=\"baseline\"&gt;[18]&lt;/span&gt;"},"properties":{"noteIndex":0},"schema":"https://github.com/citation-style-language/schema/raw/master/csl-citation.json"}</w:instrText>
      </w:r>
      <w:r w:rsidR="00366BDC">
        <w:rPr>
          <w:b w:val="0"/>
          <w:sz w:val="20"/>
        </w:rPr>
        <w:fldChar w:fldCharType="separate"/>
      </w:r>
      <w:r w:rsidR="004B02F5" w:rsidRPr="004B02F5">
        <w:rPr>
          <w:b w:val="0"/>
          <w:noProof/>
          <w:sz w:val="20"/>
        </w:rPr>
        <w:t>[18]</w:t>
      </w:r>
      <w:r w:rsidR="00366BDC">
        <w:rPr>
          <w:b w:val="0"/>
          <w:sz w:val="20"/>
        </w:rPr>
        <w:fldChar w:fldCharType="end"/>
      </w:r>
      <w:r w:rsidRPr="004D72E4">
        <w:rPr>
          <w:b w:val="0"/>
          <w:sz w:val="20"/>
        </w:rPr>
        <w:t xml:space="preserve">. LULC maps offer essential data on visible land features, such as orchards, water bodies, forests, urban areas, and agricultural fields, helping to monitor and understand the impact of human and natural activities over time </w:t>
      </w:r>
      <w:r w:rsidR="00366BDC">
        <w:rPr>
          <w:b w:val="0"/>
          <w:sz w:val="20"/>
        </w:rPr>
        <w:fldChar w:fldCharType="begin" w:fldLock="1"/>
      </w:r>
      <w:r w:rsidR="00CF0B43">
        <w:rPr>
          <w:b w:val="0"/>
          <w:sz w:val="20"/>
        </w:rPr>
        <w:instrText>ADDIN CSL_CITATION {"citationItems":[{"id":"ITEM-1","itemData":{"DOI":"10.1080/09640568.2021.2001317","ISSN":"13600559","abstract":"With the recent advances in earth observation technologies, the increasing availability of data from more and more different satellite sensors as well as progress in semi-automated and automated classification techniques enable the (semi-) automated remote monitoring and analysis of large areas. Online platforms such as Google Earth Engine (GEE) bring data-driven techniques to the desktops of researchers while changing workflows and making excessive data downloads redundant. We present a study that utilizes machine learning algorithms on the GEE cloud computing platform for land use/land cover (LULC) mapping and change detection analysis using a Landsat satellite image time series. We applied different machine learning techniques to data from an environmentally sensitive area in Northern Iran. We tested their efficiency for LULC mapping and change detection analysis using the support vector machine (SVM), random forest (RF) and classification and regression tree (CART). We obtained LULC maps for the years 2000, 2005, 2010, 2015 and 2020. Training data was collected from field operations and historical datasets, and the respective LULC maps were validated using ground control points. In addition, we validated the reliability of the results through a spatial uncertainty analysis using Dempster-Shafer Theory (DST). The resulting accuracies of the classification outcomes varied significantly. SVM performed best with accuracies of 90.25%, 91.84%, 89.02%, 93.35% and 95.65% for 2000, 2005, 2010, 2015 and 2020, respectively. The spatial uncertainty analysis also validated the efficiency of SVM compared to RF and CART. The results confirm the potential of machine learning techniques for time series LULC mapping on the GEE platform while lowering the barriers to analyzing large amounts of satellite data. The results are also critical for decision-makers and authorities for analyzing the LULC changes and developing the respective environmental protection and polices in Northern Iran.","author":[{"dropping-particle":"","family":"Feizizadeh","given":"Bakhtiar","non-dropping-particle":"","parse-names":false,"suffix":""},{"dropping-particle":"","family":"Omarzadeh","given":"Davoud","non-dropping-particle":"","parse-names":false,"suffix":""},{"dropping-particle":"","family":"Kazemi Garajeh","given":"Mohammad","non-dropping-particle":"","parse-names":false,"suffix":""},{"dropping-particle":"","family":"Lakes","given":"Tobia","non-dropping-particle":"","parse-names":false,"suffix":""},{"dropping-particle":"","family":"Blaschke","given":"Thomas","non-dropping-particle":"","parse-names":false,"suffix":""}],"container-title":"Journal of Environmental Planning and Management","id":"ITEM-1","issue":"3","issued":{"date-parts":[["2023"]]},"page":"665-697","publisher":"Routledge","title":"Machine learning data-driven approaches for land use/cover mapping and trend analysis using Google Earth Engine","type":"article-journal","volume":"66"},"uris":["http://www.mendeley.com/documents/?uuid=905f8c86-8c57-4e55-bce4-4751f007d59e"]}],"mendeley":{"formattedCitation":"&lt;span style=\"baseline\"&gt;[16]&lt;/span&gt;","plainTextFormattedCitation":"[16]","previouslyFormattedCitation":"&lt;span style=\"baseline\"&gt;[16]&lt;/span&gt;"},"properties":{"noteIndex":0},"schema":"https://github.com/citation-style-language/schema/raw/master/csl-citation.json"}</w:instrText>
      </w:r>
      <w:r w:rsidR="00366BDC">
        <w:rPr>
          <w:b w:val="0"/>
          <w:sz w:val="20"/>
        </w:rPr>
        <w:fldChar w:fldCharType="separate"/>
      </w:r>
      <w:r w:rsidR="004B02F5" w:rsidRPr="004B02F5">
        <w:rPr>
          <w:b w:val="0"/>
          <w:noProof/>
          <w:sz w:val="20"/>
        </w:rPr>
        <w:t>[16]</w:t>
      </w:r>
      <w:r w:rsidR="00366BDC">
        <w:rPr>
          <w:b w:val="0"/>
          <w:sz w:val="20"/>
        </w:rPr>
        <w:fldChar w:fldCharType="end"/>
      </w:r>
      <w:r w:rsidRPr="004D72E4">
        <w:rPr>
          <w:b w:val="0"/>
          <w:sz w:val="20"/>
        </w:rPr>
        <w:t xml:space="preserve">. </w:t>
      </w:r>
    </w:p>
    <w:p w14:paraId="52BB59E8" w14:textId="4EB0E081" w:rsidR="00FF127C" w:rsidRDefault="004D72E4" w:rsidP="00FF127C">
      <w:pPr>
        <w:pStyle w:val="MDPI21heading1"/>
        <w:spacing w:before="0" w:after="0"/>
        <w:ind w:firstLine="425"/>
        <w:jc w:val="both"/>
        <w:rPr>
          <w:b w:val="0"/>
          <w:sz w:val="20"/>
        </w:rPr>
      </w:pPr>
      <w:r w:rsidRPr="004D72E4">
        <w:rPr>
          <w:b w:val="0"/>
          <w:sz w:val="20"/>
        </w:rPr>
        <w:t xml:space="preserve">An efficient and widely recognized alternative for mapping and monitoring LULC is the use of remote sensing </w:t>
      </w:r>
      <w:r w:rsidR="00366BDC">
        <w:rPr>
          <w:b w:val="0"/>
          <w:sz w:val="20"/>
        </w:rPr>
        <w:fldChar w:fldCharType="begin" w:fldLock="1"/>
      </w:r>
      <w:r w:rsidR="00CF0B43">
        <w:rPr>
          <w:b w:val="0"/>
          <w:sz w:val="20"/>
        </w:rPr>
        <w:instrText>ADDIN CSL_CITATION {"citationItems":[{"id":"ITEM-1","itemData":{"DOI":"10.3390/rs9010095","abstract":"A detailed and accurate knowledge of land cover is crucial for many scientific and operational applications, and as such, it has been identified as an Essential Climate Variable. This accurate knowledge needs frequent updates. This paper presents a methodology for the fully automatic production of land cover maps at country scale using high resolution optical image time series which is based on supervised classification and uses existing databases as reference data for training and validation. The originality of the approach resides in the use of all available image data, a simple pre-processing step leading to a homogeneous set of acquisition dates over the whole area and the use of a supervised classifier which is robust to errors in the reference data. The produced maps have a kappa coefficient of 0.86 with 17 land cover classes. The processing is efficient, allowing a fast delivery of the maps after the acquisition of the image data, does not need expensive field surveys for model calibration and validation, nor human operators for decision making, and uses open and freely available imagery. The land cover maps are provided with a confidence map which gives information at the pixel level about the expected quality of the result.","author":[{"dropping-particle":"","family":"Inglada","given":"Jordi","non-dropping-particle":"","parse-names":false,"suffix":""},{"dropping-particle":"","family":"Vincent","given":"Arthur","non-dropping-particle":"","parse-names":false,"suffix":""},{"dropping-particle":"","family":"Arias","given":"Marcela","non-dropping-particle":"","parse-names":false,"suffix":""},{"dropping-particle":"","family":"Tardy","given":"Benjamin","non-dropping-particle":"","parse-names":false,"suffix":""},{"dropping-particle":"","family":"Morin","given":"David","non-dropping-particle":"","parse-names":false,"suffix":""},{"dropping-particle":"","family":"Rodes","given":"Isabel","non-dropping-particle":"","parse-names":false,"suffix":""}],"container-title":"Remote Sensing","id":"ITEM-1","issue":"1","issued":{"date-parts":[["2017"]]},"page":"95","title":"Operational High Resolution Land Cover Map Production at the Country Scale Using Satellite Image Time Series","type":"article-journal","volume":"9"},"uris":["http://www.mendeley.com/documents/?uuid=23caddd0-710d-409a-98be-a11e8ade27ae"]}],"mendeley":{"formattedCitation":"&lt;span style=\"baseline\"&gt;[19]&lt;/span&gt;","plainTextFormattedCitation":"[19]","previouslyFormattedCitation":"&lt;span style=\"baseline\"&gt;[19]&lt;/span&gt;"},"properties":{"noteIndex":0},"schema":"https://github.com/citation-style-language/schema/raw/master/csl-citation.json"}</w:instrText>
      </w:r>
      <w:r w:rsidR="00366BDC">
        <w:rPr>
          <w:b w:val="0"/>
          <w:sz w:val="20"/>
        </w:rPr>
        <w:fldChar w:fldCharType="separate"/>
      </w:r>
      <w:r w:rsidR="004B02F5" w:rsidRPr="004B02F5">
        <w:rPr>
          <w:b w:val="0"/>
          <w:noProof/>
          <w:sz w:val="20"/>
        </w:rPr>
        <w:t>[19]</w:t>
      </w:r>
      <w:r w:rsidR="00366BDC">
        <w:rPr>
          <w:b w:val="0"/>
          <w:sz w:val="20"/>
        </w:rPr>
        <w:fldChar w:fldCharType="end"/>
      </w:r>
      <w:r w:rsidR="00366BDC">
        <w:rPr>
          <w:b w:val="0"/>
          <w:sz w:val="20"/>
        </w:rPr>
        <w:t>.</w:t>
      </w:r>
      <w:r w:rsidRPr="004D72E4">
        <w:rPr>
          <w:b w:val="0"/>
          <w:sz w:val="20"/>
        </w:rPr>
        <w:t xml:space="preserve"> In this context, remote sensing imagery is a viable option for detection </w:t>
      </w:r>
      <w:r w:rsidR="009303C6" w:rsidRPr="009303C6">
        <w:rPr>
          <w:b w:val="0"/>
          <w:sz w:val="20"/>
          <w:highlight w:val="yellow"/>
        </w:rPr>
        <w:t>of changes</w:t>
      </w:r>
      <w:r w:rsidR="009303C6">
        <w:rPr>
          <w:b w:val="0"/>
          <w:sz w:val="20"/>
        </w:rPr>
        <w:t xml:space="preserve"> </w:t>
      </w:r>
      <w:r w:rsidRPr="004D72E4">
        <w:rPr>
          <w:b w:val="0"/>
          <w:sz w:val="20"/>
        </w:rPr>
        <w:t xml:space="preserve">at various spatiotemporal scales, thanks to its high resolution and broad availability </w:t>
      </w:r>
      <w:r w:rsidR="00366BDC">
        <w:rPr>
          <w:b w:val="0"/>
          <w:sz w:val="20"/>
        </w:rPr>
        <w:fldChar w:fldCharType="begin" w:fldLock="1"/>
      </w:r>
      <w:r w:rsidR="00CF0B43">
        <w:rPr>
          <w:b w:val="0"/>
          <w:sz w:val="20"/>
        </w:rPr>
        <w:instrText>ADDIN CSL_CITATION {"citationItems":[{"id":"ITEM-1","itemData":{"DOI":"10.3390/rs15133257","ISSN":"20724292","abstract":"Semiarid Tunisia is characterized by agricultural production that is delimited by water availability and degraded soil. This situation is exacerbated by human pressure and the negative effects of climate change. To improve the knowledge of long-term (1980 to 2020) drivers for Land Use and Land Cover (LULC) changes, we investigated the semiarid Rihana region in central Tunisia. A new approach involving Google Earth Engine (GEE) was used to map LULC using Landsat imagery and vegetative indices (NDVI, MSAVI, and EVI) by applying a Random Forest (RF) classifier. A Rapid Participatory Systemic Diagnosis (RPSD) was used to consider the relation between LULC changes and their key drivers. The methodology relied on interviews with the local population and experts. Focus groups were conducted with practicians of the Regueb Agricultural Extension Services, followed by semi-structured interviews with 52 households. Results showed the following: (1) the RF classifier in Google Earth Engine had strong performance across diverse Landsat image types resulting in overall classification accuracy of ≥0.96 and a kappa coefficient ≥0.93; (2) rainfed olive land increased four times during the study period while irrigated agriculture increased substantially during the last decade; rangeland and rainfed annual crops decreased by 58 and 88%, respectively, between 1980 and 2021; (3) drivers of LULC changes are predominately local in nature, including topography, local climate, hydrology, strategies of household, effects of the 2010 revolution, associated increasing demand for natural resources, agricultural policy, population growth, high cost of agricultural input, and economic opportunities. To summarize, changes in LULC in Rihana are an adaptive response to these various factors. The findings are important to better understand ways towards sustainable management of natural resources in arid and semiarid regions as well as efficient methods to study these processes.","author":[{"dropping-particle":"","family":"Kadri","given":"Nesrine","non-dropping-particle":"","parse-names":false,"suffix":""},{"dropping-particle":"","family":"Jebari","given":"Sihem","non-dropping-particle":"","parse-names":false,"suffix":""},{"dropping-particle":"","family":"Augusseau","given":"Xavier","non-dropping-particle":"","parse-names":false,"suffix":""},{"dropping-particle":"","family":"Mahdhi","given":"Naceur","non-dropping-particle":"","parse-names":false,"suffix":""},{"dropping-particle":"","family":"Lestrelin","given":"Guillaume","non-dropping-particle":"","parse-names":false,"suffix":""},{"dropping-particle":"","family":"Berndtsson","given":"Ronny","non-dropping-particle":"","parse-names":false,"suffix":""}],"container-title":"Remote Sensing","id":"ITEM-1","issue":"13","issued":{"date-parts":[["2023"]]},"title":"Analysis of Four Decades of Land Use and Land Cover Change in Semiarid Tunisia Using Google Earth Engine","type":"article-journal","volume":"15"},"uris":["http://www.mendeley.com/documents/?uuid=07f76bef-945f-4359-84b1-dc63158061a2"]}],"mendeley":{"formattedCitation":"&lt;span style=\"baseline\"&gt;[20]&lt;/span&gt;","plainTextFormattedCitation":"[20]","previouslyFormattedCitation":"&lt;span style=\"baseline\"&gt;[20]&lt;/span&gt;"},"properties":{"noteIndex":0},"schema":"https://github.com/citation-style-language/schema/raw/master/csl-citation.json"}</w:instrText>
      </w:r>
      <w:r w:rsidR="00366BDC">
        <w:rPr>
          <w:b w:val="0"/>
          <w:sz w:val="20"/>
        </w:rPr>
        <w:fldChar w:fldCharType="separate"/>
      </w:r>
      <w:r w:rsidR="004B02F5" w:rsidRPr="004B02F5">
        <w:rPr>
          <w:b w:val="0"/>
          <w:noProof/>
          <w:sz w:val="20"/>
        </w:rPr>
        <w:t>[20]</w:t>
      </w:r>
      <w:r w:rsidR="00366BDC">
        <w:rPr>
          <w:b w:val="0"/>
          <w:sz w:val="20"/>
        </w:rPr>
        <w:fldChar w:fldCharType="end"/>
      </w:r>
      <w:r w:rsidR="00366BDC">
        <w:rPr>
          <w:b w:val="0"/>
          <w:sz w:val="20"/>
        </w:rPr>
        <w:t>.</w:t>
      </w:r>
      <w:r w:rsidRPr="004D72E4">
        <w:rPr>
          <w:b w:val="0"/>
          <w:sz w:val="20"/>
        </w:rPr>
        <w:t xml:space="preserve"> Despite the significance of remote sensing in long-term change detection analysis, several challenges arise, including the large volume of data, the need to standardize information from multiple sensors, and the demand for fast processing and efficient storage </w:t>
      </w:r>
      <w:r w:rsidR="001B6D9B">
        <w:rPr>
          <w:b w:val="0"/>
          <w:sz w:val="20"/>
        </w:rPr>
        <w:fldChar w:fldCharType="begin" w:fldLock="1"/>
      </w:r>
      <w:r w:rsidR="00CF0B43">
        <w:rPr>
          <w:b w:val="0"/>
          <w:sz w:val="20"/>
        </w:rPr>
        <w:instrText>ADDIN CSL_CITATION {"citationItems":[{"id":"ITEM-1","itemData":{"DOI":"10.3390/rs14194723","ISSN":"20724292","abstract":"This study aims to assess the potential of Sentinel-2 NDVI time series and Google Earth Engine to detect small land-use/land-cover changes (at the pixel level) in fire-disturbed environs. To capture both slow and fast changes, the investigations focused on the analysis of trends in NDVI time series, selected because they are extensively used for the assessment of post-fire dynamics mainly linked to the monitoring of vegetation recovery and fire resilience. The area considered for this study is the central–southern part of the Italian peninsula, in particular the regions of (i) Campania, (ii) Basilicata, (iii) Calabria, (iv) Toscana, (v) Umbria, and (vi) Lazio. For each fire considered, the study covered the period from the year after the event to the present. The multi-temporal analysis was performed using two main data processing steps (i) linear regression to extract NDVI trends and enhance changes over time and (ii) random forest classification to capture and categorize the various changes. The analysis allowed us to identify changes occurred in the selected case study areas and to understand and evaluate the trend indicators that mark a change in land use/land cover. In particular, different types of changes were identified: (i) woodland felling, (ii) remaking of paths and roads, and (ii) transition from wooded area to cultivated field. The reliability of the changes identified was assessed and confirmed by the high multi-temporal resolution offered by Google Earth. Results of this comparison highlighted that the overall accuracy of the classification was higher than 0.86.","author":[{"dropping-particle":"","family":"Lasaponara","given":"Rosa","non-dropping-particle":"","parse-names":false,"suffix":""},{"dropping-particle":"","family":"Abate","given":"Nicodemo","non-dropping-particle":"","parse-names":false,"suffix":""},{"dropping-particle":"","family":"Fattore","given":"Carmen","non-dropping-particle":"","parse-names":false,"suffix":""},{"dropping-particle":"","family":"Aromando","given":"Angelo","non-dropping-particle":"","parse-names":false,"suffix":""},{"dropping-particle":"","family":"Cardettini","given":"Gianfranco","non-dropping-particle":"","parse-names":false,"suffix":""},{"dropping-particle":"","family":"Fonzo","given":"Marco","non-dropping-particle":"Di","parse-names":false,"suffix":""}],"container-title":"Remote Sensing","id":"ITEM-1","issue":"19","issued":{"date-parts":[["2022"]]},"title":"On the Use of Sentinel-2 NDVI Time Series and Google Earth Engine to Detect Land-Use/Land-Cover Changes in Fire-Affected Areas","type":"article-journal","volume":"14"},"uris":["http://www.mendeley.com/documents/?uuid=7ba2b343-9631-4c0e-b675-128b4f8ed94d"]}],"mendeley":{"formattedCitation":"&lt;span style=\"baseline\"&gt;[21]&lt;/span&gt;","plainTextFormattedCitation":"[21]","previouslyFormattedCitation":"&lt;span style=\"baseline\"&gt;[21]&lt;/span&gt;"},"properties":{"noteIndex":0},"schema":"https://github.com/citation-style-language/schema/raw/master/csl-citation.json"}</w:instrText>
      </w:r>
      <w:r w:rsidR="001B6D9B">
        <w:rPr>
          <w:b w:val="0"/>
          <w:sz w:val="20"/>
        </w:rPr>
        <w:fldChar w:fldCharType="separate"/>
      </w:r>
      <w:r w:rsidR="004B02F5" w:rsidRPr="004B02F5">
        <w:rPr>
          <w:b w:val="0"/>
          <w:noProof/>
          <w:sz w:val="20"/>
        </w:rPr>
        <w:t>[21]</w:t>
      </w:r>
      <w:r w:rsidR="001B6D9B">
        <w:rPr>
          <w:b w:val="0"/>
          <w:sz w:val="20"/>
        </w:rPr>
        <w:fldChar w:fldCharType="end"/>
      </w:r>
      <w:r w:rsidRPr="004D72E4">
        <w:rPr>
          <w:b w:val="0"/>
          <w:sz w:val="20"/>
        </w:rPr>
        <w:t>. In this regard, Google Earth Engine (GEE) offers several advantages (</w:t>
      </w:r>
      <w:r w:rsidR="001B6D9B">
        <w:rPr>
          <w:b w:val="0"/>
          <w:sz w:val="20"/>
        </w:rPr>
        <w:fldChar w:fldCharType="begin" w:fldLock="1"/>
      </w:r>
      <w:r w:rsidR="00CF0B43">
        <w:rPr>
          <w:b w:val="0"/>
          <w:sz w:val="20"/>
        </w:rPr>
        <w:instrText>ADDIN CSL_CITATION {"citationItems":[{"id":"ITEM-1","itemData":{"DOI":"10.1016/j.rse.2017.06.031","ISSN":"00344257","abstract":"Google Earth Engine is a cloud-based platform for planetary-scale geospatial analysis that brings Google's massive computational capabilities to bear on a variety of high-impact societal issues including deforestation, drought, disaster, disease, food security, water management, climate monitoring and environmental protection. It is unique in the field as an integrated platform designed to empower not only traditional remote sensing scientists, but also a much wider audience that lacks the technical capacity needed to utilize traditional supercomputers or large-scale commodity cloud computing resources.","author":[{"dropping-particle":"","family":"Gorelick","given":"Noel","non-dropping-particle":"","parse-names":false,"suffix":""},{"dropping-particle":"","family":"Hancher","given":"Matt","non-dropping-particle":"","parse-names":false,"suffix":""},{"dropping-particle":"","family":"Dixon","given":"Mike","non-dropping-particle":"","parse-names":false,"suffix":""},{"dropping-particle":"","family":"Ilyushchenko","given":"Simon","non-dropping-particle":"","parse-names":false,"suffix":""},{"dropping-particle":"","family":"Thau","given":"David","non-dropping-particle":"","parse-names":false,"suffix":""},{"dropping-particle":"","family":"Moore","given":"Rebecca","non-dropping-particle":"","parse-names":false,"suffix":""}],"container-title":"Remote Sensing of Environment","id":"ITEM-1","issued":{"date-parts":[["2017"]]},"page":"18-27","publisher":"The Author(s)","title":"Google Earth Engine: Planetary-scale geospatial analysis for everyone","type":"article-journal","volume":"202"},"uris":["http://www.mendeley.com/documents/?uuid=992a8d1e-32ca-4f7e-9018-e5ae65e5dd9f"]}],"mendeley":{"formattedCitation":"&lt;span style=\"baseline\"&gt;[22]&lt;/span&gt;","plainTextFormattedCitation":"[22]","previouslyFormattedCitation":"&lt;span style=\"baseline\"&gt;[22]&lt;/span&gt;"},"properties":{"noteIndex":0},"schema":"https://github.com/citation-style-language/schema/raw/master/csl-citation.json"}</w:instrText>
      </w:r>
      <w:r w:rsidR="001B6D9B">
        <w:rPr>
          <w:b w:val="0"/>
          <w:sz w:val="20"/>
        </w:rPr>
        <w:fldChar w:fldCharType="separate"/>
      </w:r>
      <w:r w:rsidR="004B02F5" w:rsidRPr="004B02F5">
        <w:rPr>
          <w:b w:val="0"/>
          <w:noProof/>
          <w:sz w:val="20"/>
        </w:rPr>
        <w:t>[22]</w:t>
      </w:r>
      <w:r w:rsidR="001B6D9B">
        <w:rPr>
          <w:b w:val="0"/>
          <w:sz w:val="20"/>
        </w:rPr>
        <w:fldChar w:fldCharType="end"/>
      </w:r>
      <w:r w:rsidRPr="004D72E4">
        <w:rPr>
          <w:b w:val="0"/>
          <w:sz w:val="20"/>
        </w:rPr>
        <w:t xml:space="preserve">. GEE can be used as a cloud computing platform in conjunction with machine learning algorithms for satellite image analysis </w:t>
      </w:r>
      <w:r w:rsidR="001B6D9B">
        <w:rPr>
          <w:b w:val="0"/>
          <w:sz w:val="20"/>
        </w:rPr>
        <w:fldChar w:fldCharType="begin" w:fldLock="1"/>
      </w:r>
      <w:r w:rsidR="00CF0B43">
        <w:rPr>
          <w:b w:val="0"/>
          <w:sz w:val="20"/>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approach","type":"article-journal","volume":"12"},"uris":["http://www.mendeley.com/documents/?uuid=77f8c6a9-01fa-387a-bb5e-ee29029f0221"]}],"mendeley":{"formattedCitation":"&lt;span style=\"baseline\"&gt;[23]&lt;/span&gt;","plainTextFormattedCitation":"[23]","previouslyFormattedCitation":"&lt;span style=\"baseline\"&gt;[23]&lt;/span&gt;"},"properties":{"noteIndex":0},"schema":"https://github.com/citation-style-language/schema/raw/master/csl-citation.json"}</w:instrText>
      </w:r>
      <w:r w:rsidR="001B6D9B">
        <w:rPr>
          <w:b w:val="0"/>
          <w:sz w:val="20"/>
        </w:rPr>
        <w:fldChar w:fldCharType="separate"/>
      </w:r>
      <w:r w:rsidR="004B02F5" w:rsidRPr="004B02F5">
        <w:rPr>
          <w:b w:val="0"/>
          <w:noProof/>
          <w:sz w:val="20"/>
        </w:rPr>
        <w:t>[23]</w:t>
      </w:r>
      <w:r w:rsidR="001B6D9B">
        <w:rPr>
          <w:b w:val="0"/>
          <w:sz w:val="20"/>
        </w:rPr>
        <w:fldChar w:fldCharType="end"/>
      </w:r>
      <w:r w:rsidRPr="004D72E4">
        <w:rPr>
          <w:b w:val="0"/>
          <w:sz w:val="20"/>
        </w:rPr>
        <w:t>. This platform provides a powerful tool for processing, analyzing, and visualizing large volumes of remote sensing data</w:t>
      </w:r>
      <w:r w:rsidR="001B6D9B">
        <w:rPr>
          <w:b w:val="0"/>
          <w:sz w:val="20"/>
        </w:rPr>
        <w:t xml:space="preserve"> </w:t>
      </w:r>
      <w:r w:rsidR="001B6D9B">
        <w:rPr>
          <w:b w:val="0"/>
          <w:sz w:val="20"/>
        </w:rPr>
        <w:fldChar w:fldCharType="begin" w:fldLock="1"/>
      </w:r>
      <w:r w:rsidR="00CF0B43">
        <w:rPr>
          <w:b w:val="0"/>
          <w:sz w:val="20"/>
        </w:rPr>
        <w:instrText>ADDIN CSL_CITATION {"citationItems":[{"id":"ITEM-1","itemData":{"DOI":"10.3390/rs15133257","ISSN":"20724292","abstract":"Semiarid Tunisia is characterized by agricultural production that is delimited by water availability and degraded soil. This situation is exacerbated by human pressure and the negative effects of climate change. To improve the knowledge of long-term (1980 to 2020) drivers for Land Use and Land Cover (LULC) changes, we investigated the semiarid Rihana region in central Tunisia. A new approach involving Google Earth Engine (GEE) was used to map LULC using Landsat imagery and vegetative indices (NDVI, MSAVI, and EVI) by applying a Random Forest (RF) classifier. A Rapid Participatory Systemic Diagnosis (RPSD) was used to consider the relation between LULC changes and their key drivers. The methodology relied on interviews with the local population and experts. Focus groups were conducted with practicians of the Regueb Agricultural Extension Services, followed by semi-structured interviews with 52 households. Results showed the following: (1) the RF classifier in Google Earth Engine had strong performance across diverse Landsat image types resulting in overall classification accuracy of ≥0.96 and a kappa coefficient ≥0.93; (2) rainfed olive land increased four times during the study period while irrigated agriculture increased substantially during the last decade; rangeland and rainfed annual crops decreased by 58 and 88%, respectively, between 1980 and 2021; (3) drivers of LULC changes are predominately local in nature, including topography, local climate, hydrology, strategies of household, effects of the 2010 revolution, associated increasing demand for natural resources, agricultural policy, population growth, high cost of agricultural input, and economic opportunities. To summarize, changes in LULC in Rihana are an adaptive response to these various factors. The findings are important to better understand ways towards sustainable management of natural resources in arid and semiarid regions as well as efficient methods to study these processes.","author":[{"dropping-particle":"","family":"Kadri","given":"Nesrine","non-dropping-particle":"","parse-names":false,"suffix":""},{"dropping-particle":"","family":"Jebari","given":"Sihem","non-dropping-particle":"","parse-names":false,"suffix":""},{"dropping-particle":"","family":"Augusseau","given":"Xavier","non-dropping-particle":"","parse-names":false,"suffix":""},{"dropping-particle":"","family":"Mahdhi","given":"Naceur","non-dropping-particle":"","parse-names":false,"suffix":""},{"dropping-particle":"","family":"Lestrelin","given":"Guillaume","non-dropping-particle":"","parse-names":false,"suffix":""},{"dropping-particle":"","family":"Berndtsson","given":"Ronny","non-dropping-particle":"","parse-names":false,"suffix":""}],"container-title":"Remote Sensing","id":"ITEM-1","issue":"13","issued":{"date-parts":[["2023"]]},"title":"Analysis of Four Decades of Land Use and Land Cover Change in Semiarid Tunisia Using Google Earth Engine","type":"article-journal","volume":"15"},"uris":["http://www.mendeley.com/documents/?uuid=07f76bef-945f-4359-84b1-dc63158061a2"]},{"id":"ITEM-2","itemData":{"DOI":"10.3390/land10060550","ISSN":"2073445X","abstract":"Land‐use and land‐cover (LULC) changes are major drivers of biodiversity loss in semi-arid regions, such as the Caatinga biome located in the Northeast of Brazil. We investigated landscape dynamics and fragmentation in an area of the São Francisco Valley in the Brazilian Caatinga biome and measured the effect of these dynamics on ecological, functional and structural connectivity over a 33‐year period (1985–2018). We calculated landscape connectivity indices based on graph theory to quantify the effect of further agricultural expansion on ecological connectivity at the landscape scale. We used a multicriteria decision analysis that integrates graph‐based connectivity indices at the habitat patch scale, combined with an index of human disturbance to identify patches that, if conserved and restored, preserve the connectivity of the landscape most effectively. In the period studied, agriculture increased at a rate of 2104 ha/year, while native Caatinga vegetation decreased at a rate of 5203 ha/year. Both dense and open Caatinga became more fragmented, with the number of fragments increasing by 85.2% and 28.6%, respectively, whilst the average frag-ment size decreased by 84.8% and 6.1% for dense and open Caatinga, respectively. If agriculture patches were to expand by a 300 m buffer around each patch, the overall ecological connectivity could be reduced by 6–15%, depending on the species’ (small‐ to mid‐size terrestrial vertebrates) mobility characteristics for which the connectivity indices were calculated. We provided explicit spatial connectivity and fragmentation information for the conservation and restoration of the Caatinga vegetation in the studied area. This information helps with conservation planning in this rapidly changing ecosystem.","author":[{"dropping-particle":"","family":"Salazar","given":"Andrés A.","non-dropping-particle":"","parse-names":false,"suffix":""},{"dropping-particle":"","family":"Arellano","given":"Eduardo C.","non-dropping-particle":"","parse-names":false,"suffix":""},{"dropping-particle":"","family":"Muñoz‐sáez","given":"Andrés","non-dropping-particle":"","parse-names":false,"suffix":""},{"dropping-particle":"","family":"Miranda","given":"Marcelo D.","non-dropping-particle":"","parse-names":false,"suffix":""},{"dropping-particle":"","family":"Silva","given":"Fabiana Oliveira","non-dropping-particle":"da","parse-names":false,"suffix":""},{"dropping-particle":"","family":"Zielonka","given":"Natalia B.","non-dropping-particle":"","parse-names":false,"suffix":""},{"dropping-particle":"","family":"Crowther","given":"Liam P.","non-dropping-particle":"","parse-names":false,"suffix":""},{"dropping-particle":"","family":"Silva‐ferreira","given":"Vinina","non-dropping-particle":"","parse-names":false,"suffix":""},{"dropping-particle":"","family":"Oliveira‐reboucas","given":"Patricia","non-dropping-particle":"","parse-names":false,"suffix":""},{"dropping-particle":"V.","family":"Dicks","given":"Lynn","non-dropping-particle":"","parse-names":false,"suffix":""}],"container-title":"Land","id":"ITEM-2","issue":"6","issued":{"date-parts":[["2021"]]},"title":"Restoration and conservation of priority areas of caatinga’s semi‐arid forest remnants can support connectivity within an agricultural landscape","type":"article-journal","volume":"10"},"uris":["http://www.mendeley.com/documents/?uuid=26e27139-4f28-4c34-a2a4-79bf7157841c"]}],"mendeley":{"formattedCitation":"&lt;span style=\"baseline\"&gt;[15,20]&lt;/span&gt;","plainTextFormattedCitation":"[15,20]","previouslyFormattedCitation":"&lt;span style=\"baseline\"&gt;[15,20]&lt;/span&gt;"},"properties":{"noteIndex":0},"schema":"https://github.com/citation-style-language/schema/raw/master/csl-citation.json"}</w:instrText>
      </w:r>
      <w:r w:rsidR="001B6D9B">
        <w:rPr>
          <w:b w:val="0"/>
          <w:sz w:val="20"/>
        </w:rPr>
        <w:fldChar w:fldCharType="separate"/>
      </w:r>
      <w:r w:rsidR="004B02F5" w:rsidRPr="004B02F5">
        <w:rPr>
          <w:b w:val="0"/>
          <w:noProof/>
          <w:sz w:val="20"/>
        </w:rPr>
        <w:t>[15,20]</w:t>
      </w:r>
      <w:r w:rsidR="001B6D9B">
        <w:rPr>
          <w:b w:val="0"/>
          <w:sz w:val="20"/>
        </w:rPr>
        <w:fldChar w:fldCharType="end"/>
      </w:r>
      <w:r w:rsidRPr="004D72E4">
        <w:rPr>
          <w:b w:val="0"/>
          <w:sz w:val="20"/>
        </w:rPr>
        <w:t>. Therefore, it can be used for LULC dynamics in Chile</w:t>
      </w:r>
      <w:r>
        <w:rPr>
          <w:b w:val="0"/>
          <w:sz w:val="20"/>
        </w:rPr>
        <w:t>.</w:t>
      </w:r>
    </w:p>
    <w:p w14:paraId="3563B8F9" w14:textId="52190C39" w:rsidR="004D72E4" w:rsidRDefault="004D72E4" w:rsidP="00FF127C">
      <w:pPr>
        <w:pStyle w:val="MDPI21heading1"/>
        <w:spacing w:before="0" w:after="0"/>
        <w:ind w:firstLine="425"/>
        <w:jc w:val="both"/>
        <w:rPr>
          <w:b w:val="0"/>
          <w:sz w:val="20"/>
        </w:rPr>
      </w:pPr>
      <w:r w:rsidRPr="004D72E4">
        <w:rPr>
          <w:b w:val="0"/>
          <w:sz w:val="20"/>
        </w:rPr>
        <w:t xml:space="preserve">In Chile, natural vegetation has been continuously decreasing over the past decades </w:t>
      </w:r>
      <w:r w:rsidR="003876CF">
        <w:rPr>
          <w:b w:val="0"/>
          <w:sz w:val="20"/>
        </w:rPr>
        <w:fldChar w:fldCharType="begin" w:fldLock="1"/>
      </w:r>
      <w:r w:rsidR="00CF0B43">
        <w:rPr>
          <w:b w:val="0"/>
          <w:sz w:val="20"/>
        </w:rPr>
        <w:instrText>ADDIN CSL_CITATION {"citationItems":[{"id":"ITEM-1","itemData":{"DOI":"10.3390/land13050610","ISSN":"2073445X","abstract":"Chile’s central-south region has experienced significant land use changes in the past fifty years, affecting native forests, agriculture, and urbanization. This article examines these changes and assesses their impact on native forest cover and agricultural land. Agricultural data for Chile (1980–2020) were obtained from public Chilean institutions (INE and ODEPA). Data on land use changes in central and south Chile (1975–2018), analysed from satellite images, were obtained from indexed papers. Urban area expansion in Chile between 1993 and 2020 was examined using publicly available data from MINVIU, Chile. Additionally, photovoltaic park data was sourced from SEA, Chile. Field crop coverage, primarily in central and southern Chile, decreased from 1,080,000 ha in 1980 to 667,000 ha in 2020, with notable decreases observed in cereal and legume crops. Conversely, the coverage of export-oriented orchards and vineyards increased from 194,947 ha to 492,587 ha. Forest plantations expanded significantly, ranging from 18% per decade in northern central Chile to 246% in the Maule and Biobío regions. This was accompanied by a 12.7–27.0% reduction per 10 years in native forest. Urban areas have experienced significant growth of 91% in the last 27 years, concentrated in the Mediterranean climate region. Solar photovoltaic parks have begun to increasingly replace thorn scrub (Espinal) and agricultural land, mirroring transformations seen in other Mediterranean nations like Spain and Portugal.","author":[{"dropping-particle":"","family":"Pozo","given":"Alejandro","non-dropping-particle":"del","parse-names":false,"suffix":""},{"dropping-particle":"","family":"Catenacci-Aguilera","given":"Giordano","non-dropping-particle":"","parse-names":false,"suffix":""},{"dropping-particle":"","family":"Acosta-Gallo","given":"Belén","non-dropping-particle":"","parse-names":false,"suffix":""}],"container-title":"Land","id":"ITEM-1","issue":"5","issued":{"date-parts":[["2024"]]},"title":"Consequences of Land Use Changes on Native Forest and Agricultural Areas in Central-Southern Chile during the Last Fifty Years","type":"article-journal","volume":"13"},"uris":["http://www.mendeley.com/documents/?uuid=a46a1882-34cd-4e6f-b1e3-281bd504162f"]},{"id":"ITEM-2","itemData":{"DOI":"10.1016/j.foreco.2024.121847","ISSN":"03781127","abstract":"Chile is a global biodiversity hotspot and hosts a large proportion of the southern hemisphere's temperate forests. The Chilean Valdivian temperate forest is a vulnerable ecosystem containing a highly ecologically valuable species assemblage. Productive forest plantations have involved deforestation of, and alien species introduction into, this ecosystem. This process has already severely impacted the western part of Chile (the Coastal Range) and is now occurring in the eastern part (the Andes), with forestry plantations promoted by government subsidies between 1974 and 2012. Archive Landsat satellite imagery classification and Google Earth Engine are used to assess land cover change over a 31-year period with a focus on alien species (Pinaceae and Eucalyptus spp.) spread and native (Nothofagus spp. and Araucaria araucana) deforestation. Results show a clear land cover pattern based on elevation: a higher altitude, relatively undisturbed area dominated by native forest (the Andes), and a lower altitude area where most human activity and related land covers are located (the valley area). The valley is highly dynamic because of constant land cover change due to forestry. Overall, Araucaria araucana cover has decreased over the study period, while Nothofagus spp. has remained relatively stable. Alien Pinaceae has decreased, while Eucalyptus spp. has remained stable. However, the results indicate that change analysis over long periods conceal dynamism. For example, Eucalyptus spp. sharply decreased between the 1980s and the 1990s and surged afterwards. Also, even though Nothofagus spp. cover dominates throughout the study period, change analysis shows a high degree of change in the valley area, indicating newly established Nothofagus spp. patches. Over the study period, long rotation Pinaceae plantations for timber have given way to shorter rotation forestry (alien Eucalyptus spp., native Nothofagus spp.) for pulp and local uses resulting from discontinuation of forest subsidies. In the absence of subsidies, only large-scale plantations can engage in long rotation forestry, as smallholders need the more stable income provided by shorter rotation forestry. Although higher elevations (the Andes) are dominated by native forest, several abandoned alien forest plantations may be the source of biological invasion. In addition, native forest degradation as a result of Araucaria araucana loss and shrub encroachment is occurring. Earth observation methods are key fo…","author":[{"dropping-particle":"","family":"Martin-Gallego","given":"Pilar","non-dropping-particle":"","parse-names":false,"suffix":""},{"dropping-particle":"","family":"Marston","given":"Christopher G.","non-dropping-particle":"","parse-names":false,"suffix":""},{"dropping-particle":"","family":"Altamirano","given":"Adison","non-dropping-particle":"","parse-names":false,"suffix":""},{"dropping-particle":"","family":"Pauchard","given":"Aníbal","non-dropping-particle":"","parse-names":false,"suffix":""},{"dropping-particle":"","family":"Aplin","given":"Paul","non-dropping-particle":"","parse-names":false,"suffix":""}],"container-title":"Forest Ecology and Management","id":"ITEM-2","issue":"March","issued":{"date-parts":[["2024"]]},"page":"121847","publisher":"Elsevier B.V.","title":"Mapping alien and native forest dynamics in Chile using Earth observation time series analysis","type":"article-journal","volume":"560"},"uris":["http://www.mendeley.com/documents/?uuid=7324c42d-cc2f-4af5-b50d-9ec249ff8eb3"]}],"mendeley":{"formattedCitation":"&lt;span style=\"baseline\"&gt;[24,25]&lt;/span&gt;","plainTextFormattedCitation":"[24,25]","previouslyFormattedCitation":"&lt;span style=\"baseline\"&gt;[24,25]&lt;/span&gt;"},"properties":{"noteIndex":0},"schema":"https://github.com/citation-style-language/schema/raw/master/csl-citation.json"}</w:instrText>
      </w:r>
      <w:r w:rsidR="003876CF">
        <w:rPr>
          <w:b w:val="0"/>
          <w:sz w:val="20"/>
        </w:rPr>
        <w:fldChar w:fldCharType="separate"/>
      </w:r>
      <w:r w:rsidR="004B02F5" w:rsidRPr="004B02F5">
        <w:rPr>
          <w:b w:val="0"/>
          <w:noProof/>
          <w:sz w:val="20"/>
        </w:rPr>
        <w:t>[24,25]</w:t>
      </w:r>
      <w:r w:rsidR="003876CF">
        <w:rPr>
          <w:b w:val="0"/>
          <w:sz w:val="20"/>
        </w:rPr>
        <w:fldChar w:fldCharType="end"/>
      </w:r>
      <w:r w:rsidRPr="004D72E4">
        <w:rPr>
          <w:b w:val="0"/>
          <w:sz w:val="20"/>
        </w:rPr>
        <w:t xml:space="preserve">. Forests and natural woodland areas have been affected by the expansion of forestry plantations and agricultural lands </w:t>
      </w:r>
      <w:r w:rsidR="003876CF">
        <w:rPr>
          <w:b w:val="0"/>
          <w:sz w:val="20"/>
        </w:rPr>
        <w:fldChar w:fldCharType="begin" w:fldLock="1"/>
      </w:r>
      <w:r w:rsidR="00CF0B43">
        <w:rPr>
          <w:b w:val="0"/>
          <w:sz w:val="20"/>
        </w:rPr>
        <w:instrText>ADDIN CSL_CITATION {"citationItems":[{"id":"ITEM-1","itemData":{"DOI":"10.1007/s10113-016-1010-7","ISSN":"1436378X","abstract":"The understanding of the spatial and temporal patterns in land use and land cover (LULC) change is a key issue for conservation efforts. In the Chilean hotspot, different studies have attempted to understand variations of LULC change. Nevertheless, a broader understanding of common patterns and variability of LULC over the entire range of the hotspot is lacking. We performed a complete review of the different studies reporting LULC changes and performed a joint analysis of their results using an integrated comprehensive approach. We related the variation of LULC change to latitude, time period and vascular plant richness using generalized linear models. Overall, there were nine studies, which covered 36.5 % of the study area, and reported the loss of 19 % of native forest (782,120 ha) between 1973 and 2011. The highest net forest loss was observed in the 1970–1990 period. This decreased in the 1990–2000 period and rose again in the 2000–2010 period. This result reveals a continuous forest loss in the last 40 years. Conversion of native forest to shrublands is the most important contributor to net native forest loss, accounting for 45 % of the loss. However, in the area of greatest species richness native forests are mainly converted to exotic tree plantations. Chilean forestry model has proved successful in expanding exotic tree plantation, but so far it has not been compatible with native forest conservation and restoration. It is imperative to design a new forestry policy to assure the conservation of one of the most unique biodiversity hotspots worldwide.","author":[{"dropping-particle":"","family":"Miranda","given":"Alejandro","non-dropping-particle":"","parse-names":false,"suffix":""},{"dropping-particle":"","family":"Altamirano","given":"Adison","non-dropping-particle":"","parse-names":false,"suffix":""},{"dropping-particle":"","family":"Cayuela","given":"Luis","non-dropping-particle":"","parse-names":false,"suffix":""},{"dropping-particle":"","family":"Lara","given":"Antonio","non-dropping-particle":"","parse-names":false,"suffix":""},{"dropping-particle":"","family":"González","given":"Mauro","non-dropping-particle":"","parse-names":false,"suffix":""}],"container-title":"Regional Environmental Change","id":"ITEM-1","issue":"1","issued":{"date-parts":[["2017"]]},"page":"285-297","title":"Native forest loss in the Chilean biodiversity hotspot: revealing the evidence","type":"article-journal","volume":"17"},"uris":["http://www.mendeley.com/documents/?uuid=1f4910e0-9031-43e0-81aa-0130236d8acb"]},{"id":"ITEM-2","itemData":{"DOI":"10.3390/w14152304","ISSN":"20734441","abstract":"Land use/cover change (LUCC) and climate change (CC) affect water resource availability as they alter important hydrological processes. Mentioned factors modify the magnitude of surface runoff, groundwater recharge, and river flow among other parameters. In the present work, changes that occurred in the recent decades at the Quino and Muco river watersheds in the south-central zone of Chile were evaluated to predict future cover/use changes considering a forest expansion scenario according to Chilean regulations. In this way an expansion by 42.3 km2 and 52.7 km2 at Quino and Muco watersheds, respectively, was predicted, reaching a watersheds’ occupation of 35.4% and 22.3% in 2051. Additionally, the local climatic model RegCM4-MPI-ESM-MR was used considering periods from 2020–2049 and 2050–2079, under the RCP 8.5 scenario. Finally, the SWAT model was applied to assess the hydrological response of both watersheds facing the considered forcing factors. Five scenarios were determined to evaluate the LUCC and CC individual and combined effects. The results depict a higher sensitivity of the watersheds to CC impacts, where an increase of evapotranspiration, with a lessening of percolation, surface flow, lateral flow, and groundwater flow, triggered a water yield (WYLD) decrease in all predicted scenarios. However, when both global changes act synergistically, the WYLD decreases considerably with reductions of 109.8 mm and 123.3 mm at the Quino and Muco watersheds, respectively, in the most extreme simulated scenario. This water scarcity context highlights the necessity to promote land use management strategies to counteract the imminent effects of CC in the watersheds.","author":[{"dropping-particle":"","family":"Martínez-Retureta","given":"Rebeca","non-dropping-particle":"","parse-names":false,"suffix":""},{"dropping-particle":"","family":"Aguayo","given":"Mauricio","non-dropping-particle":"","parse-names":false,"suffix":""},{"dropping-particle":"","family":"Abreu","given":"Norberto J.","non-dropping-particle":"","parse-names":false,"suffix":""},{"dropping-particle":"","family":"Urrutia","given":"Roberto","non-dropping-particle":"","parse-names":false,"suffix":""},{"dropping-particle":"","family":"Echeverría","given":"Cristian","non-dropping-particle":"","parse-names":false,"suffix":""},{"dropping-particle":"","family":"Lagos","given":"Octavio","non-dropping-particle":"","parse-names":false,"suffix":""},{"dropping-particle":"","family":"Rodríguez-López","given":"Lien","non-dropping-particle":"","parse-names":false,"suffix":""},{"dropping-particle":"","family":"Duran-Llacer","given":"Iongel","non-dropping-particle":"","parse-names":false,"suffix":""},{"dropping-particle":"","family":"Barra","given":"Ricardo O.","non-dropping-particle":"","parse-names":false,"suffix":""}],"container-title":"Water (Switzerland)","id":"ITEM-2","issue":"15","issued":{"date-parts":[["2022"]]},"title":"Influence of Climate and Land Cover/Use Change on Water Balance: An Approach to Individual and Combined Effects","type":"article-journal","volume":"14"},"uris":["http://www.mendeley.com/documents/?uuid=42cc0e96-a039-4491-a8ff-56521349d0e9"]}],"mendeley":{"formattedCitation":"&lt;span style=\"baseline\"&gt;[26,27]&lt;/span&gt;","plainTextFormattedCitation":"[26,27]","previouslyFormattedCitation":"&lt;span style=\"baseline\"&gt;[26,27]&lt;/span&gt;"},"properties":{"noteIndex":0},"schema":"https://github.com/citation-style-language/schema/raw/master/csl-citation.json"}</w:instrText>
      </w:r>
      <w:r w:rsidR="003876CF">
        <w:rPr>
          <w:b w:val="0"/>
          <w:sz w:val="20"/>
        </w:rPr>
        <w:fldChar w:fldCharType="separate"/>
      </w:r>
      <w:r w:rsidR="004B02F5" w:rsidRPr="004B02F5">
        <w:rPr>
          <w:b w:val="0"/>
          <w:noProof/>
          <w:sz w:val="20"/>
        </w:rPr>
        <w:t>[26,27]</w:t>
      </w:r>
      <w:r w:rsidR="003876CF">
        <w:rPr>
          <w:b w:val="0"/>
          <w:sz w:val="20"/>
        </w:rPr>
        <w:fldChar w:fldCharType="end"/>
      </w:r>
      <w:r w:rsidRPr="004D72E4">
        <w:rPr>
          <w:b w:val="0"/>
          <w:sz w:val="20"/>
        </w:rPr>
        <w:t xml:space="preserve">. While the presence of exotic species has increased mainly in central-southern Chile </w:t>
      </w:r>
      <w:r w:rsidR="003876CF">
        <w:rPr>
          <w:b w:val="0"/>
          <w:sz w:val="20"/>
        </w:rPr>
        <w:fldChar w:fldCharType="begin" w:fldLock="1"/>
      </w:r>
      <w:r w:rsidR="00CF0B43">
        <w:rPr>
          <w:b w:val="0"/>
          <w:sz w:val="20"/>
        </w:rPr>
        <w:instrText>ADDIN CSL_CITATION {"citationItems":[{"id":"ITEM-1","itemData":{"DOI":"10.1016/j.foreco.2024.121847","ISSN":"03781127","abstract":"Chile is a global biodiversity hotspot and hosts a large proportion of the southern hemisphere's temperate forests. The Chilean Valdivian temperate forest is a vulnerable ecosystem containing a highly ecologically valuable species assemblage. Productive forest plantations have involved deforestation of, and alien species introduction into, this ecosystem. This process has already severely impacted the western part of Chile (the Coastal Range) and is now occurring in the eastern part (the Andes), with forestry plantations promoted by government subsidies between 1974 and 2012. Archive Landsat satellite imagery classification and Google Earth Engine are used to assess land cover change over a 31-year period with a focus on alien species (Pinaceae and Eucalyptus spp.) spread and native (Nothofagus spp. and Araucaria araucana) deforestation. Results show a clear land cover pattern based on elevation: a higher altitude, relatively undisturbed area dominated by native forest (the Andes), and a lower altitude area where most human activity and related land covers are located (the valley area). The valley is highly dynamic because of constant land cover change due to forestry. Overall, Araucaria araucana cover has decreased over the study period, while Nothofagus spp. has remained relatively stable. Alien Pinaceae has decreased, while Eucalyptus spp. has remained stable. However, the results indicate that change analysis over long periods conceal dynamism. For example, Eucalyptus spp. sharply decreased between the 1980s and the 1990s and surged afterwards. Also, even though Nothofagus spp. cover dominates throughout the study period, change analysis shows a high degree of change in the valley area, indicating newly established Nothofagus spp. patches. Over the study period, long rotation Pinaceae plantations for timber have given way to shorter rotation forestry (alien Eucalyptus spp., native Nothofagus spp.) for pulp and local uses resulting from discontinuation of forest subsidies. In the absence of subsidies, only large-scale plantations can engage in long rotation forestry, as smallholders need the more stable income provided by shorter rotation forestry. Although higher elevations (the Andes) are dominated by native forest, several abandoned alien forest plantations may be the source of biological invasion. In addition, native forest degradation as a result of Araucaria araucana loss and shrub encroachment is occurring. Earth observation methods are key fo…","author":[{"dropping-particle":"","family":"Martin-Gallego","given":"Pilar","non-dropping-particle":"","parse-names":false,"suffix":""},{"dropping-particle":"","family":"Marston","given":"Christopher G.","non-dropping-particle":"","parse-names":false,"suffix":""},{"dropping-particle":"","family":"Altamirano","given":"Adison","non-dropping-particle":"","parse-names":false,"suffix":""},{"dropping-particle":"","family":"Pauchard","given":"Aníbal","non-dropping-particle":"","parse-names":false,"suffix":""},{"dropping-particle":"","family":"Aplin","given":"Paul","non-dropping-particle":"","parse-names":false,"suffix":""}],"container-title":"Forest Ecology and Management","id":"ITEM-1","issue":"March","issued":{"date-parts":[["2024"]]},"page":"121847","publisher":"Elsevier B.V.","title":"Mapping alien and native forest dynamics in Chile using Earth observation time series analysis","type":"article-journal","volume":"560"},"uris":["http://www.mendeley.com/documents/?uuid=7324c42d-cc2f-4af5-b50d-9ec249ff8eb3"]},{"id":"ITEM-2","itemData":{"DOI":"10.3390/w13060794","ISSN":"20734441","abstract":"In this study, the SWAT (SoilWater Assessment Tool) hydrological model is implemented to determine the effect of climate change on various hydrological components in two basins located in the foothills of the Andes: The Quino and Muco river basins. The water cycle is analyzed by comparing the model results to climatic data observed in the past (1982–2016) to understand its trend behaviors. Then, the variations and geographical distribution of the components of the hydrological cycle were analyzed using the Representative Concentration Pathway (RCP)8.5 climate scenario to model two periods considering the immediate future (2020–2049) and intermediate future (2050–2079). In this way, in the study area, it is predicted that yearly average temperatures will increase up to 1.7 C and that annual average precipitation will decrease up to 210 mm for the intermediate future. Obtained results show that the analyzed parameters presented the same trend behavior for both periods of time, however, a greater impact can be expected in the intermediate future. According to the spatial distribution, the impact worsens for all the parameters as the elevation increases in both basins. The model depicted that yearly average evapotranspiration would increase around 5.26% and 5.81% for Quino and Muco basins, respectively, due to the large increase in temperature. This may cause, when combined with the precipitation lessening, a decrease around 9.52% and 9.73% of percolation, 2.38% and 1.76% of surface flow, and 7.44% and 8.14% of groundwater for Quino and Muco basins, respectively, with a consequent decrease of the water yield in 5.25% and 4.98% in the aforementioned watersheds, respectively.","author":[{"dropping-particle":"","family":"Martínez-Retureta","given":"Rebeca","non-dropping-particle":"","parse-names":false,"suffix":""},{"dropping-particle":"","family":"Aguayo","given":"Mauricio","non-dropping-particle":"","parse-names":false,"suffix":""},{"dropping-particle":"","family":"Abreu","given":"Norberto J.","non-dropping-particle":"","parse-names":false,"suffix":""},{"dropping-particle":"","family":"Stehr","given":"Alejandra","non-dropping-particle":"","parse-names":false,"suffix":""},{"dropping-particle":"","family":"Duran-Llacer","given":"Iongel","non-dropping-particle":"","parse-names":false,"suffix":""},{"dropping-particle":"","family":"Rodríguez-López","given":"Lien","non-dropping-particle":"","parse-names":false,"suffix":""},{"dropping-particle":"","family":"Sauvage","given":"Sabine","non-dropping-particle":"","parse-names":false,"suffix":""},{"dropping-particle":"","family":"Sánchez-Pérez","given":"José Miguel","non-dropping-particle":"","parse-names":false,"suffix":""}],"container-title":"Water (Switzerland)","id":"ITEM-2","issue":"6","issued":{"date-parts":[["2021","3","2"]]},"publisher":"MDPI AG","title":"Estimation of the climate change impact on the hydrological balance in basins of south-central chile","type":"article-journal","volume":"13"},"uris":["http://www.mendeley.com/documents/?uuid=49c5817a-82ea-3ee2-bf9e-a4fe3f8d758f"]}],"mendeley":{"formattedCitation":"&lt;span style=\"baseline\"&gt;[25,28]&lt;/span&gt;","plainTextFormattedCitation":"[25,28]","previouslyFormattedCitation":"&lt;span style=\"baseline\"&gt;[25,28]&lt;/span&gt;"},"properties":{"noteIndex":0},"schema":"https://github.com/citation-style-language/schema/raw/master/csl-citation.json"}</w:instrText>
      </w:r>
      <w:r w:rsidR="003876CF">
        <w:rPr>
          <w:b w:val="0"/>
          <w:sz w:val="20"/>
        </w:rPr>
        <w:fldChar w:fldCharType="separate"/>
      </w:r>
      <w:r w:rsidR="004B02F5" w:rsidRPr="004B02F5">
        <w:rPr>
          <w:b w:val="0"/>
          <w:noProof/>
          <w:sz w:val="20"/>
        </w:rPr>
        <w:t>[25,28]</w:t>
      </w:r>
      <w:r w:rsidR="003876CF">
        <w:rPr>
          <w:b w:val="0"/>
          <w:sz w:val="20"/>
        </w:rPr>
        <w:fldChar w:fldCharType="end"/>
      </w:r>
      <w:r w:rsidRPr="004D72E4">
        <w:rPr>
          <w:b w:val="0"/>
          <w:sz w:val="20"/>
        </w:rPr>
        <w:t xml:space="preserve">, agricultural land-use changes have been observed across much of the country </w:t>
      </w:r>
      <w:r w:rsidR="003876CF">
        <w:rPr>
          <w:b w:val="0"/>
          <w:sz w:val="20"/>
        </w:rPr>
        <w:fldChar w:fldCharType="begin" w:fldLock="1"/>
      </w:r>
      <w:r w:rsidR="00CF0B43">
        <w:rPr>
          <w:b w:val="0"/>
          <w:sz w:val="20"/>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approach","type":"article-journal","volume":"12"},"uris":["http://www.mendeley.com/documents/?uuid=77f8c6a9-01fa-387a-bb5e-ee29029f0221"]},{"id":"ITEM-2","itemData":{"DOI":"10.3390/land13050610","ISSN":"2073445X","abstract":"Chile’s central-south region has experienced significant land use changes in the past fifty years, affecting native forests, agriculture, and urbanization. This article examines these changes and assesses their impact on native forest cover and agricultural land. Agricultural data for Chile (1980–2020) were obtained from public Chilean institutions (INE and ODEPA). Data on land use changes in central and south Chile (1975–2018), analysed from satellite images, were obtained from indexed papers. Urban area expansion in Chile between 1993 and 2020 was examined using publicly available data from MINVIU, Chile. Additionally, photovoltaic park data was sourced from SEA, Chile. Field crop coverage, primarily in central and southern Chile, decreased from 1,080,000 ha in 1980 to 667,000 ha in 2020, with notable decreases observed in cereal and legume crops. Conversely, the coverage of export-oriented orchards and vineyards increased from 194,947 ha to 492,587 ha. Forest plantations expanded significantly, ranging from 18% per decade in northern central Chile to 246% in the Maule and Biobío regions. This was accompanied by a 12.7–27.0% reduction per 10 years in native forest. Urban areas have experienced significant growth of 91% in the last 27 years, concentrated in the Mediterranean climate region. Solar photovoltaic parks have begun to increasingly replace thorn scrub (Espinal) and agricultural land, mirroring transformations seen in other Mediterranean nations like Spain and Portugal.","author":[{"dropping-particle":"","family":"Pozo","given":"Alejandro","non-dropping-particle":"del","parse-names":false,"suffix":""},{"dropping-particle":"","family":"Catenacci-Aguilera","given":"Giordano","non-dropping-particle":"","parse-names":false,"suffix":""},{"dropping-particle":"","family":"Acosta-Gallo","given":"Belén","non-dropping-particle":"","parse-names":false,"suffix":""}],"container-title":"Land","id":"ITEM-2","issue":"5","issued":{"date-parts":[["2024"]]},"title":"Consequences of Land Use Changes on Native Forest and Agricultural Areas in Central-Southern Chile during the Last Fifty Years","type":"article-journal","volume":"13"},"uris":["http://www.mendeley.com/documents/?uuid=a46a1882-34cd-4e6f-b1e3-281bd504162f"]}],"mendeley":{"formattedCitation":"&lt;span style=\"baseline\"&gt;[23,24]&lt;/span&gt;","plainTextFormattedCitation":"[23,24]","previouslyFormattedCitation":"&lt;span style=\"baseline\"&gt;[23,24]&lt;/span&gt;"},"properties":{"noteIndex":0},"schema":"https://github.com/citation-style-language/schema/raw/master/csl-citation.json"}</w:instrText>
      </w:r>
      <w:r w:rsidR="003876CF">
        <w:rPr>
          <w:b w:val="0"/>
          <w:sz w:val="20"/>
        </w:rPr>
        <w:fldChar w:fldCharType="separate"/>
      </w:r>
      <w:r w:rsidR="004B02F5" w:rsidRPr="004B02F5">
        <w:rPr>
          <w:b w:val="0"/>
          <w:noProof/>
          <w:sz w:val="20"/>
        </w:rPr>
        <w:t>[23,24]</w:t>
      </w:r>
      <w:r w:rsidR="003876CF">
        <w:rPr>
          <w:b w:val="0"/>
          <w:sz w:val="20"/>
        </w:rPr>
        <w:fldChar w:fldCharType="end"/>
      </w:r>
      <w:r w:rsidRPr="004D72E4">
        <w:rPr>
          <w:b w:val="0"/>
          <w:sz w:val="20"/>
        </w:rPr>
        <w:t>. In particular,</w:t>
      </w:r>
      <w:r>
        <w:rPr>
          <w:b w:val="0"/>
          <w:sz w:val="20"/>
        </w:rPr>
        <w:t xml:space="preserve"> </w:t>
      </w:r>
      <w:r w:rsidRPr="004D72E4">
        <w:rPr>
          <w:b w:val="0"/>
          <w:sz w:val="20"/>
        </w:rPr>
        <w:t xml:space="preserve">orchards and fruit-growing lands have expanded significantly in central Chile, driven by the growth of the export-oriented fruit agroindustry </w:t>
      </w:r>
      <w:r w:rsidR="003876CF">
        <w:rPr>
          <w:b w:val="0"/>
          <w:sz w:val="20"/>
        </w:rPr>
        <w:fldChar w:fldCharType="begin" w:fldLock="1"/>
      </w:r>
      <w:r w:rsidR="00CF0B43">
        <w:rPr>
          <w:b w:val="0"/>
          <w:sz w:val="20"/>
        </w:rPr>
        <w:instrText>ADDIN CSL_CITATION {"citationItems":[{"id":"ITEM-1","itemData":{"DOI":"10.3390/land13050610","ISSN":"2073445X","abstract":"Chile’s central-south region has experienced significant land use changes in the past fifty years, affecting native forests, agriculture, and urbanization. This article examines these changes and assesses their impact on native forest cover and agricultural land. Agricultural data for Chile (1980–2020) were obtained from public Chilean institutions (INE and ODEPA). Data on land use changes in central and south Chile (1975–2018), analysed from satellite images, were obtained from indexed papers. Urban area expansion in Chile between 1993 and 2020 was examined using publicly available data from MINVIU, Chile. Additionally, photovoltaic park data was sourced from SEA, Chile. Field crop coverage, primarily in central and southern Chile, decreased from 1,080,000 ha in 1980 to 667,000 ha in 2020, with notable decreases observed in cereal and legume crops. Conversely, the coverage of export-oriented orchards and vineyards increased from 194,947 ha to 492,587 ha. Forest plantations expanded significantly, ranging from 18% per decade in northern central Chile to 246% in the Maule and Biobío regions. This was accompanied by a 12.7–27.0% reduction per 10 years in native forest. Urban areas have experienced significant growth of 91% in the last 27 years, concentrated in the Mediterranean climate region. Solar photovoltaic parks have begun to increasingly replace thorn scrub (Espinal) and agricultural land, mirroring transformations seen in other Mediterranean nations like Spain and Portugal.","author":[{"dropping-particle":"","family":"Pozo","given":"Alejandro","non-dropping-particle":"del","parse-names":false,"suffix":""},{"dropping-particle":"","family":"Catenacci-Aguilera","given":"Giordano","non-dropping-particle":"","parse-names":false,"suffix":""},{"dropping-particle":"","family":"Acosta-Gallo","given":"Belén","non-dropping-particle":"","parse-names":false,"suffix":""}],"container-title":"Land","id":"ITEM-1","issue":"5","issued":{"date-parts":[["2024"]]},"title":"Consequences of Land Use Changes on Native Forest and Agricultural Areas in Central-Southern Chile during the Last Fifty Years","type":"article-journal","volume":"13"},"uris":["http://www.mendeley.com/documents/?uuid=a46a1882-34cd-4e6f-b1e3-281bd504162f"]},{"id":"ITEM-2","itemData":{"DOI":"10.5354/0719-5370.2024.75159","author":[{"dropping-particle":"","family":"Bellisario","given":"Antonio","non-dropping-particle":"","parse-names":false,"suffix":""},{"dropping-particle":"","family":"Janke","given":"Jason","non-dropping-particle":"","parse-names":false,"suffix":""}],"container-title":"Investigaciones Geográficas: una mirada desde el Sur","id":"ITEM-2","issued":{"date-parts":[["2024"]]},"page":"72-94","title":"Assessing the Impacts of a Multi-Year Drought on Water Resources and Agriculture in the Aconcagua River Basin of Chile","type":"article-journal","volume":"67"},"uris":["http://www.mendeley.com/documents/?uuid=9059dcdb-81e5-4efb-a830-d6ebf7c0eaf1"]}],"mendeley":{"formattedCitation":"&lt;span style=\"baseline\"&gt;[24,29]&lt;/span&gt;","plainTextFormattedCitation":"[24,29]","previouslyFormattedCitation":"&lt;span style=\"baseline\"&gt;[24,29]&lt;/span&gt;"},"properties":{"noteIndex":0},"schema":"https://github.com/citation-style-language/schema/raw/master/csl-citation.json"}</w:instrText>
      </w:r>
      <w:r w:rsidR="003876CF">
        <w:rPr>
          <w:b w:val="0"/>
          <w:sz w:val="20"/>
        </w:rPr>
        <w:fldChar w:fldCharType="separate"/>
      </w:r>
      <w:r w:rsidR="004B02F5" w:rsidRPr="004B02F5">
        <w:rPr>
          <w:b w:val="0"/>
          <w:noProof/>
          <w:sz w:val="20"/>
        </w:rPr>
        <w:t>[24,29]</w:t>
      </w:r>
      <w:r w:rsidR="003876CF">
        <w:rPr>
          <w:b w:val="0"/>
          <w:sz w:val="20"/>
        </w:rPr>
        <w:fldChar w:fldCharType="end"/>
      </w:r>
      <w:r w:rsidRPr="004D72E4">
        <w:rPr>
          <w:b w:val="0"/>
          <w:sz w:val="20"/>
        </w:rPr>
        <w:t>. Since the 1990s, avocado (</w:t>
      </w:r>
      <w:r w:rsidRPr="004D72E4">
        <w:rPr>
          <w:b w:val="0"/>
          <w:i/>
          <w:iCs/>
          <w:sz w:val="20"/>
        </w:rPr>
        <w:t>Persea americana</w:t>
      </w:r>
      <w:r w:rsidRPr="004D72E4">
        <w:rPr>
          <w:b w:val="0"/>
          <w:sz w:val="20"/>
        </w:rPr>
        <w:t xml:space="preserve"> Mill.) exports have increased, leading to an expansion of cultivated areas </w:t>
      </w:r>
      <w:r w:rsidR="003876CF">
        <w:rPr>
          <w:b w:val="0"/>
          <w:sz w:val="20"/>
        </w:rPr>
        <w:fldChar w:fldCharType="begin" w:fldLock="1"/>
      </w:r>
      <w:r w:rsidR="00CF0B43">
        <w:rPr>
          <w:b w:val="0"/>
          <w:sz w:val="20"/>
        </w:rPr>
        <w:instrText>ADDIN CSL_CITATION {"citationItems":[{"id":"ITEM-1","itemData":{"abstract":"Introducción El objetivo del artículo es componer un cuerpo teórico y metodológico para comprender desde una perspectiva socioecológica los efectos de la agricultura de exportación, considerando los factores económicos, ecológicos, sociales y políticos que afectan a las comunidades campesinas con relación al agua y a la tierra. La agricultura de exportación no suele generar oposiciones inmediatas entre los habitantes, comparado con otras actividades contemporáneas que promueven impactos socioecológicos significativos como la explotación minera, las plantas industriales o los proyectos hidroeléctricos. Esto se debe, en parte, a que los efectos de ese sistema agrícola son más visibles a mediano y largo plazo, y debido a que las clases dominantes construyen un sentido común que nos avisa que se trata de una actividad económica cuyo foco es producir alimentos, función vital e ineludible para la sociedad (McMichael, 2009). No obstante, la producción de alimentos ha sido subordinada sistemáticamente en las últimas décadas a los procesos de mercantilización de la actividad agrícola, cuyo centro es garantizar ganancias a lo largo del proceso de producción y circulación capitalista (McMichael, 2009). Esta transformación ha llevado a una lógica nueva de producción bajo un modelo de agronegocio (Gras y Hernández, 2013) que implica: i) la intensificación del protagonismo del capital en cada una de las fases de producción, circulación, comercialización y consumo de alimentos, ii) la imbricación con el sector químico y biotecnológico, junto con la progresiva sustitución de productos agrícolas por agroindustriales, iii) la organización de la producción mundial controlada por oligopolios y centrada en el consumidor global, en desmedro de los consumidores locales, iv) los procesos crecientes de acaparamiento y concentración de tierras en los países del Sur global, y v) la pro-fundización a gran escala de la producción de monocultivos, lo que implica usos intensivos de energía, agua, suelo y agroquímicos (Pengue, 2006). Un aspecto inédito del agronegocio contemporáneo es haber generado una circulación de energía y materiales sin precedentes (Porto-Gonçalves, 2016). En ese incremento de los flujos, el agua posee un papel protagónico, cuya circulación ha aumentado \"con las exportaciones de los países agrícolas durante los últimos cuarenta años […] Aproximadamente el 15% del agua utilizada en el mundo se destina a la exportación en forma de agua virtual\" (Pengue, 2006: 4). …","author":[{"dropping-particle":"","family":"Panez-Pinto","given":"Alexander","non-dropping-particle":"","parse-names":false,"suffix":""},{"dropping-particle":"","family":"Mansilla-Quiñones","given":"Pablo","non-dropping-particle":"","parse-names":false,"suffix":""},{"dropping-particle":"","family":"Moreira-Muñoz","given":"Andrés","non-dropping-particle":"","parse-names":false,"suffix":""}],"container-title":"Bitacora","id":"ITEM-1","issue":"3","issued":{"date-parts":[["2018"]]},"page":"153 - 160","title":"Agua, tierra y fractura sociometabólica del agronegocio","type":"article-journal","volume":"28"},"uris":["http://www.mendeley.com/documents/?uuid=cbb97f04-2a0e-30ce-b2d2-a4548767b51e"]},{"id":"ITEM-2","itemData":{"DOI":"10.3390/w12020566","ISSN":"20734441","abstract":"Chile has gone through more than four decades of neoliberalism, inaugurated by the civil-military dictatorship (1973-1990). One of the central aspects of the current model is the neoliberal exploitation of natural commons such as land, water and minerals. In some territories, such as the central-north province of Petorca, the accelerated extractivism of this period has disrupted the reproduction of life cycles, leading to disruptive influences in the form of \"socio-metabolic fractures\". In this article we highlight aspects of this process as it relates to rural community water management. Based on literature and media analysis we first describe the case of Petorca from a political, ecological point of view. We then use the concept of institutional bricolage (ad hoc construction) to analyze qualitative interviews, allowing us to establish a more in-depth insight into the organizational structures of Petorca. Although we point to the weakening of community organization, we highlight in this article how, in a scenario of profound dispossession, as is taking place in the province of Petorca, ongoing experiences of community organization continue to emerge and challenge the impacts of the socio-metabolic rift. Thereby we shed light upon the often less visible structures of power and the processes of meaning and legitimacy within these social innovations.","author":[{"dropping-particle":"","family":"Roose","given":"Ilka","non-dropping-particle":"","parse-names":false,"suffix":""},{"dropping-particle":"","family":"Panez","given":"Alexander","non-dropping-particle":"","parse-names":false,"suffix":""}],"container-title":"Water (Switzerland)","id":"ITEM-2","issue":"2","issued":{"date-parts":[["2020","2","1"]]},"publisher":"MDPI AG","title":"Social Innovations as A Response to Dispossession: Community Water Management in View of Socio-Metabolic Rift in Chile","type":"article-journal","volume":"12"},"uris":["http://www.mendeley.com/documents/?uuid=8cc886cc-b3ca-3374-91e6-5269fc9e1c84"]}],"mendeley":{"formattedCitation":"&lt;span style=\"baseline\"&gt;[30,31]&lt;/span&gt;","plainTextFormattedCitation":"[30,31]","previouslyFormattedCitation":"&lt;span style=\"baseline\"&gt;[30,31]&lt;/span&gt;"},"properties":{"noteIndex":0},"schema":"https://github.com/citation-style-language/schema/raw/master/csl-citation.json"}</w:instrText>
      </w:r>
      <w:r w:rsidR="003876CF">
        <w:rPr>
          <w:b w:val="0"/>
          <w:sz w:val="20"/>
        </w:rPr>
        <w:fldChar w:fldCharType="separate"/>
      </w:r>
      <w:r w:rsidR="004B02F5" w:rsidRPr="004B02F5">
        <w:rPr>
          <w:b w:val="0"/>
          <w:noProof/>
          <w:sz w:val="20"/>
        </w:rPr>
        <w:t>[30,31]</w:t>
      </w:r>
      <w:r w:rsidR="003876CF">
        <w:rPr>
          <w:b w:val="0"/>
          <w:sz w:val="20"/>
        </w:rPr>
        <w:fldChar w:fldCharType="end"/>
      </w:r>
      <w:r w:rsidRPr="004D72E4">
        <w:rPr>
          <w:b w:val="0"/>
          <w:sz w:val="20"/>
        </w:rPr>
        <w:t>. Chile is among the world's top ten avocado producers, with its avocado exports valued at over 300 million dollars</w:t>
      </w:r>
      <w:r w:rsidR="003876CF">
        <w:rPr>
          <w:b w:val="0"/>
          <w:sz w:val="20"/>
        </w:rPr>
        <w:t xml:space="preserve"> </w:t>
      </w:r>
      <w:r w:rsidR="003876CF">
        <w:rPr>
          <w:b w:val="0"/>
          <w:sz w:val="20"/>
        </w:rPr>
        <w:fldChar w:fldCharType="begin" w:fldLock="1"/>
      </w:r>
      <w:r w:rsidR="00CF0B43">
        <w:rPr>
          <w:b w:val="0"/>
          <w:sz w:val="20"/>
        </w:rPr>
        <w:instrText>ADDIN CSL_CITATION {"citationItems":[{"id":"ITEM-1","itemData":{"DOI":"10.5354/0719-5370.2024.75159","author":[{"dropping-particle":"","family":"Bellisario","given":"Antonio","non-dropping-particle":"","parse-names":false,"suffix":""},{"dropping-particle":"","family":"Janke","given":"Jason","non-dropping-particle":"","parse-names":false,"suffix":""}],"container-title":"Investigaciones Geográficas: una mirada desde el Sur","id":"ITEM-1","issued":{"date-parts":[["2024"]]},"page":"72-94","title":"Assessing the Impacts of a Multi-Year Drought on Water Resources and Agriculture in the Aconcagua River Basin of Chile","type":"article-journal","volume":"67"},"uris":["http://www.mendeley.com/documents/?uuid=9059dcdb-81e5-4efb-a830-d6ebf7c0eaf1"]}],"mendeley":{"formattedCitation":"&lt;span style=\"baseline\"&gt;[29]&lt;/span&gt;","plainTextFormattedCitation":"[29]","previouslyFormattedCitation":"&lt;span style=\"baseline\"&gt;[29]&lt;/span&gt;"},"properties":{"noteIndex":0},"schema":"https://github.com/citation-style-language/schema/raw/master/csl-citation.json"}</w:instrText>
      </w:r>
      <w:r w:rsidR="003876CF">
        <w:rPr>
          <w:b w:val="0"/>
          <w:sz w:val="20"/>
        </w:rPr>
        <w:fldChar w:fldCharType="separate"/>
      </w:r>
      <w:r w:rsidR="004B02F5" w:rsidRPr="004B02F5">
        <w:rPr>
          <w:b w:val="0"/>
          <w:noProof/>
          <w:sz w:val="20"/>
        </w:rPr>
        <w:t>[29]</w:t>
      </w:r>
      <w:r w:rsidR="003876CF">
        <w:rPr>
          <w:b w:val="0"/>
          <w:sz w:val="20"/>
        </w:rPr>
        <w:fldChar w:fldCharType="end"/>
      </w:r>
      <w:r w:rsidRPr="004D72E4">
        <w:rPr>
          <w:b w:val="0"/>
          <w:sz w:val="20"/>
        </w:rPr>
        <w:t xml:space="preserve">. This phenomenon may be affecting the hydrological regime, terrestrial ecosystems—including native vegetation—the water supply for the population, </w:t>
      </w:r>
      <w:r w:rsidR="00042640" w:rsidRPr="00042640">
        <w:rPr>
          <w:b w:val="0"/>
          <w:sz w:val="20"/>
          <w:highlight w:val="yellow"/>
        </w:rPr>
        <w:t xml:space="preserve">and </w:t>
      </w:r>
      <w:r w:rsidRPr="00042640">
        <w:rPr>
          <w:b w:val="0"/>
          <w:sz w:val="20"/>
          <w:highlight w:val="yellow"/>
        </w:rPr>
        <w:t>biodiversity</w:t>
      </w:r>
      <w:r w:rsidRPr="004D72E4">
        <w:rPr>
          <w:b w:val="0"/>
          <w:sz w:val="20"/>
        </w:rPr>
        <w:t xml:space="preserve"> conservation</w:t>
      </w:r>
      <w:r w:rsidR="009653A4">
        <w:rPr>
          <w:b w:val="0"/>
          <w:sz w:val="20"/>
        </w:rPr>
        <w:t xml:space="preserve">. </w:t>
      </w:r>
      <w:r w:rsidR="009653A4" w:rsidRPr="009653A4">
        <w:rPr>
          <w:b w:val="0"/>
          <w:sz w:val="20"/>
          <w:highlight w:val="yellow"/>
        </w:rPr>
        <w:t>Thus, it could be</w:t>
      </w:r>
      <w:r w:rsidR="009653A4">
        <w:rPr>
          <w:b w:val="0"/>
          <w:sz w:val="20"/>
        </w:rPr>
        <w:t xml:space="preserve"> </w:t>
      </w:r>
      <w:r w:rsidRPr="004D72E4">
        <w:rPr>
          <w:b w:val="0"/>
          <w:sz w:val="20"/>
        </w:rPr>
        <w:t xml:space="preserve">driving territorial transformations and landscape patterns and connectivity. A comprehensive understanding of LULC change processes, along with their causes and effects, can help mitigate and manage their impacts and consequences effectively </w:t>
      </w:r>
      <w:r w:rsidR="00D41605">
        <w:rPr>
          <w:b w:val="0"/>
          <w:sz w:val="20"/>
        </w:rPr>
        <w:fldChar w:fldCharType="begin" w:fldLock="1"/>
      </w:r>
      <w:r w:rsidR="00CF0B43">
        <w:rPr>
          <w:b w:val="0"/>
          <w:sz w:val="20"/>
        </w:rPr>
        <w:instrText>ADDIN CSL_CITATION {"citationItems":[{"id":"ITEM-1","itemData":{"DOI":"10.3390/land10040408","ISSN":"2073445X","abstract":"Chile is a country that depends on the extraction and export of its natural resources. This phenomenon has exacerbated different processes of transformation and disturbance of natural and human ecosystems. Land use change has become a key factor for the transformation of ecosystems, causing consequences for biodiversity conservation. In this study, current and future (2030, 2050 and 2080) land use categories were evaluated. Land use projections were analysed together with models of ecosystem distribution in Chile under different climate scenarios, to finally analyse different dynamics of land use change within the protected areas system. In all the scenarios evaluated, land use projections showed an increase in the areas of industrial forest plantations and urban areas and a decrease in natural and agricultural areas could be expected. In relation to ecosystem modeling, vegetational formations located in the center and south of the country could be expected to decrease, while vegetational formations in the north and center of the country could extend their surface area. Inside Chile’s protected area network, anthropic disturbances are currently undergoing expansion, which could have consequences for ecosystems and protected areas located in the central and central–south zones of Chile.","author":[{"dropping-particle":"","family":"Benavidez-Silva","given":"César","non-dropping-particle":"","parse-names":false,"suffix":""},{"dropping-particle":"","family":"Jensen","given":"Magdalena","non-dropping-particle":"","parse-names":false,"suffix":""},{"dropping-particle":"","family":"Pliscoff","given":"Patricio","non-dropping-particle":"","parse-names":false,"suffix":""}],"container-title":"Land","id":"ITEM-1","issue":"4","issued":{"date-parts":[["2021","4","1"]]},"publisher":"MDPI AG","title":"Future scenarios for land use in chile: Identifying drivers of change and impacts over protected area system","type":"article-journal","volume":"10"},"uris":["http://www.mendeley.com/documents/?uuid=118d4b99-ef77-3911-afd1-1b57293248b9"]}],"mendeley":{"formattedCitation":"&lt;span style=\"baseline\"&gt;[32]&lt;/span&gt;","plainTextFormattedCitation":"[32]","previouslyFormattedCitation":"&lt;span style=\"baseline\"&gt;[32]&lt;/span&gt;"},"properties":{"noteIndex":0},"schema":"https://github.com/citation-style-language/schema/raw/master/csl-citation.json"}</w:instrText>
      </w:r>
      <w:r w:rsidR="00D41605">
        <w:rPr>
          <w:b w:val="0"/>
          <w:sz w:val="20"/>
        </w:rPr>
        <w:fldChar w:fldCharType="separate"/>
      </w:r>
      <w:r w:rsidR="004B02F5" w:rsidRPr="004B02F5">
        <w:rPr>
          <w:b w:val="0"/>
          <w:noProof/>
          <w:sz w:val="20"/>
        </w:rPr>
        <w:t>[32]</w:t>
      </w:r>
      <w:r w:rsidR="00D41605">
        <w:rPr>
          <w:b w:val="0"/>
          <w:sz w:val="20"/>
        </w:rPr>
        <w:fldChar w:fldCharType="end"/>
      </w:r>
      <w:r w:rsidRPr="004D72E4">
        <w:rPr>
          <w:b w:val="0"/>
          <w:sz w:val="20"/>
        </w:rPr>
        <w:t>. Therefore, analyzing the dynamics of avocado plantation as a driver of LULC changes in central Chilean basins is crucial.</w:t>
      </w:r>
    </w:p>
    <w:p w14:paraId="1D1FA5D8" w14:textId="36C53F60" w:rsidR="00FF127C" w:rsidRDefault="004D72E4" w:rsidP="00FF127C">
      <w:pPr>
        <w:pStyle w:val="MDPI21heading1"/>
        <w:spacing w:before="0" w:after="0"/>
        <w:ind w:firstLine="425"/>
        <w:jc w:val="both"/>
        <w:rPr>
          <w:b w:val="0"/>
          <w:sz w:val="20"/>
        </w:rPr>
      </w:pPr>
      <w:r w:rsidRPr="004D72E4">
        <w:rPr>
          <w:b w:val="0"/>
          <w:sz w:val="20"/>
        </w:rPr>
        <w:lastRenderedPageBreak/>
        <w:t xml:space="preserve">In the context of landscape transformation, the application of landscape metrics constitutes a key tool for quantifying and understanding the effects of land-use transformations on the structure and functioning of ecosystems </w:t>
      </w:r>
      <w:r w:rsidR="007C6A59">
        <w:rPr>
          <w:b w:val="0"/>
          <w:sz w:val="20"/>
        </w:rPr>
        <w:fldChar w:fldCharType="begin" w:fldLock="1"/>
      </w:r>
      <w:r w:rsidR="00CF0B43">
        <w:rPr>
          <w:b w:val="0"/>
          <w:sz w:val="20"/>
        </w:rPr>
        <w:instrText>ADDIN CSL_CITATION {"citationItems":[{"id":"ITEM-1","itemData":{"DOI":"10.3390/land12030631","ISSN":"2073445X","abstract":"The rapid expansion of avocado cultivation in Michoacán, Mexico, is one of the drivers of deforestation. We assessed the degree of fragmentation and functional connectivity of the remaining temperate forest within the Avocado Belt and prioritized patches that contribute the most to connectivity using a network-based approach and modelling different seed and pollen dispersal scenarios, including two types of patch attributes (size and degree of conservation). As landscape transformation in the region is rapid and ongoing, we updated the land-use and land-cover maps through a supervised classification of Sentinel-2 imagery, improving the reliability of our analyses. Temperate forest is highly fragmented within the region: most patches are small (&lt;30 ha), have a reduced core-area (28%), and irregular shapes. The degree of connectivity is very low (0.06), dropping to 0.019 when the degree of conservation of patches was considered. The top 100 ranked patches of forest that support the connectivity of seeds and pollen have different characteristics (i.e., size and topology) that may be considered for implementing conservation and management strategies. Seed dispersal seems to be more threatened by fragmentation than pollen dispersal, and patches that are important for maintaining seed connectivity are embedded in the denser zone of avocado orchards.","author":[{"dropping-particle":"","family":"Latorre-Cárdenas","given":"María Camila","non-dropping-particle":"","parse-names":false,"suffix":""},{"dropping-particle":"","family":"González-Rodríguez","given":"Antonio","non-dropping-particle":"","parse-names":false,"suffix":""},{"dropping-particle":"","family":"Godínez-Gómez","given":"Oscar","non-dropping-particle":"","parse-names":false,"suffix":""},{"dropping-particle":"","family":"Arima","given":"Eugenio Y.","non-dropping-particle":"","parse-names":false,"suffix":""},{"dropping-particle":"","family":"Young","given":"Kenneth R.","non-dropping-particle":"","parse-names":false,"suffix":""},{"dropping-particle":"","family":"Denvir","given":"Audrey","non-dropping-particle":"","parse-names":false,"suffix":""},{"dropping-particle":"","family":"García-Oliva","given":"Felipe","non-dropping-particle":"","parse-names":false,"suffix":""},{"dropping-particle":"","family":"Ghilardi","given":"Adrián","non-dropping-particle":"","parse-names":false,"suffix":""}],"container-title":"Land","id":"ITEM-1","issue":"3","issued":{"date-parts":[["2023"]]},"title":"Estimating Fragmentation and Connectivity Patterns of the Temperate Forest in an Avocado-Dominated Landscape to Propose Conservation Strategies","type":"article-journal","volume":"12"},"uris":["http://www.mendeley.com/documents/?uuid=3bfa98ec-644a-43b3-ad69-404bad1a0936"]}],"mendeley":{"formattedCitation":"&lt;span style=\"baseline\"&gt;[9]&lt;/span&gt;","plainTextFormattedCitation":"[9]","previouslyFormattedCitation":"&lt;span style=\"baseline\"&gt;[9]&lt;/span&gt;"},"properties":{"noteIndex":0},"schema":"https://github.com/citation-style-language/schema/raw/master/csl-citation.json"}</w:instrText>
      </w:r>
      <w:r w:rsidR="007C6A59">
        <w:rPr>
          <w:b w:val="0"/>
          <w:sz w:val="20"/>
        </w:rPr>
        <w:fldChar w:fldCharType="separate"/>
      </w:r>
      <w:r w:rsidR="004B02F5" w:rsidRPr="004B02F5">
        <w:rPr>
          <w:b w:val="0"/>
          <w:noProof/>
          <w:sz w:val="20"/>
        </w:rPr>
        <w:t>[9]</w:t>
      </w:r>
      <w:r w:rsidR="007C6A59">
        <w:rPr>
          <w:b w:val="0"/>
          <w:sz w:val="20"/>
        </w:rPr>
        <w:fldChar w:fldCharType="end"/>
      </w:r>
      <w:r w:rsidRPr="004D72E4">
        <w:rPr>
          <w:b w:val="0"/>
          <w:sz w:val="20"/>
        </w:rPr>
        <w:t xml:space="preserve">. These metrics allow for the evaluation of fundamental aspects of the landscape, such as the degree of fragmentation, connectivity between patches, and the spatial dominance of certain land-use classes, using indicators such as the number of patches (NP), the largest patch index (LPI), the mean patch area, and the Euclidean nearest-neighbor distance (ENN) </w:t>
      </w:r>
      <w:r w:rsidR="007C6A59">
        <w:rPr>
          <w:b w:val="0"/>
          <w:sz w:val="20"/>
        </w:rPr>
        <w:fldChar w:fldCharType="begin" w:fldLock="1"/>
      </w:r>
      <w:r w:rsidR="00CF0B43">
        <w:rPr>
          <w:b w:val="0"/>
          <w:sz w:val="20"/>
        </w:rPr>
        <w:instrText>ADDIN CSL_CITATION {"citationItems":[{"id":"ITEM-1","itemData":{"DOI":"10.3390/land13122165","ISSN":"2073445X","abstract":"Land utilization—a crucial resource for human survival and development—reflects the outcomes of intricate interactions between human communities and their respective environments. The Jianmen Shu Road Heritage Area presents both opportunities and challenges in terms of protection and development. Any alterations in its land use and landscape patterns directly impact the sustainable development of the regional environment and heritage sites. In this study, we considered three cities along the Jianmen Shu Road, analyzed the evolution characteristics of land use and landscape patterns from 2012 to 2022, and used the multi-criteria evaluation–cellular automata-Markov (MCE-CA-Markov) model to predict the land use and landscape patterns in 2027. The results show the following: (1) From 2012 to 2022, forest land was at its greatest extent, the growth rate of forest land increased, the loss rate of cropland increased, and impervious land continued to expand. (2) From 2012 to 2022, the degrees of fragmentation in cropland, impervious land, and grassland increased; water area had the highest connectivity; forest land had the lowest connectivity; and barren land had the highest degree of separation. The degree of fragmentation and connectivity of the landscape patterns decreased, the degree of complexity increased, and landscape diversity increased and gradually stabilized. (3) Predictions for 2022–2027 indicate that forest land, impervious land, grassland, and barren land will increase, whereas cropland and the water area will decrease. The growth rate of grassland will increase, the loss rates of cropland and water area will decrease, and the growth rates of impervious land and forest land will decrease. (4) Further predictions for 2022–2027 indicate that the density and complexity of the grassland edge will decrease, whereas the fragmentation and complexity of the remaining patches will increase. The degree of fragmentation, complexity, connectivity, and separation of landscape patterns will increase significantly, whereas landscape diversity will remain stable. This study deepens our understanding of how land use and landscape patterns change in the heritage area from a long-term perspective that involves both the past and future. Such research can provide crucial information for tourism management, heritage protection, and spatial planning in the heritage area and, thus, has important management implications for the study area and similar heritage areas in ot…","author":[{"dropping-particle":"","family":"Jiang","given":"Chenmingyang","non-dropping-particle":"","parse-names":false,"suffix":""},{"dropping-particle":"","family":"Du","given":"Xinyu","non-dropping-particle":"","parse-names":false,"suffix":""},{"dropping-particle":"","family":"Cai","given":"Jun","non-dropping-particle":"","parse-names":false,"suffix":""},{"dropping-particle":"","family":"Li","given":"Hao","non-dropping-particle":"","parse-names":false,"suffix":""},{"dropping-particle":"","family":"Chen","given":"Qibing","non-dropping-particle":"","parse-names":false,"suffix":""}],"container-title":"Land","id":"ITEM-1","issue":"12","issued":{"date-parts":[["2024"]]},"title":"Study on the Evolution and Prediction of Land Use and Landscape Patterns in the Jianmen Shu Road Heritage Area","type":"article-journal","volume":"13"},"uris":["http://www.mendeley.com/documents/?uuid=76be144a-7128-4291-af37-387f533a55dc"]},{"id":"ITEM-2","itemData":{"DOI":"10.3390/land10060550","ISSN":"2073445X","abstract":"Land‐use and land‐cover (LULC) changes are major drivers of biodiversity loss in semi-arid regions, such as the Caatinga biome located in the Northeast of Brazil. We investigated landscape dynamics and fragmentation in an area of the São Francisco Valley in the Brazilian Caatinga biome and measured the effect of these dynamics on ecological, functional and structural connectivity over a 33‐year period (1985–2018). We calculated landscape connectivity indices based on graph theory to quantify the effect of further agricultural expansion on ecological connectivity at the landscape scale. We used a multicriteria decision analysis that integrates graph‐based connectivity indices at the habitat patch scale, combined with an index of human disturbance to identify patches that, if conserved and restored, preserve the connectivity of the landscape most effectively. In the period studied, agriculture increased at a rate of 2104 ha/year, while native Caatinga vegetation decreased at a rate of 5203 ha/year. Both dense and open Caatinga became more fragmented, with the number of fragments increasing by 85.2% and 28.6%, respectively, whilst the average frag-ment size decreased by 84.8% and 6.1% for dense and open Caatinga, respectively. If agriculture patches were to expand by a 300 m buffer around each patch, the overall ecological connectivity could be reduced by 6–15%, depending on the species’ (small‐ to mid‐size terrestrial vertebrates) mobility characteristics for which the connectivity indices were calculated. We provided explicit spatial connectivity and fragmentation information for the conservation and restoration of the Caatinga vegetation in the studied area. This information helps with conservation planning in this rapidly changing ecosystem.","author":[{"dropping-particle":"","family":"Salazar","given":"Andrés A.","non-dropping-particle":"","parse-names":false,"suffix":""},{"dropping-particle":"","family":"Arellano","given":"Eduardo C.","non-dropping-particle":"","parse-names":false,"suffix":""},{"dropping-particle":"","family":"Muñoz‐sáez","given":"Andrés","non-dropping-particle":"","parse-names":false,"suffix":""},{"dropping-particle":"","family":"Miranda","given":"Marcelo D.","non-dropping-particle":"","parse-names":false,"suffix":""},{"dropping-particle":"","family":"Silva","given":"Fabiana Oliveira","non-dropping-particle":"da","parse-names":false,"suffix":""},{"dropping-particle":"","family":"Zielonka","given":"Natalia B.","non-dropping-particle":"","parse-names":false,"suffix":""},{"dropping-particle":"","family":"Crowther","given":"Liam P.","non-dropping-particle":"","parse-names":false,"suffix":""},{"dropping-particle":"","family":"Silva‐ferreira","given":"Vinina","non-dropping-particle":"","parse-names":false,"suffix":""},{"dropping-particle":"","family":"Oliveira‐reboucas","given":"Patricia","non-dropping-particle":"","parse-names":false,"suffix":""},{"dropping-particle":"V.","family":"Dicks","given":"Lynn","non-dropping-particle":"","parse-names":false,"suffix":""}],"container-title":"Land","id":"ITEM-2","issue":"6","issued":{"date-parts":[["2021"]]},"title":"Restoration and conservation of priority areas of caatinga’s semi‐arid forest remnants can support connectivity within an agricultural landscape","type":"article-journal","volume":"10"},"uris":["http://www.mendeley.com/documents/?uuid=26e27139-4f28-4c34-a2a4-79bf7157841c"]}],"mendeley":{"formattedCitation":"&lt;span style=\"baseline\"&gt;[15,33]&lt;/span&gt;","plainTextFormattedCitation":"[15,33]","previouslyFormattedCitation":"&lt;span style=\"baseline\"&gt;[15,33]&lt;/span&gt;"},"properties":{"noteIndex":0},"schema":"https://github.com/citation-style-language/schema/raw/master/csl-citation.json"}</w:instrText>
      </w:r>
      <w:r w:rsidR="007C6A59">
        <w:rPr>
          <w:b w:val="0"/>
          <w:sz w:val="20"/>
        </w:rPr>
        <w:fldChar w:fldCharType="separate"/>
      </w:r>
      <w:r w:rsidR="004B02F5" w:rsidRPr="004B02F5">
        <w:rPr>
          <w:b w:val="0"/>
          <w:noProof/>
          <w:sz w:val="20"/>
        </w:rPr>
        <w:t>[15,33]</w:t>
      </w:r>
      <w:r w:rsidR="007C6A59">
        <w:rPr>
          <w:b w:val="0"/>
          <w:sz w:val="20"/>
        </w:rPr>
        <w:fldChar w:fldCharType="end"/>
      </w:r>
      <w:r w:rsidRPr="004D72E4">
        <w:rPr>
          <w:b w:val="0"/>
          <w:sz w:val="20"/>
        </w:rPr>
        <w:t xml:space="preserve">. Connectivity refers to the ability of organisms to move across a landscape, which is influenced by the landscape's structure and composition. It plays a vital role in biodiversity conservation and helps mitigate the negative impacts of habitat fragmentation </w:t>
      </w:r>
      <w:r w:rsidR="007C6A59">
        <w:rPr>
          <w:b w:val="0"/>
          <w:sz w:val="20"/>
        </w:rPr>
        <w:fldChar w:fldCharType="begin" w:fldLock="1"/>
      </w:r>
      <w:r w:rsidR="00CF0B43">
        <w:rPr>
          <w:b w:val="0"/>
          <w:sz w:val="20"/>
        </w:rPr>
        <w:instrText>ADDIN CSL_CITATION {"citationItems":[{"id":"ITEM-1","itemData":{"DOI":"10.1016/j.ecolind.2014.08.010","ISSN":"1470160X","abstract":"Land use and cover changes have been identified as a major factor contributing to shape landscape struc-ture and biodiversity patterns, particulary in areas with a long history of human occupation and habitatfragmentation, such as the Mediterranean landscapes. However, the existing studies on landscape changeindicators for Mediterranean areas have mostly focused in Europe, while for other Mediterranean zones,and especially for South America, there is a serious lack of knowledge concerning the impact of landscapedynamics on ecological processes. Further research on this topic is urgently needed, given the high bio-diversity levels and the rapidly increasing rates of human modification in the Mediterranean landscapesof South America. For this purpose, we investigated the dynamics of a landscape in the semiarid region ofthe Mediterranean zone of Chile, and measured the effect of those dynamics on functional connectivity,during a period of about four decades (1975-2011). Landscape connectivity indicators were extractedfrom a series of Landsat images. The Equivalent Connnected Area index (ECA) was used as indicator ofconnectivity trends, and was evaluated for three representative distances of seed dispersal in the studyarea (150 m, 500 m and 1000 m). In addition, the patches that most contribute to maintain the presentconnectivity, and their roles as connectivity providers, were identified through a set of commensurableindicators: betweenness centrality and the fractions (intra, flux connector) of the Integral Index of Con-nectivity. We found that these indicators were useful to detect and summarize a number of previouslyunreported trends in these Mediterranean landscapes. First, population growth and economic develop-ment were compatible with an increase in functional connectivity for forest habitats, mainly because theabandonment of marginal agricultural lands and their subsequent conversion to espinals (Acacia caven)triggered vegetation succession towards secondary forests. Second, increased forest connectivity was notassociated to a decrease in the characteristic heterogeneity of Mediterranean landscapes. Third, manypatches of espinal, despite being commonly regarded as of poor conservation value, were crucial to pro-mote connectivity by acting as stepping stones among other patches with higher habitat quality. Theapproach here presented provides a combined assessment of landscape structure, function and changethat should be valuable and applicable to de…","author":[{"dropping-particle":"","family":"Hernández","given":"Angela","non-dropping-particle":"","parse-names":false,"suffix":""},{"dropping-particle":"","family":"Miranda","given":"Marcelo","non-dropping-particle":"","parse-names":false,"suffix":""},{"dropping-particle":"","family":"Arellano","given":"Eduardo C.","non-dropping-particle":"","parse-names":false,"suffix":""},{"dropping-particle":"","family":"Saura","given":"Santiago","non-dropping-particle":"","parse-names":false,"suffix":""},{"dropping-particle":"","family":"Ovalle","given":"Carlos","non-dropping-particle":"","parse-names":false,"suffix":""}],"container-title":"Ecological Indicators","id":"ITEM-1","issue":"1","issued":{"date-parts":[["2015"]]},"page":"198-206","publisher":"Elsevier Ltd","title":"Landscape dynamics and their effect on the functional connectivityof a Mediterranean landscape in Chile","type":"article-journal","volume":"48"},"uris":["http://www.mendeley.com/documents/?uuid=963a5228-1385-4a49-8357-2539f053fe99"]}],"mendeley":{"formattedCitation":"&lt;span style=\"baseline\"&gt;[34]&lt;/span&gt;","plainTextFormattedCitation":"[34]","previouslyFormattedCitation":"&lt;span style=\"baseline\"&gt;[34]&lt;/span&gt;"},"properties":{"noteIndex":0},"schema":"https://github.com/citation-style-language/schema/raw/master/csl-citation.json"}</w:instrText>
      </w:r>
      <w:r w:rsidR="007C6A59">
        <w:rPr>
          <w:b w:val="0"/>
          <w:sz w:val="20"/>
        </w:rPr>
        <w:fldChar w:fldCharType="separate"/>
      </w:r>
      <w:r w:rsidR="004B02F5" w:rsidRPr="004B02F5">
        <w:rPr>
          <w:b w:val="0"/>
          <w:noProof/>
          <w:sz w:val="20"/>
        </w:rPr>
        <w:t>[34]</w:t>
      </w:r>
      <w:r w:rsidR="007C6A59">
        <w:rPr>
          <w:b w:val="0"/>
          <w:sz w:val="20"/>
        </w:rPr>
        <w:fldChar w:fldCharType="end"/>
      </w:r>
      <w:r w:rsidRPr="004D72E4">
        <w:rPr>
          <w:b w:val="0"/>
          <w:sz w:val="20"/>
        </w:rPr>
        <w:t xml:space="preserve">. In the specific case of the expansion of avocado plantations, the use of these indicators facilitates the detection of patterns of LULC conversion into agricultural areas, enabling the identification of the dispersion or concentration of such patches and, consequently, assessing how landscape integrity and connectivity are altered </w:t>
      </w:r>
      <w:r w:rsidR="007C6A59">
        <w:rPr>
          <w:b w:val="0"/>
          <w:sz w:val="20"/>
        </w:rPr>
        <w:fldChar w:fldCharType="begin" w:fldLock="1"/>
      </w:r>
      <w:r w:rsidR="00CF0B43">
        <w:rPr>
          <w:b w:val="0"/>
          <w:sz w:val="20"/>
        </w:rPr>
        <w:instrText>ADDIN CSL_CITATION {"citationItems":[{"id":"ITEM-1","itemData":{"DOI":"10.3390/land12030631","ISSN":"2073445X","abstract":"The rapid expansion of avocado cultivation in Michoacán, Mexico, is one of the drivers of deforestation. We assessed the degree of fragmentation and functional connectivity of the remaining temperate forest within the Avocado Belt and prioritized patches that contribute the most to connectivity using a network-based approach and modelling different seed and pollen dispersal scenarios, including two types of patch attributes (size and degree of conservation). As landscape transformation in the region is rapid and ongoing, we updated the land-use and land-cover maps through a supervised classification of Sentinel-2 imagery, improving the reliability of our analyses. Temperate forest is highly fragmented within the region: most patches are small (&lt;30 ha), have a reduced core-area (28%), and irregular shapes. The degree of connectivity is very low (0.06), dropping to 0.019 when the degree of conservation of patches was considered. The top 100 ranked patches of forest that support the connectivity of seeds and pollen have different characteristics (i.e., size and topology) that may be considered for implementing conservation and management strategies. Seed dispersal seems to be more threatened by fragmentation than pollen dispersal, and patches that are important for maintaining seed connectivity are embedded in the denser zone of avocado orchards.","author":[{"dropping-particle":"","family":"Latorre-Cárdenas","given":"María Camila","non-dropping-particle":"","parse-names":false,"suffix":""},{"dropping-particle":"","family":"González-Rodríguez","given":"Antonio","non-dropping-particle":"","parse-names":false,"suffix":""},{"dropping-particle":"","family":"Godínez-Gómez","given":"Oscar","non-dropping-particle":"","parse-names":false,"suffix":""},{"dropping-particle":"","family":"Arima","given":"Eugenio Y.","non-dropping-particle":"","parse-names":false,"suffix":""},{"dropping-particle":"","family":"Young","given":"Kenneth R.","non-dropping-particle":"","parse-names":false,"suffix":""},{"dropping-particle":"","family":"Denvir","given":"Audrey","non-dropping-particle":"","parse-names":false,"suffix":""},{"dropping-particle":"","family":"García-Oliva","given":"Felipe","non-dropping-particle":"","parse-names":false,"suffix":""},{"dropping-particle":"","family":"Ghilardi","given":"Adrián","non-dropping-particle":"","parse-names":false,"suffix":""}],"container-title":"Land","id":"ITEM-1","issue":"3","issued":{"date-parts":[["2023"]]},"title":"Estimating Fragmentation and Connectivity Patterns of the Temperate Forest in an Avocado-Dominated Landscape to Propose Conservation Strategies","type":"article-journal","volume":"12"},"uris":["http://www.mendeley.com/documents/?uuid=3bfa98ec-644a-43b3-ad69-404bad1a0936"]}],"mendeley":{"formattedCitation":"&lt;span style=\"baseline\"&gt;[9]&lt;/span&gt;","plainTextFormattedCitation":"[9]","previouslyFormattedCitation":"&lt;span style=\"baseline\"&gt;[9]&lt;/span&gt;"},"properties":{"noteIndex":0},"schema":"https://github.com/citation-style-language/schema/raw/master/csl-citation.json"}</w:instrText>
      </w:r>
      <w:r w:rsidR="007C6A59">
        <w:rPr>
          <w:b w:val="0"/>
          <w:sz w:val="20"/>
        </w:rPr>
        <w:fldChar w:fldCharType="separate"/>
      </w:r>
      <w:r w:rsidR="004B02F5" w:rsidRPr="004B02F5">
        <w:rPr>
          <w:b w:val="0"/>
          <w:noProof/>
          <w:sz w:val="20"/>
        </w:rPr>
        <w:t>[9]</w:t>
      </w:r>
      <w:r w:rsidR="007C6A59">
        <w:rPr>
          <w:b w:val="0"/>
          <w:sz w:val="20"/>
        </w:rPr>
        <w:fldChar w:fldCharType="end"/>
      </w:r>
      <w:r w:rsidRPr="004D72E4">
        <w:rPr>
          <w:b w:val="0"/>
          <w:sz w:val="20"/>
        </w:rPr>
        <w:t xml:space="preserve">. Thus, landscape metrics become an essential component for evaluating the impact of human activities on territorial transformation and for supporting decision-making processes aimed at sustainable development in basins, both </w:t>
      </w:r>
      <w:r w:rsidR="00B37441" w:rsidRPr="00B37441">
        <w:rPr>
          <w:b w:val="0"/>
          <w:sz w:val="20"/>
          <w:highlight w:val="yellow"/>
        </w:rPr>
        <w:t>in Chile and globally.</w:t>
      </w:r>
    </w:p>
    <w:p w14:paraId="77055A31" w14:textId="35E7A85C" w:rsidR="00FF127C" w:rsidRDefault="002372C8" w:rsidP="00FF127C">
      <w:pPr>
        <w:pStyle w:val="MDPI21heading1"/>
        <w:spacing w:before="0" w:after="0"/>
        <w:ind w:firstLine="425"/>
        <w:jc w:val="both"/>
        <w:rPr>
          <w:b w:val="0"/>
          <w:sz w:val="20"/>
        </w:rPr>
      </w:pPr>
      <w:r w:rsidRPr="002372C8">
        <w:rPr>
          <w:b w:val="0"/>
          <w:sz w:val="20"/>
          <w:highlight w:val="yellow"/>
        </w:rPr>
        <w:t>S</w:t>
      </w:r>
      <w:r w:rsidR="004D72E4" w:rsidRPr="002372C8">
        <w:rPr>
          <w:b w:val="0"/>
          <w:sz w:val="20"/>
          <w:highlight w:val="yellow"/>
        </w:rPr>
        <w:t>everal high spatial resolution LULC products (30*30 m) obtained from satellite images</w:t>
      </w:r>
      <w:r w:rsidRPr="002372C8">
        <w:rPr>
          <w:highlight w:val="yellow"/>
        </w:rPr>
        <w:t xml:space="preserve"> </w:t>
      </w:r>
      <w:r w:rsidRPr="002372C8">
        <w:rPr>
          <w:b w:val="0"/>
          <w:sz w:val="20"/>
          <w:highlight w:val="yellow"/>
        </w:rPr>
        <w:t xml:space="preserve">are available for Chilean territory, such as those developed by the National Forestry Corporation </w:t>
      </w:r>
      <w:r w:rsidR="004D72E4" w:rsidRPr="002372C8">
        <w:rPr>
          <w:b w:val="0"/>
          <w:sz w:val="20"/>
          <w:highlight w:val="yellow"/>
        </w:rPr>
        <w:t>(CONAF, by its Spanish acronym)</w:t>
      </w:r>
      <w:r w:rsidR="005C61B4">
        <w:rPr>
          <w:b w:val="0"/>
          <w:sz w:val="20"/>
        </w:rPr>
        <w:t xml:space="preserve"> </w:t>
      </w:r>
      <w:r w:rsidR="005C61B4">
        <w:rPr>
          <w:b w:val="0"/>
          <w:sz w:val="20"/>
        </w:rPr>
        <w:fldChar w:fldCharType="begin" w:fldLock="1"/>
      </w:r>
      <w:r w:rsidR="00B2687A">
        <w:rPr>
          <w:b w:val="0"/>
          <w:sz w:val="20"/>
        </w:rPr>
        <w:instrText>ADDIN CSL_CITATION {"citationItems":[{"id":"ITEM-1","itemData":{"author":[{"dropping-particle":"","family":"(CONAF)","given":"Corporación Nacional Forestal","non-dropping-particle":"","parse-names":false,"suffix":""}],"id":"ITEM-1","issued":{"date-parts":[["2019"]]},"number-of-pages":"70","title":"ACTUALIZACIÓN DEL CATASTRO DE LOS RECURSOS VEGETACIONALES DE LA REGIÓN DE VALPARAÍSO AÑO 2019","type":"report"},"uris":["http://www.mendeley.com/documents/?uuid=50db3f03-cd84-4cdf-bafb-0e921d413f46"]}],"mendeley":{"formattedCitation":"&lt;span style=\"baseline\"&gt;[35]&lt;/span&gt;","plainTextFormattedCitation":"[35]","previouslyFormattedCitation":"&lt;span style=\"baseline\"&gt;[35]&lt;/span&gt;"},"properties":{"noteIndex":0},"schema":"https://github.com/citation-style-language/schema/raw/master/csl-citation.json"}</w:instrText>
      </w:r>
      <w:r w:rsidR="005C61B4">
        <w:rPr>
          <w:b w:val="0"/>
          <w:sz w:val="20"/>
        </w:rPr>
        <w:fldChar w:fldCharType="separate"/>
      </w:r>
      <w:r w:rsidR="004B02F5" w:rsidRPr="004B02F5">
        <w:rPr>
          <w:b w:val="0"/>
          <w:noProof/>
          <w:sz w:val="20"/>
        </w:rPr>
        <w:t>[35]</w:t>
      </w:r>
      <w:r w:rsidR="005C61B4">
        <w:rPr>
          <w:b w:val="0"/>
          <w:sz w:val="20"/>
        </w:rPr>
        <w:fldChar w:fldCharType="end"/>
      </w:r>
      <w:r w:rsidR="004D72E4" w:rsidRPr="004D72E4">
        <w:rPr>
          <w:b w:val="0"/>
          <w:sz w:val="20"/>
        </w:rPr>
        <w:t xml:space="preserve">, </w:t>
      </w:r>
      <w:proofErr w:type="spellStart"/>
      <w:r w:rsidR="004D72E4" w:rsidRPr="004D72E4">
        <w:rPr>
          <w:b w:val="0"/>
          <w:sz w:val="20"/>
        </w:rPr>
        <w:t>MapBiomass</w:t>
      </w:r>
      <w:proofErr w:type="spellEnd"/>
      <w:r w:rsidR="005C61B4">
        <w:rPr>
          <w:b w:val="0"/>
          <w:sz w:val="20"/>
        </w:rPr>
        <w:t>-</w:t>
      </w:r>
      <w:r w:rsidR="004D72E4" w:rsidRPr="004D72E4">
        <w:rPr>
          <w:b w:val="0"/>
          <w:sz w:val="20"/>
        </w:rPr>
        <w:t>Chile</w:t>
      </w:r>
      <w:r w:rsidR="005C61B4">
        <w:rPr>
          <w:b w:val="0"/>
          <w:sz w:val="20"/>
        </w:rPr>
        <w:t xml:space="preserve"> </w:t>
      </w:r>
      <w:r w:rsidR="005C61B4">
        <w:rPr>
          <w:b w:val="0"/>
          <w:sz w:val="20"/>
        </w:rPr>
        <w:fldChar w:fldCharType="begin" w:fldLock="1"/>
      </w:r>
      <w:r w:rsidR="00CF0B43">
        <w:rPr>
          <w:b w:val="0"/>
          <w:sz w:val="20"/>
        </w:rPr>
        <w:instrText>ADDIN CSL_CITATION {"citationItems":[{"id":"ITEM-1","itemData":{"URL":"https://chile.mapbiomas.org/","abstract":"Seiring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Kata","accessed":{"date-parts":[["2025","1","2"]]},"author":[{"dropping-particle":"","family":"MapBiomas","given":"","non-dropping-particle":"","parse-names":false,"suffix":""}],"id":"ITEM-1","issue":"2024","issued":{"date-parts":[["2024"]]},"title":"Colección 1 [2024] de la Serie Anual de Mapas de Cobertura y Uso del Suelo de Chile","type":"webpage","volume":"1"},"uris":["http://www.mendeley.com/documents/?uuid=359c3b76-e2d3-42ad-ad5b-74bb5a1d633a"]}],"mendeley":{"formattedCitation":"&lt;span style=\"baseline\"&gt;[36]&lt;/span&gt;","plainTextFormattedCitation":"[36]","previouslyFormattedCitation":"&lt;span style=\"baseline\"&gt;[36]&lt;/span&gt;"},"properties":{"noteIndex":0},"schema":"https://github.com/citation-style-language/schema/raw/master/csl-citation.json"}</w:instrText>
      </w:r>
      <w:r w:rsidR="005C61B4">
        <w:rPr>
          <w:b w:val="0"/>
          <w:sz w:val="20"/>
        </w:rPr>
        <w:fldChar w:fldCharType="separate"/>
      </w:r>
      <w:r w:rsidR="004B02F5" w:rsidRPr="004B02F5">
        <w:rPr>
          <w:b w:val="0"/>
          <w:noProof/>
          <w:sz w:val="20"/>
        </w:rPr>
        <w:t>[36]</w:t>
      </w:r>
      <w:r w:rsidR="005C61B4">
        <w:rPr>
          <w:b w:val="0"/>
          <w:sz w:val="20"/>
        </w:rPr>
        <w:fldChar w:fldCharType="end"/>
      </w:r>
      <w:r w:rsidR="004D72E4" w:rsidRPr="004D72E4">
        <w:rPr>
          <w:b w:val="0"/>
          <w:sz w:val="20"/>
        </w:rPr>
        <w:t xml:space="preserve">, and </w:t>
      </w:r>
      <w:proofErr w:type="spellStart"/>
      <w:r w:rsidR="004D72E4" w:rsidRPr="004D72E4">
        <w:rPr>
          <w:b w:val="0"/>
          <w:sz w:val="20"/>
        </w:rPr>
        <w:t>CLDynamicLandCover</w:t>
      </w:r>
      <w:proofErr w:type="spellEnd"/>
      <w:r w:rsidR="004D72E4" w:rsidRPr="004D72E4">
        <w:rPr>
          <w:b w:val="0"/>
          <w:sz w:val="20"/>
        </w:rPr>
        <w:t xml:space="preserve"> from Galleguillos et al.</w:t>
      </w:r>
      <w:r w:rsidR="005C61B4">
        <w:rPr>
          <w:b w:val="0"/>
          <w:sz w:val="20"/>
        </w:rPr>
        <w:fldChar w:fldCharType="begin" w:fldLock="1"/>
      </w:r>
      <w:r w:rsidR="00CF0B43">
        <w:rPr>
          <w:b w:val="0"/>
          <w:sz w:val="20"/>
        </w:rPr>
        <w:instrText>ADDIN CSL_CITATION {"citationItems":[{"id":"ITEM-1","itemData":{"DOI":"10.5281/zenodo.13153631","URL":"https://doi.org/10.5281/zenodo.13153631","accessed":{"date-parts":[["2024","8","30"]]},"author":[{"dropping-particle":"","family":"Galleguillos","given":"Mauricio","non-dropping-particle":"","parse-names":false,"suffix":""},{"dropping-particle":"","family":"Ceballos-Comisso","given":"A.","non-dropping-particle":"","parse-names":false,"suffix":""},{"dropping-particle":"","family":"Gimeno","given":"F.","non-dropping-particle":"","parse-names":false,"suffix":""},{"dropping-particle":"","family":"Zambrano-Bigiarini","given":"Mauricio","non-dropping-particle":"","parse-names":false,"suffix":""}],"id":"ITEM-1","issued":{"date-parts":[["2024"]]},"publisher":"Zenodo","title":"CLDynamicLandCover [Data set]. Zenodo","type":"webpage","volume":"Version v3"},"uris":["http://www.mendeley.com/documents/?uuid=c042acf7-da24-4f31-a04f-7ce17290518e"]}],"mendeley":{"formattedCitation":"&lt;span style=\"baseline\"&gt;[37]&lt;/span&gt;","plainTextFormattedCitation":"[37]","previouslyFormattedCitation":"&lt;span style=\"baseline\"&gt;[37]&lt;/span&gt;"},"properties":{"noteIndex":0},"schema":"https://github.com/citation-style-language/schema/raw/master/csl-citation.json"}</w:instrText>
      </w:r>
      <w:r w:rsidR="005C61B4">
        <w:rPr>
          <w:b w:val="0"/>
          <w:sz w:val="20"/>
        </w:rPr>
        <w:fldChar w:fldCharType="separate"/>
      </w:r>
      <w:r w:rsidR="004B02F5" w:rsidRPr="004B02F5">
        <w:rPr>
          <w:b w:val="0"/>
          <w:noProof/>
          <w:sz w:val="20"/>
        </w:rPr>
        <w:t>[37]</w:t>
      </w:r>
      <w:r w:rsidR="005C61B4">
        <w:rPr>
          <w:b w:val="0"/>
          <w:sz w:val="20"/>
        </w:rPr>
        <w:fldChar w:fldCharType="end"/>
      </w:r>
      <w:r w:rsidR="004D72E4" w:rsidRPr="004D72E4">
        <w:rPr>
          <w:b w:val="0"/>
          <w:sz w:val="20"/>
        </w:rPr>
        <w:t>. However, one of their main limitations is the lack of differentiation between specific fruit species. Instead, they categorize all fruit crops together or classify them under broad agricultural land categories. This makes it challenging to conduct a detailed analysis of fruit crops, particularly avocado plantations. A recent study</w:t>
      </w:r>
      <w:r w:rsidR="005C61B4">
        <w:rPr>
          <w:b w:val="0"/>
          <w:sz w:val="20"/>
        </w:rPr>
        <w:t xml:space="preserve"> </w:t>
      </w:r>
      <w:r w:rsidR="005C61B4">
        <w:rPr>
          <w:b w:val="0"/>
          <w:sz w:val="20"/>
        </w:rPr>
        <w:fldChar w:fldCharType="begin" w:fldLock="1"/>
      </w:r>
      <w:r w:rsidR="00CF0B43">
        <w:rPr>
          <w:b w:val="0"/>
          <w:sz w:val="20"/>
        </w:rPr>
        <w:instrText>ADDIN CSL_CITATION {"citationItems":[{"id":"ITEM-1","itemData":{"DOI":"10.5194/egusphere-2024-2695","author":[{"dropping-particle":"","family":"Boisier","given":"Juan Pablo","non-dropping-particle":"","parse-names":false,"suffix":""},{"dropping-particle":"","family":"Alvarez-garreton","given":"Camila","non-dropping-particle":"","parse-names":false,"suffix":""},{"dropping-particle":"","family":"Marinao","given":"Rodrigo","non-dropping-particle":"","parse-names":false,"suffix":""},{"dropping-particle":"","family":"Galleguillos","given":"Mauricio","non-dropping-particle":"","parse-names":false,"suffix":""}],"id":"ITEM-1","issue":"September","issued":{"date-parts":[["2024"]]},"page":"1-50","title":"Increasing water stress in Chile evidenced by novel datasets of water availability , land use and water use","type":"article-journal"},"uris":["http://www.mendeley.com/documents/?uuid=2e7d8c57-065d-4b9d-bef9-b5a4b68c823a"]}],"mendeley":{"formattedCitation":"&lt;span style=\"baseline\"&gt;[38]&lt;/span&gt;","plainTextFormattedCitation":"[38]","previouslyFormattedCitation":"&lt;span style=\"baseline\"&gt;[38]&lt;/span&gt;"},"properties":{"noteIndex":0},"schema":"https://github.com/citation-style-language/schema/raw/master/csl-citation.json"}</w:instrText>
      </w:r>
      <w:r w:rsidR="005C61B4">
        <w:rPr>
          <w:b w:val="0"/>
          <w:sz w:val="20"/>
        </w:rPr>
        <w:fldChar w:fldCharType="separate"/>
      </w:r>
      <w:r w:rsidR="004B02F5" w:rsidRPr="004B02F5">
        <w:rPr>
          <w:b w:val="0"/>
          <w:noProof/>
          <w:sz w:val="20"/>
        </w:rPr>
        <w:t>[38]</w:t>
      </w:r>
      <w:r w:rsidR="005C61B4">
        <w:rPr>
          <w:b w:val="0"/>
          <w:sz w:val="20"/>
        </w:rPr>
        <w:fldChar w:fldCharType="end"/>
      </w:r>
      <w:r w:rsidR="004D72E4" w:rsidRPr="004D72E4">
        <w:rPr>
          <w:b w:val="0"/>
          <w:sz w:val="20"/>
        </w:rPr>
        <w:t xml:space="preserve"> introduced a new database, CR2LUC, which offers a broader range of categories but at a lower spatial resolution. However, in the Aconcagua basin, the largest basin in Chile and the second most productive irrigated valley in the country that belongs to the Valparaíso region, the precision in identifying avocado plantations and some agricultural lands remains limited. In this basin, approximately 60% of fruit production is destined for export </w:t>
      </w:r>
      <w:r w:rsidR="007C61C8">
        <w:rPr>
          <w:b w:val="0"/>
          <w:sz w:val="20"/>
        </w:rPr>
        <w:fldChar w:fldCharType="begin" w:fldLock="1"/>
      </w:r>
      <w:r w:rsidR="00CF0B43">
        <w:rPr>
          <w:b w:val="0"/>
          <w:sz w:val="20"/>
        </w:rPr>
        <w:instrText>ADDIN CSL_CITATION {"citationItems":[{"id":"ITEM-1","itemData":{"DOI":"10.5354/0719-5370.2024.75159","author":[{"dropping-particle":"","family":"Bellisario","given":"Antonio","non-dropping-particle":"","parse-names":false,"suffix":""},{"dropping-particle":"","family":"Janke","given":"Jason","non-dropping-particle":"","parse-names":false,"suffix":""}],"container-title":"Investigaciones Geográficas: una mirada desde el Sur","id":"ITEM-1","issued":{"date-parts":[["2024"]]},"page":"72-94","title":"Assessing the Impacts of a Multi-Year Drought on Water Resources and Agriculture in the Aconcagua River Basin of Chile","type":"article-journal","volume":"67"},"uris":["http://www.mendeley.com/documents/?uuid=9059dcdb-81e5-4efb-a830-d6ebf7c0eaf1"]}],"mendeley":{"formattedCitation":"&lt;span style=\"baseline\"&gt;[29]&lt;/span&gt;","plainTextFormattedCitation":"[29]","previouslyFormattedCitation":"&lt;span style=\"baseline\"&gt;[29]&lt;/span&gt;"},"properties":{"noteIndex":0},"schema":"https://github.com/citation-style-language/schema/raw/master/csl-citation.json"}</w:instrText>
      </w:r>
      <w:r w:rsidR="007C61C8">
        <w:rPr>
          <w:b w:val="0"/>
          <w:sz w:val="20"/>
        </w:rPr>
        <w:fldChar w:fldCharType="separate"/>
      </w:r>
      <w:r w:rsidR="004B02F5" w:rsidRPr="004B02F5">
        <w:rPr>
          <w:b w:val="0"/>
          <w:noProof/>
          <w:sz w:val="20"/>
        </w:rPr>
        <w:t>[29]</w:t>
      </w:r>
      <w:r w:rsidR="007C61C8">
        <w:rPr>
          <w:b w:val="0"/>
          <w:sz w:val="20"/>
        </w:rPr>
        <w:fldChar w:fldCharType="end"/>
      </w:r>
      <w:r w:rsidR="004D72E4" w:rsidRPr="004D72E4">
        <w:rPr>
          <w:b w:val="0"/>
          <w:sz w:val="20"/>
        </w:rPr>
        <w:t xml:space="preserve">, highlighting the need for studies that examine the spatial and territorial dynamics of avocado plantations, which can be done with remote sensing. </w:t>
      </w:r>
    </w:p>
    <w:p w14:paraId="39CF4EDB" w14:textId="7C1EAB77" w:rsidR="00E23CA0" w:rsidRDefault="004D72E4" w:rsidP="009F4D56">
      <w:pPr>
        <w:pStyle w:val="MDPI21heading1"/>
        <w:spacing w:before="0" w:after="0"/>
        <w:ind w:firstLine="425"/>
        <w:jc w:val="both"/>
        <w:rPr>
          <w:b w:val="0"/>
          <w:sz w:val="20"/>
        </w:rPr>
      </w:pPr>
      <w:r w:rsidRPr="005C053E">
        <w:rPr>
          <w:b w:val="0"/>
          <w:sz w:val="20"/>
          <w:highlight w:val="yellow"/>
        </w:rPr>
        <w:t xml:space="preserve">Considering the need </w:t>
      </w:r>
      <w:r w:rsidR="00D53E28" w:rsidRPr="005C053E">
        <w:rPr>
          <w:b w:val="0"/>
          <w:sz w:val="20"/>
          <w:highlight w:val="yellow"/>
        </w:rPr>
        <w:t>to study</w:t>
      </w:r>
      <w:r w:rsidR="004F0B24" w:rsidRPr="005C053E">
        <w:rPr>
          <w:b w:val="0"/>
          <w:sz w:val="20"/>
          <w:highlight w:val="yellow"/>
        </w:rPr>
        <w:t xml:space="preserve"> avocado plantations</w:t>
      </w:r>
      <w:r w:rsidR="005C053E" w:rsidRPr="005C053E">
        <w:rPr>
          <w:b w:val="0"/>
          <w:sz w:val="20"/>
          <w:highlight w:val="yellow"/>
        </w:rPr>
        <w:t xml:space="preserve">, </w:t>
      </w:r>
      <w:r w:rsidRPr="005C053E">
        <w:rPr>
          <w:b w:val="0"/>
          <w:sz w:val="20"/>
          <w:highlight w:val="yellow"/>
        </w:rPr>
        <w:t xml:space="preserve">the objective of this research is to evaluate the </w:t>
      </w:r>
      <w:r w:rsidRPr="008D3E6E">
        <w:rPr>
          <w:b w:val="0"/>
          <w:sz w:val="20"/>
          <w:highlight w:val="yellow"/>
        </w:rPr>
        <w:t xml:space="preserve">influence of avocado plantations on LULC changes </w:t>
      </w:r>
      <w:r w:rsidR="005C053E" w:rsidRPr="008D3E6E">
        <w:rPr>
          <w:b w:val="0"/>
          <w:sz w:val="20"/>
          <w:highlight w:val="yellow"/>
        </w:rPr>
        <w:t xml:space="preserve">and the landscape transformations </w:t>
      </w:r>
      <w:r w:rsidR="00F90BCE" w:rsidRPr="008D3E6E">
        <w:rPr>
          <w:b w:val="0"/>
          <w:sz w:val="20"/>
          <w:highlight w:val="yellow"/>
        </w:rPr>
        <w:t>in the Aconcagua basin over the past twenty years</w:t>
      </w:r>
      <w:r w:rsidRPr="008D3E6E">
        <w:rPr>
          <w:b w:val="0"/>
          <w:sz w:val="20"/>
          <w:highlight w:val="yellow"/>
        </w:rPr>
        <w:t xml:space="preserve"> (2003—2023)</w:t>
      </w:r>
      <w:r w:rsidR="00F90BCE" w:rsidRPr="008D3E6E">
        <w:rPr>
          <w:b w:val="0"/>
          <w:sz w:val="20"/>
          <w:highlight w:val="yellow"/>
        </w:rPr>
        <w:t>.</w:t>
      </w:r>
      <w:r w:rsidRPr="008D3E6E">
        <w:rPr>
          <w:b w:val="0"/>
          <w:sz w:val="20"/>
          <w:highlight w:val="yellow"/>
        </w:rPr>
        <w:t xml:space="preserve"> </w:t>
      </w:r>
      <w:r w:rsidR="00F90BCE" w:rsidRPr="008D3E6E">
        <w:rPr>
          <w:b w:val="0"/>
          <w:sz w:val="20"/>
          <w:highlight w:val="yellow"/>
        </w:rPr>
        <w:t xml:space="preserve">To achieve this, Landsat imagery and the Random Forest classifier within </w:t>
      </w:r>
      <w:r w:rsidR="00F90BCE" w:rsidRPr="00F90BCE">
        <w:rPr>
          <w:b w:val="0"/>
          <w:sz w:val="20"/>
          <w:highlight w:val="yellow"/>
        </w:rPr>
        <w:t>the Google Earth Engine (GEE) platform will be utilized.</w:t>
      </w:r>
      <w:r w:rsidRPr="004D72E4">
        <w:rPr>
          <w:b w:val="0"/>
          <w:sz w:val="20"/>
        </w:rPr>
        <w:t xml:space="preserve"> First, a general spatiotemporal analysis of LULC changes will be conducted. Second, a detailed assessment of change analysis of avocado and native vegetation </w:t>
      </w:r>
      <w:proofErr w:type="gramStart"/>
      <w:r w:rsidRPr="004D72E4">
        <w:rPr>
          <w:b w:val="0"/>
          <w:sz w:val="20"/>
        </w:rPr>
        <w:t>lands,</w:t>
      </w:r>
      <w:proofErr w:type="gramEnd"/>
      <w:r w:rsidRPr="004D72E4">
        <w:rPr>
          <w:b w:val="0"/>
          <w:sz w:val="20"/>
        </w:rPr>
        <w:t xml:space="preserve"> will be carried out. Finally, the effects of avocado plantation and native vegetation changes on landscape transformation patterns will be analyzed. This study will provide a crucial foundation for developing sustainable land management strategies that balance agricultural production with environmental sustainability, landscape transformation, and the well-being of local communities.</w:t>
      </w:r>
    </w:p>
    <w:p w14:paraId="76961F1A" w14:textId="77777777" w:rsidR="009F4D56" w:rsidRPr="004D72E4" w:rsidRDefault="009F4D56" w:rsidP="009F4D56">
      <w:pPr>
        <w:pStyle w:val="MDPI21heading1"/>
        <w:spacing w:before="0" w:after="0"/>
        <w:ind w:firstLine="425"/>
        <w:jc w:val="both"/>
        <w:rPr>
          <w:b w:val="0"/>
          <w:sz w:val="20"/>
        </w:rPr>
      </w:pPr>
    </w:p>
    <w:p w14:paraId="57258BF3" w14:textId="77777777" w:rsidR="009604F2" w:rsidRDefault="005344F3" w:rsidP="009604F2">
      <w:pPr>
        <w:pStyle w:val="MDPI21heading1"/>
      </w:pPr>
      <w:r w:rsidRPr="00242122">
        <w:rPr>
          <w:lang w:eastAsia="zh-CN"/>
        </w:rPr>
        <w:t xml:space="preserve">2. </w:t>
      </w:r>
      <w:r w:rsidRPr="00242122">
        <w:t>Materials and Methods</w:t>
      </w:r>
    </w:p>
    <w:p w14:paraId="7E24185D" w14:textId="73BC06C9" w:rsidR="009604F2" w:rsidRPr="00312275" w:rsidRDefault="009604F2" w:rsidP="00312275">
      <w:pPr>
        <w:pStyle w:val="MDPI21heading1"/>
        <w:rPr>
          <w:b w:val="0"/>
          <w:bCs/>
          <w:sz w:val="20"/>
          <w:szCs w:val="20"/>
        </w:rPr>
      </w:pPr>
      <w:r w:rsidRPr="00312275">
        <w:rPr>
          <w:b w:val="0"/>
          <w:bCs/>
          <w:i/>
          <w:sz w:val="20"/>
          <w:szCs w:val="20"/>
        </w:rPr>
        <w:t>2.1 Study area</w:t>
      </w:r>
    </w:p>
    <w:p w14:paraId="3D50F000" w14:textId="48914810" w:rsidR="00312275" w:rsidRDefault="00312275" w:rsidP="00312275">
      <w:pPr>
        <w:pStyle w:val="MDPI31text"/>
      </w:pPr>
      <w:bookmarkStart w:id="0" w:name="page2"/>
      <w:bookmarkEnd w:id="0"/>
      <w:r w:rsidRPr="00312275">
        <w:t xml:space="preserve">The Aconcagua Basin (32°—33° S, 70°—72° W) is located in the Valparaíso Region, Central Chile and cover an area of 7,300 km² (Figure 1a) </w:t>
      </w:r>
      <w:r w:rsidR="00C170E2">
        <w:fldChar w:fldCharType="begin" w:fldLock="1"/>
      </w:r>
      <w:r w:rsidR="00CF0B43">
        <w:instrText>ADDIN CSL_CITATION {"citationItems":[{"id":"ITEM-1","itemData":{"DOI":"10.1016/j.scitotenv.2023.167723","ISSN":"18791026","PMID":"37832663","abstract":"Ensuring water supply under climate change scenarios is a global concern, and groundwater resources play a crucial role. Aquifer depletion is a worldwide trend, and Chile is no exception. Through a statistical approach with strong hydrogeological criteria, the groundwater overexploitation phenomenon is studied in Central Chile, the most populated region in this mountainous country. With this purpose, we assess the evolution of groundwater levels and pumping between 1970 and 2020 by analysing 26,065 groundwater rights and 222 observation wells. Withdrawals increased from 498 hm3 in 1970 to 8883 hm3 in 2020. We recognised two general trends in groundwater levels: a quasi-steady state hydrodynamic regime pre-1988 and sustained decline post-1988, exacerbated since 2010 with the start of the Megadrought. Although groundwater recharge is expected to decrease during this severe drought, the declining trend strongly correlates with pumping but not with precipitation changes. Climate forcing is usually invoked to warrant the dramatic depletion of groundwater resources, but we demonstrated that all analysed aquifers have been overexploited since much earlier than 2010. Finally, the Chilean aquifers' overexploitation is a clear example of the consequences of prioritising the water offer over the water demand regulation, which hinders the United Nations' sustainable development goals accomplishment.","author":[{"dropping-particle":"","family":"Taucare","given":"Matías","non-dropping-particle":"","parse-names":false,"suffix":""},{"dropping-particle":"","family":"Viguier","given":"Benoît","non-dropping-particle":"","parse-names":false,"suffix":""},{"dropping-particle":"","family":"Figueroa","given":"Ronny","non-dropping-particle":"","parse-names":false,"suffix":""},{"dropping-particle":"","family":"Daniele","given":"Linda","non-dropping-particle":"","parse-names":false,"suffix":""}],"container-title":"Science of the Total Environment","id":"ITEM-1","issued":{"date-parts":[["2024","1","1"]]},"page":"167723","publisher":"Elsevier B.V.","title":"The alarming state of Central Chile's groundwater resources: A paradigmatic case of a lasting overexploitation","type":"article-journal","volume":"906"},"uris":["http://www.mendeley.com/documents/?uuid=86736721-0300-313b-8c30-2c87437de30e"]},{"id":"ITEM-2","itemData":{"DOI":"10.1080/02723646.2020.1790719","ISSN":"02723646","abstract":"Agriculture in the Aconcagua Basin is both vital to Chile’s economy and critically dependent on water resources from snow and glaciers. Expanding croplands, a growing population, and a changing climate are all expected to exacerbate water scarcity in this arid region where agriculture requires 7.1 × 108 m3 of water for irrigation annually. We investigate agricultural water resources in the Aconcagua Basin by examining the drivers of and trends in river discharge, calculating approximate crop water demand, and assessing the potential for future water scarcity given discharge rates and agricultural demand. We find that growing-season (October to March) discharge is significantly correlated with austral winter precipitation and the El Niño-Southern Oscillation. Austral winter precipitation provides snow that melts during the growing season, supplying water for agricultural irrigation. Time series analysis shows that temperature increased by 0.23 °C per decade between 1965 and 2017, and snow cover frequency decreased (2.7% per decade) over the relatively short time period of 2000 to 2017. Based on historical discharge data and our assessment of current agricultural water demand, we show that the Aconcagua Basin is already water-scarce, experiencing demand exceeding supply approximately three out of every 10 years.","author":[{"dropping-particle":"","family":"Webb","given":"Mariana J.","non-dropping-particle":"","parse-names":false,"suffix":""},{"dropping-particle":"","family":"Winter","given":"Jonathan M.","non-dropping-particle":"","parse-names":false,"suffix":""},{"dropping-particle":"","family":"Spera","given":"Stephanie A.","non-dropping-particle":"","parse-names":false,"suffix":""},{"dropping-particle":"","family":"Chipman","given":"Jonathan W.","non-dropping-particle":"","parse-names":false,"suffix":""},{"dropping-particle":"","family":"Osterberg","given":"Erich C.","non-dropping-particle":"","parse-names":false,"suffix":""}],"container-title":"Physical Geography","id":"ITEM-2","issued":{"date-parts":[["2020"]]},"page":"1-21","publisher":"Taylor and Francis Inc.","title":"Water, agriculture, and climate dynamics in central Chile’s Aconcagua River Basin","type":"article-journal"},"uris":["http://www.mendeley.com/documents/?uuid=b574c0cc-2409-3a55-8da8-abba8edd44a0"]}],"mendeley":{"formattedCitation":"&lt;span style=\"baseline\"&gt;[39,40]&lt;/span&gt;","plainTextFormattedCitation":"[39,40]","previouslyFormattedCitation":"&lt;span style=\"baseline\"&gt;[39,40]&lt;/span&gt;"},"properties":{"noteIndex":0},"schema":"https://github.com/citation-style-language/schema/raw/master/csl-citation.json"}</w:instrText>
      </w:r>
      <w:r w:rsidR="00C170E2">
        <w:fldChar w:fldCharType="separate"/>
      </w:r>
      <w:r w:rsidR="004B02F5" w:rsidRPr="004B02F5">
        <w:rPr>
          <w:noProof/>
        </w:rPr>
        <w:t>[39,40]</w:t>
      </w:r>
      <w:r w:rsidR="00C170E2">
        <w:fldChar w:fldCharType="end"/>
      </w:r>
      <w:r w:rsidRPr="00312275">
        <w:t xml:space="preserve">. The basin is made up of five geomorphological units. These comprise, from east to west, the Andes Range, the pre-range, the transversal cords-transitional basins, the coastal range, and the coastal plains </w:t>
      </w:r>
      <w:r w:rsidR="00C170E2">
        <w:lastRenderedPageBreak/>
        <w:fldChar w:fldCharType="begin" w:fldLock="1"/>
      </w:r>
      <w:r w:rsidR="00CF0B43">
        <w:instrText>ADDIN CSL_CITATION {"citationItems":[{"id":"ITEM-1","itemData":{"DOI":"10.1016/j.ejrh.2023.101502","ISSN":"22145818","abstract":"Study region: Our study region is the Aconcagua basin, central Chile. The catchment, home to over 500,000 people, currently experiences a multiyear drought that threatens water security. In this context, there is an impending need to explore unconventional groundwater resources, such as peripheral hard rock and deep aquifers. Study focus: The focus of this study is the application of machine learning techniques to identify areas of potentially untapped groundwater resources in the middle and upper reaches of the Aconcagua basin. New hydrological insights for the region: Machine learning classifiers accurately depict those areas known for their high groundwater potential, including the San Felipe, Putaendo, Panquehue, Catemu and Llay-Llay sectors. The Mesozoic sedimentary sequences and intrusive units of the coastal range, together with the Neogene units of the Andes range, are correctly identified as areas of very low hydrogeological interest. A major novelty of this study is the delineation of several new areas of potentially high groundwater prospect, namely, the geological domain associated with the Pocuro fault system, the Teatinos-Volcan-River fault system, and the Las Chilcas volcano-sedimentary sequence, in the Chacabuco Range. These findings are in line with the results of complementary studies, thus suggesting that machine learning applications may successfully underpin groundwater exploration across other groundwater basins in the coastal Andean region.","author":[{"dropping-particle":"","family":"Aliaga-Alvarado","given":"M.","non-dropping-particle":"","parse-names":false,"suffix":""},{"dropping-particle":"","family":"Gómez-Escalonilla","given":"V.","non-dropping-particle":"","parse-names":false,"suffix":""},{"dropping-particle":"","family":"Martínez-Santos","given":"P.","non-dropping-particle":"","parse-names":false,"suffix":""}],"container-title":"Journal of Hydrology: Regional Studies","id":"ITEM-1","issued":{"date-parts":[["2023","10","1"]]},"publisher":"Elsevier B.V.","title":"Identification of non-conventional groundwater resources by means of machine learning in the Aconcagua basin, Chile","type":"article-journal","volume":"49"},"uris":["http://www.mendeley.com/documents/?uuid=7653bef3-f78c-3087-a0e4-cafa21eeee9a"]}],"mendeley":{"formattedCitation":"&lt;span style=\"baseline\"&gt;[41]&lt;/span&gt;","plainTextFormattedCitation":"[41]","previouslyFormattedCitation":"&lt;span style=\"baseline\"&gt;[41]&lt;/span&gt;"},"properties":{"noteIndex":0},"schema":"https://github.com/citation-style-language/schema/raw/master/csl-citation.json"}</w:instrText>
      </w:r>
      <w:r w:rsidR="00C170E2">
        <w:fldChar w:fldCharType="separate"/>
      </w:r>
      <w:r w:rsidR="004B02F5" w:rsidRPr="004B02F5">
        <w:rPr>
          <w:noProof/>
        </w:rPr>
        <w:t>[41]</w:t>
      </w:r>
      <w:r w:rsidR="00C170E2">
        <w:fldChar w:fldCharType="end"/>
      </w:r>
      <w:r w:rsidRPr="00312275">
        <w:t xml:space="preserve">. Hydrogeological sectors are mostly made up of recent unconsolidated sediments. These are associated with fluvial deposits, alluvial-colluvial deposits, and continental terraces </w:t>
      </w:r>
      <w:r w:rsidR="00C170E2">
        <w:fldChar w:fldCharType="begin" w:fldLock="1"/>
      </w:r>
      <w:r w:rsidR="00CF0B43">
        <w:instrText>ADDIN CSL_CITATION {"citationItems":[{"id":"ITEM-1","itemData":{"DOI":"10.1016/j.ejrh.2023.101502","ISSN":"22145818","abstract":"Study region: Our study region is the Aconcagua basin, central Chile. The catchment, home to over 500,000 people, currently experiences a multiyear drought that threatens water security. In this context, there is an impending need to explore unconventional groundwater resources, such as peripheral hard rock and deep aquifers. Study focus: The focus of this study is the application of machine learning techniques to identify areas of potentially untapped groundwater resources in the middle and upper reaches of the Aconcagua basin. New hydrological insights for the region: Machine learning classifiers accurately depict those areas known for their high groundwater potential, including the San Felipe, Putaendo, Panquehue, Catemu and Llay-Llay sectors. The Mesozoic sedimentary sequences and intrusive units of the coastal range, together with the Neogene units of the Andes range, are correctly identified as areas of very low hydrogeological interest. A major novelty of this study is the delineation of several new areas of potentially high groundwater prospect, namely, the geological domain associated with the Pocuro fault system, the Teatinos-Volcan-River fault system, and the Las Chilcas volcano-sedimentary sequence, in the Chacabuco Range. These findings are in line with the results of complementary studies, thus suggesting that machine learning applications may successfully underpin groundwater exploration across other groundwater basins in the coastal Andean region.","author":[{"dropping-particle":"","family":"Aliaga-Alvarado","given":"M.","non-dropping-particle":"","parse-names":false,"suffix":""},{"dropping-particle":"","family":"Gómez-Escalonilla","given":"V.","non-dropping-particle":"","parse-names":false,"suffix":""},{"dropping-particle":"","family":"Martínez-Santos","given":"P.","non-dropping-particle":"","parse-names":false,"suffix":""}],"container-title":"Journal of Hydrology: Regional Studies","id":"ITEM-1","issued":{"date-parts":[["2023","10","1"]]},"publisher":"Elsevier B.V.","title":"Identification of non-conventional groundwater resources by means of machine learning in the Aconcagua basin, Chile","type":"article-journal","volume":"49"},"uris":["http://www.mendeley.com/documents/?uuid=7653bef3-f78c-3087-a0e4-cafa21eeee9a"]},{"id":"ITEM-2","itemData":{"author":[{"dropping-particle":"","family":"DGA","given":"","non-dropping-particle":"","parse-names":false,"suffix":""}],"id":"ITEM-2","issued":{"date-parts":[["2019"]]},"title":"Proyecto Actualización de la Modelación Hidrogeológica Integrada del Aconcagua No 446. Dirección General de Aguas División de Estudios y Planificación, realizado por Wsp Consulting Chile. S.I.T. No 446","type":"article-journal"},"uris":["http://www.mendeley.com/documents/?uuid=1cfe3ea8-e1aa-4f27-b8ad-46134e4ba36b"]}],"mendeley":{"formattedCitation":"&lt;span style=\"baseline\"&gt;[41,42]&lt;/span&gt;","plainTextFormattedCitation":"[41,42]","previouslyFormattedCitation":"&lt;span style=\"baseline\"&gt;[41,42]&lt;/span&gt;"},"properties":{"noteIndex":0},"schema":"https://github.com/citation-style-language/schema/raw/master/csl-citation.json"}</w:instrText>
      </w:r>
      <w:r w:rsidR="00C170E2">
        <w:fldChar w:fldCharType="separate"/>
      </w:r>
      <w:r w:rsidR="004B02F5" w:rsidRPr="004B02F5">
        <w:rPr>
          <w:noProof/>
        </w:rPr>
        <w:t>[41,42]</w:t>
      </w:r>
      <w:r w:rsidR="00C170E2">
        <w:fldChar w:fldCharType="end"/>
      </w:r>
      <w:r w:rsidRPr="00312275">
        <w:t xml:space="preserve">. The Aconcagua River and its tributaries stretch 215 km in length </w:t>
      </w:r>
      <w:r w:rsidR="00C170E2">
        <w:fldChar w:fldCharType="begin" w:fldLock="1"/>
      </w:r>
      <w:r w:rsidR="00CF0B43">
        <w:instrText>ADDIN CSL_CITATION {"citationItems":[{"id":"ITEM-1","itemData":{"DOI":"10.1080/02723646.2020.1790719","ISSN":"02723646","abstract":"Agriculture in the Aconcagua Basin is both vital to Chile’s economy and critically dependent on water resources from snow and glaciers. Expanding croplands, a growing population, and a changing climate are all expected to exacerbate water scarcity in this arid region where agriculture requires 7.1 × 108 m3 of water for irrigation annually. We investigate agricultural water resources in the Aconcagua Basin by examining the drivers of and trends in river discharge, calculating approximate crop water demand, and assessing the potential for future water scarcity given discharge rates and agricultural demand. We find that growing-season (October to March) discharge is significantly correlated with austral winter precipitation and the El Niño-Southern Oscillation. Austral winter precipitation provides snow that melts during the growing season, supplying water for agricultural irrigation. Time series analysis shows that temperature increased by 0.23 °C per decade between 1965 and 2017, and snow cover frequency decreased (2.7% per decade) over the relatively short time period of 2000 to 2017. Based on historical discharge data and our assessment of current agricultural water demand, we show that the Aconcagua Basin is already water-scarce, experiencing demand exceeding supply approximately three out of every 10 years.","author":[{"dropping-particle":"","family":"Webb","given":"Mariana J.","non-dropping-particle":"","parse-names":false,"suffix":""},{"dropping-particle":"","family":"Winter","given":"Jonathan M.","non-dropping-particle":"","parse-names":false,"suffix":""},{"dropping-particle":"","family":"Spera","given":"Stephanie A.","non-dropping-particle":"","parse-names":false,"suffix":""},{"dropping-particle":"","family":"Chipman","given":"Jonathan W.","non-dropping-particle":"","parse-names":false,"suffix":""},{"dropping-particle":"","family":"Osterberg","given":"Erich C.","non-dropping-particle":"","parse-names":false,"suffix":""}],"container-title":"Physical Geography","id":"ITEM-1","issued":{"date-parts":[["2020"]]},"page":"1-21","publisher":"Taylor and Francis Inc.","title":"Water, agriculture, and climate dynamics in central Chile’s Aconcagua River Basin","type":"article-journal"},"uris":["http://www.mendeley.com/documents/?uuid=b574c0cc-2409-3a55-8da8-abba8edd44a0"]}],"mendeley":{"formattedCitation":"&lt;span style=\"baseline\"&gt;[40]&lt;/span&gt;","plainTextFormattedCitation":"[40]","previouslyFormattedCitation":"&lt;span style=\"baseline\"&gt;[40]&lt;/span&gt;"},"properties":{"noteIndex":0},"schema":"https://github.com/citation-style-language/schema/raw/master/csl-citation.json"}</w:instrText>
      </w:r>
      <w:r w:rsidR="00C170E2">
        <w:fldChar w:fldCharType="separate"/>
      </w:r>
      <w:r w:rsidR="004B02F5" w:rsidRPr="004B02F5">
        <w:rPr>
          <w:noProof/>
        </w:rPr>
        <w:t>[40]</w:t>
      </w:r>
      <w:r w:rsidR="00C170E2">
        <w:fldChar w:fldCharType="end"/>
      </w:r>
      <w:r w:rsidRPr="00312275">
        <w:t xml:space="preserve">. In the Aconcagua basin, the climate is subject to high intra- and inter-annual variability </w:t>
      </w:r>
      <w:r w:rsidR="00C170E2">
        <w:fldChar w:fldCharType="begin" w:fldLock="1"/>
      </w:r>
      <w:r w:rsidR="00CF0B43">
        <w:instrText>ADDIN CSL_CITATION {"citationItems":[{"id":"ITEM-1","itemData":{"DOI":"10.1080/02723646.2020.1790719","ISSN":"02723646","abstract":"Agriculture in the Aconcagua Basin is both vital to Chile’s economy and critically dependent on water resources from snow and glaciers. Expanding croplands, a growing population, and a changing climate are all expected to exacerbate water scarcity in this arid region where agriculture requires 7.1 × 108 m3 of water for irrigation annually. We investigate agricultural water resources in the Aconcagua Basin by examining the drivers of and trends in river discharge, calculating approximate crop water demand, and assessing the potential for future water scarcity given discharge rates and agricultural demand. We find that growing-season (October to March) discharge is significantly correlated with austral winter precipitation and the El Niño-Southern Oscillation. Austral winter precipitation provides snow that melts during the growing season, supplying water for agricultural irrigation. Time series analysis shows that temperature increased by 0.23 °C per decade between 1965 and 2017, and snow cover frequency decreased (2.7% per decade) over the relatively short time period of 2000 to 2017. Based on historical discharge data and our assessment of current agricultural water demand, we show that the Aconcagua Basin is already water-scarce, experiencing demand exceeding supply approximately three out of every 10 years.","author":[{"dropping-particle":"","family":"Webb","given":"Mariana J.","non-dropping-particle":"","parse-names":false,"suffix":""},{"dropping-particle":"","family":"Winter","given":"Jonathan M.","non-dropping-particle":"","parse-names":false,"suffix":""},{"dropping-particle":"","family":"Spera","given":"Stephanie A.","non-dropping-particle":"","parse-names":false,"suffix":""},{"dropping-particle":"","family":"Chipman","given":"Jonathan W.","non-dropping-particle":"","parse-names":false,"suffix":""},{"dropping-particle":"","family":"Osterberg","given":"Erich C.","non-dropping-particle":"","parse-names":false,"suffix":""}],"container-title":"Physical Geography","id":"ITEM-1","issued":{"date-parts":[["2020"]]},"page":"1-21","publisher":"Taylor and Francis Inc.","title":"Water, agriculture, and climate dynamics in central Chile’s Aconcagua River Basin","type":"article-journal"},"uris":["http://www.mendeley.com/documents/?uuid=b574c0cc-2409-3a55-8da8-abba8edd44a0"]}],"mendeley":{"formattedCitation":"&lt;span style=\"baseline\"&gt;[40]&lt;/span&gt;","plainTextFormattedCitation":"[40]","previouslyFormattedCitation":"&lt;span style=\"baseline\"&gt;[40]&lt;/span&gt;"},"properties":{"noteIndex":0},"schema":"https://github.com/citation-style-language/schema/raw/master/csl-citation.json"}</w:instrText>
      </w:r>
      <w:r w:rsidR="00C170E2">
        <w:fldChar w:fldCharType="separate"/>
      </w:r>
      <w:r w:rsidR="004B02F5" w:rsidRPr="004B02F5">
        <w:rPr>
          <w:noProof/>
        </w:rPr>
        <w:t>[40]</w:t>
      </w:r>
      <w:r w:rsidR="00C170E2">
        <w:fldChar w:fldCharType="end"/>
      </w:r>
      <w:r w:rsidR="00C170E2">
        <w:t>,</w:t>
      </w:r>
      <w:r w:rsidRPr="00312275">
        <w:t xml:space="preserve"> with mean annual precipitation values of 280 mm/year in the Central Depression and around 620 mm/year in the Principal Cordillera. Based on the </w:t>
      </w:r>
      <w:proofErr w:type="spellStart"/>
      <w:r w:rsidRPr="00312275">
        <w:t>Köppen</w:t>
      </w:r>
      <w:proofErr w:type="spellEnd"/>
      <w:r w:rsidRPr="00312275">
        <w:t>-Geiger classification</w:t>
      </w:r>
      <w:r w:rsidR="0019710A">
        <w:t xml:space="preserve"> </w:t>
      </w:r>
      <w:r w:rsidR="00C170E2">
        <w:fldChar w:fldCharType="begin" w:fldLock="1"/>
      </w:r>
      <w:r w:rsidR="00CF0B43">
        <w:instrText>ADDIN CSL_CITATION {"citationItems":[{"id":"ITEM-1","itemData":{"author":[{"dropping-particle":"","family":"Köppen","given":"W","non-dropping-particle":"","parse-names":false,"suffix":""}],"container-title":"Petermanns Geographische Mitteilungen","id":"ITEM-1","issued":{"date-parts":[["1918"]]},"page":"193–203","title":"Klassifikation der Klimate nach Temperatur, Niederschlag und Jahreslauf","type":"article-journal","volume":"64"},"uris":["http://www.mendeley.com/documents/?uuid=8ac0ed2a-7129-4e80-8b70-11e3978679f9"]}],"mendeley":{"formattedCitation":"&lt;span style=\"baseline\"&gt;[43]&lt;/span&gt;","plainTextFormattedCitation":"[43]","previouslyFormattedCitation":"&lt;span style=\"baseline\"&gt;[43]&lt;/span&gt;"},"properties":{"noteIndex":0},"schema":"https://github.com/citation-style-language/schema/raw/master/csl-citation.json"}</w:instrText>
      </w:r>
      <w:r w:rsidR="00C170E2">
        <w:fldChar w:fldCharType="separate"/>
      </w:r>
      <w:r w:rsidR="004B02F5" w:rsidRPr="004B02F5">
        <w:rPr>
          <w:noProof/>
        </w:rPr>
        <w:t>[43]</w:t>
      </w:r>
      <w:r w:rsidR="00C170E2">
        <w:fldChar w:fldCharType="end"/>
      </w:r>
      <w:r w:rsidRPr="00312275">
        <w:t xml:space="preserve">, the lower part is characterized by a Mediterranean climate of winter rainfall, coastal influence and long dry season with average temperatures of 14.5° </w:t>
      </w:r>
      <w:r w:rsidR="00C170E2">
        <w:fldChar w:fldCharType="begin" w:fldLock="1"/>
      </w:r>
      <w:r w:rsidR="00CF0B43">
        <w:instrText>ADDIN CSL_CITATION {"citationItems":[{"id":"ITEM-1","itemData":{"DOI":"10.1016/j.ejrh.2023.101502","ISSN":"22145818","abstract":"Study region: Our study region is the Aconcagua basin, central Chile. The catchment, home to over 500,000 people, currently experiences a multiyear drought that threatens water security. In this context, there is an impending need to explore unconventional groundwater resources, such as peripheral hard rock and deep aquifers. Study focus: The focus of this study is the application of machine learning techniques to identify areas of potentially untapped groundwater resources in the middle and upper reaches of the Aconcagua basin. New hydrological insights for the region: Machine learning classifiers accurately depict those areas known for their high groundwater potential, including the San Felipe, Putaendo, Panquehue, Catemu and Llay-Llay sectors. The Mesozoic sedimentary sequences and intrusive units of the coastal range, together with the Neogene units of the Andes range, are correctly identified as areas of very low hydrogeological interest. A major novelty of this study is the delineation of several new areas of potentially high groundwater prospect, namely, the geological domain associated with the Pocuro fault system, the Teatinos-Volcan-River fault system, and the Las Chilcas volcano-sedimentary sequence, in the Chacabuco Range. These findings are in line with the results of complementary studies, thus suggesting that machine learning applications may successfully underpin groundwater exploration across other groundwater basins in the coastal Andean region.","author":[{"dropping-particle":"","family":"Aliaga-Alvarado","given":"M.","non-dropping-particle":"","parse-names":false,"suffix":""},{"dropping-particle":"","family":"Gómez-Escalonilla","given":"V.","non-dropping-particle":"","parse-names":false,"suffix":""},{"dropping-particle":"","family":"Martínez-Santos","given":"P.","non-dropping-particle":"","parse-names":false,"suffix":""}],"container-title":"Journal of Hydrology: Regional Studies","id":"ITEM-1","issued":{"date-parts":[["2023","10","1"]]},"publisher":"Elsevier B.V.","title":"Identification of non-conventional groundwater resources by means of machine learning in the Aconcagua basin, Chile","type":"article-journal","volume":"49"},"uris":["http://www.mendeley.com/documents/?uuid=7653bef3-f78c-3087-a0e4-cafa21eeee9a"]},{"id":"ITEM-2","itemData":{"DOI":"10.1109/IGARSS53475.2024.10642727","ISBN":"9798350360325","abstract":"Since 2010, central Chile has been experiencing a megadrought that has affected the hydrological cycle, agriculture, and people. This phenomenon can not only affect the agriculture but can also impact the sustainability of ecosystems. Therefore, the objective of this research is to preliminarily analyze the response of agricultural and natural vegetation areas to the megadrought in the Aconcagua basin. The Normalized Difference Vegetation Index (NDVI) was obtained in Google Earth Engine and a drought index was calculated. Finally, statistical analyzes were carried out. The drought effect was evidenced in the study basin (r ≥ 0.5), mainly in natural vegetation areas, and a tendency of NDVI to decrease was reflected. Therefore, a sustainable management of water resources and ecosystems in the Aconcagua River is essential in the face of drought processes.","author":[{"dropping-particle":"","family":"Duran-Llacer","given":"Iongel","non-dropping-particle":"","parse-names":false,"suffix":""},{"dropping-particle":"","family":"Zambrano","given":"Francisco","non-dropping-particle":"","parse-names":false,"suffix":""},{"dropping-particle":"","family":"Rodríguez-López","given":"Lien","non-dropping-particle":"","parse-names":false,"suffix":""},{"dropping-particle":"","family":"Martínez-Retureta","given":"Rebeca","non-dropping-particle":"","parse-names":false,"suffix":""},{"dropping-particle":"","family":"Arumí","given":"José Luis","non-dropping-particle":"","parse-names":false,"suffix":""}],"container-title":"International Geoscience and Remote Sensing Symposium (IGARSS)","id":"ITEM-2","issued":{"date-parts":[["2024"]]},"page":"3643-3646","title":"Analysis of Drought in Agriculture and Natural Vegetation Areas in Central Chile","type":"article-journal"},"uris":["http://www.mendeley.com/documents/?uuid=36734c2d-a522-4bc8-b498-38c392cb93ba"]}],"mendeley":{"formattedCitation":"&lt;span style=\"baseline\"&gt;[41,44]&lt;/span&gt;","plainTextFormattedCitation":"[41,44]","previouslyFormattedCitation":"&lt;span style=\"baseline\"&gt;[41,44]&lt;/span&gt;"},"properties":{"noteIndex":0},"schema":"https://github.com/citation-style-language/schema/raw/master/csl-citation.json"}</w:instrText>
      </w:r>
      <w:r w:rsidR="00C170E2">
        <w:fldChar w:fldCharType="separate"/>
      </w:r>
      <w:r w:rsidR="004B02F5" w:rsidRPr="004B02F5">
        <w:rPr>
          <w:noProof/>
        </w:rPr>
        <w:t>[41,44]</w:t>
      </w:r>
      <w:r w:rsidR="00C170E2">
        <w:fldChar w:fldCharType="end"/>
      </w:r>
      <w:r w:rsidRPr="00312275">
        <w:t xml:space="preserve">. The interior presents a Mediterranean to semi-arid </w:t>
      </w:r>
      <w:r w:rsidR="00D974E2" w:rsidRPr="00D974E2">
        <w:rPr>
          <w:highlight w:val="yellow"/>
        </w:rPr>
        <w:t>climate</w:t>
      </w:r>
      <w:r w:rsidR="00D974E2">
        <w:t xml:space="preserve"> </w:t>
      </w:r>
      <w:r w:rsidRPr="00312275">
        <w:t xml:space="preserve">characterized by a warm climate with moderate winter rainfall. High altitude climate with winter rain and cold tundra climate with winter rain predominate in the upper reaches of the basin </w:t>
      </w:r>
      <w:r w:rsidR="00C170E2">
        <w:fldChar w:fldCharType="begin" w:fldLock="1"/>
      </w:r>
      <w:r w:rsidR="00CF0B43">
        <w:instrText>ADDIN CSL_CITATION {"citationItems":[{"id":"ITEM-1","itemData":{"DOI":"10.1016/j.ejrh.2023.101502","ISSN":"22145818","abstract":"Study region: Our study region is the Aconcagua basin, central Chile. The catchment, home to over 500,000 people, currently experiences a multiyear drought that threatens water security. In this context, there is an impending need to explore unconventional groundwater resources, such as peripheral hard rock and deep aquifers. Study focus: The focus of this study is the application of machine learning techniques to identify areas of potentially untapped groundwater resources in the middle and upper reaches of the Aconcagua basin. New hydrological insights for the region: Machine learning classifiers accurately depict those areas known for their high groundwater potential, including the San Felipe, Putaendo, Panquehue, Catemu and Llay-Llay sectors. The Mesozoic sedimentary sequences and intrusive units of the coastal range, together with the Neogene units of the Andes range, are correctly identified as areas of very low hydrogeological interest. A major novelty of this study is the delineation of several new areas of potentially high groundwater prospect, namely, the geological domain associated with the Pocuro fault system, the Teatinos-Volcan-River fault system, and the Las Chilcas volcano-sedimentary sequence, in the Chacabuco Range. These findings are in line with the results of complementary studies, thus suggesting that machine learning applications may successfully underpin groundwater exploration across other groundwater basins in the coastal Andean region.","author":[{"dropping-particle":"","family":"Aliaga-Alvarado","given":"M.","non-dropping-particle":"","parse-names":false,"suffix":""},{"dropping-particle":"","family":"Gómez-Escalonilla","given":"V.","non-dropping-particle":"","parse-names":false,"suffix":""},{"dropping-particle":"","family":"Martínez-Santos","given":"P.","non-dropping-particle":"","parse-names":false,"suffix":""}],"container-title":"Journal of Hydrology: Regional Studies","id":"ITEM-1","issued":{"date-parts":[["2023","10","1"]]},"publisher":"Elsevier B.V.","title":"Identification of non-conventional groundwater resources by means of machine learning in the Aconcagua basin, Chile","type":"article-journal","volume":"49"},"uris":["http://www.mendeley.com/documents/?uuid=7653bef3-f78c-3087-a0e4-cafa21eeee9a"]}],"mendeley":{"formattedCitation":"&lt;span style=\"baseline\"&gt;[41]&lt;/span&gt;","plainTextFormattedCitation":"[41]","previouslyFormattedCitation":"&lt;span style=\"baseline\"&gt;[41]&lt;/span&gt;"},"properties":{"noteIndex":0},"schema":"https://github.com/citation-style-language/schema/raw/master/csl-citation.json"}</w:instrText>
      </w:r>
      <w:r w:rsidR="00C170E2">
        <w:fldChar w:fldCharType="separate"/>
      </w:r>
      <w:r w:rsidR="004B02F5" w:rsidRPr="004B02F5">
        <w:rPr>
          <w:noProof/>
        </w:rPr>
        <w:t>[41]</w:t>
      </w:r>
      <w:r w:rsidR="00C170E2">
        <w:fldChar w:fldCharType="end"/>
      </w:r>
      <w:r w:rsidR="00C170E2">
        <w:t xml:space="preserve">. </w:t>
      </w:r>
      <w:r w:rsidRPr="00312275">
        <w:t xml:space="preserve">The area has a great diversity of flora and fauna, with 14 types of vegetation formations, such as Mediterranean sclerophyllous forest, thorny forest and Mediterranean interior thorny scrub </w:t>
      </w:r>
      <w:r w:rsidR="0019710A">
        <w:fldChar w:fldCharType="begin" w:fldLock="1"/>
      </w:r>
      <w:r w:rsidR="00CF0B43">
        <w:instrText>ADDIN CSL_CITATION {"citationItems":[{"id":"ITEM-1","itemData":{"DOI":"10.1080/26395916.2024.2358471","ISSN":"26395916","abstract":"Wild pollinators play a crucial role in maintaining healthy ecosystems and sustaining agricultural productivity. However, their survival is at risk due to habitat loss and land use changes, exacerbating the ongoing biodiversity crisis, and jeopardising global food security. We assessed the contribution of native vegetation cover to pollination and avocado crop yield by modelling the abundance of native bees and the pollination services they provide in agroecosystems of the Aconcagua River basin in Central Chile. This region stands as a critical biodiversity hotspot, currently confronted with the challenge of land use change, especially due to the expansion of avocado (Persea americana Mill.) monocultures. Our findings revealed a clear relationship between native bee abundance, pollination services, and avocado yield as a function of natural vegetation cover surrounding the crops. Areas with a higher proportion of native vegetation exhibited the most abundant supply of pollination services, while within avocado crops show lower levels of pollination support. A spatial mismatch between supply and demand for pollination revealed by our results indicates that agricultural expansion threatens native pollinators and agricultural yield production in this region. The development of pollination maps has been proposed as a strategic tool to guide land-use planning decisions within agricultural landscapes. Prioritizing the conservation of native vegetation or adopting biodiversity-friendly practices can help mitigate the effects of agricultural expansion on wild pollinators. These strategies are vital for safeguarding biodiversity, ensuring food security, and mitigating the far-reaching impacts of the current biodiversity crisis. (Figure presented.).","author":[{"dropping-particle":"","family":"Lavín","given":"U.","non-dropping-particle":"","parse-names":false,"suffix":""},{"dropping-particle":"","family":"Martinez-Harms","given":"M. J.","non-dropping-particle":"","parse-names":false,"suffix":""},{"dropping-particle":"","family":"Celis-Diez","given":"J. L.","non-dropping-particle":"","parse-names":false,"suffix":""},{"dropping-particle":"","family":"Francois","given":"J. P.","non-dropping-particle":"","parse-names":false,"suffix":""},{"dropping-particle":"","family":"Aguirre","given":"Y.","non-dropping-particle":"","parse-names":false,"suffix":""},{"dropping-particle":"","family":"Martínez-Harms","given":"J.","non-dropping-particle":"","parse-names":false,"suffix":""}],"container-title":"Ecosystems and People","id":"ITEM-1","issue":"1","issued":{"date-parts":[["2024"]]},"publisher":"Taylor &amp; Francis","title":"Modelling pollination maps in agroecosystems of a Chilean biodiversity hotspot","type":"article-journal","volume":"20"},"uris":["http://www.mendeley.com/documents/?uuid=9ee17a56-1d5a-4929-9ba0-5fde54abe059"]}],"mendeley":{"formattedCitation":"&lt;span style=\"baseline\"&gt;[8]&lt;/span&gt;","plainTextFormattedCitation":"[8]","previouslyFormattedCitation":"&lt;span style=\"baseline\"&gt;[8]&lt;/span&gt;"},"properties":{"noteIndex":0},"schema":"https://github.com/citation-style-language/schema/raw/master/csl-citation.json"}</w:instrText>
      </w:r>
      <w:r w:rsidR="0019710A">
        <w:fldChar w:fldCharType="separate"/>
      </w:r>
      <w:r w:rsidR="004B02F5" w:rsidRPr="004B02F5">
        <w:rPr>
          <w:noProof/>
        </w:rPr>
        <w:t>[8]</w:t>
      </w:r>
      <w:r w:rsidR="0019710A">
        <w:fldChar w:fldCharType="end"/>
      </w:r>
      <w:r w:rsidR="0019710A">
        <w:t>.</w:t>
      </w:r>
    </w:p>
    <w:p w14:paraId="01BB0825" w14:textId="6EEF1B79" w:rsidR="00312275" w:rsidRDefault="00312275" w:rsidP="00312275">
      <w:pPr>
        <w:pStyle w:val="MDPI31text"/>
      </w:pPr>
      <w:r>
        <w:t xml:space="preserve">Aconcagua river basin supports 12% of Chile's national agricultural, livestock and forestry production and is home to over half a million people </w:t>
      </w:r>
      <w:r w:rsidR="0019710A">
        <w:fldChar w:fldCharType="begin" w:fldLock="1"/>
      </w:r>
      <w:r w:rsidR="00CF0B43">
        <w:instrText>ADDIN CSL_CITATION {"citationItems":[{"id":"ITEM-1","itemData":{"DOI":"10.3390/w12092630","ISSN":"20734441","abstract":"The Aconcagua river basin (Chile, 32◦S) has suffered the effects of the megadrought over the last decade. The severe snowfall deficiency drastically modified the water supply to the catchment headwaters. Despite the recognized snowmelt contribution to the basin, an unknown streamflow buffering effect is produced by glacial, periglacial and groundwater inputs, especially in dry periods. Hence, each type of water source was characterized and quantified for each season, through the combination of stable isotope and ionic analyses as natural water tracers. The δ18O and electric conductivity were identified as the key parameters for the differentiation of each water source. The use of these parameters in the stable isotope mixing “simmr” model revealed that snowmelt input accounted 52% in spring and only 22–36% during the rest of the year in the headwaters. While glacial supply contributed up to 34%, both groundwater and periglacial exhibited a remarkable contribution around 20% with some seasonal variations. Downstream, glacial contribution averaged 15–20%, groundwater seasonally increased up to 46%, and periglacial input was surprisingly high (i.e., 14–21%). The different water sources contribution quantification over time for the Aconcagua River reported in this work provides key information for water security in this territory.","author":[{"dropping-particle":"","family":"Crespo","given":"Sebastián Andrés","non-dropping-particle":"","parse-names":false,"suffix":""},{"dropping-particle":"","family":"Lavergne","given":"Céline","non-dropping-particle":"","parse-names":false,"suffix":""},{"dropping-particle":"","family":"Fernandoy","given":"Francisco","non-dropping-particle":"","parse-names":false,"suffix":""},{"dropping-particle":"","family":"Muñoz","given":"Ariel A.","non-dropping-particle":"","parse-names":false,"suffix":""},{"dropping-particle":"","family":"Cara","given":"Leandro","non-dropping-particle":"","parse-names":false,"suffix":""},{"dropping-particle":"","family":"Olfos-Vargas","given":"Simón","non-dropping-particle":"","parse-names":false,"suffix":""}],"container-title":"Water (Switzerland)","id":"ITEM-1","issue":"9","issued":{"date-parts":[["2020"]]},"title":"Where does the chilean aconcagua river come from? Use of natural tracers for water genesis characterization in glacial and periglacial environments","type":"article-journal","volume":"12"},"uris":["http://www.mendeley.com/documents/?uuid=399c84c2-d39c-4e8d-934e-1690aed36dcf"]}],"mendeley":{"formattedCitation":"&lt;span style=\"baseline\"&gt;[45]&lt;/span&gt;","plainTextFormattedCitation":"[45]","previouslyFormattedCitation":"&lt;span style=\"baseline\"&gt;[45]&lt;/span&gt;"},"properties":{"noteIndex":0},"schema":"https://github.com/citation-style-language/schema/raw/master/csl-citation.json"}</w:instrText>
      </w:r>
      <w:r w:rsidR="0019710A">
        <w:fldChar w:fldCharType="separate"/>
      </w:r>
      <w:r w:rsidR="004B02F5" w:rsidRPr="004B02F5">
        <w:rPr>
          <w:noProof/>
        </w:rPr>
        <w:t>[45]</w:t>
      </w:r>
      <w:r w:rsidR="0019710A">
        <w:fldChar w:fldCharType="end"/>
      </w:r>
      <w:r>
        <w:t>. It is the second most productive irrigated valley in Chile after the Maipo River valley</w:t>
      </w:r>
      <w:r w:rsidR="00A33418">
        <w:t xml:space="preserve">. </w:t>
      </w:r>
      <w:r w:rsidR="00A33418" w:rsidRPr="00055084">
        <w:rPr>
          <w:highlight w:val="yellow"/>
        </w:rPr>
        <w:t>T</w:t>
      </w:r>
      <w:r w:rsidRPr="00055084">
        <w:rPr>
          <w:highlight w:val="yellow"/>
        </w:rPr>
        <w:t>he main</w:t>
      </w:r>
      <w:r>
        <w:t xml:space="preserve"> water uses in the Aconcagua basin are agriculture </w:t>
      </w:r>
      <w:r w:rsidRPr="0019710A">
        <w:t>(25.79 m</w:t>
      </w:r>
      <w:r w:rsidRPr="0019710A">
        <w:rPr>
          <w:vertAlign w:val="superscript"/>
        </w:rPr>
        <w:t>3</w:t>
      </w:r>
      <w:r w:rsidRPr="0019710A">
        <w:t>/s), urban water (2.84 m</w:t>
      </w:r>
      <w:r w:rsidRPr="0019710A">
        <w:rPr>
          <w:vertAlign w:val="superscript"/>
        </w:rPr>
        <w:t>3</w:t>
      </w:r>
      <w:r w:rsidRPr="0019710A">
        <w:t>/s) and industry (2.63 m</w:t>
      </w:r>
      <w:r w:rsidRPr="0019710A">
        <w:rPr>
          <w:vertAlign w:val="superscript"/>
        </w:rPr>
        <w:t>3</w:t>
      </w:r>
      <w:r w:rsidRPr="0019710A">
        <w:t>/s)</w:t>
      </w:r>
      <w:r>
        <w:t xml:space="preserve"> </w:t>
      </w:r>
      <w:r w:rsidR="0019710A">
        <w:fldChar w:fldCharType="begin" w:fldLock="1"/>
      </w:r>
      <w:r w:rsidR="00CF0B43">
        <w:instrText>ADDIN CSL_CITATION {"citationItems":[{"id":"ITEM-1","itemData":{"author":[{"dropping-particle":"","family":"DGA","given":"","non-dropping-particle":"","parse-names":false,"suffix":""}],"id":"ITEM-1","issued":{"date-parts":[["2020"]]},"title":"Plan Estratégico de Gestión Hídrica en la cuenca de Aconcagua. Dirección General de Aguas, División de Estudios y Planificación, realizado por UTP \nHídrica-Eridanus. S.I.T. No 464","type":"article-journal"},"uris":["http://www.mendeley.com/documents/?uuid=eeeeecf5-41eb-4aab-83fa-f5894771c016"]},{"id":"ITEM-2","itemData":{"DOI":"10.1016/j.geomorph.2017.09.002","ISSN":"0169555X","abstract":"An inventory of firn fields, glaciers, debris-covered glaciers, and rock glaciers was conducted in the Aconcagua River Basin of the semiarid Andes of central Chile. A total of 916 landforms were identified, of which rock glaciers were the most abundant (669) and occupied the most total area. Glaciers and debris-covered glaciers were less numerous, but were about five times larger in comparison. The total area occupied by glaciers and debris-covered glaciers was roughly equivalent to the total area of rock glaciers. Debris-covered glaciers and rock glaciers were subcategorized into six ice-content classes based on interpretation of surface morphology with high-resolution satellite imagery. Over 50% of rock glaciers fell within a transitional stage; 85% of debris-covered glaciers were either fully covered or buried. Most landforms occupied elevations between 3500 and 4500 m. Glaciers and firn occurred at higher elevations compared to rock glaciers and debris-covered glaciers. Rock glaciers had a greater frequency in the northern part of the study area where arid climate conditions exist. Firn and glaciers were oriented south, debris-covered glaciers west, and rock glaciers southwest. An analysis of water contribution of each landform in the upper Andes of the Aconcagua River Basin was conducted using formulas that associate the size of the landforms to estimates of water stored. Minimum and maximum water storage was calculated based on a range of debris to ice content ratios for debris-covered glaciers and rock glaciers. In the Aconcagua River Basin, rock glaciers accounted for 48 to 64% of the water stored within the landforms analyzed; glaciers accounted for 15 to 25%; debris-covered glaciers were estimated at 15 to 19%; firn fields contained only about 5 to 8% of the water stored. Expansion of agriculture, prolonged drought, and removal of ice-rich landforms for mining have put additional pressure on already scarce water resources. To develop long-term, sustainable solutions, the importance of the water stored in rock glaciers or other alpine permafrost landforms, such as talus slopes, must be weighed against the economic value of mineral resources.","author":[{"dropping-particle":"","family":"Janke","given":"Jason R.","non-dropping-particle":"","parse-names":false,"suffix":""},{"dropping-particle":"","family":"Ng","given":"Sam","non-dropping-particle":"","parse-names":false,"suffix":""},{"dropping-particle":"","family":"Bellisario","given":"Antonio","non-dropping-particle":"","parse-names":false,"suffix":""}],"container-title":"Geomorphology","id":"ITEM-2","issued":{"date-parts":[["2017","11","1"]]},"page":"142-152","publisher":"Elsevier B.V.","title":"An inventory and estimate of water stored in firn fields, glaciers, debris-covered glaciers, and rock glaciers in the Aconcagua River Basin, Chile","type":"article-journal","volume":"296"},"uris":["http://www.mendeley.com/documents/?uuid=e52c5167-95f6-3a69-8d30-8749bf914106"]}],"mendeley":{"formattedCitation":"&lt;span style=\"baseline\"&gt;[46,47]&lt;/span&gt;","plainTextFormattedCitation":"[46,47]","previouslyFormattedCitation":"&lt;span style=\"baseline\"&gt;[46,47]&lt;/span&gt;"},"properties":{"noteIndex":0},"schema":"https://github.com/citation-style-language/schema/raw/master/csl-citation.json"}</w:instrText>
      </w:r>
      <w:r w:rsidR="0019710A">
        <w:fldChar w:fldCharType="separate"/>
      </w:r>
      <w:r w:rsidR="004B02F5" w:rsidRPr="004B02F5">
        <w:rPr>
          <w:noProof/>
        </w:rPr>
        <w:t>[46,47]</w:t>
      </w:r>
      <w:r w:rsidR="0019710A">
        <w:fldChar w:fldCharType="end"/>
      </w:r>
      <w:r>
        <w:t>.</w:t>
      </w:r>
    </w:p>
    <w:p w14:paraId="070EE538" w14:textId="77777777" w:rsidR="00AA4B45" w:rsidRDefault="00AA4B45" w:rsidP="00312275">
      <w:pPr>
        <w:pStyle w:val="MDPI31text"/>
      </w:pPr>
    </w:p>
    <w:p w14:paraId="2CEE0034" w14:textId="69B12071" w:rsidR="00AA4B45" w:rsidRDefault="00EF47F7" w:rsidP="00AA4B45">
      <w:pPr>
        <w:pStyle w:val="MDPI31text"/>
        <w:jc w:val="left"/>
      </w:pPr>
      <w:r>
        <w:rPr>
          <w:noProof/>
          <w:snapToGrid/>
        </w:rPr>
        <w:drawing>
          <wp:inline distT="0" distB="0" distL="0" distR="0" wp14:anchorId="4B36769A" wp14:editId="1FFF0FE3">
            <wp:extent cx="4754843" cy="3362373"/>
            <wp:effectExtent l="0" t="0" r="8255" b="0"/>
            <wp:docPr id="1148707954"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07954" name="Imagen 1" descr="Mapa&#10;&#10;El contenido generado por IA puede ser incorrecto."/>
                    <pic:cNvPicPr/>
                  </pic:nvPicPr>
                  <pic:blipFill>
                    <a:blip r:embed="rId16"/>
                    <a:stretch>
                      <a:fillRect/>
                    </a:stretch>
                  </pic:blipFill>
                  <pic:spPr>
                    <a:xfrm>
                      <a:off x="0" y="0"/>
                      <a:ext cx="4789115" cy="3386609"/>
                    </a:xfrm>
                    <a:prstGeom prst="rect">
                      <a:avLst/>
                    </a:prstGeom>
                  </pic:spPr>
                </pic:pic>
              </a:graphicData>
            </a:graphic>
          </wp:inline>
        </w:drawing>
      </w:r>
    </w:p>
    <w:p w14:paraId="389825A7" w14:textId="27A5F876" w:rsidR="0069775F" w:rsidRPr="0069775F" w:rsidRDefault="00AA4B45" w:rsidP="0069775F">
      <w:pPr>
        <w:pStyle w:val="MDPI31text"/>
        <w:ind w:firstLine="0"/>
        <w:rPr>
          <w:sz w:val="18"/>
          <w:szCs w:val="18"/>
        </w:rPr>
      </w:pPr>
      <w:r>
        <w:rPr>
          <w:b/>
          <w:sz w:val="18"/>
          <w:szCs w:val="18"/>
        </w:rPr>
        <w:t xml:space="preserve">Figure 1. </w:t>
      </w:r>
      <w:r>
        <w:rPr>
          <w:sz w:val="18"/>
          <w:szCs w:val="18"/>
        </w:rPr>
        <w:t xml:space="preserve">Location of the Aconcagua </w:t>
      </w:r>
      <w:r w:rsidR="00767A57" w:rsidRPr="000D2A73">
        <w:rPr>
          <w:sz w:val="18"/>
          <w:szCs w:val="18"/>
          <w:highlight w:val="yellow"/>
        </w:rPr>
        <w:t>B</w:t>
      </w:r>
      <w:r w:rsidRPr="000D2A73">
        <w:rPr>
          <w:sz w:val="18"/>
          <w:szCs w:val="18"/>
          <w:highlight w:val="yellow"/>
        </w:rPr>
        <w:t>asin</w:t>
      </w:r>
      <w:r>
        <w:rPr>
          <w:sz w:val="18"/>
          <w:szCs w:val="18"/>
        </w:rPr>
        <w:t xml:space="preserve"> in Chile. a) geographic context in South America; b) </w:t>
      </w:r>
      <w:proofErr w:type="spellStart"/>
      <w:r>
        <w:rPr>
          <w:sz w:val="18"/>
          <w:szCs w:val="18"/>
        </w:rPr>
        <w:t>chilean</w:t>
      </w:r>
      <w:proofErr w:type="spellEnd"/>
      <w:r>
        <w:rPr>
          <w:sz w:val="18"/>
          <w:szCs w:val="18"/>
        </w:rPr>
        <w:t xml:space="preserve"> context; and c) elevation.</w:t>
      </w:r>
    </w:p>
    <w:p w14:paraId="1CEED401" w14:textId="565ED164" w:rsidR="0069775F" w:rsidRPr="00312275" w:rsidRDefault="0069775F" w:rsidP="0069775F">
      <w:pPr>
        <w:pStyle w:val="MDPI21heading1"/>
        <w:rPr>
          <w:b w:val="0"/>
          <w:bCs/>
          <w:sz w:val="20"/>
          <w:szCs w:val="20"/>
        </w:rPr>
      </w:pPr>
      <w:r w:rsidRPr="00312275">
        <w:rPr>
          <w:b w:val="0"/>
          <w:bCs/>
          <w:i/>
          <w:sz w:val="20"/>
          <w:szCs w:val="20"/>
        </w:rPr>
        <w:t>2.</w:t>
      </w:r>
      <w:r>
        <w:rPr>
          <w:b w:val="0"/>
          <w:bCs/>
          <w:i/>
          <w:sz w:val="20"/>
          <w:szCs w:val="20"/>
        </w:rPr>
        <w:t>2</w:t>
      </w:r>
      <w:r w:rsidRPr="00312275">
        <w:rPr>
          <w:b w:val="0"/>
          <w:bCs/>
          <w:i/>
          <w:sz w:val="20"/>
          <w:szCs w:val="20"/>
        </w:rPr>
        <w:t xml:space="preserve"> </w:t>
      </w:r>
      <w:r w:rsidRPr="0069775F">
        <w:rPr>
          <w:b w:val="0"/>
          <w:bCs/>
          <w:i/>
          <w:sz w:val="20"/>
          <w:szCs w:val="20"/>
        </w:rPr>
        <w:t xml:space="preserve">Data </w:t>
      </w:r>
      <w:r w:rsidR="008564E4">
        <w:rPr>
          <w:b w:val="0"/>
          <w:bCs/>
          <w:i/>
          <w:sz w:val="20"/>
          <w:szCs w:val="20"/>
        </w:rPr>
        <w:t>S</w:t>
      </w:r>
      <w:r w:rsidRPr="0069775F">
        <w:rPr>
          <w:b w:val="0"/>
          <w:bCs/>
          <w:i/>
          <w:sz w:val="20"/>
          <w:szCs w:val="20"/>
        </w:rPr>
        <w:t>ources and LULC Classification Processing</w:t>
      </w:r>
    </w:p>
    <w:p w14:paraId="1B62C4D7" w14:textId="77777777" w:rsidR="00061464" w:rsidRDefault="0069775F" w:rsidP="0069775F">
      <w:pPr>
        <w:pStyle w:val="MDPI31text"/>
      </w:pPr>
      <w:r w:rsidRPr="0069775F">
        <w:t xml:space="preserve">The methodology described below is an explanation of the methodology used to generate training and testing data for the supervised classification of land use and land cover (LULC) for the years 2003, 2013, and 2023 using Google Earth Engine (GEE) (Figure 2). </w:t>
      </w:r>
    </w:p>
    <w:p w14:paraId="33B7E8C4" w14:textId="02FCF93C" w:rsidR="00061464" w:rsidRDefault="00061464" w:rsidP="00061464">
      <w:pPr>
        <w:pStyle w:val="MDPI22heading2"/>
        <w:spacing w:before="240"/>
      </w:pPr>
      <w:bookmarkStart w:id="1" w:name="_Hlk193312860"/>
      <w:r w:rsidRPr="00955C19">
        <w:rPr>
          <w:highlight w:val="yellow"/>
        </w:rPr>
        <w:t xml:space="preserve">2.2.3 Data </w:t>
      </w:r>
      <w:r w:rsidR="008564E4">
        <w:rPr>
          <w:highlight w:val="yellow"/>
        </w:rPr>
        <w:t>S</w:t>
      </w:r>
      <w:r w:rsidRPr="00955C19">
        <w:rPr>
          <w:highlight w:val="yellow"/>
        </w:rPr>
        <w:t xml:space="preserve">ources and </w:t>
      </w:r>
      <w:r w:rsidR="008564E4">
        <w:rPr>
          <w:highlight w:val="yellow"/>
        </w:rPr>
        <w:t>P</w:t>
      </w:r>
      <w:r w:rsidRPr="00955C19">
        <w:rPr>
          <w:highlight w:val="yellow"/>
        </w:rPr>
        <w:t>reprocessing</w:t>
      </w:r>
    </w:p>
    <w:bookmarkEnd w:id="1"/>
    <w:p w14:paraId="5203FFAE" w14:textId="0BA0D27E" w:rsidR="0069775F" w:rsidRDefault="0069775F" w:rsidP="0069775F">
      <w:pPr>
        <w:pStyle w:val="MDPI31text"/>
      </w:pPr>
      <w:r w:rsidRPr="0069775F">
        <w:t xml:space="preserve">These years were selected based on a 10-year period to better capture the changes over time. The field work in the basin was carried out in 2023, while 2013 represents a significant reference point, as it was a period of intense megadrought. Ground truth points were acquired through field surveys and photo interpretation, and each point was labeled </w:t>
      </w:r>
      <w:r w:rsidRPr="0069775F">
        <w:lastRenderedPageBreak/>
        <w:t xml:space="preserve">according to the following classes: water (1), fruit farm land (2), shrublands (3), other agricultural lands (4), avocado land (5), exotic plantations (6), bare soil (7), urban areas (8), and dense vegetation (9). A detailed description of each class can be found in Table 1. The land use classification proposed in this study is based on the nomenclature of </w:t>
      </w:r>
      <w:bookmarkStart w:id="2" w:name="_Hlk193305777"/>
      <w:r w:rsidRPr="0069775F">
        <w:t xml:space="preserve">Zhao et al. </w:t>
      </w:r>
      <w:r w:rsidR="006B5C7F">
        <w:fldChar w:fldCharType="begin" w:fldLock="1"/>
      </w:r>
      <w:r w:rsidR="00CF0B43">
        <w:instrText>ADDIN CSL_CITATION {"citationItems":[{"id":"ITEM-1","itemData":{"DOI":"10.1016/j.rse.2016.05.016","ISSN":"00344257","abstract":"Stretching over 4300 km north to south, Chile is a special country with complicated landscapes and rich biodiversity. Accurate and timely updated land cover map of Chile in detailed classification categories is highly demanded for many applications. A conclusive land cover map integrated from multi-seasonal mapping results and a seasonal dynamic map series were produced using Landsat 8 imagery mainly acquired in 2013 and 2014, supplemented by MODIS Enhanced Vegetation Index data, high resolution imagery on Google Earth, and Shuttle Radar Topography Mission DEM data. The overall accuracy is 80% for the integrated map at level 1 and 73% for level 2 based on independent validation data. Accuracies for seasonal map series were also assessed, which is around 70% for each season, greatly improved by integrated use of seasonal information. The importance of growing season imagery was proved in our analysis. The analysis of the spatial variation of accuracies among various ecoregions indicates that the accuracy for land cover mapping decreases gradually from central Chile to both north and south. More mapping efforts for those ecoregions are needed. In addition, the training dataset includes sample points spatially distributed in the whole country, temporally distributed throughout the year, and categorically encompassing all land cover types. This training dataset constitutes a universal sample set allowing us to map land cover from any Landsat 8 image acquired in Chile without additional ad hoc training sample collection.","author":[{"dropping-particle":"","family":"Zhao","given":"Yuanyuan","non-dropping-particle":"","parse-names":false,"suffix":""},{"dropping-particle":"","family":"Feng","given":"Duole","non-dropping-particle":"","parse-names":false,"suffix":""},{"dropping-particle":"","family":"Yu","given":"Le","non-dropping-particle":"","parse-names":false,"suffix":""},{"dropping-particle":"","family":"Wang","given":"Xiaoyi","non-dropping-particle":"","parse-names":false,"suffix":""},{"dropping-particle":"","family":"Chen","given":"Yanlei","non-dropping-particle":"","parse-names":false,"suffix":""},{"dropping-particle":"","family":"Bai","given":"Yuqi","non-dropping-particle":"","parse-names":false,"suffix":""},{"dropping-particle":"","family":"Hernández","given":"H. Jaime","non-dropping-particle":"","parse-names":false,"suffix":""},{"dropping-particle":"","family":"Galleguillos","given":"Mauricio","non-dropping-particle":"","parse-names":false,"suffix":""},{"dropping-particle":"","family":"Estades","given":"Cristian","non-dropping-particle":"","parse-names":false,"suffix":""},{"dropping-particle":"","family":"Biging","given":"Gregory S.","non-dropping-particle":"","parse-names":false,"suffix":""},{"dropping-particle":"","family":"Radke","given":"John D.","non-dropping-particle":"","parse-names":false,"suffix":""},{"dropping-particle":"","family":"Gong","given":"Peng","non-dropping-particle":"","parse-names":false,"suffix":""}],"container-title":"Remote Sensing of Environment","id":"ITEM-1","issued":{"date-parts":[["2016"]]},"page":"170-185","title":"Detailed dynamic land cover mapping of Chile: Accuracy improvement by integrating multi-temporal data","type":"article-journal","volume":"183"},"uris":["http://www.mendeley.com/documents/?uuid=e57b2c43-5317-4297-a02b-e3a6dbd264a9"]}],"mendeley":{"formattedCitation":"&lt;span style=\"baseline\"&gt;[48]&lt;/span&gt;","plainTextFormattedCitation":"[48]","previouslyFormattedCitation":"&lt;span style=\"baseline\"&gt;[48]&lt;/span&gt;"},"properties":{"noteIndex":0},"schema":"https://github.com/citation-style-language/schema/raw/master/csl-citation.json"}</w:instrText>
      </w:r>
      <w:r w:rsidR="006B5C7F">
        <w:fldChar w:fldCharType="separate"/>
      </w:r>
      <w:r w:rsidR="004B02F5" w:rsidRPr="004B02F5">
        <w:rPr>
          <w:noProof/>
        </w:rPr>
        <w:t>[48]</w:t>
      </w:r>
      <w:r w:rsidR="006B5C7F">
        <w:fldChar w:fldCharType="end"/>
      </w:r>
      <w:r w:rsidRPr="0069775F">
        <w:t xml:space="preserve"> and the study by Duran-Llacer et al. </w:t>
      </w:r>
      <w:r w:rsidR="009F5BB9">
        <w:fldChar w:fldCharType="begin" w:fldLock="1"/>
      </w:r>
      <w:r w:rsidR="00CF0B43">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approach","type":"article-journal","volume":"12"},"uris":["http://www.mendeley.com/documents/?uuid=67a251eb-2187-383f-873c-50cc2e42e1ca"]}],"mendeley":{"formattedCitation":"&lt;span style=\"baseline\"&gt;[23]&lt;/span&gt;","plainTextFormattedCitation":"[23]","previouslyFormattedCitation":"&lt;span style=\"baseline\"&gt;[23]&lt;/span&gt;"},"properties":{"noteIndex":0},"schema":"https://github.com/citation-style-language/schema/raw/master/csl-citation.json"}</w:instrText>
      </w:r>
      <w:r w:rsidR="009F5BB9">
        <w:fldChar w:fldCharType="separate"/>
      </w:r>
      <w:r w:rsidR="004B02F5" w:rsidRPr="004B02F5">
        <w:rPr>
          <w:noProof/>
        </w:rPr>
        <w:t>[23]</w:t>
      </w:r>
      <w:r w:rsidR="009F5BB9">
        <w:fldChar w:fldCharType="end"/>
      </w:r>
      <w:bookmarkEnd w:id="2"/>
      <w:r w:rsidRPr="0069775F">
        <w:t>, modified to better fit the scope of this research.</w:t>
      </w:r>
      <w:r>
        <w:t xml:space="preserve"> </w:t>
      </w:r>
      <w:r w:rsidRPr="0069775F">
        <w:t>The total number of points varied across classes and time periods, with 1,428 points collected for both 2023 and 2013, and 1,210 points for 2003.</w:t>
      </w:r>
    </w:p>
    <w:p w14:paraId="138271EE" w14:textId="212242EA" w:rsidR="00347E08" w:rsidRDefault="0069775F" w:rsidP="00654DC6">
      <w:pPr>
        <w:pStyle w:val="MDPI31text"/>
      </w:pPr>
      <w:r w:rsidRPr="0069775F">
        <w:t>For each time period analyzed, specific preprocessing steps were applied according to the characteristics of the sensors used. For 2013 and 2023, Landsat 8 imagery was employed. The images were filtered by date, the area of interest, and cloud cover percentage</w:t>
      </w:r>
      <w:r w:rsidR="00F34335">
        <w:t xml:space="preserve"> </w:t>
      </w:r>
      <w:r w:rsidR="00F34335" w:rsidRPr="00F34335">
        <w:rPr>
          <w:highlight w:val="yellow"/>
        </w:rPr>
        <w:t>(&lt; 10</w:t>
      </w:r>
      <w:r w:rsidR="00F34335" w:rsidRPr="001B7486">
        <w:rPr>
          <w:highlight w:val="yellow"/>
        </w:rPr>
        <w:t>%)</w:t>
      </w:r>
      <w:r w:rsidRPr="001B7486">
        <w:rPr>
          <w:highlight w:val="yellow"/>
        </w:rPr>
        <w:t>.</w:t>
      </w:r>
      <w:r w:rsidR="00F34335" w:rsidRPr="001B7486">
        <w:rPr>
          <w:highlight w:val="yellow"/>
        </w:rPr>
        <w:t xml:space="preserve"> </w:t>
      </w:r>
      <w:r w:rsidR="001B7486" w:rsidRPr="001B7486">
        <w:rPr>
          <w:highlight w:val="yellow"/>
        </w:rPr>
        <w:t>For the dates, images from the entire year were considered, with a focus on the dry season. From these images, a median composition was generated to obtain a representative image of the studied period.</w:t>
      </w:r>
      <w:r w:rsidR="00654DC6">
        <w:t xml:space="preserve"> </w:t>
      </w:r>
      <w:r w:rsidRPr="0069775F">
        <w:t xml:space="preserve">A cloud-masking function was applied to remove contaminated pixels, and key spectral indices such as the Normalized Difference Vegetation Index (NDVI) </w:t>
      </w:r>
      <w:r w:rsidR="00262546">
        <w:fldChar w:fldCharType="begin" w:fldLock="1"/>
      </w:r>
      <w:r w:rsidR="00CF0B43">
        <w:instrText>ADDIN CSL_CITATION {"citationItems":[{"id":"ITEM-1","itemData":{"abstract":"Pseudomonas sp. 321-18 possesses a limonin D-ring lactone hydrolase similar to that isolated from grapefruit seeds. The two enzymes have similar pH optima for both hydrolysis and lactonization, and also have similar substrate specificities. However, they differ greatly in heat resistance. © 1976, American Chemical Society. All rights reserved.","author":[{"dropping-particle":"","family":"Rouse","given":"J.W","non-dropping-particle":"","parse-names":false,"suffix":""},{"dropping-particle":"","family":"Haas","given":"R.H","non-dropping-particle":"","parse-names":false,"suffix":""},{"dropping-particle":"","family":"Scheel","given":"J.A","non-dropping-particle":"","parse-names":false,"suffix":""},{"dropping-particle":"","family":"Eering","given":"D.W.","non-dropping-particle":"","parse-names":false,"suffix":""}],"container-title":"Proceedings, 3rd Earth Resource Technology Satellite (ERTS) Symposium","id":"ITEM-1","issued":{"date-parts":[["1976"]]},"page":"48-62","title":"Monitoring Vegetation Systems in the Great Plains with ERTS","type":"article-journal","volume":"1"},"uris":["http://www.mendeley.com/documents/?uuid=2cfa2be4-1c63-4de8-8c76-03161064b187"]}],"mendeley":{"formattedCitation":"&lt;span style=\"baseline\"&gt;[49]&lt;/span&gt;","plainTextFormattedCitation":"[49]","previouslyFormattedCitation":"&lt;span style=\"baseline\"&gt;[49]&lt;/span&gt;"},"properties":{"noteIndex":0},"schema":"https://github.com/citation-style-language/schema/raw/master/csl-citation.json"}</w:instrText>
      </w:r>
      <w:r w:rsidR="00262546">
        <w:fldChar w:fldCharType="separate"/>
      </w:r>
      <w:r w:rsidR="004B02F5" w:rsidRPr="004B02F5">
        <w:rPr>
          <w:noProof/>
        </w:rPr>
        <w:t>[49]</w:t>
      </w:r>
      <w:r w:rsidR="00262546">
        <w:fldChar w:fldCharType="end"/>
      </w:r>
      <w:r w:rsidRPr="0069775F">
        <w:t xml:space="preserve"> and the Modified Normalized Difference Water Index (MNDWI) </w:t>
      </w:r>
      <w:r w:rsidR="00BF2C04">
        <w:fldChar w:fldCharType="begin" w:fldLock="1"/>
      </w:r>
      <w:r w:rsidR="00CF0B43">
        <w:instrText>ADDIN CSL_CITATION {"citationItems":[{"id":"ITEM-1","itemData":{"DOI":"10.1080/01431160600589179","ISSN":"13665901","abstract":"The normalized difference water index (NDWI) of McFeeters (1996) was modified by substitution of a middle infrared band such as Landsat TM band 5 for the near infrared band used in the NDWI. The modified NDWI (MNDWI) can enhance open water features while efficiently suppressing and even removing built-up land noise as well as vegetation and soil noise. The enhanced water information using the NDWI is often mixed with built-up land noise and the area of extracted water is thus overestimated. Accordingly, the MNDWI is more suitable for enhancing and extracting water information for a water region with a background dominated by built-up land areas because of its advantage in reducing and even removing built-up land noise over the NDWI.","author":[{"dropping-particle":"","family":"Xu","given":"Hanqiu","non-dropping-particle":"","parse-names":false,"suffix":""}],"container-title":"International Journal of Remote Sensing","id":"ITEM-1","issue":"14","issued":{"date-parts":[["2006"]]},"page":"3025-3033","title":"Modification of normalised difference water index (NDWI) to enhance open water features in remotely sensed imagery","type":"article-journal","volume":"27"},"uris":["http://www.mendeley.com/documents/?uuid=28e5754a-80af-45f4-9fc3-c9ab001e7451"]}],"mendeley":{"formattedCitation":"&lt;span style=\"baseline\"&gt;[50]&lt;/span&gt;","plainTextFormattedCitation":"[50]","previouslyFormattedCitation":"&lt;span style=\"baseline\"&gt;[50]&lt;/span&gt;"},"properties":{"noteIndex":0},"schema":"https://github.com/citation-style-language/schema/raw/master/csl-citation.json"}</w:instrText>
      </w:r>
      <w:r w:rsidR="00BF2C04">
        <w:fldChar w:fldCharType="separate"/>
      </w:r>
      <w:r w:rsidR="004B02F5" w:rsidRPr="004B02F5">
        <w:rPr>
          <w:noProof/>
        </w:rPr>
        <w:t>[50]</w:t>
      </w:r>
      <w:r w:rsidR="00BF2C04">
        <w:fldChar w:fldCharType="end"/>
      </w:r>
      <w:r w:rsidRPr="0069775F">
        <w:t xml:space="preserve"> were calculated as follows:</w:t>
      </w:r>
    </w:p>
    <w:p w14:paraId="6C6A8001" w14:textId="77777777" w:rsidR="00347E08" w:rsidRDefault="00347E08" w:rsidP="00347E08">
      <w:pPr>
        <w:pStyle w:val="MDPI31text"/>
      </w:pPr>
    </w:p>
    <w:p w14:paraId="24FC35DB" w14:textId="7CFEE0B3" w:rsidR="0069775F" w:rsidRPr="00EF47F7" w:rsidRDefault="00347E08" w:rsidP="00347E08">
      <w:pPr>
        <w:pStyle w:val="MDPI31text"/>
        <w:jc w:val="center"/>
      </w:pPr>
      <w:r w:rsidRPr="007E2BB7">
        <w:rPr>
          <w:i/>
          <w:iCs/>
        </w:rPr>
        <w:t xml:space="preserve">                       </w:t>
      </w:r>
      <w:r w:rsidR="0069775F" w:rsidRPr="00EF47F7">
        <w:rPr>
          <w:i/>
          <w:iCs/>
        </w:rPr>
        <w:t>NDWI = NIR - R/NIR + R,</w:t>
      </w:r>
      <w:r w:rsidR="0069775F" w:rsidRPr="00EF47F7">
        <w:t xml:space="preserve">                              </w:t>
      </w:r>
      <w:r w:rsidRPr="00EF47F7">
        <w:t xml:space="preserve"> </w:t>
      </w:r>
      <w:r w:rsidR="0069775F" w:rsidRPr="00EF47F7">
        <w:t xml:space="preserve">    (1)</w:t>
      </w:r>
    </w:p>
    <w:p w14:paraId="3F371941" w14:textId="77777777" w:rsidR="00347E08" w:rsidRPr="00EF47F7" w:rsidRDefault="00347E08" w:rsidP="00347E08">
      <w:pPr>
        <w:pStyle w:val="MDPI31text"/>
        <w:jc w:val="center"/>
      </w:pPr>
    </w:p>
    <w:p w14:paraId="7AAAD863" w14:textId="2BA50D02" w:rsidR="0069775F" w:rsidRDefault="00347E08" w:rsidP="00347E08">
      <w:pPr>
        <w:pStyle w:val="MDPI31text"/>
      </w:pPr>
      <w:r w:rsidRPr="00EF47F7">
        <w:rPr>
          <w:i/>
          <w:iCs/>
        </w:rPr>
        <w:t xml:space="preserve">                       </w:t>
      </w:r>
      <w:r w:rsidR="0069775F" w:rsidRPr="00347E08">
        <w:rPr>
          <w:i/>
          <w:iCs/>
        </w:rPr>
        <w:t>MNDWI = G - SWIR1/G – SWIR,</w:t>
      </w:r>
      <w:r w:rsidR="0069775F">
        <w:t xml:space="preserve">                             (2)</w:t>
      </w:r>
    </w:p>
    <w:p w14:paraId="517E0DAE" w14:textId="77777777" w:rsidR="0069775F" w:rsidRDefault="0069775F" w:rsidP="0069775F">
      <w:pPr>
        <w:pStyle w:val="MDPI31text"/>
      </w:pPr>
    </w:p>
    <w:p w14:paraId="020AF3F6" w14:textId="4E1002FF" w:rsidR="0069775F" w:rsidRDefault="0069775F" w:rsidP="0069775F">
      <w:pPr>
        <w:pStyle w:val="MDPI31text"/>
      </w:pPr>
      <w:r>
        <w:t>Where NIR, R, G, SWIR1, are the reflectances in the near infrared (NIR), red, green, and shortwave infrared, respectively.</w:t>
      </w:r>
    </w:p>
    <w:p w14:paraId="68EDDA99" w14:textId="77777777" w:rsidR="0069775F" w:rsidRDefault="0069775F" w:rsidP="0069775F">
      <w:pPr>
        <w:pStyle w:val="MDPI31text"/>
      </w:pPr>
    </w:p>
    <w:p w14:paraId="2449232B" w14:textId="5210E243" w:rsidR="00FD3B2B" w:rsidRDefault="0069775F" w:rsidP="00CB7C12">
      <w:pPr>
        <w:pStyle w:val="MDPI31text"/>
      </w:pPr>
      <w:r w:rsidRPr="0069775F">
        <w:t xml:space="preserve">These indices were then appended to the image along with additional topographic variables (derived from a NASADEM </w:t>
      </w:r>
      <w:r w:rsidR="00897EEA">
        <w:fldChar w:fldCharType="begin" w:fldLock="1"/>
      </w:r>
      <w:r w:rsidR="00CF0B43">
        <w:instrText>ADDIN CSL_CITATION {"citationItems":[{"id":"ITEM-1","itemData":{"DOI":"10.5067/MEaSUREs/NASADEM/NASADEM_HGT.001","URL":"https://developers.google.com/earth-engine/datasets/catalog/NASA_NASADEM_HGT_001?hl=es-419","accessed":{"date-parts":[["2024","8","10"]]},"author":[{"dropping-particle":"","family":"NASA-JPL","given":"","non-dropping-particle":"","parse-names":false,"suffix":""}],"id":"ITEM-1","issued":{"date-parts":[["2020"]]},"title":"NASADEM: NASA NASADEM Digital Elevation 30m. NASADEM Merged DEM Global 1 arc second V001 [Data set]. DAAC de procesos terrestres del EOSDIS de la NASA","type":"webpage"},"uris":["http://www.mendeley.com/documents/?uuid=991d65fb-a6d9-414a-aa3c-69902bf2739c"]}],"mendeley":{"formattedCitation":"&lt;span style=\"baseline\"&gt;[51]&lt;/span&gt;","plainTextFormattedCitation":"[51]","previouslyFormattedCitation":"&lt;span style=\"baseline\"&gt;[51]&lt;/span&gt;"},"properties":{"noteIndex":0},"schema":"https://github.com/citation-style-language/schema/raw/master/csl-citation.json"}</w:instrText>
      </w:r>
      <w:r w:rsidR="00897EEA">
        <w:fldChar w:fldCharType="separate"/>
      </w:r>
      <w:r w:rsidR="004B02F5" w:rsidRPr="004B02F5">
        <w:rPr>
          <w:noProof/>
        </w:rPr>
        <w:t>[51]</w:t>
      </w:r>
      <w:r w:rsidR="00897EEA">
        <w:fldChar w:fldCharType="end"/>
      </w:r>
      <w:r w:rsidR="00897EEA">
        <w:t xml:space="preserve"> </w:t>
      </w:r>
      <w:r w:rsidRPr="0069775F">
        <w:t>digital elevation model at 30 m, such as slope) and spatial information (longitude and latitude). The inclusion of these supplementary bands enhanced spectral information, thereby improving the discrimination between different land cover classes. In contrast, for the 2003 period, Landsat 5 imagery was used, which required the application of sensor-specific cloud masking, and the calculation of spectral indices adapted to Landsat 5’s band configuration.</w:t>
      </w:r>
    </w:p>
    <w:p w14:paraId="6350E009" w14:textId="137D4EFD" w:rsidR="00FD3B2B" w:rsidRDefault="00FD3B2B" w:rsidP="006F32F4">
      <w:pPr>
        <w:pStyle w:val="MDPI22heading2"/>
        <w:spacing w:before="240"/>
      </w:pPr>
      <w:r w:rsidRPr="00955C19">
        <w:rPr>
          <w:highlight w:val="yellow"/>
        </w:rPr>
        <w:t>2.</w:t>
      </w:r>
      <w:r w:rsidRPr="00FD3B2B">
        <w:rPr>
          <w:highlight w:val="yellow"/>
        </w:rPr>
        <w:t xml:space="preserve">2.4 </w:t>
      </w:r>
      <w:r w:rsidRPr="00FD3B2B">
        <w:rPr>
          <w:rStyle w:val="rynqvb"/>
          <w:highlight w:val="yellow"/>
          <w:lang w:val="en"/>
        </w:rPr>
        <w:t xml:space="preserve">Supervised </w:t>
      </w:r>
      <w:r w:rsidR="008564E4">
        <w:rPr>
          <w:rStyle w:val="rynqvb"/>
          <w:highlight w:val="yellow"/>
          <w:lang w:val="en"/>
        </w:rPr>
        <w:t>C</w:t>
      </w:r>
      <w:r w:rsidRPr="00FD3B2B">
        <w:rPr>
          <w:rStyle w:val="rynqvb"/>
          <w:highlight w:val="yellow"/>
          <w:lang w:val="en"/>
        </w:rPr>
        <w:t xml:space="preserve">lassification and </w:t>
      </w:r>
      <w:r w:rsidR="008564E4">
        <w:rPr>
          <w:rStyle w:val="rynqvb"/>
          <w:highlight w:val="yellow"/>
          <w:lang w:val="en"/>
        </w:rPr>
        <w:t>V</w:t>
      </w:r>
      <w:r w:rsidRPr="00FD3B2B">
        <w:rPr>
          <w:rStyle w:val="rynqvb"/>
          <w:highlight w:val="yellow"/>
          <w:lang w:val="en"/>
        </w:rPr>
        <w:t>alidation</w:t>
      </w:r>
    </w:p>
    <w:p w14:paraId="1E53FDFE" w14:textId="2942CBBA" w:rsidR="00BE7D11" w:rsidRDefault="00BE7D11" w:rsidP="0069775F">
      <w:pPr>
        <w:pStyle w:val="MDPI31text"/>
      </w:pPr>
      <w:r w:rsidRPr="00BE7D11">
        <w:t xml:space="preserve">Following the extraction of the predictor variables, the entire dataset was randomly split into training and testing subsets. </w:t>
      </w:r>
      <w:r w:rsidR="00D82FBD" w:rsidRPr="00D82FBD">
        <w:rPr>
          <w:highlight w:val="yellow"/>
        </w:rPr>
        <w:t>Stratified sampling was employed by combining various point collections (e.g., water, urban, avocado</w:t>
      </w:r>
      <w:r w:rsidR="00036D1D">
        <w:rPr>
          <w:highlight w:val="yellow"/>
        </w:rPr>
        <w:t xml:space="preserve"> land</w:t>
      </w:r>
      <w:r w:rsidR="00D82FBD" w:rsidRPr="00036D1D">
        <w:rPr>
          <w:highlight w:val="yellow"/>
        </w:rPr>
        <w:t xml:space="preserve">, </w:t>
      </w:r>
      <w:r w:rsidR="00036D1D">
        <w:rPr>
          <w:highlight w:val="yellow"/>
        </w:rPr>
        <w:t>s</w:t>
      </w:r>
      <w:r w:rsidR="00036D1D" w:rsidRPr="00036D1D">
        <w:rPr>
          <w:highlight w:val="yellow"/>
        </w:rPr>
        <w:t>hrublands</w:t>
      </w:r>
      <w:r w:rsidR="00D82FBD" w:rsidRPr="00036D1D">
        <w:rPr>
          <w:highlight w:val="yellow"/>
        </w:rPr>
        <w:t>, etc</w:t>
      </w:r>
      <w:r w:rsidR="00D82FBD" w:rsidRPr="00D82FBD">
        <w:rPr>
          <w:highlight w:val="yellow"/>
        </w:rPr>
        <w:t xml:space="preserve">.) to ensure proportional representation of all classes. </w:t>
      </w:r>
      <w:r w:rsidRPr="00D82FBD">
        <w:rPr>
          <w:highlight w:val="yellow"/>
        </w:rPr>
        <w:t xml:space="preserve">Approximately 80% of the samples were designated for training the classifier, while the remaining 20% were reserved for validation purposes </w:t>
      </w:r>
      <w:r w:rsidR="00897EEA" w:rsidRPr="00D82FBD">
        <w:rPr>
          <w:highlight w:val="yellow"/>
        </w:rPr>
        <w:fldChar w:fldCharType="begin" w:fldLock="1"/>
      </w:r>
      <w:r w:rsidR="00CF0B43" w:rsidRPr="00D82FBD">
        <w:rPr>
          <w:highlight w:val="yellow"/>
        </w:rPr>
        <w:instrText>ADDIN CSL_CITATION {"citationItems":[{"id":"ITEM-1","itemData":{"DOI":"10.3390/rs15133257","ISSN":"20724292","abstract":"Semiarid Tunisia is characterized by agricultural production that is delimited by water availability and degraded soil. This situation is exacerbated by human pressure and the negative effects of climate change. To improve the knowledge of long-term (1980 to 2020) drivers for Land Use and Land Cover (LULC) changes, we investigated the semiarid Rihana region in central Tunisia. A new approach involving Google Earth Engine (GEE) was used to map LULC using Landsat imagery and vegetative indices (NDVI, MSAVI, and EVI) by applying a Random Forest (RF) classifier. A Rapid Participatory Systemic Diagnosis (RPSD) was used to consider the relation between LULC changes and their key drivers. The methodology relied on interviews with the local population and experts. Focus groups were conducted with practicians of the Regueb Agricultural Extension Services, followed by semi-structured interviews with 52 households. Results showed the following: (1) the RF classifier in Google Earth Engine had strong performance across diverse Landsat image types resulting in overall classification accuracy of ≥0.96 and a kappa coefficient ≥0.93; (2) rainfed olive land increased four times during the study period while irrigated agriculture increased substantially during the last decade; rangeland and rainfed annual crops decreased by 58 and 88%, respectively, between 1980 and 2021; (3) drivers of LULC changes are predominately local in nature, including topography, local climate, hydrology, strategies of household, effects of the 2010 revolution, associated increasing demand for natural resources, agricultural policy, population growth, high cost of agricultural input, and economic opportunities. To summarize, changes in LULC in Rihana are an adaptive response to these various factors. The findings are important to better understand ways towards sustainable management of natural resources in arid and semiarid regions as well as efficient methods to study these processes.","author":[{"dropping-particle":"","family":"Kadri","given":"Nesrine","non-dropping-particle":"","parse-names":false,"suffix":""},{"dropping-particle":"","family":"Jebari","given":"Sihem","non-dropping-particle":"","parse-names":false,"suffix":""},{"dropping-particle":"","family":"Augusseau","given":"Xavier","non-dropping-particle":"","parse-names":false,"suffix":""},{"dropping-particle":"","family":"Mahdhi","given":"Naceur","non-dropping-particle":"","parse-names":false,"suffix":""},{"dropping-particle":"","family":"Lestrelin","given":"Guillaume","non-dropping-particle":"","parse-names":false,"suffix":""},{"dropping-particle":"","family":"Berndtsson","given":"Ronny","non-dropping-particle":"","parse-names":false,"suffix":""}],"container-title":"Remote Sensing","id":"ITEM-1","issue":"13","issued":{"date-parts":[["2023"]]},"title":"Analysis of Four Decades of Land Use and Land Cover Change in Semiarid Tunisia Using Google Earth Engine","type":"article-journal","volume":"15"},"uris":["http://www.mendeley.com/documents/?uuid=07f76bef-945f-4359-84b1-dc63158061a2"]}],"mendeley":{"formattedCitation":"&lt;span style=\"baseline\"&gt;[20]&lt;/span&gt;","plainTextFormattedCitation":"[20]","previouslyFormattedCitation":"&lt;span style=\"baseline\"&gt;[20]&lt;/span&gt;"},"properties":{"noteIndex":0},"schema":"https://github.com/citation-style-language/schema/raw/master/csl-citation.json"}</w:instrText>
      </w:r>
      <w:r w:rsidR="00897EEA" w:rsidRPr="00D82FBD">
        <w:rPr>
          <w:highlight w:val="yellow"/>
        </w:rPr>
        <w:fldChar w:fldCharType="separate"/>
      </w:r>
      <w:r w:rsidR="004B02F5" w:rsidRPr="00D82FBD">
        <w:rPr>
          <w:noProof/>
          <w:highlight w:val="yellow"/>
        </w:rPr>
        <w:t>[20]</w:t>
      </w:r>
      <w:r w:rsidR="00897EEA" w:rsidRPr="00D82FBD">
        <w:rPr>
          <w:highlight w:val="yellow"/>
        </w:rPr>
        <w:fldChar w:fldCharType="end"/>
      </w:r>
      <w:r w:rsidR="00DD7FA1" w:rsidRPr="00D82FBD">
        <w:rPr>
          <w:highlight w:val="yellow"/>
        </w:rPr>
        <w:t xml:space="preserve">. The random column generation function was used in combination with internal validation methods, including the error matrix and </w:t>
      </w:r>
      <w:r w:rsidR="00917BBD" w:rsidRPr="00D82FBD">
        <w:rPr>
          <w:highlight w:val="yellow"/>
        </w:rPr>
        <w:t>o</w:t>
      </w:r>
      <w:r w:rsidR="00DD7FA1" w:rsidRPr="00D82FBD">
        <w:rPr>
          <w:highlight w:val="yellow"/>
        </w:rPr>
        <w:t>ut-of-</w:t>
      </w:r>
      <w:r w:rsidR="00917BBD" w:rsidRPr="00D82FBD">
        <w:rPr>
          <w:highlight w:val="yellow"/>
        </w:rPr>
        <w:t>b</w:t>
      </w:r>
      <w:r w:rsidR="00DD7FA1" w:rsidRPr="00D82FBD">
        <w:rPr>
          <w:highlight w:val="yellow"/>
        </w:rPr>
        <w:t>ag (OOB) calculation</w:t>
      </w:r>
      <w:r w:rsidR="00B2687A" w:rsidRPr="00D82FBD">
        <w:rPr>
          <w:highlight w:val="yellow"/>
        </w:rPr>
        <w:t xml:space="preserve"> </w:t>
      </w:r>
      <w:r w:rsidR="00B2687A" w:rsidRPr="00D82FBD">
        <w:rPr>
          <w:highlight w:val="yellow"/>
        </w:rPr>
        <w:fldChar w:fldCharType="begin" w:fldLock="1"/>
      </w:r>
      <w:r w:rsidR="00E45693">
        <w:rPr>
          <w:highlight w:val="yellow"/>
        </w:rPr>
        <w:instrText>ADDIN CSL_CITATION {"citationItems":[{"id":"ITEM-1","itemData":{"DOI":"10.3390/rs14215361","ISSN":"20724292","abstract":"The upper Yellow River basin over the Tibetan Plateau (TP) is an important ecological barrier in northwestern China. Effective LULC products that enable the monitoring of changes in regional ecosystem types are of great importance for their environmental protection and macro-control. Here, we combined an 18-class LULC classification scheme based on ecosystem types with Sentinel-2 imagery, the Google Earth Engine (GEE) platform, and the random forest method to present new LULC products with a spatial resolution of 10 m in 2018 and 2020 for the upper Yellow River Basin over the TP and conducted monitoring of changes in ecosystem types. The results indicated that: (1) In 2018 and 2020, the overall accuracy (OA) of LULC maps ranged between 87.45% and 93.02%. (2) Grassland was the main LULC first-degree class in the research area, followed by wetland and water bodies and barren land. For the LULC second-degree class, the main LULC was grassland, followed by broadleaf shrub and marsh. (3) In the first-degree class of changes in ecosystem types, the largest area of progressive succession (positive) was grassland–shrubland (451.13 km2), whereas the largest area of retrogressive succession (negative) was grassland–barren (395.91 km2). In the second-degree class, the largest areas of progressive succession (positive) were grassland–broadleaf shrub (344.68 km2) and desert land–grassland (302.02 km2), whereas the largest areas of retrogressive succession (negative) were broadleaf shrubland–grassland (309.08 km2) and grassland–bare rock (193.89 km2). The northern and southwestern parts of the study area showed a trend towards positive succession, whereas the south-central Huangnan, northeastern Gannan, and central Aba Prefectures showed signs of retrogressive succession in their changes in ecosystem types. The purpose of this study was to provide basis data for basin-scale ecosystem monitoring and analysis with more detailed categories and reliable accuracy.","author":[{"dropping-particle":"","family":"Feng","given":"Senyao","non-dropping-particle":"","parse-names":false,"suffix":""},{"dropping-particle":"","family":"Li","given":"Wenlong","non-dropping-particle":"","parse-names":false,"suffix":""},{"dropping-particle":"","family":"Xu","given":"Jing","non-dropping-particle":"","parse-names":false,"suffix":""},{"dropping-particle":"","family":"Liang","given":"Tiangang","non-dropping-particle":"","parse-names":false,"suffix":""},{"dropping-particle":"","family":"Ma","given":"Xuanlong","non-dropping-particle":"","parse-names":false,"suffix":""},{"dropping-particle":"","family":"Wang","given":"Wenying","non-dropping-particle":"","parse-names":false,"suffix":""},{"dropping-particle":"","family":"Yu","given":"Hongyan","non-dropping-particle":"","parse-names":false,"suffix":""}],"container-title":"Remote Sensing","id":"ITEM-1","issue":"21","issued":{"date-parts":[["2022"]]},"page":"1-25","title":"Land Use/Land Cover Mapping Based on GEE for the Monitoring of Changes in Ecosystem Types in the Upper Yellow River Basin over the Tibetan Plateau","type":"article-journal","volume":"14"},"uris":["http://www.mendeley.com/documents/?uuid=bb606ce2-9595-4ae3-907d-f9305a310442"]}],"mendeley":{"formattedCitation":"&lt;span style=\"baseline\"&gt;[14]&lt;/span&gt;","plainTextFormattedCitation":"[14]","previouslyFormattedCitation":"&lt;span style=\"baseline\"&gt;[14]&lt;/span&gt;"},"properties":{"noteIndex":0},"schema":"https://github.com/citation-style-language/schema/raw/master/csl-citation.json"}</w:instrText>
      </w:r>
      <w:r w:rsidR="00B2687A" w:rsidRPr="00D82FBD">
        <w:rPr>
          <w:highlight w:val="yellow"/>
        </w:rPr>
        <w:fldChar w:fldCharType="separate"/>
      </w:r>
      <w:r w:rsidR="00B2687A" w:rsidRPr="00D82FBD">
        <w:rPr>
          <w:noProof/>
          <w:highlight w:val="yellow"/>
        </w:rPr>
        <w:t>[14]</w:t>
      </w:r>
      <w:r w:rsidR="00B2687A" w:rsidRPr="00D82FBD">
        <w:rPr>
          <w:highlight w:val="yellow"/>
        </w:rPr>
        <w:fldChar w:fldCharType="end"/>
      </w:r>
      <w:r w:rsidR="00DD7FA1" w:rsidRPr="00D82FBD">
        <w:rPr>
          <w:highlight w:val="yellow"/>
        </w:rPr>
        <w:t>.</w:t>
      </w:r>
      <w:r w:rsidR="00DD7FA1">
        <w:t xml:space="preserve"> </w:t>
      </w:r>
      <w:r w:rsidRPr="00BE7D11">
        <w:t>This random partitioning ensured that the training and testing sets were both representative and independent, thereby enhancing the reliability of the subsequent accuracy assessment. With the training dataset prepared, a Random Forest</w:t>
      </w:r>
      <w:r w:rsidR="005B4812">
        <w:t xml:space="preserve"> </w:t>
      </w:r>
      <w:r w:rsidR="005B4812" w:rsidRPr="005B4812">
        <w:rPr>
          <w:highlight w:val="yellow"/>
        </w:rPr>
        <w:t>(RF)</w:t>
      </w:r>
      <w:r w:rsidRPr="00BE7D11">
        <w:t xml:space="preserve"> classifier was trained </w:t>
      </w:r>
      <w:r w:rsidR="00897EEA">
        <w:fldChar w:fldCharType="begin" w:fldLock="1"/>
      </w:r>
      <w:r w:rsidR="00CF0B43">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approach","type":"article-journal","volume":"12"},"uris":["http://www.mendeley.com/documents/?uuid=67a251eb-2187-383f-873c-50cc2e42e1ca"]}],"mendeley":{"formattedCitation":"&lt;span style=\"baseline\"&gt;[23]&lt;/span&gt;","plainTextFormattedCitation":"[23]","previouslyFormattedCitation":"&lt;span style=\"baseline\"&gt;[23]&lt;/span&gt;"},"properties":{"noteIndex":0},"schema":"https://github.com/citation-style-language/schema/raw/master/csl-citation.json"}</w:instrText>
      </w:r>
      <w:r w:rsidR="00897EEA">
        <w:fldChar w:fldCharType="separate"/>
      </w:r>
      <w:r w:rsidR="004B02F5" w:rsidRPr="004B02F5">
        <w:rPr>
          <w:noProof/>
        </w:rPr>
        <w:t>[23]</w:t>
      </w:r>
      <w:r w:rsidR="00897EEA">
        <w:fldChar w:fldCharType="end"/>
      </w:r>
      <w:r w:rsidRPr="00BE7D11">
        <w:t xml:space="preserve">. RF is a classification algorithm that utilizes multiple decision trees to classify pixels, applying a voting mechanism to assign each pixel its final category </w:t>
      </w:r>
      <w:r w:rsidR="00897EEA">
        <w:fldChar w:fldCharType="begin" w:fldLock="1"/>
      </w:r>
      <w:r w:rsidR="00CF0B43">
        <w:instrText>ADDIN CSL_CITATION {"citationItems":[{"id":"ITEM-1","itemData":{"DOI":"10.1007/978-3-030-62008-0_35","ISBN":"9783030620073","ISSN":"16113349","abstract":"In human resource management, employee turnover problem is heavily concerned by managers since the leave of key employees can bring great loss to the company. However, most existing researches are employee-centered, which ignored the historical events of turnover behaviors or the longitudinal data of job records. In this paper, from an event-centered perspective, we design a hybrid model based on survival analysis and machine learning, and propose a turnover prediction algorithm named RFRSF, which combines survival analysis for censored data processing and ensemble learning for turnover behavior prediction. In addition, we take strategies to handle employees with multiple turnover records so as to construct survival data with censored records. We compare RFRSF with several baseline methods on a real dataset crawled from one of the biggest online professional social platforms of China. The results show that the survival analysis model can significantly benefit the employee turnover prediction performance.","author":[{"dropping-particle":"","family":"Breiman","given":"Leo","non-dropping-particle":"","parse-names":false,"suffix":""}],"container-title":"Machine Learning","id":"ITEM-1","issued":{"date-parts":[["2001"]]},"page":"5–32","title":"RFRSF: Employee Turnover Prediction Based on Random Forests and Survival Analysis","type":"article-journal","volume":"45"},"uris":["http://www.mendeley.com/documents/?uuid=bd698d0f-c01f-486b-b7f4-f89db4b72d08"]}],"mendeley":{"formattedCitation":"&lt;span style=\"baseline\"&gt;[52]&lt;/span&gt;","plainTextFormattedCitation":"[52]","previouslyFormattedCitation":"&lt;span style=\"baseline\"&gt;[52]&lt;/span&gt;"},"properties":{"noteIndex":0},"schema":"https://github.com/citation-style-language/schema/raw/master/csl-citation.json"}</w:instrText>
      </w:r>
      <w:r w:rsidR="00897EEA">
        <w:fldChar w:fldCharType="separate"/>
      </w:r>
      <w:r w:rsidR="004B02F5" w:rsidRPr="004B02F5">
        <w:rPr>
          <w:noProof/>
        </w:rPr>
        <w:t>[52]</w:t>
      </w:r>
      <w:r w:rsidR="00897EEA">
        <w:fldChar w:fldCharType="end"/>
      </w:r>
      <w:r w:rsidRPr="00BE7D11">
        <w:t xml:space="preserve">. For the 2013 and 2023 datasets, the classifier was configured with 500 trees and a fixed seed to ensure reproducibility. The training was conducted using the spectral bands of each Landsat image per year, the calculated indices, and the additional topographic and spatial variables. For the 2003 dataset, an analogous procedure was followed using the appropriate bands and functions tailored to Landsat 5 imagery. </w:t>
      </w:r>
    </w:p>
    <w:p w14:paraId="3C2C5796" w14:textId="03B3BF94" w:rsidR="00CE7D9C" w:rsidRDefault="00CE7D9C" w:rsidP="0069775F">
      <w:pPr>
        <w:pStyle w:val="MDPI31text"/>
      </w:pPr>
      <w:r w:rsidRPr="00CE7D9C">
        <w:rPr>
          <w:highlight w:val="yellow"/>
        </w:rPr>
        <w:lastRenderedPageBreak/>
        <w:t>For 2023, real ground truth points were available, and a model was trained and applied for both 2023 and 2013, as images from both periods were captured by the same sensor (Landsat 8). In contrast, for 2003 (Landsat 5), training points were generated through photointerpretation, while some field points collected in 2023 were retained if they had not undergone coverage changes. This approach allowed for the training of a specific model for 2003, as the model used for 2023 and 2013 could not be directly applied due to being trained with Landsat-8 data.</w:t>
      </w:r>
    </w:p>
    <w:p w14:paraId="0D8D1B7A" w14:textId="6AE96CED" w:rsidR="00BE7D11" w:rsidRDefault="00BE7D11" w:rsidP="0069775F">
      <w:pPr>
        <w:pStyle w:val="MDPI31text"/>
      </w:pPr>
      <w:r w:rsidRPr="00BE7D11">
        <w:t xml:space="preserve">Once trained, the classifier was applied to the corresponding preprocessed image to generate a classified LULC map in which each pixel was assigned an integer value corresponding to a specific land cover class. The reserved testing dataset was then used to derive accuracy metrics, including overall accuracy </w:t>
      </w:r>
      <w:r w:rsidR="00795BB3">
        <w:fldChar w:fldCharType="begin" w:fldLock="1"/>
      </w:r>
      <w:r w:rsidR="00CF0B43">
        <w:instrText>ADDIN CSL_CITATION {"citationItems":[{"id":"ITEM-1","itemData":{"abstract":"Overall Accuracy = 41/56 = 73% Sum of the major diagonal = 41 Row 0099-1112/86/5203-397$02.25/0 ©1986 American Society for Photogrammetry and Remote Sensing tween these two data sets. Overall accuracy for a particular classified image/map is then calculated by dividing the sum of the entries that form the major diagonal (i.e., the number of correct classifications) by the total number of samples taken. More detailed statements of accuracy are often derived from the error matrix in the form of indi-vidualland-uselland-cover category accuracies. The reason for this additional assessment is obvious. If a classified image/map is stated to have an overall accuracy of 73 percent, the value represents the ac-curacy of the entire product. It does not indicate how the accuracy is distributed across the individ-ual categories. The categories could, and frequently do, exhibit drastically differing accuracies, and yet combine for equivalent or similar overall accuracies. Individual category accuracies are, therefore, needed in order to completely assess the value of the class-ified image/map for a specific application. An examination of the error matrix suggests at least two methods for determining individual cate-gory accuracies. The most common and accepted method is to divide the number of correctly classi-fied samples of category X by the number of cate-gory X samples in the reference data (column total x y Z Total X 15 2 4 21 Y 3 12 2 17","author":[{"dropping-particle":"","family":"Story","given":"Michael","non-dropping-particle":"","parse-names":false,"suffix":""},{"dropping-particle":"","family":"Congalton","given":"Russell G","non-dropping-particle":"","parse-names":false,"suffix":""}],"container-title":"Remote Sensing Brief","id":"ITEM-1","issue":"3","issued":{"date-parts":[["1986"]]},"page":"397-399","title":"Accuracy Assessment: A User's Perspective","type":"article-journal","volume":"52"},"uris":["http://www.mendeley.com/documents/?uuid=89b1eaf1-211b-489f-b821-ac7f6c41bae5"]}],"mendeley":{"formattedCitation":"&lt;span style=\"baseline\"&gt;[53]&lt;/span&gt;","plainTextFormattedCitation":"[53]","previouslyFormattedCitation":"&lt;span style=\"baseline\"&gt;[53]&lt;/span&gt;"},"properties":{"noteIndex":0},"schema":"https://github.com/citation-style-language/schema/raw/master/csl-citation.json"}</w:instrText>
      </w:r>
      <w:r w:rsidR="00795BB3">
        <w:fldChar w:fldCharType="separate"/>
      </w:r>
      <w:r w:rsidR="004B02F5" w:rsidRPr="004B02F5">
        <w:rPr>
          <w:noProof/>
        </w:rPr>
        <w:t>[53]</w:t>
      </w:r>
      <w:r w:rsidR="00795BB3">
        <w:fldChar w:fldCharType="end"/>
      </w:r>
      <w:r w:rsidRPr="00BE7D11">
        <w:t xml:space="preserve"> and the Kappa coefficient </w:t>
      </w:r>
      <w:r w:rsidR="00ED3E98">
        <w:fldChar w:fldCharType="begin" w:fldLock="1"/>
      </w:r>
      <w:r w:rsidR="00CF0B43">
        <w:instrText>ADDIN CSL_CITATION {"citationItems":[{"id":"ITEM-1","itemData":{"DOI":"10.1177/001316446002000104","ISSN":"15523888","abstract":"A coefficient of interjudge agreement for nominal scales, formula-omitted, is presented. It is directly interpretable as the pro-portion of joint judgments in which there is agreement, after chance agreement is excluded. Its upper limit is +1.00, and its lower limit falls between zero and -1.00, depending on the distribution of judgments by the two judges. The maximum value which x can take for any given problem is given, and the implications of this value to the question of agreement discussed. An interesting characteristic of x is its identity with 0 in the dichotomous case when the judges give the same marginal distributions. Finally, its standard error and techniques for estimation and hypothesis testing are presented. © 1960, Sage Publications. All rights reserved.","author":[{"dropping-particle":"","family":"Cohen","given":"Jacob","non-dropping-particle":"","parse-names":false,"suffix":""}],"container-title":"Educational and Psychological Measurement","id":"ITEM-1","issue":"1","issued":{"date-parts":[["1960"]]},"page":"37-46","title":"A Coefficient of Agreement for Nominal Scales","type":"article-journal","volume":"20"},"uris":["http://www.mendeley.com/documents/?uuid=91fa55d5-3007-45c8-92a2-3eef426f75bb"]}],"mendeley":{"formattedCitation":"&lt;span style=\"baseline\"&gt;[54]&lt;/span&gt;","plainTextFormattedCitation":"[54]","previouslyFormattedCitation":"&lt;span style=\"baseline\"&gt;[54]&lt;/span&gt;"},"properties":{"noteIndex":0},"schema":"https://github.com/citation-style-language/schema/raw/master/csl-citation.json"}</w:instrText>
      </w:r>
      <w:r w:rsidR="00ED3E98">
        <w:fldChar w:fldCharType="separate"/>
      </w:r>
      <w:r w:rsidR="004B02F5" w:rsidRPr="004B02F5">
        <w:rPr>
          <w:noProof/>
        </w:rPr>
        <w:t>[54]</w:t>
      </w:r>
      <w:r w:rsidR="00ED3E98">
        <w:fldChar w:fldCharType="end"/>
      </w:r>
      <w:r w:rsidRPr="00BE7D11">
        <w:t>. These performance metrics provided a quantitative assessment of the classifier’s reliability and, by extension, the quality of the LULC change maps produced for the Aconcagua basin.</w:t>
      </w:r>
    </w:p>
    <w:p w14:paraId="618E1662" w14:textId="77777777" w:rsidR="00BE7D11" w:rsidRDefault="00BE7D11" w:rsidP="0069775F">
      <w:pPr>
        <w:pStyle w:val="MDPI31text"/>
      </w:pPr>
    </w:p>
    <w:p w14:paraId="61879DB5" w14:textId="5BE09BF8" w:rsidR="00BE7D11" w:rsidRDefault="009B5A79" w:rsidP="00BE7D11">
      <w:pPr>
        <w:pStyle w:val="MDPI31text"/>
        <w:jc w:val="left"/>
      </w:pPr>
      <w:r>
        <w:rPr>
          <w:noProof/>
          <w:snapToGrid/>
        </w:rPr>
        <w:drawing>
          <wp:inline distT="0" distB="0" distL="0" distR="0" wp14:anchorId="52CC5867" wp14:editId="1EF0CD97">
            <wp:extent cx="4748860" cy="4074145"/>
            <wp:effectExtent l="0" t="0" r="0" b="3175"/>
            <wp:docPr id="395571067"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71067" name="Imagen 1" descr="Diagrama&#10;&#10;El contenido generado por IA puede ser incorrecto."/>
                    <pic:cNvPicPr/>
                  </pic:nvPicPr>
                  <pic:blipFill>
                    <a:blip r:embed="rId17"/>
                    <a:stretch>
                      <a:fillRect/>
                    </a:stretch>
                  </pic:blipFill>
                  <pic:spPr>
                    <a:xfrm>
                      <a:off x="0" y="0"/>
                      <a:ext cx="4793651" cy="4112572"/>
                    </a:xfrm>
                    <a:prstGeom prst="rect">
                      <a:avLst/>
                    </a:prstGeom>
                  </pic:spPr>
                </pic:pic>
              </a:graphicData>
            </a:graphic>
          </wp:inline>
        </w:drawing>
      </w:r>
    </w:p>
    <w:p w14:paraId="56B47FDA" w14:textId="7B07B16E" w:rsidR="00BE7D11" w:rsidRDefault="00BE7D11" w:rsidP="00BE7D11">
      <w:pPr>
        <w:pStyle w:val="MDPI31text"/>
        <w:jc w:val="left"/>
      </w:pPr>
      <w:bookmarkStart w:id="3" w:name="_Hlk193305659"/>
      <w:r w:rsidRPr="00BE7D11">
        <w:rPr>
          <w:b/>
          <w:bCs/>
        </w:rPr>
        <w:t>Figure 2</w:t>
      </w:r>
      <w:r w:rsidRPr="00BE7D11">
        <w:t>. Methodological flowchart used.</w:t>
      </w:r>
    </w:p>
    <w:bookmarkEnd w:id="3"/>
    <w:p w14:paraId="44A637A2" w14:textId="77777777" w:rsidR="00BE7D11" w:rsidRDefault="00BE7D11" w:rsidP="00BE7D11">
      <w:pPr>
        <w:pStyle w:val="MDPI31text"/>
        <w:jc w:val="left"/>
      </w:pPr>
    </w:p>
    <w:p w14:paraId="4E229357" w14:textId="3CCDD2A6" w:rsidR="00BE7D11" w:rsidRDefault="00BE7D11" w:rsidP="00BE7D11">
      <w:pPr>
        <w:pStyle w:val="MDPI31text"/>
        <w:jc w:val="left"/>
      </w:pPr>
      <w:r w:rsidRPr="00BE7D11">
        <w:rPr>
          <w:b/>
          <w:bCs/>
        </w:rPr>
        <w:t>Table 1</w:t>
      </w:r>
      <w:r w:rsidRPr="00BE7D11">
        <w:t>. Description of the land use/land cover employed in the investigation.</w:t>
      </w:r>
    </w:p>
    <w:tbl>
      <w:tblPr>
        <w:tblW w:w="7875" w:type="dxa"/>
        <w:tblInd w:w="2608"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1380"/>
        <w:gridCol w:w="3125"/>
        <w:gridCol w:w="1685"/>
        <w:gridCol w:w="1685"/>
      </w:tblGrid>
      <w:tr w:rsidR="00846782" w14:paraId="11AA57E6" w14:textId="77777777" w:rsidTr="00A9414E">
        <w:trPr>
          <w:trHeight w:val="200"/>
        </w:trPr>
        <w:tc>
          <w:tcPr>
            <w:tcW w:w="1380" w:type="dxa"/>
            <w:tcBorders>
              <w:bottom w:val="single" w:sz="4" w:space="0" w:color="000000"/>
            </w:tcBorders>
            <w:vAlign w:val="center"/>
          </w:tcPr>
          <w:p w14:paraId="41AAA6F0" w14:textId="77777777" w:rsidR="00846782" w:rsidRDefault="00846782" w:rsidP="00640B57">
            <w:pPr>
              <w:ind w:hanging="2"/>
              <w:jc w:val="center"/>
            </w:pPr>
            <w:r>
              <w:rPr>
                <w:b/>
              </w:rPr>
              <w:t>Name</w:t>
            </w:r>
          </w:p>
        </w:tc>
        <w:tc>
          <w:tcPr>
            <w:tcW w:w="3125" w:type="dxa"/>
            <w:tcBorders>
              <w:bottom w:val="single" w:sz="4" w:space="0" w:color="000000"/>
            </w:tcBorders>
            <w:vAlign w:val="center"/>
          </w:tcPr>
          <w:p w14:paraId="4AD31463" w14:textId="77777777" w:rsidR="00846782" w:rsidRDefault="00846782" w:rsidP="00640B57">
            <w:pPr>
              <w:ind w:hanging="2"/>
              <w:jc w:val="center"/>
            </w:pPr>
            <w:r>
              <w:rPr>
                <w:b/>
              </w:rPr>
              <w:t>Description</w:t>
            </w:r>
          </w:p>
        </w:tc>
        <w:tc>
          <w:tcPr>
            <w:tcW w:w="3370" w:type="dxa"/>
            <w:gridSpan w:val="2"/>
            <w:tcBorders>
              <w:bottom w:val="single" w:sz="4" w:space="0" w:color="000000"/>
            </w:tcBorders>
            <w:vAlign w:val="center"/>
          </w:tcPr>
          <w:p w14:paraId="1EC1F395" w14:textId="77777777" w:rsidR="00846782" w:rsidRDefault="00846782" w:rsidP="00640B57">
            <w:pPr>
              <w:ind w:hanging="2"/>
              <w:jc w:val="center"/>
            </w:pPr>
            <w:r>
              <w:rPr>
                <w:b/>
              </w:rPr>
              <w:t>Images</w:t>
            </w:r>
          </w:p>
        </w:tc>
      </w:tr>
      <w:tr w:rsidR="00846782" w14:paraId="23A2F6E7" w14:textId="77777777" w:rsidTr="00A9414E">
        <w:trPr>
          <w:trHeight w:val="254"/>
        </w:trPr>
        <w:tc>
          <w:tcPr>
            <w:tcW w:w="1380" w:type="dxa"/>
            <w:vAlign w:val="center"/>
          </w:tcPr>
          <w:p w14:paraId="4EFAD1F2" w14:textId="77777777" w:rsidR="00846782" w:rsidRDefault="00846782" w:rsidP="00640B57">
            <w:pPr>
              <w:ind w:hanging="2"/>
              <w:jc w:val="center"/>
            </w:pPr>
            <w:r>
              <w:t>Water</w:t>
            </w:r>
          </w:p>
        </w:tc>
        <w:tc>
          <w:tcPr>
            <w:tcW w:w="3125" w:type="dxa"/>
            <w:vAlign w:val="center"/>
          </w:tcPr>
          <w:p w14:paraId="0754FE05" w14:textId="77777777" w:rsidR="00846782" w:rsidRDefault="00846782" w:rsidP="00640B57">
            <w:pPr>
              <w:ind w:hanging="2"/>
              <w:jc w:val="center"/>
            </w:pPr>
            <w:r>
              <w:t>Natural water bodies such as rivers and wetlands and artificial ones such as reservoirs</w:t>
            </w:r>
          </w:p>
        </w:tc>
        <w:tc>
          <w:tcPr>
            <w:tcW w:w="1685" w:type="dxa"/>
            <w:vAlign w:val="center"/>
          </w:tcPr>
          <w:p w14:paraId="62A1B5C5" w14:textId="77777777" w:rsidR="00846782" w:rsidRDefault="00846782" w:rsidP="00640B57">
            <w:pPr>
              <w:ind w:hanging="2"/>
              <w:jc w:val="center"/>
            </w:pPr>
            <w:r>
              <w:rPr>
                <w:noProof/>
              </w:rPr>
              <w:drawing>
                <wp:inline distT="114300" distB="114300" distL="114300" distR="114300" wp14:anchorId="28F3B0E7" wp14:editId="27D65D1E">
                  <wp:extent cx="1066800" cy="800100"/>
                  <wp:effectExtent l="0" t="0" r="0" b="0"/>
                  <wp:docPr id="2096872785" name="image22.jpg" descr="Un lago junto a un cuerpo de agu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3" name="image22.jpg" descr="Un lago junto a un cuerpo de agua&#10;&#10;El contenido generado por IA puede ser incorrecto."/>
                          <pic:cNvPicPr preferRelativeResize="0"/>
                        </pic:nvPicPr>
                        <pic:blipFill>
                          <a:blip r:embed="rId18"/>
                          <a:srcRect/>
                          <a:stretch>
                            <a:fillRect/>
                          </a:stretch>
                        </pic:blipFill>
                        <pic:spPr>
                          <a:xfrm>
                            <a:off x="0" y="0"/>
                            <a:ext cx="1066800" cy="800100"/>
                          </a:xfrm>
                          <a:prstGeom prst="rect">
                            <a:avLst/>
                          </a:prstGeom>
                          <a:ln/>
                        </pic:spPr>
                      </pic:pic>
                    </a:graphicData>
                  </a:graphic>
                </wp:inline>
              </w:drawing>
            </w:r>
          </w:p>
        </w:tc>
        <w:tc>
          <w:tcPr>
            <w:tcW w:w="1685" w:type="dxa"/>
            <w:vAlign w:val="center"/>
          </w:tcPr>
          <w:p w14:paraId="70C729FE" w14:textId="77777777" w:rsidR="00846782" w:rsidRDefault="00846782" w:rsidP="00640B57">
            <w:pPr>
              <w:ind w:hanging="2"/>
              <w:jc w:val="center"/>
            </w:pPr>
            <w:r>
              <w:rPr>
                <w:noProof/>
              </w:rPr>
              <w:drawing>
                <wp:inline distT="114300" distB="114300" distL="114300" distR="114300" wp14:anchorId="65BF2183" wp14:editId="707581B8">
                  <wp:extent cx="1066800" cy="800100"/>
                  <wp:effectExtent l="0" t="0" r="0" b="0"/>
                  <wp:docPr id="844188041" name="image14.jpg" descr="Un dibujo de un lag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52" name="image14.jpg" descr="Un dibujo de un lago&#10;&#10;El contenido generado por IA puede ser incorrecto."/>
                          <pic:cNvPicPr preferRelativeResize="0"/>
                        </pic:nvPicPr>
                        <pic:blipFill>
                          <a:blip r:embed="rId19"/>
                          <a:srcRect/>
                          <a:stretch>
                            <a:fillRect/>
                          </a:stretch>
                        </pic:blipFill>
                        <pic:spPr>
                          <a:xfrm>
                            <a:off x="0" y="0"/>
                            <a:ext cx="1066800" cy="800100"/>
                          </a:xfrm>
                          <a:prstGeom prst="rect">
                            <a:avLst/>
                          </a:prstGeom>
                          <a:ln/>
                        </pic:spPr>
                      </pic:pic>
                    </a:graphicData>
                  </a:graphic>
                </wp:inline>
              </w:drawing>
            </w:r>
          </w:p>
        </w:tc>
      </w:tr>
      <w:tr w:rsidR="00846782" w14:paraId="474374E9" w14:textId="77777777" w:rsidTr="00A9414E">
        <w:tc>
          <w:tcPr>
            <w:tcW w:w="1380" w:type="dxa"/>
            <w:vAlign w:val="center"/>
          </w:tcPr>
          <w:p w14:paraId="3DE6B8AF" w14:textId="77777777" w:rsidR="00846782" w:rsidRDefault="00846782" w:rsidP="00640B57">
            <w:pPr>
              <w:ind w:hanging="2"/>
              <w:jc w:val="center"/>
            </w:pPr>
            <w:r>
              <w:t>Fruit Farm Land</w:t>
            </w:r>
          </w:p>
        </w:tc>
        <w:tc>
          <w:tcPr>
            <w:tcW w:w="3125" w:type="dxa"/>
            <w:vAlign w:val="center"/>
          </w:tcPr>
          <w:p w14:paraId="5747F753" w14:textId="40B78F34" w:rsidR="00846782" w:rsidRDefault="00846782" w:rsidP="00640B57">
            <w:pPr>
              <w:ind w:hanging="2"/>
              <w:jc w:val="center"/>
            </w:pPr>
            <w:r>
              <w:t xml:space="preserve">Fruit trees orchards such as grapes, peaches, walnut, lemon, orange, mandarins and among others, , </w:t>
            </w:r>
            <w:r w:rsidRPr="005E189F">
              <w:rPr>
                <w:highlight w:val="yellow"/>
              </w:rPr>
              <w:t>except avocado land</w:t>
            </w:r>
          </w:p>
        </w:tc>
        <w:tc>
          <w:tcPr>
            <w:tcW w:w="1685" w:type="dxa"/>
            <w:vAlign w:val="center"/>
          </w:tcPr>
          <w:p w14:paraId="7EE81E9D" w14:textId="77777777" w:rsidR="00846782" w:rsidRDefault="00846782" w:rsidP="00640B57">
            <w:pPr>
              <w:ind w:hanging="2"/>
              <w:jc w:val="center"/>
            </w:pPr>
            <w:r>
              <w:rPr>
                <w:noProof/>
              </w:rPr>
              <w:drawing>
                <wp:inline distT="114300" distB="114300" distL="114300" distR="114300" wp14:anchorId="66FE5598" wp14:editId="46269BD5">
                  <wp:extent cx="1066800" cy="800100"/>
                  <wp:effectExtent l="0" t="0" r="0" b="0"/>
                  <wp:docPr id="605224135" name="image23.jpg" descr="Una montaña con pasto sec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37" name="image23.jpg" descr="Una montaña con pasto seco&#10;&#10;El contenido generado por IA puede ser incorrecto."/>
                          <pic:cNvPicPr preferRelativeResize="0"/>
                        </pic:nvPicPr>
                        <pic:blipFill>
                          <a:blip r:embed="rId20"/>
                          <a:srcRect/>
                          <a:stretch>
                            <a:fillRect/>
                          </a:stretch>
                        </pic:blipFill>
                        <pic:spPr>
                          <a:xfrm>
                            <a:off x="0" y="0"/>
                            <a:ext cx="1066800" cy="800100"/>
                          </a:xfrm>
                          <a:prstGeom prst="rect">
                            <a:avLst/>
                          </a:prstGeom>
                          <a:ln/>
                        </pic:spPr>
                      </pic:pic>
                    </a:graphicData>
                  </a:graphic>
                </wp:inline>
              </w:drawing>
            </w:r>
          </w:p>
        </w:tc>
        <w:tc>
          <w:tcPr>
            <w:tcW w:w="1685" w:type="dxa"/>
            <w:vAlign w:val="center"/>
          </w:tcPr>
          <w:p w14:paraId="29EB69B8" w14:textId="77777777" w:rsidR="00846782" w:rsidRDefault="00846782" w:rsidP="00640B57">
            <w:pPr>
              <w:ind w:hanging="2"/>
              <w:jc w:val="center"/>
            </w:pPr>
            <w:r>
              <w:rPr>
                <w:noProof/>
              </w:rPr>
              <w:drawing>
                <wp:inline distT="114300" distB="114300" distL="114300" distR="114300" wp14:anchorId="52351EA2" wp14:editId="5AE5080A">
                  <wp:extent cx="1066800" cy="800100"/>
                  <wp:effectExtent l="0" t="0" r="0" b="0"/>
                  <wp:docPr id="598043947" name="image11.jpg" descr="Un bosque con arbol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2" name="image11.jpg" descr="Un bosque con arboles&#10;&#10;El contenido generado por IA puede ser incorrecto."/>
                          <pic:cNvPicPr preferRelativeResize="0"/>
                        </pic:nvPicPr>
                        <pic:blipFill>
                          <a:blip r:embed="rId21"/>
                          <a:srcRect/>
                          <a:stretch>
                            <a:fillRect/>
                          </a:stretch>
                        </pic:blipFill>
                        <pic:spPr>
                          <a:xfrm>
                            <a:off x="0" y="0"/>
                            <a:ext cx="1066800" cy="800100"/>
                          </a:xfrm>
                          <a:prstGeom prst="rect">
                            <a:avLst/>
                          </a:prstGeom>
                          <a:ln/>
                        </pic:spPr>
                      </pic:pic>
                    </a:graphicData>
                  </a:graphic>
                </wp:inline>
              </w:drawing>
            </w:r>
          </w:p>
        </w:tc>
      </w:tr>
      <w:tr w:rsidR="00846782" w14:paraId="53E6743D" w14:textId="77777777" w:rsidTr="00A9414E">
        <w:tc>
          <w:tcPr>
            <w:tcW w:w="1380" w:type="dxa"/>
            <w:vAlign w:val="center"/>
          </w:tcPr>
          <w:p w14:paraId="01E8E9E9" w14:textId="77777777" w:rsidR="00846782" w:rsidRDefault="00846782" w:rsidP="00640B57">
            <w:pPr>
              <w:ind w:hanging="2"/>
              <w:jc w:val="center"/>
            </w:pPr>
            <w:bookmarkStart w:id="4" w:name="_Hlk193313174"/>
            <w:r>
              <w:lastRenderedPageBreak/>
              <w:t>Shrublands</w:t>
            </w:r>
            <w:bookmarkEnd w:id="4"/>
          </w:p>
        </w:tc>
        <w:tc>
          <w:tcPr>
            <w:tcW w:w="3125" w:type="dxa"/>
            <w:vAlign w:val="center"/>
          </w:tcPr>
          <w:p w14:paraId="5F624C43" w14:textId="77777777" w:rsidR="00846782" w:rsidRDefault="00846782" w:rsidP="00640B57">
            <w:pPr>
              <w:ind w:hanging="2"/>
              <w:jc w:val="center"/>
            </w:pPr>
            <w:r>
              <w:t>Bush areas are typically characterized by sclerophyllous vegetation</w:t>
            </w:r>
          </w:p>
        </w:tc>
        <w:tc>
          <w:tcPr>
            <w:tcW w:w="1685" w:type="dxa"/>
            <w:vAlign w:val="center"/>
          </w:tcPr>
          <w:p w14:paraId="59147E28" w14:textId="77777777" w:rsidR="00846782" w:rsidRDefault="00846782" w:rsidP="00640B57">
            <w:pPr>
              <w:ind w:hanging="2"/>
              <w:jc w:val="center"/>
            </w:pPr>
            <w:r>
              <w:rPr>
                <w:noProof/>
              </w:rPr>
              <w:drawing>
                <wp:inline distT="114300" distB="114300" distL="114300" distR="114300" wp14:anchorId="1F7243A6" wp14:editId="7D99ECE0">
                  <wp:extent cx="1066800" cy="800100"/>
                  <wp:effectExtent l="0" t="0" r="0" b="0"/>
                  <wp:docPr id="1040024387" name="image7.jpg" descr="Una montaña con árbol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4" name="image7.jpg" descr="Una montaña con árboles&#10;&#10;El contenido generado por IA puede ser incorrecto."/>
                          <pic:cNvPicPr preferRelativeResize="0"/>
                        </pic:nvPicPr>
                        <pic:blipFill>
                          <a:blip r:embed="rId22"/>
                          <a:srcRect/>
                          <a:stretch>
                            <a:fillRect/>
                          </a:stretch>
                        </pic:blipFill>
                        <pic:spPr>
                          <a:xfrm>
                            <a:off x="0" y="0"/>
                            <a:ext cx="1066800" cy="800100"/>
                          </a:xfrm>
                          <a:prstGeom prst="rect">
                            <a:avLst/>
                          </a:prstGeom>
                          <a:ln/>
                        </pic:spPr>
                      </pic:pic>
                    </a:graphicData>
                  </a:graphic>
                </wp:inline>
              </w:drawing>
            </w:r>
          </w:p>
        </w:tc>
        <w:tc>
          <w:tcPr>
            <w:tcW w:w="1685" w:type="dxa"/>
            <w:vAlign w:val="center"/>
          </w:tcPr>
          <w:p w14:paraId="0238B0E2" w14:textId="77777777" w:rsidR="00846782" w:rsidRDefault="00846782" w:rsidP="00640B57">
            <w:pPr>
              <w:ind w:hanging="2"/>
              <w:jc w:val="center"/>
            </w:pPr>
            <w:r>
              <w:rPr>
                <w:noProof/>
              </w:rPr>
              <w:drawing>
                <wp:inline distT="114300" distB="114300" distL="114300" distR="114300" wp14:anchorId="152148B6" wp14:editId="38EF20FF">
                  <wp:extent cx="1066800" cy="800100"/>
                  <wp:effectExtent l="0" t="0" r="0" b="0"/>
                  <wp:docPr id="635680056" name="image27.jpg" descr="Vista de una montañ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51" name="image27.jpg" descr="Vista de una montaña&#10;&#10;El contenido generado por IA puede ser incorrecto."/>
                          <pic:cNvPicPr preferRelativeResize="0"/>
                        </pic:nvPicPr>
                        <pic:blipFill>
                          <a:blip r:embed="rId23"/>
                          <a:srcRect/>
                          <a:stretch>
                            <a:fillRect/>
                          </a:stretch>
                        </pic:blipFill>
                        <pic:spPr>
                          <a:xfrm>
                            <a:off x="0" y="0"/>
                            <a:ext cx="1066800" cy="800100"/>
                          </a:xfrm>
                          <a:prstGeom prst="rect">
                            <a:avLst/>
                          </a:prstGeom>
                          <a:ln/>
                        </pic:spPr>
                      </pic:pic>
                    </a:graphicData>
                  </a:graphic>
                </wp:inline>
              </w:drawing>
            </w:r>
          </w:p>
        </w:tc>
      </w:tr>
      <w:tr w:rsidR="00846782" w14:paraId="14EC43ED" w14:textId="77777777" w:rsidTr="00A9414E">
        <w:trPr>
          <w:trHeight w:val="254"/>
        </w:trPr>
        <w:tc>
          <w:tcPr>
            <w:tcW w:w="1380" w:type="dxa"/>
            <w:vAlign w:val="center"/>
          </w:tcPr>
          <w:p w14:paraId="4B063376" w14:textId="77777777" w:rsidR="00846782" w:rsidRDefault="00846782" w:rsidP="00640B57">
            <w:pPr>
              <w:ind w:hanging="2"/>
              <w:jc w:val="center"/>
            </w:pPr>
            <w:r>
              <w:t>Other Agricultural Land</w:t>
            </w:r>
          </w:p>
        </w:tc>
        <w:tc>
          <w:tcPr>
            <w:tcW w:w="3125" w:type="dxa"/>
            <w:vAlign w:val="center"/>
          </w:tcPr>
          <w:p w14:paraId="47F1048B" w14:textId="77777777" w:rsidR="00846782" w:rsidRDefault="00846782" w:rsidP="00640B57">
            <w:pPr>
              <w:ind w:hanging="2"/>
              <w:jc w:val="center"/>
            </w:pPr>
            <w:r>
              <w:t>Agricultural land dominated by vegetables, prairie crop rotation and alfalfa</w:t>
            </w:r>
          </w:p>
        </w:tc>
        <w:tc>
          <w:tcPr>
            <w:tcW w:w="1685" w:type="dxa"/>
            <w:vAlign w:val="center"/>
          </w:tcPr>
          <w:p w14:paraId="044817B3" w14:textId="77777777" w:rsidR="00846782" w:rsidRDefault="00846782" w:rsidP="00640B57">
            <w:pPr>
              <w:ind w:hanging="2"/>
              <w:jc w:val="center"/>
            </w:pPr>
            <w:r>
              <w:rPr>
                <w:noProof/>
              </w:rPr>
              <w:drawing>
                <wp:inline distT="114300" distB="114300" distL="114300" distR="114300" wp14:anchorId="48D196ED" wp14:editId="2B97D618">
                  <wp:extent cx="1066800" cy="800100"/>
                  <wp:effectExtent l="0" t="0" r="0" b="0"/>
                  <wp:docPr id="1501063722" name="image2.jpg" descr="Un campo de césped&#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9" name="image2.jpg" descr="Un campo de césped&#10;&#10;El contenido generado por IA puede ser incorrecto."/>
                          <pic:cNvPicPr preferRelativeResize="0"/>
                        </pic:nvPicPr>
                        <pic:blipFill>
                          <a:blip r:embed="rId24"/>
                          <a:srcRect/>
                          <a:stretch>
                            <a:fillRect/>
                          </a:stretch>
                        </pic:blipFill>
                        <pic:spPr>
                          <a:xfrm>
                            <a:off x="0" y="0"/>
                            <a:ext cx="1066800" cy="800100"/>
                          </a:xfrm>
                          <a:prstGeom prst="rect">
                            <a:avLst/>
                          </a:prstGeom>
                          <a:ln/>
                        </pic:spPr>
                      </pic:pic>
                    </a:graphicData>
                  </a:graphic>
                </wp:inline>
              </w:drawing>
            </w:r>
          </w:p>
        </w:tc>
        <w:tc>
          <w:tcPr>
            <w:tcW w:w="1685" w:type="dxa"/>
            <w:vAlign w:val="center"/>
          </w:tcPr>
          <w:p w14:paraId="5CC1E147" w14:textId="77777777" w:rsidR="00846782" w:rsidRDefault="00846782" w:rsidP="00640B57">
            <w:pPr>
              <w:ind w:hanging="2"/>
              <w:jc w:val="center"/>
            </w:pPr>
            <w:r>
              <w:rPr>
                <w:noProof/>
              </w:rPr>
              <w:drawing>
                <wp:inline distT="114300" distB="114300" distL="114300" distR="114300" wp14:anchorId="7AFD21F2" wp14:editId="5C0C28D7">
                  <wp:extent cx="1066800" cy="800100"/>
                  <wp:effectExtent l="0" t="0" r="0" b="0"/>
                  <wp:docPr id="1691825787" name="image8.jpg" descr="Un campo de tierr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7" name="image8.jpg" descr="Un campo de tierra&#10;&#10;El contenido generado por IA puede ser incorrecto."/>
                          <pic:cNvPicPr preferRelativeResize="0"/>
                        </pic:nvPicPr>
                        <pic:blipFill>
                          <a:blip r:embed="rId25"/>
                          <a:srcRect/>
                          <a:stretch>
                            <a:fillRect/>
                          </a:stretch>
                        </pic:blipFill>
                        <pic:spPr>
                          <a:xfrm>
                            <a:off x="0" y="0"/>
                            <a:ext cx="1066800" cy="800100"/>
                          </a:xfrm>
                          <a:prstGeom prst="rect">
                            <a:avLst/>
                          </a:prstGeom>
                          <a:ln/>
                        </pic:spPr>
                      </pic:pic>
                    </a:graphicData>
                  </a:graphic>
                </wp:inline>
              </w:drawing>
            </w:r>
          </w:p>
        </w:tc>
      </w:tr>
      <w:tr w:rsidR="00846782" w14:paraId="44C19D61" w14:textId="77777777" w:rsidTr="00A9414E">
        <w:trPr>
          <w:trHeight w:val="254"/>
        </w:trPr>
        <w:tc>
          <w:tcPr>
            <w:tcW w:w="1380" w:type="dxa"/>
            <w:vAlign w:val="center"/>
          </w:tcPr>
          <w:p w14:paraId="46F69A7D" w14:textId="77777777" w:rsidR="00846782" w:rsidRDefault="00846782" w:rsidP="00640B57">
            <w:pPr>
              <w:ind w:hanging="2"/>
              <w:jc w:val="center"/>
            </w:pPr>
            <w:r>
              <w:t>Avocado Land</w:t>
            </w:r>
          </w:p>
        </w:tc>
        <w:tc>
          <w:tcPr>
            <w:tcW w:w="3125" w:type="dxa"/>
            <w:vAlign w:val="center"/>
          </w:tcPr>
          <w:p w14:paraId="7D917A82" w14:textId="77777777" w:rsidR="00846782" w:rsidRDefault="00846782" w:rsidP="00640B57">
            <w:pPr>
              <w:ind w:hanging="2"/>
              <w:jc w:val="center"/>
            </w:pPr>
            <w:r>
              <w:t>Avocado plantations including mature and young trees</w:t>
            </w:r>
          </w:p>
        </w:tc>
        <w:tc>
          <w:tcPr>
            <w:tcW w:w="1685" w:type="dxa"/>
            <w:vAlign w:val="center"/>
          </w:tcPr>
          <w:p w14:paraId="5115C9E8" w14:textId="77777777" w:rsidR="00846782" w:rsidRDefault="00846782" w:rsidP="00640B57">
            <w:pPr>
              <w:ind w:hanging="2"/>
              <w:jc w:val="center"/>
            </w:pPr>
            <w:r>
              <w:rPr>
                <w:noProof/>
              </w:rPr>
              <w:drawing>
                <wp:inline distT="114300" distB="114300" distL="114300" distR="114300" wp14:anchorId="5987978C" wp14:editId="41CDAEB9">
                  <wp:extent cx="1066800" cy="800100"/>
                  <wp:effectExtent l="0" t="0" r="0" b="0"/>
                  <wp:docPr id="1935303426" name="image15.jpg" descr="Una montaña con vista al cam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50" name="image15.jpg" descr="Una montaña con vista al campo&#10;&#10;El contenido generado por IA puede ser incorrecto."/>
                          <pic:cNvPicPr preferRelativeResize="0"/>
                        </pic:nvPicPr>
                        <pic:blipFill>
                          <a:blip r:embed="rId26"/>
                          <a:srcRect/>
                          <a:stretch>
                            <a:fillRect/>
                          </a:stretch>
                        </pic:blipFill>
                        <pic:spPr>
                          <a:xfrm>
                            <a:off x="0" y="0"/>
                            <a:ext cx="1066800" cy="800100"/>
                          </a:xfrm>
                          <a:prstGeom prst="rect">
                            <a:avLst/>
                          </a:prstGeom>
                          <a:ln/>
                        </pic:spPr>
                      </pic:pic>
                    </a:graphicData>
                  </a:graphic>
                </wp:inline>
              </w:drawing>
            </w:r>
          </w:p>
        </w:tc>
        <w:tc>
          <w:tcPr>
            <w:tcW w:w="1685" w:type="dxa"/>
            <w:vAlign w:val="center"/>
          </w:tcPr>
          <w:p w14:paraId="4BEFACB6" w14:textId="77777777" w:rsidR="00846782" w:rsidRDefault="00846782" w:rsidP="00640B57">
            <w:pPr>
              <w:ind w:hanging="2"/>
              <w:jc w:val="center"/>
            </w:pPr>
            <w:r>
              <w:rPr>
                <w:noProof/>
              </w:rPr>
              <w:drawing>
                <wp:inline distT="114300" distB="114300" distL="114300" distR="114300" wp14:anchorId="0AB4D962" wp14:editId="570446D6">
                  <wp:extent cx="1066800" cy="800100"/>
                  <wp:effectExtent l="0" t="0" r="0" b="0"/>
                  <wp:docPr id="1250590273" name="image3.jpg" descr="Vista de una montañ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38" name="image3.jpg" descr="Vista de una montaña&#10;&#10;El contenido generado por IA puede ser incorrecto."/>
                          <pic:cNvPicPr preferRelativeResize="0"/>
                        </pic:nvPicPr>
                        <pic:blipFill>
                          <a:blip r:embed="rId27"/>
                          <a:srcRect/>
                          <a:stretch>
                            <a:fillRect/>
                          </a:stretch>
                        </pic:blipFill>
                        <pic:spPr>
                          <a:xfrm>
                            <a:off x="0" y="0"/>
                            <a:ext cx="1066800" cy="800100"/>
                          </a:xfrm>
                          <a:prstGeom prst="rect">
                            <a:avLst/>
                          </a:prstGeom>
                          <a:ln/>
                        </pic:spPr>
                      </pic:pic>
                    </a:graphicData>
                  </a:graphic>
                </wp:inline>
              </w:drawing>
            </w:r>
          </w:p>
        </w:tc>
      </w:tr>
      <w:tr w:rsidR="00846782" w14:paraId="483E3A0B" w14:textId="77777777" w:rsidTr="00A9414E">
        <w:tc>
          <w:tcPr>
            <w:tcW w:w="1380" w:type="dxa"/>
            <w:vAlign w:val="center"/>
          </w:tcPr>
          <w:p w14:paraId="52BF7538" w14:textId="77777777" w:rsidR="00846782" w:rsidRDefault="00846782" w:rsidP="00640B57">
            <w:pPr>
              <w:ind w:hanging="2"/>
              <w:jc w:val="center"/>
            </w:pPr>
            <w:r>
              <w:t>Exotic Plantation</w:t>
            </w:r>
          </w:p>
        </w:tc>
        <w:tc>
          <w:tcPr>
            <w:tcW w:w="3125" w:type="dxa"/>
            <w:vAlign w:val="center"/>
          </w:tcPr>
          <w:p w14:paraId="1600BD2A" w14:textId="77777777" w:rsidR="00846782" w:rsidRDefault="00846782" w:rsidP="00640B57">
            <w:pPr>
              <w:ind w:hanging="2"/>
              <w:jc w:val="center"/>
            </w:pPr>
            <w:r>
              <w:t xml:space="preserve">Forest plantations, dominated by the </w:t>
            </w:r>
            <w:r>
              <w:rPr>
                <w:i/>
              </w:rPr>
              <w:t>Pinus</w:t>
            </w:r>
            <w:r>
              <w:t xml:space="preserve"> and </w:t>
            </w:r>
            <w:r>
              <w:rPr>
                <w:i/>
              </w:rPr>
              <w:t>Eucalyptus</w:t>
            </w:r>
            <w:r>
              <w:t xml:space="preserve"> species</w:t>
            </w:r>
          </w:p>
        </w:tc>
        <w:tc>
          <w:tcPr>
            <w:tcW w:w="1685" w:type="dxa"/>
            <w:vAlign w:val="center"/>
          </w:tcPr>
          <w:p w14:paraId="3565A33D" w14:textId="77777777" w:rsidR="00846782" w:rsidRDefault="00846782" w:rsidP="00640B57">
            <w:pPr>
              <w:ind w:hanging="2"/>
              <w:jc w:val="center"/>
            </w:pPr>
            <w:r>
              <w:rPr>
                <w:noProof/>
              </w:rPr>
              <w:drawing>
                <wp:inline distT="114300" distB="114300" distL="114300" distR="114300" wp14:anchorId="5A1E6F76" wp14:editId="5CA6D509">
                  <wp:extent cx="1066800" cy="800100"/>
                  <wp:effectExtent l="0" t="0" r="0" b="0"/>
                  <wp:docPr id="2064040349" name="image9.jpg" descr="Vista de cerca de un campo con árbol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8" name="image9.jpg" descr="Vista de cerca de un campo con árboles&#10;&#10;El contenido generado por IA puede ser incorrecto."/>
                          <pic:cNvPicPr preferRelativeResize="0"/>
                        </pic:nvPicPr>
                        <pic:blipFill>
                          <a:blip r:embed="rId28"/>
                          <a:srcRect/>
                          <a:stretch>
                            <a:fillRect/>
                          </a:stretch>
                        </pic:blipFill>
                        <pic:spPr>
                          <a:xfrm>
                            <a:off x="0" y="0"/>
                            <a:ext cx="1066800" cy="800100"/>
                          </a:xfrm>
                          <a:prstGeom prst="rect">
                            <a:avLst/>
                          </a:prstGeom>
                          <a:ln/>
                        </pic:spPr>
                      </pic:pic>
                    </a:graphicData>
                  </a:graphic>
                </wp:inline>
              </w:drawing>
            </w:r>
          </w:p>
        </w:tc>
        <w:tc>
          <w:tcPr>
            <w:tcW w:w="1685" w:type="dxa"/>
            <w:vAlign w:val="center"/>
          </w:tcPr>
          <w:p w14:paraId="173430BB" w14:textId="77777777" w:rsidR="00846782" w:rsidRDefault="00846782" w:rsidP="00640B57">
            <w:pPr>
              <w:ind w:hanging="2"/>
              <w:jc w:val="center"/>
            </w:pPr>
            <w:r>
              <w:rPr>
                <w:noProof/>
              </w:rPr>
              <w:drawing>
                <wp:inline distT="114300" distB="114300" distL="114300" distR="114300" wp14:anchorId="0747ABF1" wp14:editId="639BDEB7">
                  <wp:extent cx="1066800" cy="800100"/>
                  <wp:effectExtent l="0" t="0" r="0" b="0"/>
                  <wp:docPr id="516508345" name="image20.jpg" descr="Un bosque con arbol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36" name="image20.jpg" descr="Un bosque con arboles&#10;&#10;El contenido generado por IA puede ser incorrecto."/>
                          <pic:cNvPicPr preferRelativeResize="0"/>
                        </pic:nvPicPr>
                        <pic:blipFill>
                          <a:blip r:embed="rId29"/>
                          <a:srcRect/>
                          <a:stretch>
                            <a:fillRect/>
                          </a:stretch>
                        </pic:blipFill>
                        <pic:spPr>
                          <a:xfrm>
                            <a:off x="0" y="0"/>
                            <a:ext cx="1066800" cy="800100"/>
                          </a:xfrm>
                          <a:prstGeom prst="rect">
                            <a:avLst/>
                          </a:prstGeom>
                          <a:ln/>
                        </pic:spPr>
                      </pic:pic>
                    </a:graphicData>
                  </a:graphic>
                </wp:inline>
              </w:drawing>
            </w:r>
          </w:p>
        </w:tc>
      </w:tr>
      <w:tr w:rsidR="00846782" w14:paraId="7C5D6C70" w14:textId="77777777" w:rsidTr="00A9414E">
        <w:tc>
          <w:tcPr>
            <w:tcW w:w="1380" w:type="dxa"/>
            <w:vAlign w:val="center"/>
          </w:tcPr>
          <w:p w14:paraId="1645961C" w14:textId="77777777" w:rsidR="00846782" w:rsidRDefault="00846782" w:rsidP="00640B57">
            <w:pPr>
              <w:ind w:hanging="2"/>
              <w:jc w:val="center"/>
            </w:pPr>
            <w:r>
              <w:t>Bare Soil</w:t>
            </w:r>
          </w:p>
        </w:tc>
        <w:tc>
          <w:tcPr>
            <w:tcW w:w="3125" w:type="dxa"/>
            <w:vAlign w:val="center"/>
          </w:tcPr>
          <w:p w14:paraId="069C690C" w14:textId="77777777" w:rsidR="00846782" w:rsidRDefault="00846782" w:rsidP="00640B57">
            <w:pPr>
              <w:ind w:hanging="2"/>
              <w:jc w:val="center"/>
            </w:pPr>
            <w:proofErr w:type="gramStart"/>
            <w:r>
              <w:t>Soils</w:t>
            </w:r>
            <w:proofErr w:type="gramEnd"/>
            <w:r>
              <w:t xml:space="preserve"> with scarce or no vegetation including rocky areas, dunes and river beds</w:t>
            </w:r>
          </w:p>
        </w:tc>
        <w:tc>
          <w:tcPr>
            <w:tcW w:w="1685" w:type="dxa"/>
            <w:vAlign w:val="center"/>
          </w:tcPr>
          <w:p w14:paraId="39769FAA" w14:textId="77777777" w:rsidR="00846782" w:rsidRDefault="00846782" w:rsidP="00640B57">
            <w:pPr>
              <w:ind w:hanging="2"/>
              <w:jc w:val="center"/>
            </w:pPr>
            <w:r>
              <w:rPr>
                <w:noProof/>
              </w:rPr>
              <w:drawing>
                <wp:inline distT="114300" distB="114300" distL="114300" distR="114300" wp14:anchorId="6DBC0C16" wp14:editId="6228A0A0">
                  <wp:extent cx="1154398" cy="795468"/>
                  <wp:effectExtent l="0" t="0" r="0" b="0"/>
                  <wp:docPr id="60799028" name="image19.jpg" descr="Vista de una montañ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35" name="image19.jpg" descr="Vista de una montaña&#10;&#10;El contenido generado por IA puede ser incorrecto."/>
                          <pic:cNvPicPr preferRelativeResize="0"/>
                        </pic:nvPicPr>
                        <pic:blipFill>
                          <a:blip r:embed="rId30"/>
                          <a:srcRect/>
                          <a:stretch>
                            <a:fillRect/>
                          </a:stretch>
                        </pic:blipFill>
                        <pic:spPr>
                          <a:xfrm>
                            <a:off x="0" y="0"/>
                            <a:ext cx="1154398" cy="795468"/>
                          </a:xfrm>
                          <a:prstGeom prst="rect">
                            <a:avLst/>
                          </a:prstGeom>
                          <a:ln/>
                        </pic:spPr>
                      </pic:pic>
                    </a:graphicData>
                  </a:graphic>
                </wp:inline>
              </w:drawing>
            </w:r>
          </w:p>
        </w:tc>
        <w:tc>
          <w:tcPr>
            <w:tcW w:w="1685" w:type="dxa"/>
            <w:vAlign w:val="center"/>
          </w:tcPr>
          <w:p w14:paraId="16D82057" w14:textId="77777777" w:rsidR="00846782" w:rsidRDefault="00846782" w:rsidP="00640B57">
            <w:pPr>
              <w:ind w:hanging="2"/>
              <w:jc w:val="center"/>
            </w:pPr>
            <w:r>
              <w:rPr>
                <w:noProof/>
              </w:rPr>
              <w:drawing>
                <wp:inline distT="114300" distB="114300" distL="114300" distR="114300" wp14:anchorId="4BA7050C" wp14:editId="61797EEA">
                  <wp:extent cx="1066800" cy="800100"/>
                  <wp:effectExtent l="0" t="0" r="0" b="0"/>
                  <wp:docPr id="1476641871" name="image18.jpg" descr="Una roca en el desier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58" name="image18.jpg" descr="Una roca en el desierto&#10;&#10;El contenido generado por IA puede ser incorrecto."/>
                          <pic:cNvPicPr preferRelativeResize="0"/>
                        </pic:nvPicPr>
                        <pic:blipFill>
                          <a:blip r:embed="rId31"/>
                          <a:srcRect/>
                          <a:stretch>
                            <a:fillRect/>
                          </a:stretch>
                        </pic:blipFill>
                        <pic:spPr>
                          <a:xfrm>
                            <a:off x="0" y="0"/>
                            <a:ext cx="1066800" cy="800100"/>
                          </a:xfrm>
                          <a:prstGeom prst="rect">
                            <a:avLst/>
                          </a:prstGeom>
                          <a:ln/>
                        </pic:spPr>
                      </pic:pic>
                    </a:graphicData>
                  </a:graphic>
                </wp:inline>
              </w:drawing>
            </w:r>
          </w:p>
        </w:tc>
      </w:tr>
      <w:tr w:rsidR="00846782" w14:paraId="269C7179" w14:textId="77777777" w:rsidTr="00A9414E">
        <w:tc>
          <w:tcPr>
            <w:tcW w:w="1380" w:type="dxa"/>
            <w:vAlign w:val="center"/>
          </w:tcPr>
          <w:p w14:paraId="271605CA" w14:textId="77777777" w:rsidR="00846782" w:rsidRDefault="00846782" w:rsidP="00640B57">
            <w:pPr>
              <w:ind w:hanging="2"/>
              <w:jc w:val="center"/>
            </w:pPr>
            <w:r>
              <w:t>Urban</w:t>
            </w:r>
          </w:p>
        </w:tc>
        <w:tc>
          <w:tcPr>
            <w:tcW w:w="3125" w:type="dxa"/>
            <w:vAlign w:val="center"/>
          </w:tcPr>
          <w:p w14:paraId="12E8EF07" w14:textId="77777777" w:rsidR="00846782" w:rsidRDefault="00846782" w:rsidP="00640B57">
            <w:pPr>
              <w:ind w:hanging="2"/>
              <w:jc w:val="center"/>
            </w:pPr>
            <w:r>
              <w:t>Urban infrastructure, including cities, towns, factories and roads</w:t>
            </w:r>
          </w:p>
        </w:tc>
        <w:tc>
          <w:tcPr>
            <w:tcW w:w="1685" w:type="dxa"/>
            <w:vAlign w:val="center"/>
          </w:tcPr>
          <w:p w14:paraId="0D268E74" w14:textId="77777777" w:rsidR="00846782" w:rsidRDefault="00846782" w:rsidP="00640B57">
            <w:pPr>
              <w:ind w:hanging="2"/>
              <w:jc w:val="center"/>
            </w:pPr>
            <w:r>
              <w:rPr>
                <w:noProof/>
              </w:rPr>
              <w:drawing>
                <wp:inline distT="114300" distB="114300" distL="114300" distR="114300" wp14:anchorId="0D06C3E2" wp14:editId="579565A7">
                  <wp:extent cx="1066800" cy="800100"/>
                  <wp:effectExtent l="0" t="0" r="0" b="0"/>
                  <wp:docPr id="634665952" name="image21.jpg" descr="Vista de una ciudad&#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40" name="image21.jpg" descr="Vista de una ciudad&#10;&#10;El contenido generado por IA puede ser incorrecto."/>
                          <pic:cNvPicPr preferRelativeResize="0"/>
                        </pic:nvPicPr>
                        <pic:blipFill>
                          <a:blip r:embed="rId32"/>
                          <a:srcRect/>
                          <a:stretch>
                            <a:fillRect/>
                          </a:stretch>
                        </pic:blipFill>
                        <pic:spPr>
                          <a:xfrm>
                            <a:off x="0" y="0"/>
                            <a:ext cx="1066800" cy="800100"/>
                          </a:xfrm>
                          <a:prstGeom prst="rect">
                            <a:avLst/>
                          </a:prstGeom>
                          <a:ln/>
                        </pic:spPr>
                      </pic:pic>
                    </a:graphicData>
                  </a:graphic>
                </wp:inline>
              </w:drawing>
            </w:r>
          </w:p>
        </w:tc>
        <w:tc>
          <w:tcPr>
            <w:tcW w:w="1685" w:type="dxa"/>
            <w:vAlign w:val="center"/>
          </w:tcPr>
          <w:p w14:paraId="1B33A061" w14:textId="77777777" w:rsidR="00846782" w:rsidRDefault="00846782" w:rsidP="00640B57">
            <w:pPr>
              <w:ind w:hanging="2"/>
              <w:jc w:val="center"/>
            </w:pPr>
            <w:r>
              <w:rPr>
                <w:noProof/>
              </w:rPr>
              <w:drawing>
                <wp:inline distT="114300" distB="114300" distL="114300" distR="114300" wp14:anchorId="1969AC7C" wp14:editId="060ACB58">
                  <wp:extent cx="1066800" cy="800100"/>
                  <wp:effectExtent l="0" t="0" r="0" b="0"/>
                  <wp:docPr id="1544753916" name="image4.jpg" descr="Un tren en la vía pública con edificios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32" name="image4.jpg" descr="Un tren en la vía pública con edificios de fondo&#10;&#10;El contenido generado por IA puede ser incorrecto."/>
                          <pic:cNvPicPr preferRelativeResize="0"/>
                        </pic:nvPicPr>
                        <pic:blipFill>
                          <a:blip r:embed="rId33"/>
                          <a:srcRect/>
                          <a:stretch>
                            <a:fillRect/>
                          </a:stretch>
                        </pic:blipFill>
                        <pic:spPr>
                          <a:xfrm>
                            <a:off x="0" y="0"/>
                            <a:ext cx="1066800" cy="800100"/>
                          </a:xfrm>
                          <a:prstGeom prst="rect">
                            <a:avLst/>
                          </a:prstGeom>
                          <a:ln/>
                        </pic:spPr>
                      </pic:pic>
                    </a:graphicData>
                  </a:graphic>
                </wp:inline>
              </w:drawing>
            </w:r>
          </w:p>
        </w:tc>
      </w:tr>
      <w:tr w:rsidR="00846782" w14:paraId="423C9382" w14:textId="77777777" w:rsidTr="00A9414E">
        <w:tc>
          <w:tcPr>
            <w:tcW w:w="1380" w:type="dxa"/>
            <w:vAlign w:val="center"/>
          </w:tcPr>
          <w:p w14:paraId="5AB9E654" w14:textId="77777777" w:rsidR="00846782" w:rsidRDefault="00846782" w:rsidP="00640B57">
            <w:pPr>
              <w:ind w:hanging="2"/>
              <w:jc w:val="center"/>
            </w:pPr>
            <w:r>
              <w:t>Dense Vegetation</w:t>
            </w:r>
          </w:p>
        </w:tc>
        <w:tc>
          <w:tcPr>
            <w:tcW w:w="3125" w:type="dxa"/>
            <w:vAlign w:val="center"/>
          </w:tcPr>
          <w:p w14:paraId="28C60746" w14:textId="77777777" w:rsidR="00846782" w:rsidRDefault="00846782" w:rsidP="00640B57">
            <w:pPr>
              <w:ind w:hanging="2"/>
              <w:jc w:val="center"/>
            </w:pPr>
            <w:r>
              <w:t>Natural vegetation, mainly dense sclerophyllous and riparian vegetation</w:t>
            </w:r>
          </w:p>
        </w:tc>
        <w:tc>
          <w:tcPr>
            <w:tcW w:w="1685" w:type="dxa"/>
            <w:vAlign w:val="center"/>
          </w:tcPr>
          <w:p w14:paraId="5011CB57" w14:textId="77777777" w:rsidR="00846782" w:rsidRDefault="00846782" w:rsidP="00640B57">
            <w:pPr>
              <w:ind w:hanging="2"/>
              <w:jc w:val="center"/>
            </w:pPr>
            <w:r>
              <w:rPr>
                <w:noProof/>
              </w:rPr>
              <w:drawing>
                <wp:inline distT="114300" distB="114300" distL="114300" distR="114300" wp14:anchorId="6727AE95" wp14:editId="78616C22">
                  <wp:extent cx="1066800" cy="800100"/>
                  <wp:effectExtent l="0" t="0" r="0" b="0"/>
                  <wp:docPr id="856200402" name="image10.jpg" descr="Una montaña con árbol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31" name="image10.jpg" descr="Una montaña con árboles&#10;&#10;El contenido generado por IA puede ser incorrecto."/>
                          <pic:cNvPicPr preferRelativeResize="0"/>
                        </pic:nvPicPr>
                        <pic:blipFill>
                          <a:blip r:embed="rId34"/>
                          <a:srcRect/>
                          <a:stretch>
                            <a:fillRect/>
                          </a:stretch>
                        </pic:blipFill>
                        <pic:spPr>
                          <a:xfrm>
                            <a:off x="0" y="0"/>
                            <a:ext cx="1066800" cy="800100"/>
                          </a:xfrm>
                          <a:prstGeom prst="rect">
                            <a:avLst/>
                          </a:prstGeom>
                          <a:ln/>
                        </pic:spPr>
                      </pic:pic>
                    </a:graphicData>
                  </a:graphic>
                </wp:inline>
              </w:drawing>
            </w:r>
          </w:p>
        </w:tc>
        <w:tc>
          <w:tcPr>
            <w:tcW w:w="1685" w:type="dxa"/>
            <w:vAlign w:val="center"/>
          </w:tcPr>
          <w:p w14:paraId="55B2AA50" w14:textId="77777777" w:rsidR="00846782" w:rsidRDefault="00846782" w:rsidP="00640B57">
            <w:pPr>
              <w:ind w:hanging="2"/>
              <w:jc w:val="center"/>
            </w:pPr>
            <w:r>
              <w:rPr>
                <w:noProof/>
              </w:rPr>
              <w:drawing>
                <wp:inline distT="114300" distB="114300" distL="114300" distR="114300" wp14:anchorId="4C7E44AB" wp14:editId="231D38C0">
                  <wp:extent cx="1066800" cy="800100"/>
                  <wp:effectExtent l="0" t="0" r="0" b="0"/>
                  <wp:docPr id="405874134" name="image26.jpg" descr="Un bosque con arbol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55" name="image26.jpg" descr="Un bosque con arboles&#10;&#10;El contenido generado por IA puede ser incorrecto."/>
                          <pic:cNvPicPr preferRelativeResize="0"/>
                        </pic:nvPicPr>
                        <pic:blipFill>
                          <a:blip r:embed="rId35"/>
                          <a:srcRect/>
                          <a:stretch>
                            <a:fillRect/>
                          </a:stretch>
                        </pic:blipFill>
                        <pic:spPr>
                          <a:xfrm>
                            <a:off x="0" y="0"/>
                            <a:ext cx="1066800" cy="800100"/>
                          </a:xfrm>
                          <a:prstGeom prst="rect">
                            <a:avLst/>
                          </a:prstGeom>
                          <a:ln/>
                        </pic:spPr>
                      </pic:pic>
                    </a:graphicData>
                  </a:graphic>
                </wp:inline>
              </w:drawing>
            </w:r>
          </w:p>
        </w:tc>
      </w:tr>
    </w:tbl>
    <w:p w14:paraId="24AAEB22" w14:textId="44B95374" w:rsidR="00BE7D11" w:rsidRPr="002A675D" w:rsidRDefault="00747817" w:rsidP="00F764A7">
      <w:pPr>
        <w:pStyle w:val="MDPI31text"/>
        <w:rPr>
          <w:sz w:val="18"/>
          <w:szCs w:val="18"/>
        </w:rPr>
      </w:pPr>
      <w:r w:rsidRPr="00747817">
        <w:rPr>
          <w:b/>
          <w:bCs/>
          <w:sz w:val="18"/>
          <w:szCs w:val="18"/>
          <w:highlight w:val="yellow"/>
        </w:rPr>
        <w:t>*</w:t>
      </w:r>
      <w:r w:rsidR="00A9414E" w:rsidRPr="002A675D">
        <w:rPr>
          <w:sz w:val="18"/>
          <w:szCs w:val="18"/>
          <w:highlight w:val="yellow"/>
        </w:rPr>
        <w:t xml:space="preserve">Table made by the authors based on Zhao et al. </w:t>
      </w:r>
      <w:r w:rsidR="00A9414E" w:rsidRPr="002A675D">
        <w:rPr>
          <w:sz w:val="18"/>
          <w:szCs w:val="18"/>
          <w:highlight w:val="yellow"/>
        </w:rPr>
        <w:fldChar w:fldCharType="begin" w:fldLock="1"/>
      </w:r>
      <w:r w:rsidR="00A9414E" w:rsidRPr="002A675D">
        <w:rPr>
          <w:sz w:val="18"/>
          <w:szCs w:val="18"/>
          <w:highlight w:val="yellow"/>
        </w:rPr>
        <w:instrText>ADDIN CSL_CITATION {"citationItems":[{"id":"ITEM-1","itemData":{"DOI":"10.1016/j.rse.2016.05.016","ISSN":"00344257","abstract":"Stretching over 4300 km north to south, Chile is a special country with complicated landscapes and rich biodiversity. Accurate and timely updated land cover map of Chile in detailed classification categories is highly demanded for many applications. A conclusive land cover map integrated from multi-seasonal mapping results and a seasonal dynamic map series were produced using Landsat 8 imagery mainly acquired in 2013 and 2014, supplemented by MODIS Enhanced Vegetation Index data, high resolution imagery on Google Earth, and Shuttle Radar Topography Mission DEM data. The overall accuracy is 80% for the integrated map at level 1 and 73% for level 2 based on independent validation data. Accuracies for seasonal map series were also assessed, which is around 70% for each season, greatly improved by integrated use of seasonal information. The importance of growing season imagery was proved in our analysis. The analysis of the spatial variation of accuracies among various ecoregions indicates that the accuracy for land cover mapping decreases gradually from central Chile to both north and south. More mapping efforts for those ecoregions are needed. In addition, the training dataset includes sample points spatially distributed in the whole country, temporally distributed throughout the year, and categorically encompassing all land cover types. This training dataset constitutes a universal sample set allowing us to map land cover from any Landsat 8 image acquired in Chile without additional ad hoc training sample collection.","author":[{"dropping-particle":"","family":"Zhao","given":"Yuanyuan","non-dropping-particle":"","parse-names":false,"suffix":""},{"dropping-particle":"","family":"Feng","given":"Duole","non-dropping-particle":"","parse-names":false,"suffix":""},{"dropping-particle":"","family":"Yu","given":"Le","non-dropping-particle":"","parse-names":false,"suffix":""},{"dropping-particle":"","family":"Wang","given":"Xiaoyi","non-dropping-particle":"","parse-names":false,"suffix":""},{"dropping-particle":"","family":"Chen","given":"Yanlei","non-dropping-particle":"","parse-names":false,"suffix":""},{"dropping-particle":"","family":"Bai","given":"Yuqi","non-dropping-particle":"","parse-names":false,"suffix":""},{"dropping-particle":"","family":"Hernández","given":"H. Jaime","non-dropping-particle":"","parse-names":false,"suffix":""},{"dropping-particle":"","family":"Galleguillos","given":"Mauricio","non-dropping-particle":"","parse-names":false,"suffix":""},{"dropping-particle":"","family":"Estades","given":"Cristian","non-dropping-particle":"","parse-names":false,"suffix":""},{"dropping-particle":"","family":"Biging","given":"Gregory S.","non-dropping-particle":"","parse-names":false,"suffix":""},{"dropping-particle":"","family":"Radke","given":"John D.","non-dropping-particle":"","parse-names":false,"suffix":""},{"dropping-particle":"","family":"Gong","given":"Peng","non-dropping-particle":"","parse-names":false,"suffix":""}],"container-title":"Remote Sensing of Environment","id":"ITEM-1","issued":{"date-parts":[["2016"]]},"page":"170-185","title":"Detailed dynamic land cover mapping of Chile: Accuracy improvement by integrating multi-temporal data","type":"article-journal","volume":"183"},"uris":["http://www.mendeley.com/documents/?uuid=e57b2c43-5317-4297-a02b-e3a6dbd264a9"]}],"mendeley":{"formattedCitation":"&lt;span style=\"baseline\"&gt;[48]&lt;/span&gt;","plainTextFormattedCitation":"[48]","previouslyFormattedCitation":"&lt;span style=\"baseline\"&gt;[48]&lt;/span&gt;"},"properties":{"noteIndex":0},"schema":"https://github.com/citation-style-language/schema/raw/master/csl-citation.json"}</w:instrText>
      </w:r>
      <w:r w:rsidR="00A9414E" w:rsidRPr="002A675D">
        <w:rPr>
          <w:sz w:val="18"/>
          <w:szCs w:val="18"/>
          <w:highlight w:val="yellow"/>
        </w:rPr>
        <w:fldChar w:fldCharType="separate"/>
      </w:r>
      <w:r w:rsidR="00A9414E" w:rsidRPr="002A675D">
        <w:rPr>
          <w:noProof/>
          <w:sz w:val="18"/>
          <w:szCs w:val="18"/>
          <w:highlight w:val="yellow"/>
        </w:rPr>
        <w:t>[48]</w:t>
      </w:r>
      <w:r w:rsidR="00A9414E" w:rsidRPr="002A675D">
        <w:rPr>
          <w:sz w:val="18"/>
          <w:szCs w:val="18"/>
          <w:highlight w:val="yellow"/>
        </w:rPr>
        <w:fldChar w:fldCharType="end"/>
      </w:r>
      <w:r w:rsidR="00A9414E" w:rsidRPr="002A675D">
        <w:rPr>
          <w:sz w:val="18"/>
          <w:szCs w:val="18"/>
          <w:highlight w:val="yellow"/>
        </w:rPr>
        <w:t xml:space="preserve"> and Duran-Llacer et al. </w:t>
      </w:r>
      <w:r w:rsidR="00A9414E" w:rsidRPr="002A675D">
        <w:rPr>
          <w:sz w:val="18"/>
          <w:szCs w:val="18"/>
          <w:highlight w:val="yellow"/>
        </w:rPr>
        <w:fldChar w:fldCharType="begin" w:fldLock="1"/>
      </w:r>
      <w:r w:rsidR="00A9414E" w:rsidRPr="002A675D">
        <w:rPr>
          <w:sz w:val="18"/>
          <w:szCs w:val="18"/>
          <w:highlight w:val="yellow"/>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approach","type":"article-journal","volume":"12"},"uris":["http://www.mendeley.com/documents/?uuid=67a251eb-2187-383f-873c-50cc2e42e1ca"]}],"mendeley":{"formattedCitation":"&lt;span style=\"baseline\"&gt;[23]&lt;/span&gt;","plainTextFormattedCitation":"[23]","previouslyFormattedCitation":"&lt;span style=\"baseline\"&gt;[23]&lt;/span&gt;"},"properties":{"noteIndex":0},"schema":"https://github.com/citation-style-language/schema/raw/master/csl-citation.json"}</w:instrText>
      </w:r>
      <w:r w:rsidR="00A9414E" w:rsidRPr="002A675D">
        <w:rPr>
          <w:sz w:val="18"/>
          <w:szCs w:val="18"/>
          <w:highlight w:val="yellow"/>
        </w:rPr>
        <w:fldChar w:fldCharType="separate"/>
      </w:r>
      <w:r w:rsidR="00A9414E" w:rsidRPr="002A675D">
        <w:rPr>
          <w:noProof/>
          <w:sz w:val="18"/>
          <w:szCs w:val="18"/>
          <w:highlight w:val="yellow"/>
        </w:rPr>
        <w:t>[23]</w:t>
      </w:r>
      <w:r w:rsidR="00A9414E" w:rsidRPr="002A675D">
        <w:rPr>
          <w:sz w:val="18"/>
          <w:szCs w:val="18"/>
          <w:highlight w:val="yellow"/>
        </w:rPr>
        <w:fldChar w:fldCharType="end"/>
      </w:r>
      <w:r w:rsidR="00A9414E" w:rsidRPr="002A675D">
        <w:rPr>
          <w:sz w:val="18"/>
          <w:szCs w:val="18"/>
          <w:highlight w:val="yellow"/>
        </w:rPr>
        <w:t xml:space="preserve">. Photographs </w:t>
      </w:r>
      <w:r w:rsidR="00F764A7">
        <w:rPr>
          <w:sz w:val="18"/>
          <w:szCs w:val="18"/>
          <w:highlight w:val="yellow"/>
        </w:rPr>
        <w:t xml:space="preserve">were </w:t>
      </w:r>
      <w:r w:rsidR="00A9414E" w:rsidRPr="002A675D">
        <w:rPr>
          <w:sz w:val="18"/>
          <w:szCs w:val="18"/>
          <w:highlight w:val="yellow"/>
        </w:rPr>
        <w:t>taken by the authors during field</w:t>
      </w:r>
      <w:r w:rsidR="00E74056">
        <w:rPr>
          <w:sz w:val="18"/>
          <w:szCs w:val="18"/>
          <w:highlight w:val="yellow"/>
        </w:rPr>
        <w:t xml:space="preserve"> </w:t>
      </w:r>
      <w:r w:rsidR="00A9414E" w:rsidRPr="002A675D">
        <w:rPr>
          <w:sz w:val="18"/>
          <w:szCs w:val="18"/>
          <w:highlight w:val="yellow"/>
        </w:rPr>
        <w:t>work.</w:t>
      </w:r>
    </w:p>
    <w:p w14:paraId="3B9FA1C2" w14:textId="74B94EEF" w:rsidR="00BE7D11" w:rsidRPr="00BE7D11" w:rsidRDefault="00BE7D11" w:rsidP="00BE7D11">
      <w:pPr>
        <w:pStyle w:val="MDPI21heading1"/>
        <w:rPr>
          <w:b w:val="0"/>
          <w:bCs/>
          <w:i/>
          <w:sz w:val="20"/>
          <w:szCs w:val="20"/>
        </w:rPr>
      </w:pPr>
      <w:bookmarkStart w:id="5" w:name="_Hlk190898010"/>
      <w:r w:rsidRPr="00BE7D11">
        <w:rPr>
          <w:b w:val="0"/>
          <w:bCs/>
          <w:i/>
          <w:sz w:val="20"/>
          <w:szCs w:val="20"/>
        </w:rPr>
        <w:t>2.3 LULC Change Detection and Transitions</w:t>
      </w:r>
    </w:p>
    <w:bookmarkEnd w:id="5"/>
    <w:p w14:paraId="2AA99741" w14:textId="163055C7" w:rsidR="00BE7D11" w:rsidRDefault="00BE7D11" w:rsidP="00BE7D11">
      <w:pPr>
        <w:pStyle w:val="MDPI31text"/>
      </w:pPr>
      <w:r w:rsidRPr="00BE7D11">
        <w:t xml:space="preserve">Land use and land cover change detection was carried out to identify and quantify the transitions between the mapped classes during three distinct periods: 2003—2013, 2013—2023, and 2003–2023. First, reclassified LULC </w:t>
      </w:r>
      <w:proofErr w:type="spellStart"/>
      <w:r w:rsidRPr="00BE7D11">
        <w:t>rasters</w:t>
      </w:r>
      <w:proofErr w:type="spellEnd"/>
      <w:r w:rsidRPr="00BE7D11">
        <w:t xml:space="preserve"> for the beginning and ending years in each interval were stacked, and a custom function was applied to each pixel pair, transforming the 2003 and 2013 values (or 2013 and 2023, etc.) into a single two-digit code. For instance, a pixel labeled as class 2 in 2003 that changed to class 5 in 2013 was coded as “25.” Each of these codes </w:t>
      </w:r>
      <w:r w:rsidR="009F4D56" w:rsidRPr="00BE7D11">
        <w:t>were</w:t>
      </w:r>
      <w:r w:rsidRPr="00BE7D11">
        <w:t xml:space="preserve"> then interpreted as a unique transition—from no change (e.g., class 2 remaining class 2) to conversions among various land uses (e.g., fruit farm land converting to avocado </w:t>
      </w:r>
      <w:r w:rsidR="009C74A3">
        <w:t>plantations</w:t>
      </w:r>
      <w:r w:rsidRPr="00BE7D11">
        <w:t>). This step produced a “change raster”.</w:t>
      </w:r>
    </w:p>
    <w:p w14:paraId="7A2F7449" w14:textId="01821F41" w:rsidR="00924D51" w:rsidRDefault="00BE7D11" w:rsidP="00897A60">
      <w:pPr>
        <w:pStyle w:val="MDPI31text"/>
      </w:pPr>
      <w:r w:rsidRPr="00BE7D11">
        <w:t xml:space="preserve">To explore transitions quantitatively, the original LULC </w:t>
      </w:r>
      <w:proofErr w:type="spellStart"/>
      <w:r w:rsidRPr="00BE7D11">
        <w:t>rasters</w:t>
      </w:r>
      <w:proofErr w:type="spellEnd"/>
      <w:r w:rsidRPr="00BE7D11">
        <w:t xml:space="preserve"> were also converted into data frames, and frequency tables were generated to tabulate how many pixels underwent each type of conversion. By grouping these data and calculating their associated areas (based on the pixel size), it became possible to determine net gains or losses for each LULC class over time. Several visual outputs were created from these results, including </w:t>
      </w:r>
      <w:r w:rsidRPr="00BE7D11">
        <w:lastRenderedPageBreak/>
        <w:t xml:space="preserve">change maps displaying only those pixels where a class shift occurred, bar plots illustrating net area changes, and Sankey diagrams showing more detailed multi-year transitions (2003—2013—2023). These visualizations helped pinpoint which classes (e.g., avocado land, native vegetation = dense vegetation and shrublands , fruit farm land) had the most significant expansions or contractions, and whether these patterns followed the same trajectory across both time intervals </w:t>
      </w:r>
      <w:proofErr w:type="gramStart"/>
      <w:r w:rsidRPr="00BE7D11">
        <w:t>or</w:t>
      </w:r>
      <w:proofErr w:type="gramEnd"/>
      <w:r w:rsidRPr="00BE7D11">
        <w:t xml:space="preserve"> shifted in the later years.</w:t>
      </w:r>
    </w:p>
    <w:p w14:paraId="48F8BAA0" w14:textId="67DB3F8B" w:rsidR="00BE7D11" w:rsidRDefault="00BE7D11" w:rsidP="00BE7D11">
      <w:pPr>
        <w:pStyle w:val="MDPI21heading1"/>
      </w:pPr>
      <w:bookmarkStart w:id="6" w:name="_Hlk190898088"/>
      <w:r w:rsidRPr="00BE7D11">
        <w:rPr>
          <w:b w:val="0"/>
          <w:bCs/>
          <w:i/>
          <w:sz w:val="20"/>
          <w:szCs w:val="20"/>
        </w:rPr>
        <w:t>2.</w:t>
      </w:r>
      <w:r>
        <w:rPr>
          <w:b w:val="0"/>
          <w:bCs/>
          <w:i/>
          <w:sz w:val="20"/>
          <w:szCs w:val="20"/>
        </w:rPr>
        <w:t>4</w:t>
      </w:r>
      <w:r w:rsidRPr="00BE7D11">
        <w:rPr>
          <w:b w:val="0"/>
          <w:bCs/>
          <w:i/>
          <w:sz w:val="20"/>
          <w:szCs w:val="20"/>
        </w:rPr>
        <w:t xml:space="preserve"> Change analysis of avocado and native vegetation lands</w:t>
      </w:r>
    </w:p>
    <w:bookmarkEnd w:id="6"/>
    <w:p w14:paraId="6968EA7D" w14:textId="1EA3F340" w:rsidR="00BE7D11" w:rsidRDefault="00BE7D11" w:rsidP="00BE7D11">
      <w:pPr>
        <w:pStyle w:val="MDPI31text"/>
      </w:pPr>
      <w:r w:rsidRPr="00BE7D11">
        <w:t xml:space="preserve">To evaluate changes in avocado orchards (avocado land) and native vegetation between 2003 and 2023, two reclassified LULC </w:t>
      </w:r>
      <w:proofErr w:type="spellStart"/>
      <w:r w:rsidRPr="00BE7D11">
        <w:t>rasters</w:t>
      </w:r>
      <w:proofErr w:type="spellEnd"/>
      <w:r w:rsidRPr="00BE7D11">
        <w:t xml:space="preserve"> were stacked, and each pixel’s 2003 and 2023 classes were combined into a single code (e.g., 35 if a pixel went from class 3 to class 5). By examining these codes, gains and losses of avocado and native vegetation were identified and quantified, highlighting the classes from which avocado or native vegetation expanded—or to which they were converted. Finally, the results were aggregated to produce a net balance of gains and losses and to visualize which classes contributed most to the observed changes.</w:t>
      </w:r>
    </w:p>
    <w:p w14:paraId="3BB4C7BF" w14:textId="057BA1CB" w:rsidR="00BE7D11" w:rsidRDefault="00BE7D11" w:rsidP="00BE7D11">
      <w:pPr>
        <w:pStyle w:val="MDPI21heading1"/>
      </w:pPr>
      <w:r w:rsidRPr="00BE7D11">
        <w:rPr>
          <w:b w:val="0"/>
          <w:bCs/>
          <w:i/>
          <w:sz w:val="20"/>
          <w:szCs w:val="20"/>
        </w:rPr>
        <w:t>2.</w:t>
      </w:r>
      <w:r>
        <w:rPr>
          <w:b w:val="0"/>
          <w:bCs/>
          <w:i/>
          <w:sz w:val="20"/>
          <w:szCs w:val="20"/>
        </w:rPr>
        <w:t>5</w:t>
      </w:r>
      <w:r w:rsidRPr="00BE7D11">
        <w:rPr>
          <w:b w:val="0"/>
          <w:bCs/>
          <w:i/>
          <w:sz w:val="20"/>
          <w:szCs w:val="20"/>
        </w:rPr>
        <w:t xml:space="preserve"> Local Landscape Patterns</w:t>
      </w:r>
    </w:p>
    <w:p w14:paraId="4AB06470" w14:textId="1957E669" w:rsidR="00BE7D11" w:rsidRDefault="00BE7D11" w:rsidP="00BE7D11">
      <w:pPr>
        <w:pStyle w:val="MDPI31text"/>
      </w:pPr>
      <w:r w:rsidRPr="00BE7D11">
        <w:t xml:space="preserve">A local landscape pattern analysis was performed to capture fine-scale differences in spatial configuration between the 2003 and 2023 LULC maps. Specifically, we used the </w:t>
      </w:r>
      <w:proofErr w:type="spellStart"/>
      <w:r w:rsidRPr="00BE7D11">
        <w:t>lsp_compare</w:t>
      </w:r>
      <w:proofErr w:type="spellEnd"/>
      <w:r w:rsidRPr="00BE7D11">
        <w:t xml:space="preserve">() function from the motif package in R, applying a “cove” signature and the Jensen-Shannon divergence to quantify differences in land cover composition </w:t>
      </w:r>
      <w:r w:rsidR="00CF2388">
        <w:fldChar w:fldCharType="begin" w:fldLock="1"/>
      </w:r>
      <w:r w:rsidR="00CF0B43">
        <w:instrText>ADDIN CSL_CITATION {"citationItems":[{"id":"ITEM-1","itemData":{"DOI":"10.1007/s10980-020-01135-0","ISBN":"0123456789","ISSN":"15729761","abstract":"Context: Pattern-based spatial analysis provides methods to describe and quantitatively compare spatial patterns for categorical raster datasets. It allows for spatial search, change detection, and clustering of areas with similar patterns. Objectives: We developed an R package motif as a set of open-source tools for pattern-based spatial analysis. Methods: This package provides most of the functionality of existing software (except spatial segmentation), but also extends the existing ideas through support for multi-layer raster datasets. It accepts larger-than-RAM datasets and works across all of the major operating systems. Results: In this study, we describe the software design of the tool, its capabilities, and present four case studies. They include calculation of spatial signatures based on land cover data for regular and irregular areas, search for regions with similar patterns of geomorphons, detection of changes in land cover patterns, and clustering of areas with similar spatial patterns of land cover and landforms. Conclusions: The methods implemented in motif should be useful in a wide range of applications, including land management, sustainable development, environmental protection, forest cover change and urban growth monitoring, and agriculture expansion studies. The motif package homepage is https://nowosad.github.io/motif.","author":[{"dropping-particle":"","family":"Nowosad","given":"Jakub","non-dropping-particle":"","parse-names":false,"suffix":""}],"container-title":"Landscape Ecology","id":"ITEM-1","issue":"1","issued":{"date-parts":[["2021"]]},"page":"29-43","publisher":"Springer Netherlands","title":"Motif: an open-source R tool for pattern-based spatial analysis","type":"article-journal","volume":"36"},"uris":["http://www.mendeley.com/documents/?uuid=0871f2cc-96d6-49bc-84cf-78c9cf22b029"]}],"mendeley":{"formattedCitation":"&lt;span style=\"baseline\"&gt;[55]&lt;/span&gt;","plainTextFormattedCitation":"[55]","previouslyFormattedCitation":"&lt;span style=\"baseline\"&gt;[55]&lt;/span&gt;"},"properties":{"noteIndex":0},"schema":"https://github.com/citation-style-language/schema/raw/master/csl-citation.json"}</w:instrText>
      </w:r>
      <w:r w:rsidR="00CF2388">
        <w:fldChar w:fldCharType="separate"/>
      </w:r>
      <w:r w:rsidR="004B02F5" w:rsidRPr="004B02F5">
        <w:rPr>
          <w:noProof/>
        </w:rPr>
        <w:t>[55]</w:t>
      </w:r>
      <w:r w:rsidR="00CF2388">
        <w:fldChar w:fldCharType="end"/>
      </w:r>
      <w:r w:rsidRPr="00BE7D11">
        <w:t xml:space="preserve">. Local landscapes were defined as 10 × 10-pixel windows (window = 10), and a threshold of 0.9 was set to highlight areas where spatial dissimilarities were most pronounced. The output is a “distance” raster in which zero represents no local changes, and higher values indicate greater alterations in land cover patterns between 2003 and 2023. This method provides a granular perspective, enabling the identification of specific hotspots of transformation that might otherwise remain undetected in broader-scale analyses. More details can be found in </w:t>
      </w:r>
      <w:r w:rsidR="00CF2388">
        <w:fldChar w:fldCharType="begin" w:fldLock="1"/>
      </w:r>
      <w:r w:rsidR="00CF0B43">
        <w:instrText>ADDIN CSL_CITATION {"citationItems":[{"id":"ITEM-1","itemData":{"DOI":"10.1007/s10980-020-01135-0","ISBN":"0123456789","ISSN":"15729761","abstract":"Context: Pattern-based spatial analysis provides methods to describe and quantitatively compare spatial patterns for categorical raster datasets. It allows for spatial search, change detection, and clustering of areas with similar patterns. Objectives: We developed an R package motif as a set of open-source tools for pattern-based spatial analysis. Methods: This package provides most of the functionality of existing software (except spatial segmentation), but also extends the existing ideas through support for multi-layer raster datasets. It accepts larger-than-RAM datasets and works across all of the major operating systems. Results: In this study, we describe the software design of the tool, its capabilities, and present four case studies. They include calculation of spatial signatures based on land cover data for regular and irregular areas, search for regions with similar patterns of geomorphons, detection of changes in land cover patterns, and clustering of areas with similar spatial patterns of land cover and landforms. Conclusions: The methods implemented in motif should be useful in a wide range of applications, including land management, sustainable development, environmental protection, forest cover change and urban growth monitoring, and agriculture expansion studies. The motif package homepage is https://nowosad.github.io/motif.","author":[{"dropping-particle":"","family":"Nowosad","given":"Jakub","non-dropping-particle":"","parse-names":false,"suffix":""}],"container-title":"Landscape Ecology","id":"ITEM-1","issue":"1","issued":{"date-parts":[["2021"]]},"page":"29-43","publisher":"Springer Netherlands","title":"Motif: an open-source R tool for pattern-based spatial analysis","type":"article-journal","volume":"36"},"uris":["http://www.mendeley.com/documents/?uuid=0871f2cc-96d6-49bc-84cf-78c9cf22b029"]}],"mendeley":{"formattedCitation":"&lt;span style=\"baseline\"&gt;[55]&lt;/span&gt;","plainTextFormattedCitation":"[55]","previouslyFormattedCitation":"&lt;span style=\"baseline\"&gt;[55]&lt;/span&gt;"},"properties":{"noteIndex":0},"schema":"https://github.com/citation-style-language/schema/raw/master/csl-citation.json"}</w:instrText>
      </w:r>
      <w:r w:rsidR="00CF2388">
        <w:fldChar w:fldCharType="separate"/>
      </w:r>
      <w:r w:rsidR="004B02F5" w:rsidRPr="004B02F5">
        <w:rPr>
          <w:noProof/>
        </w:rPr>
        <w:t>[55]</w:t>
      </w:r>
      <w:r w:rsidR="00CF2388">
        <w:fldChar w:fldCharType="end"/>
      </w:r>
      <w:r w:rsidRPr="00BE7D11">
        <w:t xml:space="preserve">, and the R package can be downloaded from: </w:t>
      </w:r>
      <w:r w:rsidR="00CF2388">
        <w:fldChar w:fldCharType="begin" w:fldLock="1"/>
      </w:r>
      <w:r w:rsidR="00CF0B43">
        <w:instrText>ADDIN CSL_CITATION {"citationItems":[{"id":"ITEM-1","itemData":{"URL":"https://jakubnowosad.com/motif/index.html","accessed":{"date-parts":[["2024","12","23"]]},"author":[{"dropping-particle":"","family":"Nowosad","given":"Jakub","non-dropping-particle":"","parse-names":false,"suffix":""}],"id":"ITEM-1","issued":{"date-parts":[["2021"]]},"title":"Motif. 06.4. Motif: an open-source R tool for pattern-based spatial analysis","type":"webpage"},"uris":["http://www.mendeley.com/documents/?uuid=c42e5062-3616-4574-a0b8-09a86e632367"]}],"mendeley":{"formattedCitation":"&lt;span style=\"baseline\"&gt;[56]&lt;/span&gt;","plainTextFormattedCitation":"[56]","previouslyFormattedCitation":"&lt;span style=\"baseline\"&gt;[56]&lt;/span&gt;"},"properties":{"noteIndex":0},"schema":"https://github.com/citation-style-language/schema/raw/master/csl-citation.json"}</w:instrText>
      </w:r>
      <w:r w:rsidR="00CF2388">
        <w:fldChar w:fldCharType="separate"/>
      </w:r>
      <w:r w:rsidR="004B02F5" w:rsidRPr="004B02F5">
        <w:rPr>
          <w:noProof/>
        </w:rPr>
        <w:t>[56]</w:t>
      </w:r>
      <w:r w:rsidR="00CF2388">
        <w:fldChar w:fldCharType="end"/>
      </w:r>
      <w:r w:rsidRPr="00BE7D11">
        <w:t>.</w:t>
      </w:r>
      <w:r>
        <w:t xml:space="preserve"> </w:t>
      </w:r>
    </w:p>
    <w:p w14:paraId="38BA31B9" w14:textId="77777777" w:rsidR="00BE7D11" w:rsidRDefault="00BE7D11" w:rsidP="00BE7D11">
      <w:pPr>
        <w:pStyle w:val="MDPI31text"/>
        <w:jc w:val="left"/>
      </w:pPr>
    </w:p>
    <w:p w14:paraId="3598F354" w14:textId="3A9F999F" w:rsidR="00867DEC" w:rsidRPr="00867DEC" w:rsidRDefault="00867DEC" w:rsidP="00867DEC">
      <w:pPr>
        <w:pStyle w:val="MDPI31text"/>
        <w:ind w:left="0" w:firstLine="0"/>
        <w:jc w:val="left"/>
        <w:rPr>
          <w:i/>
        </w:rPr>
      </w:pPr>
      <w:r>
        <w:rPr>
          <w:bCs/>
          <w:i/>
          <w:szCs w:val="20"/>
        </w:rPr>
        <w:t xml:space="preserve">                                 </w:t>
      </w:r>
      <w:r w:rsidRPr="00867DEC">
        <w:rPr>
          <w:bCs/>
          <w:i/>
          <w:szCs w:val="20"/>
        </w:rPr>
        <w:t>2.6 Landscape</w:t>
      </w:r>
      <w:r w:rsidRPr="00867DEC">
        <w:rPr>
          <w:i/>
        </w:rPr>
        <w:t xml:space="preserve"> Metrics</w:t>
      </w:r>
    </w:p>
    <w:p w14:paraId="5640DC2C" w14:textId="53EE2DB4" w:rsidR="00EC24A2" w:rsidRDefault="00867DEC" w:rsidP="00897A60">
      <w:pPr>
        <w:pStyle w:val="MDPI31text"/>
        <w:rPr>
          <w:highlight w:val="yellow"/>
        </w:rPr>
      </w:pPr>
      <w:r w:rsidRPr="00867DEC">
        <w:t xml:space="preserve">To quantify changes in landscape structure over time and under different management practice scenarios, several landscape metrics were calculated for classes 3 (avocado land) and 5 (native vegetation) using the </w:t>
      </w:r>
      <w:proofErr w:type="spellStart"/>
      <w:r w:rsidRPr="00867DEC">
        <w:t>landscapemetrics</w:t>
      </w:r>
      <w:proofErr w:type="spellEnd"/>
      <w:r w:rsidRPr="00867DEC">
        <w:t xml:space="preserve"> package in R </w:t>
      </w:r>
      <w:r w:rsidR="00D86EDF">
        <w:fldChar w:fldCharType="begin" w:fldLock="1"/>
      </w:r>
      <w:r w:rsidR="00CF0B43">
        <w:instrText>ADDIN CSL_CITATION {"citationItems":[{"id":"ITEM-1","itemData":{"DOI":"10.1111/ecog.04617","ISSN":"16000587","abstract":"Quantifying landscape characteristics and linking them to ecological processes is one of the central goals of landscape ecology. Landscape metrics are a widely used tool for the analysis of patch-based, discrete land-cover classes. Existing software to calculate landscape metrics has several constraints, such as being limited to a single platform, not being open-source or involving a complicated integration into large workflows. We present landscapemetrics, an open-source R package that overcomes many constraints of existing landscape metric software. The package includes an extensive collection of commonly used landscape metrics in a tidy workflow. To facilitate the integration into large workflows, landscapemetrics is based on a well-established spatial framework in R. This allows pre-processing of land-cover maps or further statistical analysis without importing and exporting the data from and to different software environments. Additionally, the package provides many utility functions to visualize, extract, and sample landscape metrics. Lastly, we provide building-blocks to motivate the development and integration of new metrics in the future. We demonstrate the usage and advantages of landscapemetrics by analysing the influence of different sampling schemes on the estimation of landscape metrics. In so doing, we demonstrate the many advantages of the package, especially its easy integration into large workflows. These new developments should help with the integration of landscape analysis in ecological research, given that ecologists are increasingly using R for the statistical analysis, modelling and visualization of spatial data.","author":[{"dropping-particle":"","family":"Hesselbarth","given":"Maximilian H.K.","non-dropping-particle":"","parse-names":false,"suffix":""},{"dropping-particle":"","family":"Sciaini","given":"Marco","non-dropping-particle":"","parse-names":false,"suffix":""},{"dropping-particle":"","family":"With","given":"Kimberly A.","non-dropping-particle":"","parse-names":false,"suffix":""},{"dropping-particle":"","family":"Wiegand","given":"Kerstin","non-dropping-particle":"","parse-names":false,"suffix":""},{"dropping-particle":"","family":"Nowosad","given":"Jakub","non-dropping-particle":"","parse-names":false,"suffix":""}],"container-title":"Ecography","id":"ITEM-1","issue":"10","issued":{"date-parts":[["2019"]]},"page":"1648-1657","title":"landscapemetrics: an open-source R tool to calculate landscape metrics","type":"article-journal","volume":"42"},"uris":["http://www.mendeley.com/documents/?uuid=bae94acf-78bd-41ea-ab82-bb7d654eb9fb"]}],"mendeley":{"formattedCitation":"&lt;span style=\"baseline\"&gt;[57]&lt;/span&gt;","plainTextFormattedCitation":"[57]","previouslyFormattedCitation":"&lt;span style=\"baseline\"&gt;[57]&lt;/span&gt;"},"properties":{"noteIndex":0},"schema":"https://github.com/citation-style-language/schema/raw/master/csl-citation.json"}</w:instrText>
      </w:r>
      <w:r w:rsidR="00D86EDF">
        <w:fldChar w:fldCharType="separate"/>
      </w:r>
      <w:r w:rsidR="004B02F5" w:rsidRPr="004B02F5">
        <w:rPr>
          <w:noProof/>
        </w:rPr>
        <w:t>[57]</w:t>
      </w:r>
      <w:r w:rsidR="00D86EDF">
        <w:fldChar w:fldCharType="end"/>
      </w:r>
      <w:r w:rsidRPr="00867DEC">
        <w:t xml:space="preserve">. Specifically, the Number of Patches, Largest Patch Index, Mean Patch Area, and Mean Euclidean Nearest Neighbor Distance </w:t>
      </w:r>
      <w:r w:rsidR="00D86EDF">
        <w:fldChar w:fldCharType="begin" w:fldLock="1"/>
      </w:r>
      <w:r w:rsidR="00CF0B43">
        <w:instrText>ADDIN CSL_CITATION {"citationItems":[{"id":"ITEM-1","itemData":{"DOI":"10.3390/land12030631","ISSN":"2073445X","abstract":"The rapid expansion of avocado cultivation in Michoacán, Mexico, is one of the drivers of deforestation. We assessed the degree of fragmentation and functional connectivity of the remaining temperate forest within the Avocado Belt and prioritized patches that contribute the most to connectivity using a network-based approach and modelling different seed and pollen dispersal scenarios, including two types of patch attributes (size and degree of conservation). As landscape transformation in the region is rapid and ongoing, we updated the land-use and land-cover maps through a supervised classification of Sentinel-2 imagery, improving the reliability of our analyses. Temperate forest is highly fragmented within the region: most patches are small (&lt;30 ha), have a reduced core-area (28%), and irregular shapes. The degree of connectivity is very low (0.06), dropping to 0.019 when the degree of conservation of patches was considered. The top 100 ranked patches of forest that support the connectivity of seeds and pollen have different characteristics (i.e., size and topology) that may be considered for implementing conservation and management strategies. Seed dispersal seems to be more threatened by fragmentation than pollen dispersal, and patches that are important for maintaining seed connectivity are embedded in the denser zone of avocado orchards.","author":[{"dropping-particle":"","family":"Latorre-Cárdenas","given":"María Camila","non-dropping-particle":"","parse-names":false,"suffix":""},{"dropping-particle":"","family":"González-Rodríguez","given":"Antonio","non-dropping-particle":"","parse-names":false,"suffix":""},{"dropping-particle":"","family":"Godínez-Gómez","given":"Oscar","non-dropping-particle":"","parse-names":false,"suffix":""},{"dropping-particle":"","family":"Arima","given":"Eugenio Y.","non-dropping-particle":"","parse-names":false,"suffix":""},{"dropping-particle":"","family":"Young","given":"Kenneth R.","non-dropping-particle":"","parse-names":false,"suffix":""},{"dropping-particle":"","family":"Denvir","given":"Audrey","non-dropping-particle":"","parse-names":false,"suffix":""},{"dropping-particle":"","family":"García-Oliva","given":"Felipe","non-dropping-particle":"","parse-names":false,"suffix":""},{"dropping-particle":"","family":"Ghilardi","given":"Adrián","non-dropping-particle":"","parse-names":false,"suffix":""}],"container-title":"Land","id":"ITEM-1","issue":"3","issued":{"date-parts":[["2023"]]},"title":"Estimating Fragmentation and Connectivity Patterns of the Temperate Forest in an Avocado-Dominated Landscape to Propose Conservation Strategies","type":"article-journal","volume":"12"},"uris":["http://www.mendeley.com/documents/?uuid=3bfa98ec-644a-43b3-ad69-404bad1a0936"]},{"id":"ITEM-2","itemData":{"DOI":"10.3390/land10060550","ISSN":"2073445X","abstract":"Land‐use and land‐cover (LULC) changes are major drivers of biodiversity loss in semi-arid regions, such as the Caatinga biome located in the Northeast of Brazil. We investigated landscape dynamics and fragmentation in an area of the São Francisco Valley in the Brazilian Caatinga biome and measured the effect of these dynamics on ecological, functional and structural connectivity over a 33‐year period (1985–2018). We calculated landscape connectivity indices based on graph theory to quantify the effect of further agricultural expansion on ecological connectivity at the landscape scale. We used a multicriteria decision analysis that integrates graph‐based connectivity indices at the habitat patch scale, combined with an index of human disturbance to identify patches that, if conserved and restored, preserve the connectivity of the landscape most effectively. In the period studied, agriculture increased at a rate of 2104 ha/year, while native Caatinga vegetation decreased at a rate of 5203 ha/year. Both dense and open Caatinga became more fragmented, with the number of fragments increasing by 85.2% and 28.6%, respectively, whilst the average frag-ment size decreased by 84.8% and 6.1% for dense and open Caatinga, respectively. If agriculture patches were to expand by a 300 m buffer around each patch, the overall ecological connectivity could be reduced by 6–15%, depending on the species’ (small‐ to mid‐size terrestrial vertebrates) mobility characteristics for which the connectivity indices were calculated. We provided explicit spatial connectivity and fragmentation information for the conservation and restoration of the Caatinga vegetation in the studied area. This information helps with conservation planning in this rapidly changing ecosystem.","author":[{"dropping-particle":"","family":"Salazar","given":"Andrés A.","non-dropping-particle":"","parse-names":false,"suffix":""},{"dropping-particle":"","family":"Arellano","given":"Eduardo C.","non-dropping-particle":"","parse-names":false,"suffix":""},{"dropping-particle":"","family":"Muñoz‐sáez","given":"Andrés","non-dropping-particle":"","parse-names":false,"suffix":""},{"dropping-particle":"","family":"Miranda","given":"Marcelo D.","non-dropping-particle":"","parse-names":false,"suffix":""},{"dropping-particle":"","family":"Silva","given":"Fabiana Oliveira","non-dropping-particle":"da","parse-names":false,"suffix":""},{"dropping-particle":"","family":"Zielonka","given":"Natalia B.","non-dropping-particle":"","parse-names":false,"suffix":""},{"dropping-particle":"","family":"Crowther","given":"Liam P.","non-dropping-particle":"","parse-names":false,"suffix":""},{"dropping-particle":"","family":"Silva‐ferreira","given":"Vinina","non-dropping-particle":"","parse-names":false,"suffix":""},{"dropping-particle":"","family":"Oliveira‐reboucas","given":"Patricia","non-dropping-particle":"","parse-names":false,"suffix":""},{"dropping-particle":"V.","family":"Dicks","given":"Lynn","non-dropping-particle":"","parse-names":false,"suffix":""}],"container-title":"Land","id":"ITEM-2","issue":"6","issued":{"date-parts":[["2021"]]},"title":"Restoration and conservation of priority areas of caatinga’s semi‐arid forest remnants can support connectivity within an agricultural landscape","type":"article-journal","volume":"10"},"uris":["http://www.mendeley.com/documents/?uuid=26e27139-4f28-4c34-a2a4-79bf7157841c"]}],"mendeley":{"formattedCitation":"&lt;span style=\"baseline\"&gt;[9,15]&lt;/span&gt;","plainTextFormattedCitation":"[9,15]","previouslyFormattedCitation":"&lt;span style=\"baseline\"&gt;[9,15]&lt;/span&gt;"},"properties":{"noteIndex":0},"schema":"https://github.com/citation-style-language/schema/raw/master/csl-citation.json"}</w:instrText>
      </w:r>
      <w:r w:rsidR="00D86EDF">
        <w:fldChar w:fldCharType="separate"/>
      </w:r>
      <w:r w:rsidR="004B02F5" w:rsidRPr="004B02F5">
        <w:rPr>
          <w:noProof/>
        </w:rPr>
        <w:t>[9,15]</w:t>
      </w:r>
      <w:r w:rsidR="00D86EDF">
        <w:fldChar w:fldCharType="end"/>
      </w:r>
      <w:r w:rsidRPr="00867DEC">
        <w:t xml:space="preserve"> were derived at the class level for the actual LULC maps from 2003, 2013, and 2023, as well as for three scenarios in 2023. </w:t>
      </w:r>
      <w:r w:rsidR="00EC24A2" w:rsidRPr="00653C7A">
        <w:rPr>
          <w:highlight w:val="yellow"/>
        </w:rPr>
        <w:t>A description of each scenario is provided below:</w:t>
      </w:r>
    </w:p>
    <w:p w14:paraId="744A7905" w14:textId="77777777" w:rsidR="00897A60" w:rsidRPr="00653C7A" w:rsidRDefault="00897A60" w:rsidP="00897A60">
      <w:pPr>
        <w:pStyle w:val="MDPI31text"/>
        <w:rPr>
          <w:highlight w:val="yellow"/>
        </w:rPr>
      </w:pPr>
    </w:p>
    <w:p w14:paraId="69F7A2F9" w14:textId="77777777" w:rsidR="00EC24A2" w:rsidRPr="00653C7A" w:rsidRDefault="00EC24A2" w:rsidP="00EC24A2">
      <w:pPr>
        <w:pStyle w:val="MDPI31text"/>
        <w:rPr>
          <w:highlight w:val="yellow"/>
        </w:rPr>
      </w:pPr>
      <w:r w:rsidRPr="00653C7A">
        <w:rPr>
          <w:i/>
          <w:iCs/>
          <w:highlight w:val="yellow"/>
        </w:rPr>
        <w:t>Scenario 1 (S1):</w:t>
      </w:r>
      <w:r w:rsidRPr="00653C7A">
        <w:rPr>
          <w:highlight w:val="yellow"/>
        </w:rPr>
        <w:t xml:space="preserve"> “avocado decrease”. Replacement of the avocado land above 550 m by native vegetation.</w:t>
      </w:r>
    </w:p>
    <w:p w14:paraId="5C342D48" w14:textId="56CB0FE5" w:rsidR="00EC24A2" w:rsidRPr="00653C7A" w:rsidRDefault="00EC24A2" w:rsidP="00EC24A2">
      <w:pPr>
        <w:pStyle w:val="MDPI31text"/>
        <w:rPr>
          <w:highlight w:val="yellow"/>
        </w:rPr>
      </w:pPr>
      <w:r w:rsidRPr="00653C7A">
        <w:rPr>
          <w:i/>
          <w:iCs/>
          <w:highlight w:val="yellow"/>
        </w:rPr>
        <w:t>- Scenario 2 (S2):</w:t>
      </w:r>
      <w:r w:rsidRPr="00653C7A">
        <w:rPr>
          <w:highlight w:val="yellow"/>
        </w:rPr>
        <w:t xml:space="preserve"> “avocado expansion”. A 200-meter buffer around existing avocado patches was </w:t>
      </w:r>
      <w:r w:rsidR="00D91F4F" w:rsidRPr="00653C7A">
        <w:rPr>
          <w:highlight w:val="yellow"/>
        </w:rPr>
        <w:t>applied</w:t>
      </w:r>
      <w:r w:rsidRPr="00653C7A">
        <w:rPr>
          <w:highlight w:val="yellow"/>
        </w:rPr>
        <w:t>.</w:t>
      </w:r>
    </w:p>
    <w:p w14:paraId="58BA028A" w14:textId="0A16DC9B" w:rsidR="00EC24A2" w:rsidRDefault="00EC24A2" w:rsidP="00EC24A2">
      <w:pPr>
        <w:pStyle w:val="MDPI31text"/>
      </w:pPr>
      <w:r w:rsidRPr="00653C7A">
        <w:rPr>
          <w:highlight w:val="yellow"/>
        </w:rPr>
        <w:t xml:space="preserve">- </w:t>
      </w:r>
      <w:r w:rsidRPr="00653C7A">
        <w:rPr>
          <w:i/>
          <w:iCs/>
          <w:highlight w:val="yellow"/>
        </w:rPr>
        <w:t>Scenario 3 (S3):</w:t>
      </w:r>
      <w:r w:rsidRPr="00653C7A">
        <w:rPr>
          <w:highlight w:val="yellow"/>
        </w:rPr>
        <w:t xml:space="preserve"> “</w:t>
      </w:r>
      <w:r w:rsidR="00A96E51">
        <w:rPr>
          <w:highlight w:val="yellow"/>
        </w:rPr>
        <w:t>e</w:t>
      </w:r>
      <w:r w:rsidRPr="00653C7A">
        <w:rPr>
          <w:highlight w:val="yellow"/>
        </w:rPr>
        <w:t>cological restoration”. Complete replacement of avocado plantations by native vegetation</w:t>
      </w:r>
      <w:r w:rsidR="00D91F4F" w:rsidRPr="00653C7A">
        <w:rPr>
          <w:highlight w:val="yellow"/>
        </w:rPr>
        <w:t xml:space="preserve"> throughout the basin</w:t>
      </w:r>
      <w:r w:rsidRPr="00653C7A">
        <w:rPr>
          <w:highlight w:val="yellow"/>
        </w:rPr>
        <w:t>.</w:t>
      </w:r>
    </w:p>
    <w:p w14:paraId="66317891" w14:textId="77777777" w:rsidR="00EC24A2" w:rsidRDefault="00EC24A2" w:rsidP="00867DEC">
      <w:pPr>
        <w:pStyle w:val="MDPI31text"/>
      </w:pPr>
    </w:p>
    <w:p w14:paraId="5DFE13AA" w14:textId="5FA2FA7C" w:rsidR="00BE7D11" w:rsidRDefault="00867DEC" w:rsidP="00D91F4F">
      <w:pPr>
        <w:pStyle w:val="MDPI31text"/>
      </w:pPr>
      <w:r w:rsidRPr="00867DEC">
        <w:t xml:space="preserve">The scenarios were selected based on the authors' local expert criteria and the reviewed literature, with the objective of proposing new management practices focused on ecological efforts and restoration through changes in land use and cover patterns. Thus, S1 considers a decrease in avocado plantation surface, S2 evaluates an extreme scenario of agricultural expansion </w:t>
      </w:r>
      <w:r w:rsidR="00D86EDF">
        <w:fldChar w:fldCharType="begin" w:fldLock="1"/>
      </w:r>
      <w:r w:rsidR="00CF0B43">
        <w:instrText>ADDIN CSL_CITATION {"citationItems":[{"id":"ITEM-1","itemData":{"ISBN":"9789567244300","abstract":"Incluye notas a pie de página.","author":[{"dropping-particle":"","family":"Oficina de Estudios y Políticas Agrarias.","given":"","non-dropping-particle":"","parse-names":false,"suffix":""}],"id":"ITEM-1","issued":{"date-parts":[["2017"]]},"number-of-pages":"293","publisher":"ODEPA","title":"Agricultura chilena : Reflexiones y desafíos al 2030.","type":"book"},"uris":["http://www.mendeley.com/documents/?uuid=68608999-9bf5-30be-8a82-6a34fbb4f31d"]},{"id":"ITEM-2","itemData":{"DOI":"10.1016/j.ecohyd.2020.12.001","ISSN":"20803397","abstract":"Climate and land-use change affect the hydrologic cycle by altering the hydrological responses including streamflow (SF), surface runoff (SR), base-flow (BF), and evapotranspiration (ET). Several studies have addressed the separate impacts of either land-use or climate change on the watershed hydrology, but few have explored the combined impacts. In this study, the SWAT model was applied to evaluate the combined impacts of land-use and climate change on hydrological responses in Gumara watershed. This study examined four land-use scenarios that include the present and projected land-use based on the business-as-usual trend (BAU), expansion of irrigation crop (EIC), and expansion of forestland (EFL). Climate variables were simulated using Weather Research and Forecasting (WRF) model for the baseline (2005-2015) and projected period (2045-2055) under RCP4.5 and RCP8.5 scenarios. Results showed that SR increase by 5.1% under BAU scenario while BF decrease by 6.5% without altering SF and ET noticeably. On the contrary, SF decrease by 12.5% and 5.2% respectively under EIC and EFL scenarios, while ET increase by 4.8% and 8.9% respectively under EIC and EFL scenarios. The simulated SF, SR, and ET under RCP8.5 may increase significantly by 34.3%, 51.8%, and 12.2%, respectively. Similarly, the simulated SF, SR and ET may increase significantly under the combination of all three land-use and RCP8.5 scenarios. This suggested that climate change will have a greater effect on hydrologic responses than land-use change. The results of this study can be useful to decision-makers and planners in the design of adaptive measures to climate and land-use change.","author":[{"dropping-particle":"","family":"Teklay","given":"Achenafi","non-dropping-particle":"","parse-names":false,"suffix":""},{"dropping-particle":"","family":"Dile","given":"Yihun T.","non-dropping-particle":"","parse-names":false,"suffix":""},{"dropping-particle":"","family":"Asfaw","given":"Dereje H.","non-dropping-particle":"","parse-names":false,"suffix":""},{"dropping-particle":"","family":"Bayabil","given":"Haimanote K.","non-dropping-particle":"","parse-names":false,"suffix":""},{"dropping-particle":"","family":"Sisay","given":"Kibruyesfa","non-dropping-particle":"","parse-names":false,"suffix":""}],"container-title":"Ecohydrology and Hydrobiology","id":"ITEM-2","issue":"2","issued":{"date-parts":[["2021","4","1"]]},"page":"315-332","publisher":"Elsevier B.V.","title":"Impacts of Climate and Land Use Change on Hydrological Response in Gumara Watershed, Ethiopia","type":"article-journal","volume":"21"},"uris":["http://www.mendeley.com/documents/?uuid=8ec0b8ec-ca64-388b-a4a2-5067ab50342f"]}],"mendeley":{"formattedCitation":"&lt;span style=\"baseline\"&gt;[58,59]&lt;/span&gt;","plainTextFormattedCitation":"[58,59]","previouslyFormattedCitation":"&lt;span style=\"baseline\"&gt;[58,59]&lt;/span&gt;"},"properties":{"noteIndex":0},"schema":"https://github.com/citation-style-language/schema/raw/master/csl-citation.json"}</w:instrText>
      </w:r>
      <w:r w:rsidR="00D86EDF">
        <w:fldChar w:fldCharType="separate"/>
      </w:r>
      <w:r w:rsidR="004B02F5" w:rsidRPr="004B02F5">
        <w:rPr>
          <w:noProof/>
        </w:rPr>
        <w:t>[58,59]</w:t>
      </w:r>
      <w:r w:rsidR="00D86EDF">
        <w:fldChar w:fldCharType="end"/>
      </w:r>
      <w:r w:rsidRPr="00867DEC">
        <w:t xml:space="preserve">, and S3 represents full ecological restoration with an </w:t>
      </w:r>
      <w:r w:rsidRPr="00867DEC">
        <w:lastRenderedPageBreak/>
        <w:t xml:space="preserve">increase in native vegetation, following the criteria of </w:t>
      </w:r>
      <w:proofErr w:type="spellStart"/>
      <w:r w:rsidRPr="00867DEC">
        <w:t>Leubert</w:t>
      </w:r>
      <w:proofErr w:type="spellEnd"/>
      <w:r w:rsidRPr="00867DEC">
        <w:t xml:space="preserve"> and </w:t>
      </w:r>
      <w:proofErr w:type="spellStart"/>
      <w:r w:rsidRPr="00867DEC">
        <w:t>Pliscoff</w:t>
      </w:r>
      <w:proofErr w:type="spellEnd"/>
      <w:r w:rsidR="00D86EDF">
        <w:t xml:space="preserve"> </w:t>
      </w:r>
      <w:r w:rsidR="00DA3C0E">
        <w:fldChar w:fldCharType="begin" w:fldLock="1"/>
      </w:r>
      <w:r w:rsidR="00CF0B43">
        <w:instrText>ADDIN CSL_CITATION {"citationItems":[{"id":"ITEM-1","itemData":{"ISBN":"978-956-11-2575-9","author":[{"dropping-particle":"","family":"Leubert","given":"F","non-dropping-particle":"","parse-names":false,"suffix":""},{"dropping-particle":"","family":"Pliscoff","given":"P","non-dropping-particle":"","parse-names":false,"suffix":""}],"edition":"2a ed","id":"ITEM-1","issued":{"date-parts":[["2018"]]},"number-of-pages":"384","publisher":"Universitaria","publisher-place":"Santiago, Chile","title":"Sinopsis bioclimática y vegetacional de Chile","type":"book"},"uris":["http://www.mendeley.com/documents/?uuid=7d06f5ac-d6e9-47b5-a5ca-61d62ded7a00"]}],"mendeley":{"formattedCitation":"&lt;span style=\"baseline\"&gt;[60]&lt;/span&gt;","plainTextFormattedCitation":"[60]","previouslyFormattedCitation":"&lt;span style=\"baseline\"&gt;[60]&lt;/span&gt;"},"properties":{"noteIndex":0},"schema":"https://github.com/citation-style-language/schema/raw/master/csl-citation.json"}</w:instrText>
      </w:r>
      <w:r w:rsidR="00DA3C0E">
        <w:fldChar w:fldCharType="separate"/>
      </w:r>
      <w:r w:rsidR="004B02F5" w:rsidRPr="004B02F5">
        <w:rPr>
          <w:noProof/>
        </w:rPr>
        <w:t>[60]</w:t>
      </w:r>
      <w:r w:rsidR="00DA3C0E">
        <w:fldChar w:fldCharType="end"/>
      </w:r>
      <w:r w:rsidR="00DA3C0E">
        <w:t>.</w:t>
      </w:r>
      <w:r w:rsidR="00EC24A2">
        <w:t xml:space="preserve"> </w:t>
      </w:r>
      <w:r w:rsidR="00CE3DE8" w:rsidRPr="00CE3DE8">
        <w:t>By comparing these metrics among historical maps and the three scenarios, we can assess shifts in landscape configuration—such as fragmentation or connectivity—driven by avocado plantation expansion and ecological restoration efforts.</w:t>
      </w:r>
    </w:p>
    <w:p w14:paraId="10CEA44F" w14:textId="77777777" w:rsidR="00BE7D11" w:rsidRDefault="00BE7D11" w:rsidP="003327CA">
      <w:pPr>
        <w:pStyle w:val="MDPI31text"/>
        <w:ind w:left="0" w:firstLine="0"/>
        <w:jc w:val="left"/>
      </w:pPr>
    </w:p>
    <w:p w14:paraId="3AE7E1E4" w14:textId="77777777" w:rsidR="005344F3" w:rsidRPr="00242122" w:rsidRDefault="005344F3" w:rsidP="00242122">
      <w:pPr>
        <w:pStyle w:val="MDPI21heading1"/>
      </w:pPr>
      <w:r w:rsidRPr="00242122">
        <w:t>3. Results</w:t>
      </w:r>
    </w:p>
    <w:p w14:paraId="438CEAFC" w14:textId="6154E3DD" w:rsidR="005344F3" w:rsidRDefault="005344F3" w:rsidP="00242122">
      <w:pPr>
        <w:pStyle w:val="MDPI22heading2"/>
        <w:spacing w:before="240"/>
      </w:pPr>
      <w:bookmarkStart w:id="7" w:name="_Hlk190898515"/>
      <w:r w:rsidRPr="001F31D1">
        <w:t xml:space="preserve">3.1. </w:t>
      </w:r>
      <w:r w:rsidR="003327CA" w:rsidRPr="003327CA">
        <w:t>Spatiotemporal Change Analysis</w:t>
      </w:r>
    </w:p>
    <w:bookmarkEnd w:id="7"/>
    <w:p w14:paraId="370B1CEB" w14:textId="795570F2" w:rsidR="005344F3" w:rsidRDefault="003327CA" w:rsidP="00242122">
      <w:pPr>
        <w:pStyle w:val="MDPI31text"/>
      </w:pPr>
      <w:r w:rsidRPr="003327CA">
        <w:t xml:space="preserve">The land use and land cover (LULC) classifications for the years 2003, 2013, and 2023 are shown in Figure 3. Initially, more detailed categories were defined, distinguishing between subcategories of bare soil and fruit crops. However, to avoid class confusion, improve accuracy, and align with the research objectives, a total of nine classes were established. </w:t>
      </w:r>
      <w:r w:rsidRPr="00E403CB">
        <w:rPr>
          <w:highlight w:val="yellow"/>
        </w:rPr>
        <w:t xml:space="preserve">The accuracy of the analysis was good, with </w:t>
      </w:r>
      <w:r w:rsidR="000C1077" w:rsidRPr="00E403CB">
        <w:rPr>
          <w:highlight w:val="yellow"/>
        </w:rPr>
        <w:t>overall</w:t>
      </w:r>
      <w:r w:rsidRPr="00E403CB">
        <w:rPr>
          <w:highlight w:val="yellow"/>
        </w:rPr>
        <w:t xml:space="preserve"> accuracy (OA) exceeding 78.9% and a Kappa index above 73.3%. </w:t>
      </w:r>
      <w:r w:rsidR="00E403CB" w:rsidRPr="00E403CB">
        <w:rPr>
          <w:highlight w:val="yellow"/>
        </w:rPr>
        <w:t>In 2003, the indicators were 0.86% and 0.82%, while in 2013 and 2023 they were 0.74% and 0.69%, respectively</w:t>
      </w:r>
      <w:r w:rsidR="00E403CB" w:rsidRPr="00E403CB">
        <w:t>.</w:t>
      </w:r>
      <w:r w:rsidR="00E403CB">
        <w:t xml:space="preserve"> </w:t>
      </w:r>
      <w:r w:rsidRPr="003327CA">
        <w:t>Regarding the distribution of land use categories, shrublands, bare soil, and dense vegetation were predominant. The least represented categories included forestry plantations, water bodies, and urban areas. The valleys are primarily dominated by agricultural lands, particularly fruit farm land, avocado plantations, and prairie crop rotation areas. The main changes occurred between 2003 and 2013, with the most significant transformations observed in shrublands, fruit farm land, bare soil, and avocado plantations.</w:t>
      </w:r>
    </w:p>
    <w:p w14:paraId="63562DF0" w14:textId="1BD4925C" w:rsidR="00D068DD" w:rsidRDefault="00D068DD" w:rsidP="00242122">
      <w:pPr>
        <w:pStyle w:val="MDPI31text"/>
      </w:pPr>
      <w:r w:rsidRPr="00D068DD">
        <w:t>The main agricultural changes occurred in the lower and middle parts of the basin, particularly near urban areas, and the avocado plantations expanded towards the hills. In contrast, dense vegetation and shrublands, predominantly characterized by sclerophyllous vegetation, remained relatively stable on high slopes. However, their greatest decrease was observed near agricultural valleys and urban zones (Figure 3).</w:t>
      </w:r>
    </w:p>
    <w:p w14:paraId="51756BB6" w14:textId="77777777" w:rsidR="00D068DD" w:rsidRDefault="00D068DD" w:rsidP="00242122">
      <w:pPr>
        <w:pStyle w:val="MDPI31text"/>
      </w:pPr>
    </w:p>
    <w:p w14:paraId="34B85873" w14:textId="27D7FECE" w:rsidR="00D068DD" w:rsidRDefault="00E75FCB" w:rsidP="00242122">
      <w:pPr>
        <w:pStyle w:val="MDPI31text"/>
      </w:pPr>
      <w:r>
        <w:rPr>
          <w:noProof/>
          <w:snapToGrid/>
        </w:rPr>
        <w:drawing>
          <wp:inline distT="0" distB="0" distL="0" distR="0" wp14:anchorId="2456E115" wp14:editId="5F7BC752">
            <wp:extent cx="4744528" cy="3162868"/>
            <wp:effectExtent l="0" t="0" r="0" b="0"/>
            <wp:docPr id="34766511"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6511" name="Imagen 1" descr="Mapa&#10;&#10;El contenido generado por IA puede ser incorrecto."/>
                    <pic:cNvPicPr/>
                  </pic:nvPicPr>
                  <pic:blipFill>
                    <a:blip r:embed="rId36"/>
                    <a:stretch>
                      <a:fillRect/>
                    </a:stretch>
                  </pic:blipFill>
                  <pic:spPr>
                    <a:xfrm>
                      <a:off x="0" y="0"/>
                      <a:ext cx="4774031" cy="3182536"/>
                    </a:xfrm>
                    <a:prstGeom prst="rect">
                      <a:avLst/>
                    </a:prstGeom>
                  </pic:spPr>
                </pic:pic>
              </a:graphicData>
            </a:graphic>
          </wp:inline>
        </w:drawing>
      </w:r>
    </w:p>
    <w:p w14:paraId="56C5FF72" w14:textId="1C65F4D5" w:rsidR="00E31E78" w:rsidRDefault="00D068DD" w:rsidP="00866F87">
      <w:pPr>
        <w:pStyle w:val="MDPI31text"/>
      </w:pPr>
      <w:r w:rsidRPr="00D068DD">
        <w:rPr>
          <w:b/>
          <w:bCs/>
        </w:rPr>
        <w:t>Figure 3</w:t>
      </w:r>
      <w:r w:rsidRPr="00D068DD">
        <w:t xml:space="preserve">. </w:t>
      </w:r>
      <w:r w:rsidRPr="00E75FCB">
        <w:rPr>
          <w:highlight w:val="yellow"/>
        </w:rPr>
        <w:t>Land use land cover (LULC) change</w:t>
      </w:r>
      <w:r w:rsidR="00E75FCB">
        <w:rPr>
          <w:highlight w:val="yellow"/>
        </w:rPr>
        <w:t>s</w:t>
      </w:r>
      <w:r w:rsidRPr="00E75FCB">
        <w:rPr>
          <w:highlight w:val="yellow"/>
        </w:rPr>
        <w:t xml:space="preserve"> in Aconcagua basin</w:t>
      </w:r>
      <w:r w:rsidR="00E75FCB" w:rsidRPr="00E75FCB">
        <w:rPr>
          <w:highlight w:val="yellow"/>
        </w:rPr>
        <w:t xml:space="preserve"> by class in (a) 2003, (b) 2013</w:t>
      </w:r>
      <w:r w:rsidR="00E75FCB">
        <w:rPr>
          <w:highlight w:val="yellow"/>
        </w:rPr>
        <w:t>,</w:t>
      </w:r>
      <w:r w:rsidR="00E75FCB" w:rsidRPr="00E75FCB">
        <w:rPr>
          <w:highlight w:val="yellow"/>
        </w:rPr>
        <w:t xml:space="preserve"> and (c) 2023</w:t>
      </w:r>
      <w:r w:rsidR="00E75FCB">
        <w:rPr>
          <w:highlight w:val="yellow"/>
        </w:rPr>
        <w:t xml:space="preserve">. </w:t>
      </w:r>
      <w:r w:rsidR="00E75FCB" w:rsidRPr="009B6B1B">
        <w:rPr>
          <w:highlight w:val="yellow"/>
        </w:rPr>
        <w:t>(d) represents the surface area in km².</w:t>
      </w:r>
      <w:r w:rsidR="00E75FCB">
        <w:t xml:space="preserve"> </w:t>
      </w:r>
    </w:p>
    <w:p w14:paraId="1D97CA30" w14:textId="77777777" w:rsidR="00CF0C7C" w:rsidRDefault="00CF0C7C" w:rsidP="00866F87">
      <w:pPr>
        <w:pStyle w:val="MDPI31text"/>
      </w:pPr>
    </w:p>
    <w:p w14:paraId="0E086F65" w14:textId="77777777" w:rsidR="00CF0C7C" w:rsidRPr="00866F87" w:rsidRDefault="00CF0C7C" w:rsidP="00866F87">
      <w:pPr>
        <w:pStyle w:val="MDPI31text"/>
      </w:pPr>
    </w:p>
    <w:p w14:paraId="6FD5E4F9" w14:textId="6EF09948" w:rsidR="00E31E78" w:rsidRDefault="00E31E78" w:rsidP="00E31E78">
      <w:pPr>
        <w:pStyle w:val="MDPI22heading2"/>
        <w:spacing w:before="240"/>
      </w:pPr>
      <w:bookmarkStart w:id="8" w:name="_Hlk190898702"/>
      <w:r w:rsidRPr="001F31D1">
        <w:lastRenderedPageBreak/>
        <w:t>3.1.</w:t>
      </w:r>
      <w:r>
        <w:t>1</w:t>
      </w:r>
      <w:r w:rsidRPr="001F31D1">
        <w:t xml:space="preserve"> </w:t>
      </w:r>
      <w:r w:rsidRPr="001F2B37">
        <w:rPr>
          <w:highlight w:val="yellow"/>
        </w:rPr>
        <w:t xml:space="preserve">Net </w:t>
      </w:r>
      <w:r w:rsidR="001F2B37" w:rsidRPr="001F2B37">
        <w:rPr>
          <w:highlight w:val="yellow"/>
        </w:rPr>
        <w:t xml:space="preserve">Area </w:t>
      </w:r>
      <w:r w:rsidRPr="001F2B37">
        <w:rPr>
          <w:highlight w:val="yellow"/>
        </w:rPr>
        <w:t>Change</w:t>
      </w:r>
      <w:r w:rsidR="001F2B37" w:rsidRPr="001F2B37">
        <w:rPr>
          <w:highlight w:val="yellow"/>
        </w:rPr>
        <w:t xml:space="preserve"> of LULC</w:t>
      </w:r>
    </w:p>
    <w:bookmarkEnd w:id="8"/>
    <w:p w14:paraId="52A276D7" w14:textId="77777777" w:rsidR="00DD620A" w:rsidRDefault="00E31E78" w:rsidP="00242122">
      <w:pPr>
        <w:pStyle w:val="MDPI31text"/>
      </w:pPr>
      <w:r w:rsidRPr="00E31E78">
        <w:t>During the study period, shrublands decreased by 793.11 km² (18.57%) between 2003 and 2013, followed by a slight increase of 0.27% in the subsequent decade (Figure 4 and Figure SM1). Similarly, dense vegetation decreased from 812.72 km² in 2003 to 650.37 km² in 2023 (19.98%). In contrast, urban areas expanded from 57.85 km² to 66.14 km² over the study period, representing an approximate rate of 14.34%. Bare soil areas increased continuously, expanding by 300.49 km² or 8.42% in the first period and by 115.76 km² or 2.99% in the second</w:t>
      </w:r>
      <w:r w:rsidR="00D66369">
        <w:t xml:space="preserve"> </w:t>
      </w:r>
      <w:r w:rsidR="00D66369" w:rsidRPr="00D66369">
        <w:rPr>
          <w:highlight w:val="yellow"/>
        </w:rPr>
        <w:t>one</w:t>
      </w:r>
      <w:r w:rsidRPr="00E31E78">
        <w:t xml:space="preserve">. Likewise, water class showed a slight increase, as this category includes both natural water bodies and artificial reservoirs. </w:t>
      </w:r>
      <w:r w:rsidR="00DD620A" w:rsidRPr="00DD620A">
        <w:rPr>
          <w:highlight w:val="yellow"/>
        </w:rPr>
        <w:t>The annual growth rate of forestry plantations was 32.00%, corresponding to an increase of 1.76 km² between 2003 and 2013, while between 2013 and 2023, the rate declined to 6.47%, representing an expansion of 0.47 km². The statistical details of these variations can be found in Table SM1 in the Supplementary material.</w:t>
      </w:r>
    </w:p>
    <w:p w14:paraId="14D12038" w14:textId="7929C61E" w:rsidR="00E31E78" w:rsidRDefault="00E31E78" w:rsidP="00242122">
      <w:pPr>
        <w:pStyle w:val="MDPI31text"/>
      </w:pPr>
      <w:r w:rsidRPr="00E31E78">
        <w:t xml:space="preserve">Fruit farm land and avocado plantations increased only to 2013, after which a slight decrease was observed through 2023. However, the overall increase was substantial: fruit crops increased by 360.74 km², i.e., an increase rate of 207.30%, while avocado plantations expanded from 48.59 km² to 244.25 km², corresponding to an increase of 195.66 km², equivalent to 402.66% rate. Between 2013 and 2023, the decrease was minimal, with only a 12.30 km² decrease in surface area. This represents that, proportionally, avocado plantations experienced the highest increase compared to all other land use categories. The highest loss rates were observed in </w:t>
      </w:r>
      <w:proofErr w:type="gramStart"/>
      <w:r w:rsidRPr="00E31E78">
        <w:t>shrublands</w:t>
      </w:r>
      <w:proofErr w:type="gramEnd"/>
      <w:r w:rsidRPr="00E31E78">
        <w:t>, dense vegetation, and other agricultural lands. Conversely, the net positive change was recorded in avocado plantations, fruit crops, and bare soil.</w:t>
      </w:r>
    </w:p>
    <w:p w14:paraId="305B1AEC" w14:textId="77777777" w:rsidR="00E31E78" w:rsidRDefault="00E31E78" w:rsidP="00C3297D">
      <w:pPr>
        <w:pStyle w:val="MDPI31text"/>
        <w:ind w:left="0" w:firstLine="0"/>
      </w:pPr>
    </w:p>
    <w:p w14:paraId="28D70CD1" w14:textId="63D35CE9" w:rsidR="00E31E78" w:rsidRDefault="00E31E78" w:rsidP="00242122">
      <w:pPr>
        <w:pStyle w:val="MDPI31text"/>
      </w:pPr>
      <w:r>
        <w:rPr>
          <w:noProof/>
        </w:rPr>
        <w:drawing>
          <wp:inline distT="114300" distB="114300" distL="114300" distR="114300" wp14:anchorId="3EA030DC" wp14:editId="3BD7078F">
            <wp:extent cx="4728119" cy="2563495"/>
            <wp:effectExtent l="0" t="0" r="0" b="8255"/>
            <wp:docPr id="1056" name="image17.png" descr="Gráfico, Gráfico en cascad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056" name="image17.png" descr="Gráfico, Gráfico en cascada&#10;&#10;El contenido generado por IA puede ser incorrecto."/>
                    <pic:cNvPicPr preferRelativeResize="0"/>
                  </pic:nvPicPr>
                  <pic:blipFill>
                    <a:blip r:embed="rId37"/>
                    <a:srcRect/>
                    <a:stretch>
                      <a:fillRect/>
                    </a:stretch>
                  </pic:blipFill>
                  <pic:spPr>
                    <a:xfrm>
                      <a:off x="0" y="0"/>
                      <a:ext cx="4737906" cy="2568801"/>
                    </a:xfrm>
                    <a:prstGeom prst="rect">
                      <a:avLst/>
                    </a:prstGeom>
                    <a:ln/>
                  </pic:spPr>
                </pic:pic>
              </a:graphicData>
            </a:graphic>
          </wp:inline>
        </w:drawing>
      </w:r>
    </w:p>
    <w:p w14:paraId="54EFBFB6" w14:textId="7FD7C17F" w:rsidR="0016343D" w:rsidRDefault="00E31E78" w:rsidP="00866F87">
      <w:pPr>
        <w:pStyle w:val="MDPI31text"/>
      </w:pPr>
      <w:r w:rsidRPr="00E31E78">
        <w:rPr>
          <w:b/>
          <w:bCs/>
        </w:rPr>
        <w:t>Figure 4.</w:t>
      </w:r>
      <w:r w:rsidRPr="00E31E78">
        <w:t xml:space="preserve"> Net area change</w:t>
      </w:r>
      <w:r w:rsidR="005C7C28" w:rsidRPr="005C7C28">
        <w:rPr>
          <w:highlight w:val="yellow"/>
        </w:rPr>
        <w:t>s</w:t>
      </w:r>
      <w:r w:rsidRPr="00E31E78">
        <w:t xml:space="preserve"> of land use land cover (LULC) in the Aconcagua basin by class between 2003 and 2013 (left), 2013 and 2023 (</w:t>
      </w:r>
      <w:proofErr w:type="spellStart"/>
      <w:r w:rsidRPr="00E31E78">
        <w:t>centre</w:t>
      </w:r>
      <w:proofErr w:type="spellEnd"/>
      <w:r w:rsidRPr="00E31E78">
        <w:t>), 2003 and 2023 (right).</w:t>
      </w:r>
    </w:p>
    <w:p w14:paraId="4F09308F" w14:textId="1EA70799" w:rsidR="0016343D" w:rsidRDefault="0016343D" w:rsidP="0016343D">
      <w:pPr>
        <w:pStyle w:val="MDPI22heading2"/>
        <w:spacing w:before="240"/>
      </w:pPr>
      <w:bookmarkStart w:id="9" w:name="_Hlk190899223"/>
      <w:r w:rsidRPr="001F31D1">
        <w:t>3.1.</w:t>
      </w:r>
      <w:r>
        <w:t>2</w:t>
      </w:r>
      <w:r w:rsidRPr="001F31D1">
        <w:t xml:space="preserve"> </w:t>
      </w:r>
      <w:r w:rsidRPr="0016343D">
        <w:t>LULC Transition and Change Map</w:t>
      </w:r>
    </w:p>
    <w:bookmarkEnd w:id="9"/>
    <w:p w14:paraId="1E051DAC" w14:textId="53A9D7CB" w:rsidR="0016343D" w:rsidRDefault="003A2C94" w:rsidP="00242122">
      <w:pPr>
        <w:pStyle w:val="MDPI31text"/>
      </w:pPr>
      <w:r w:rsidRPr="003A2C94">
        <w:t xml:space="preserve">Figure 5 shows the transitions across the three periods (2003—2013—2023). Native vegetation was grouped, including the dense vegetation and shrubland classes, and the most representative surfaces were analyzed to better highlight spatial and temporal changes, which especially occurred in </w:t>
      </w:r>
      <w:r w:rsidR="005C7C28" w:rsidRPr="005C7C28">
        <w:rPr>
          <w:highlight w:val="yellow"/>
        </w:rPr>
        <w:t>farm land</w:t>
      </w:r>
      <w:r w:rsidRPr="003A2C94">
        <w:t xml:space="preserve">. The same figure, but including the original ungrouped classes, can be found in the supplementary material as Figure SM2. To enhance the visual interpretation of spatial changes, </w:t>
      </w:r>
      <w:r w:rsidRPr="00C3297D">
        <w:rPr>
          <w:highlight w:val="yellow"/>
        </w:rPr>
        <w:t>Figure</w:t>
      </w:r>
      <w:r w:rsidR="00C3297D" w:rsidRPr="00C3297D">
        <w:rPr>
          <w:highlight w:val="yellow"/>
        </w:rPr>
        <w:t>s SM3, SM4 and SM5</w:t>
      </w:r>
      <w:r w:rsidRPr="00C3297D">
        <w:rPr>
          <w:highlight w:val="yellow"/>
        </w:rPr>
        <w:t xml:space="preserve"> presents the change </w:t>
      </w:r>
      <w:r w:rsidR="00C3297D" w:rsidRPr="00C3297D">
        <w:rPr>
          <w:highlight w:val="yellow"/>
        </w:rPr>
        <w:t>maps for the three periods</w:t>
      </w:r>
      <w:r w:rsidRPr="000712F2">
        <w:rPr>
          <w:highlight w:val="yellow"/>
        </w:rPr>
        <w:t xml:space="preserve">. </w:t>
      </w:r>
      <w:r w:rsidR="000712F2" w:rsidRPr="000712F2">
        <w:rPr>
          <w:highlight w:val="yellow"/>
        </w:rPr>
        <w:t>The period 2003—2023</w:t>
      </w:r>
      <w:r w:rsidRPr="000712F2">
        <w:rPr>
          <w:highlight w:val="yellow"/>
        </w:rPr>
        <w:t xml:space="preserve"> was analyzed in detail since, as previously observed, the changes between 2013 and 2023 were less noticeable</w:t>
      </w:r>
      <w:r w:rsidRPr="003A2C94">
        <w:t xml:space="preserve">. </w:t>
      </w:r>
    </w:p>
    <w:p w14:paraId="68A064D6" w14:textId="1EDAD068" w:rsidR="003A2C94" w:rsidRDefault="003A2C94" w:rsidP="00242122">
      <w:pPr>
        <w:pStyle w:val="MDPI31text"/>
      </w:pPr>
      <w:r w:rsidRPr="003A2C94">
        <w:lastRenderedPageBreak/>
        <w:t>The main LULC transitions during 2003—2023 occurred from native vegetation to agricultural land and from native vegetation to bare soil. The loss of native vegetation was driven by the expansion of fruit farm land (227.76 km² or 24.07%). A similar trend was observed in the class of other agricultural lands (187.22 km² or 19.79%). The total loss of native forest to all agricultural land classes amounted to 596,84 km² or 63.10%. These transitions were most evident in the lower and middle region of the basin. Conversely, bare soil significantly expanded at the expense of native vegetation, mainly in the upper part of the basin (534,90 km² or 56.55%). Additionally, fruit farm land gained surface area by replacing other agricultural lands in the central region of the basin (41,34 km² or 12.00%). The transition matrices can be found in Tables SM2, SM3, and SM4, where these data can be consulted.</w:t>
      </w:r>
    </w:p>
    <w:p w14:paraId="10B290B1" w14:textId="77777777" w:rsidR="003A2C94" w:rsidRDefault="003A2C94" w:rsidP="00242122">
      <w:pPr>
        <w:pStyle w:val="MDPI31text"/>
      </w:pPr>
    </w:p>
    <w:p w14:paraId="5B9D7A29" w14:textId="0FEB0EE1" w:rsidR="00487211" w:rsidRDefault="0053429A" w:rsidP="00242122">
      <w:pPr>
        <w:pStyle w:val="MDPI31text"/>
      </w:pPr>
      <w:r>
        <w:rPr>
          <w:noProof/>
          <w:snapToGrid/>
        </w:rPr>
        <w:drawing>
          <wp:inline distT="0" distB="0" distL="0" distR="0" wp14:anchorId="47A684CF" wp14:editId="74A1BECC">
            <wp:extent cx="4723956" cy="3413652"/>
            <wp:effectExtent l="0" t="0" r="635" b="0"/>
            <wp:docPr id="1036216641" name="Imagen 6"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16641" name="Imagen 6" descr="Gráfico&#10;&#10;El contenido generado por IA puede ser incorrecto."/>
                    <pic:cNvPicPr/>
                  </pic:nvPicPr>
                  <pic:blipFill>
                    <a:blip r:embed="rId38"/>
                    <a:stretch>
                      <a:fillRect/>
                    </a:stretch>
                  </pic:blipFill>
                  <pic:spPr>
                    <a:xfrm>
                      <a:off x="0" y="0"/>
                      <a:ext cx="4742560" cy="3427096"/>
                    </a:xfrm>
                    <a:prstGeom prst="rect">
                      <a:avLst/>
                    </a:prstGeom>
                  </pic:spPr>
                </pic:pic>
              </a:graphicData>
            </a:graphic>
          </wp:inline>
        </w:drawing>
      </w:r>
    </w:p>
    <w:p w14:paraId="7ED79C13" w14:textId="6BF37C90" w:rsidR="00487211" w:rsidRDefault="00487211" w:rsidP="009C07F4">
      <w:pPr>
        <w:pStyle w:val="MDPI31text"/>
      </w:pPr>
      <w:r w:rsidRPr="00487211">
        <w:rPr>
          <w:b/>
          <w:bCs/>
        </w:rPr>
        <w:t>Figure 5.</w:t>
      </w:r>
      <w:r w:rsidRPr="00487211">
        <w:t xml:space="preserve"> Sankey plots of LULC transitions between 2003—2013—2023 (%) in the Aconcagua basin.</w:t>
      </w:r>
    </w:p>
    <w:p w14:paraId="4E06D6F1" w14:textId="57134ED5" w:rsidR="00DD16BA" w:rsidRDefault="00CA27FF" w:rsidP="00DD16BA">
      <w:pPr>
        <w:pBdr>
          <w:top w:val="nil"/>
          <w:left w:val="nil"/>
          <w:bottom w:val="nil"/>
          <w:right w:val="nil"/>
          <w:between w:val="nil"/>
        </w:pBdr>
        <w:spacing w:before="240" w:after="60" w:line="240" w:lineRule="auto"/>
        <w:ind w:hanging="2"/>
        <w:jc w:val="left"/>
        <w:rPr>
          <w:i/>
        </w:rPr>
      </w:pPr>
      <w:r>
        <w:rPr>
          <w:rFonts w:eastAsia="Times New Roman"/>
          <w:i/>
          <w:snapToGrid w:val="0"/>
          <w:szCs w:val="22"/>
          <w:lang w:eastAsia="de-DE" w:bidi="en-US"/>
        </w:rPr>
        <w:t xml:space="preserve">                                </w:t>
      </w:r>
      <w:r w:rsidRPr="00CA27FF">
        <w:rPr>
          <w:rFonts w:eastAsia="Times New Roman"/>
          <w:i/>
          <w:snapToGrid w:val="0"/>
          <w:szCs w:val="22"/>
          <w:lang w:eastAsia="de-DE" w:bidi="en-US"/>
        </w:rPr>
        <w:t xml:space="preserve">3.2 </w:t>
      </w:r>
      <w:r w:rsidRPr="0090103D">
        <w:rPr>
          <w:rFonts w:eastAsia="Times New Roman"/>
          <w:i/>
          <w:snapToGrid w:val="0"/>
          <w:szCs w:val="22"/>
          <w:highlight w:val="yellow"/>
          <w:lang w:eastAsia="de-DE" w:bidi="en-US"/>
        </w:rPr>
        <w:t>Change</w:t>
      </w:r>
      <w:r w:rsidRPr="0090103D">
        <w:rPr>
          <w:i/>
          <w:highlight w:val="yellow"/>
        </w:rPr>
        <w:t xml:space="preserve"> </w:t>
      </w:r>
      <w:r w:rsidR="0090103D" w:rsidRPr="0090103D">
        <w:rPr>
          <w:i/>
          <w:highlight w:val="yellow"/>
        </w:rPr>
        <w:t>A</w:t>
      </w:r>
      <w:r w:rsidRPr="0090103D">
        <w:rPr>
          <w:i/>
          <w:highlight w:val="yellow"/>
        </w:rPr>
        <w:t xml:space="preserve">nalysis of </w:t>
      </w:r>
      <w:r w:rsidR="0090103D" w:rsidRPr="0090103D">
        <w:rPr>
          <w:i/>
          <w:highlight w:val="yellow"/>
        </w:rPr>
        <w:t>A</w:t>
      </w:r>
      <w:r w:rsidRPr="0090103D">
        <w:rPr>
          <w:i/>
          <w:highlight w:val="yellow"/>
        </w:rPr>
        <w:t xml:space="preserve">vocado </w:t>
      </w:r>
      <w:r w:rsidR="00D027D2">
        <w:rPr>
          <w:i/>
          <w:highlight w:val="yellow"/>
        </w:rPr>
        <w:t xml:space="preserve">Plantations </w:t>
      </w:r>
      <w:r w:rsidRPr="0090103D">
        <w:rPr>
          <w:i/>
          <w:highlight w:val="yellow"/>
        </w:rPr>
        <w:t xml:space="preserve">and </w:t>
      </w:r>
      <w:r w:rsidR="0090103D" w:rsidRPr="0090103D">
        <w:rPr>
          <w:i/>
          <w:highlight w:val="yellow"/>
        </w:rPr>
        <w:t>N</w:t>
      </w:r>
      <w:r w:rsidRPr="0090103D">
        <w:rPr>
          <w:i/>
          <w:highlight w:val="yellow"/>
        </w:rPr>
        <w:t xml:space="preserve">ative </w:t>
      </w:r>
      <w:r w:rsidR="0090103D" w:rsidRPr="0090103D">
        <w:rPr>
          <w:i/>
          <w:highlight w:val="yellow"/>
        </w:rPr>
        <w:t>V</w:t>
      </w:r>
      <w:r w:rsidRPr="0090103D">
        <w:rPr>
          <w:i/>
          <w:highlight w:val="yellow"/>
        </w:rPr>
        <w:t>egetation</w:t>
      </w:r>
    </w:p>
    <w:p w14:paraId="711F12E6" w14:textId="11A27B6E" w:rsidR="00CA27FF" w:rsidRDefault="00DD16BA" w:rsidP="00242122">
      <w:pPr>
        <w:pStyle w:val="MDPI31text"/>
      </w:pPr>
      <w:r w:rsidRPr="00DD16BA">
        <w:t xml:space="preserve">To analyze avocado plantations as primary drivers of change, given their potential influence on significant territorial transformations, landscape patterns, and ecosystem loss in the Aconcagua basin, their spatial dynamics were thoroughly examined (Figure </w:t>
      </w:r>
      <w:r w:rsidR="00EB174F" w:rsidRPr="00EB174F">
        <w:rPr>
          <w:highlight w:val="yellow"/>
        </w:rPr>
        <w:t>6</w:t>
      </w:r>
      <w:r w:rsidRPr="00EB174F">
        <w:rPr>
          <w:highlight w:val="yellow"/>
        </w:rPr>
        <w:t>a</w:t>
      </w:r>
      <w:r w:rsidRPr="00DD16BA">
        <w:t xml:space="preserve">). Native vegetation was also included in the analysis, as it is one of the main LULC categories </w:t>
      </w:r>
      <w:r w:rsidR="00B26158" w:rsidRPr="00B26158">
        <w:rPr>
          <w:highlight w:val="yellow"/>
        </w:rPr>
        <w:t>that</w:t>
      </w:r>
      <w:r w:rsidRPr="00DD16BA">
        <w:t xml:space="preserve"> has experienced significant surface loss across the basin (Figure </w:t>
      </w:r>
      <w:r w:rsidR="00EB174F" w:rsidRPr="00EB174F">
        <w:rPr>
          <w:highlight w:val="yellow"/>
        </w:rPr>
        <w:t>6</w:t>
      </w:r>
      <w:r w:rsidRPr="00EB174F">
        <w:rPr>
          <w:highlight w:val="yellow"/>
        </w:rPr>
        <w:t>b</w:t>
      </w:r>
      <w:r w:rsidRPr="00DD16BA">
        <w:t>).</w:t>
      </w:r>
    </w:p>
    <w:p w14:paraId="7A1BD788" w14:textId="36D2AB83" w:rsidR="00DD16BA" w:rsidRDefault="00AC30CE" w:rsidP="00242122">
      <w:pPr>
        <w:pStyle w:val="MDPI31text"/>
      </w:pPr>
      <w:r>
        <w:t>In our p</w:t>
      </w:r>
      <w:r w:rsidR="00DD16BA" w:rsidRPr="00DD16BA">
        <w:t>revious analyses</w:t>
      </w:r>
      <w:r>
        <w:t>, we</w:t>
      </w:r>
      <w:r w:rsidR="00DD16BA" w:rsidRPr="00DD16BA">
        <w:t xml:space="preserve"> confirm</w:t>
      </w:r>
      <w:r>
        <w:t>ed</w:t>
      </w:r>
      <w:r w:rsidR="00DD16BA" w:rsidRPr="00DD16BA">
        <w:t xml:space="preserve"> that avocado plantations expanded significantly, increasing by 183.35 km² or 377.32% between 2003 and 2023. Although a slight decrease of 12,30 km² occurred between 2013 and 2023 (5%), the most significant changes occurred during the initial period, with a remarkable growth of 402.65% or 195.66 km². This expansion mainly occurred around agricultural and urban zones, with a notable expansion towards the hills, particularly in areas with medium to high slopes, and predominantly in the middle-low part of the basin.</w:t>
      </w:r>
    </w:p>
    <w:p w14:paraId="1994D25B" w14:textId="5DBEFC11" w:rsidR="00DD16BA" w:rsidRDefault="00DD16BA" w:rsidP="00242122">
      <w:pPr>
        <w:pStyle w:val="MDPI31text"/>
      </w:pPr>
      <w:r w:rsidRPr="00DD16BA">
        <w:t xml:space="preserve">The LULC class most affected by avocado expansion was native vegetation, which lost 181,86 km² or 19.23%, as shown in Figure </w:t>
      </w:r>
      <w:r w:rsidR="006D0747" w:rsidRPr="006D0747">
        <w:rPr>
          <w:highlight w:val="yellow"/>
        </w:rPr>
        <w:t>7</w:t>
      </w:r>
      <w:r w:rsidRPr="00DD16BA">
        <w:t xml:space="preserve"> and table </w:t>
      </w:r>
      <w:r w:rsidRPr="00B27375">
        <w:t>SM4</w:t>
      </w:r>
      <w:r w:rsidRPr="00DD16BA">
        <w:t xml:space="preserve">. No major expansion was observed in the mid-upper and upper parts of the basin or towards the coastal zone. The </w:t>
      </w:r>
      <w:r w:rsidRPr="00DD16BA">
        <w:lastRenderedPageBreak/>
        <w:t xml:space="preserve">impact on these areas was minimal, possibly due to drought conditions or limited resources among small farmers. Another class that decreased due to avocado expansion was other agricultural lands. Notably, within native vegetation, the most affected type was arborescent sclerophyllous shrubland (Figure </w:t>
      </w:r>
      <w:r w:rsidRPr="006D0747">
        <w:rPr>
          <w:highlight w:val="yellow"/>
        </w:rPr>
        <w:t>S</w:t>
      </w:r>
      <w:r w:rsidRPr="00B94389">
        <w:rPr>
          <w:highlight w:val="yellow"/>
        </w:rPr>
        <w:t>M</w:t>
      </w:r>
      <w:r w:rsidR="00B94389" w:rsidRPr="00B94389">
        <w:rPr>
          <w:highlight w:val="yellow"/>
        </w:rPr>
        <w:t>6</w:t>
      </w:r>
      <w:r w:rsidRPr="00DD16BA">
        <w:t xml:space="preserve">). This category showed low gains, primarily in the lowest areas near the coast. While much of its surface area remained stable, the most significant losses occurred near agricultural lands, cities, and rivers. </w:t>
      </w:r>
      <w:r w:rsidR="00F36DE4">
        <w:t>In general, t</w:t>
      </w:r>
      <w:r w:rsidRPr="00DD16BA">
        <w:t xml:space="preserve">he small loss in avocado plantation surface was mainly replaced </w:t>
      </w:r>
      <w:r w:rsidR="00093E06" w:rsidRPr="00093E06">
        <w:rPr>
          <w:highlight w:val="yellow"/>
        </w:rPr>
        <w:t>by fruit farm land, and</w:t>
      </w:r>
      <w:r w:rsidRPr="00093E06">
        <w:rPr>
          <w:highlight w:val="yellow"/>
        </w:rPr>
        <w:t xml:space="preserve"> </w:t>
      </w:r>
      <w:r w:rsidR="00F36DE4" w:rsidRPr="00093E06">
        <w:rPr>
          <w:highlight w:val="yellow"/>
        </w:rPr>
        <w:t>nat</w:t>
      </w:r>
      <w:r w:rsidR="00093E06" w:rsidRPr="00093E06">
        <w:rPr>
          <w:highlight w:val="yellow"/>
        </w:rPr>
        <w:t>ive</w:t>
      </w:r>
      <w:r w:rsidR="00F36DE4" w:rsidRPr="00093E06">
        <w:rPr>
          <w:highlight w:val="yellow"/>
        </w:rPr>
        <w:t xml:space="preserve"> vegetation</w:t>
      </w:r>
      <w:r w:rsidR="00F36DE4" w:rsidRPr="00DD16BA">
        <w:t xml:space="preserve"> </w:t>
      </w:r>
      <w:r w:rsidRPr="00DD16BA">
        <w:t xml:space="preserve">(Figure </w:t>
      </w:r>
      <w:r w:rsidR="006D0747" w:rsidRPr="006D0747">
        <w:rPr>
          <w:highlight w:val="yellow"/>
        </w:rPr>
        <w:t>7</w:t>
      </w:r>
      <w:r w:rsidRPr="00DD16BA">
        <w:t xml:space="preserve"> and Tables SM3 and SM4).</w:t>
      </w:r>
    </w:p>
    <w:p w14:paraId="6DEA2233" w14:textId="77777777" w:rsidR="00DD16BA" w:rsidRDefault="00DD16BA" w:rsidP="00242122">
      <w:pPr>
        <w:pStyle w:val="MDPI31text"/>
      </w:pPr>
    </w:p>
    <w:p w14:paraId="1291A8B5" w14:textId="41F25BA1" w:rsidR="00DD16BA" w:rsidRDefault="00EB174F" w:rsidP="00DD16BA">
      <w:pPr>
        <w:pStyle w:val="MDPI31text"/>
        <w:jc w:val="left"/>
      </w:pPr>
      <w:r>
        <w:rPr>
          <w:noProof/>
          <w:snapToGrid/>
        </w:rPr>
        <w:drawing>
          <wp:inline distT="0" distB="0" distL="0" distR="0" wp14:anchorId="09B21060" wp14:editId="627FEEF4">
            <wp:extent cx="4710022" cy="6758882"/>
            <wp:effectExtent l="0" t="0" r="0" b="4445"/>
            <wp:docPr id="652696717" name="Imagen 2"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96717" name="Imagen 2" descr="Mapa&#10;&#10;El contenido generado por IA puede ser incorrecto."/>
                    <pic:cNvPicPr/>
                  </pic:nvPicPr>
                  <pic:blipFill>
                    <a:blip r:embed="rId39"/>
                    <a:stretch>
                      <a:fillRect/>
                    </a:stretch>
                  </pic:blipFill>
                  <pic:spPr>
                    <a:xfrm>
                      <a:off x="0" y="0"/>
                      <a:ext cx="4725735" cy="6781430"/>
                    </a:xfrm>
                    <a:prstGeom prst="rect">
                      <a:avLst/>
                    </a:prstGeom>
                  </pic:spPr>
                </pic:pic>
              </a:graphicData>
            </a:graphic>
          </wp:inline>
        </w:drawing>
      </w:r>
    </w:p>
    <w:p w14:paraId="2CCA524D" w14:textId="4BD09647" w:rsidR="00DD16BA" w:rsidRDefault="00DD16BA" w:rsidP="00242122">
      <w:pPr>
        <w:pStyle w:val="MDPI31text"/>
      </w:pPr>
      <w:r w:rsidRPr="00DB1FAE">
        <w:rPr>
          <w:b/>
          <w:bCs/>
          <w:highlight w:val="yellow"/>
        </w:rPr>
        <w:t xml:space="preserve">Figure </w:t>
      </w:r>
      <w:r w:rsidR="00EB174F" w:rsidRPr="00DB1FAE">
        <w:rPr>
          <w:b/>
          <w:bCs/>
          <w:highlight w:val="yellow"/>
        </w:rPr>
        <w:t>6</w:t>
      </w:r>
      <w:r w:rsidRPr="00DB1FAE">
        <w:rPr>
          <w:b/>
          <w:bCs/>
          <w:highlight w:val="yellow"/>
        </w:rPr>
        <w:t>.</w:t>
      </w:r>
      <w:r w:rsidRPr="00DB1FAE">
        <w:rPr>
          <w:highlight w:val="yellow"/>
        </w:rPr>
        <w:t xml:space="preserve"> Gains, persistence and losses of avocado plantation</w:t>
      </w:r>
      <w:r w:rsidR="00432A0F" w:rsidRPr="00DB1FAE">
        <w:rPr>
          <w:highlight w:val="yellow"/>
        </w:rPr>
        <w:t xml:space="preserve"> (a)</w:t>
      </w:r>
      <w:r w:rsidRPr="00DB1FAE">
        <w:rPr>
          <w:highlight w:val="yellow"/>
        </w:rPr>
        <w:t xml:space="preserve"> and native vegetation</w:t>
      </w:r>
      <w:r w:rsidR="00432A0F" w:rsidRPr="00DB1FAE">
        <w:rPr>
          <w:highlight w:val="yellow"/>
        </w:rPr>
        <w:t xml:space="preserve"> (b)</w:t>
      </w:r>
      <w:r w:rsidRPr="00DB1FAE">
        <w:rPr>
          <w:highlight w:val="yellow"/>
        </w:rPr>
        <w:t xml:space="preserve"> between 2003—2023 in the Aconcagua basin.</w:t>
      </w:r>
    </w:p>
    <w:p w14:paraId="1A4027E7" w14:textId="77777777" w:rsidR="00DD16BA" w:rsidRDefault="00DD16BA" w:rsidP="00242122">
      <w:pPr>
        <w:pStyle w:val="MDPI31text"/>
      </w:pPr>
    </w:p>
    <w:p w14:paraId="5A9E84A0" w14:textId="656B213A" w:rsidR="00ED707B" w:rsidRDefault="00ED707B" w:rsidP="00242122">
      <w:pPr>
        <w:pStyle w:val="MDPI31text"/>
      </w:pPr>
      <w:r>
        <w:rPr>
          <w:noProof/>
        </w:rPr>
        <w:lastRenderedPageBreak/>
        <w:drawing>
          <wp:inline distT="0" distB="0" distL="0" distR="0" wp14:anchorId="7D0235C7" wp14:editId="3DBD58ED">
            <wp:extent cx="4753983" cy="2560955"/>
            <wp:effectExtent l="0" t="0" r="8890" b="0"/>
            <wp:docPr id="1350054503" name="Imagen 2"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54503" name="Imagen 2" descr="Gráfico&#10;&#10;El contenido generado por IA puede ser incorrecto."/>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71519" cy="2570402"/>
                    </a:xfrm>
                    <a:prstGeom prst="rect">
                      <a:avLst/>
                    </a:prstGeom>
                    <a:noFill/>
                    <a:ln>
                      <a:noFill/>
                    </a:ln>
                  </pic:spPr>
                </pic:pic>
              </a:graphicData>
            </a:graphic>
          </wp:inline>
        </w:drawing>
      </w:r>
    </w:p>
    <w:p w14:paraId="642599B3" w14:textId="0FF314D0" w:rsidR="00ED707B" w:rsidRDefault="00ED707B" w:rsidP="0017708A">
      <w:pPr>
        <w:pStyle w:val="MDPI31text"/>
      </w:pPr>
      <w:r w:rsidRPr="00ED707B">
        <w:rPr>
          <w:b/>
          <w:bCs/>
        </w:rPr>
        <w:t xml:space="preserve">Figure </w:t>
      </w:r>
      <w:r w:rsidR="00EB174F" w:rsidRPr="00EB174F">
        <w:rPr>
          <w:b/>
          <w:bCs/>
          <w:highlight w:val="yellow"/>
        </w:rPr>
        <w:t>7</w:t>
      </w:r>
      <w:r w:rsidRPr="00EB174F">
        <w:rPr>
          <w:b/>
          <w:bCs/>
          <w:highlight w:val="yellow"/>
        </w:rPr>
        <w:t>.</w:t>
      </w:r>
      <w:r w:rsidRPr="00ED707B">
        <w:t xml:space="preserve"> Contributions to net change between 2003—2023 of avocado plantation and native vegetation in the Aconcagua basin.</w:t>
      </w:r>
    </w:p>
    <w:p w14:paraId="476D73CC" w14:textId="2061FF0E" w:rsidR="0017708A" w:rsidRDefault="0017708A" w:rsidP="0017708A">
      <w:pPr>
        <w:pStyle w:val="MDPI22heading2"/>
        <w:spacing w:before="240"/>
      </w:pPr>
      <w:bookmarkStart w:id="10" w:name="_Hlk190956258"/>
      <w:r w:rsidRPr="001F31D1">
        <w:t>3.</w:t>
      </w:r>
      <w:r>
        <w:t>3</w:t>
      </w:r>
      <w:r w:rsidRPr="001F31D1">
        <w:t xml:space="preserve"> </w:t>
      </w:r>
      <w:r w:rsidRPr="0017708A">
        <w:t xml:space="preserve">Local </w:t>
      </w:r>
      <w:r w:rsidR="0090103D">
        <w:t>L</w:t>
      </w:r>
      <w:r w:rsidRPr="0017708A">
        <w:t xml:space="preserve">andscape </w:t>
      </w:r>
      <w:r w:rsidR="0090103D">
        <w:t>P</w:t>
      </w:r>
      <w:r w:rsidRPr="0017708A">
        <w:t xml:space="preserve">atterns and </w:t>
      </w:r>
      <w:r w:rsidR="0090103D">
        <w:t>M</w:t>
      </w:r>
      <w:r w:rsidRPr="0017708A">
        <w:t xml:space="preserve">etrics </w:t>
      </w:r>
      <w:r w:rsidR="0090103D">
        <w:t>U</w:t>
      </w:r>
      <w:r w:rsidRPr="0017708A">
        <w:t xml:space="preserve">nder </w:t>
      </w:r>
      <w:r w:rsidR="0090103D">
        <w:t>L</w:t>
      </w:r>
      <w:r w:rsidRPr="0017708A">
        <w:t xml:space="preserve">and </w:t>
      </w:r>
      <w:r w:rsidR="0090103D">
        <w:t>S</w:t>
      </w:r>
      <w:r w:rsidRPr="0017708A">
        <w:t xml:space="preserve">ustainability </w:t>
      </w:r>
      <w:r w:rsidR="0090103D">
        <w:t>P</w:t>
      </w:r>
      <w:r w:rsidRPr="0017708A">
        <w:t>ractices</w:t>
      </w:r>
    </w:p>
    <w:bookmarkEnd w:id="10"/>
    <w:p w14:paraId="333567AA" w14:textId="1754424A" w:rsidR="0017708A" w:rsidRDefault="0017708A" w:rsidP="00242122">
      <w:pPr>
        <w:pStyle w:val="MDPI31text"/>
      </w:pPr>
      <w:r w:rsidRPr="0017708A">
        <w:t>Figure</w:t>
      </w:r>
      <w:r w:rsidR="007427C9">
        <w:t xml:space="preserve"> </w:t>
      </w:r>
      <w:r w:rsidR="007427C9" w:rsidRPr="007427C9">
        <w:rPr>
          <w:highlight w:val="yellow"/>
        </w:rPr>
        <w:t>8</w:t>
      </w:r>
      <w:r w:rsidRPr="0017708A">
        <w:t xml:space="preserve"> illustrates the changes in local landscape patterns within the study area</w:t>
      </w:r>
      <w:r w:rsidR="00EE0A8F">
        <w:t xml:space="preserve"> </w:t>
      </w:r>
      <w:r w:rsidR="00EE0A8F" w:rsidRPr="00EE0A8F">
        <w:rPr>
          <w:highlight w:val="yellow"/>
        </w:rPr>
        <w:t>between 2003—2023</w:t>
      </w:r>
      <w:r w:rsidRPr="0017708A">
        <w:t>. This result reinforces the findings obtained, but from a landscape perspective. It is evident that agricultural and urban lands are the primary drivers of local landscape pattern changes. Notably, avocado plantations have played the most important role in these transformations, as indicated by the red-colored areas with values ranging from 0.8 to 1. In contrast, values close to zero represent minimal or no local changes, corresponding to areas of sclerophyllous natural vegetation and bare soil. Therefore, the most critical points of local landscape transformation and the greatest alterations in LULC are driven by the expansion of avocado plantations.</w:t>
      </w:r>
      <w:r w:rsidR="00EE0A8F">
        <w:t xml:space="preserve"> </w:t>
      </w:r>
      <w:r w:rsidR="00A66826" w:rsidRPr="00A66826">
        <w:rPr>
          <w:highlight w:val="yellow"/>
        </w:rPr>
        <w:t>Local landscape patterns for the remaining periods are presented in Figures SM7 and SM8 in the supplementary material</w:t>
      </w:r>
      <w:r w:rsidR="00A66826" w:rsidRPr="00A66826">
        <w:t>.</w:t>
      </w:r>
    </w:p>
    <w:p w14:paraId="1B90D5D4" w14:textId="6E6181CB" w:rsidR="00AF6D07" w:rsidRDefault="00934931" w:rsidP="00242122">
      <w:pPr>
        <w:pStyle w:val="MDPI31text"/>
      </w:pPr>
      <w:r>
        <w:rPr>
          <w:noProof/>
          <w:snapToGrid/>
        </w:rPr>
        <w:drawing>
          <wp:inline distT="0" distB="0" distL="0" distR="0" wp14:anchorId="2DBD4B7F" wp14:editId="56D60005">
            <wp:extent cx="4754548" cy="2929386"/>
            <wp:effectExtent l="0" t="0" r="8255" b="4445"/>
            <wp:docPr id="1783678847" name="Imagen 3"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78847" name="Imagen 3" descr="Mapa&#10;&#10;El contenido generado por IA puede ser incorrecto."/>
                    <pic:cNvPicPr/>
                  </pic:nvPicPr>
                  <pic:blipFill>
                    <a:blip r:embed="rId41"/>
                    <a:stretch>
                      <a:fillRect/>
                    </a:stretch>
                  </pic:blipFill>
                  <pic:spPr>
                    <a:xfrm>
                      <a:off x="0" y="0"/>
                      <a:ext cx="4781580" cy="2946041"/>
                    </a:xfrm>
                    <a:prstGeom prst="rect">
                      <a:avLst/>
                    </a:prstGeom>
                  </pic:spPr>
                </pic:pic>
              </a:graphicData>
            </a:graphic>
          </wp:inline>
        </w:drawing>
      </w:r>
    </w:p>
    <w:p w14:paraId="5CF275D4" w14:textId="640B58BA" w:rsidR="00AF6D07" w:rsidRDefault="00AF6D07" w:rsidP="00242122">
      <w:pPr>
        <w:pStyle w:val="MDPI31text"/>
      </w:pPr>
      <w:r w:rsidRPr="00AF6D07">
        <w:rPr>
          <w:b/>
          <w:bCs/>
        </w:rPr>
        <w:t xml:space="preserve">Figure </w:t>
      </w:r>
      <w:r w:rsidR="00EB174F" w:rsidRPr="00EB174F">
        <w:rPr>
          <w:b/>
          <w:bCs/>
          <w:highlight w:val="yellow"/>
        </w:rPr>
        <w:t>8</w:t>
      </w:r>
      <w:r w:rsidRPr="00AF6D07">
        <w:rPr>
          <w:b/>
          <w:bCs/>
        </w:rPr>
        <w:t>.</w:t>
      </w:r>
      <w:r w:rsidRPr="00AF6D07">
        <w:t xml:space="preserve"> Local landscape patterns between 2003—2023 in the Aconcagua basin.</w:t>
      </w:r>
    </w:p>
    <w:p w14:paraId="499EBC5B" w14:textId="77777777" w:rsidR="00AF6D07" w:rsidRDefault="00AF6D07" w:rsidP="00242122">
      <w:pPr>
        <w:pStyle w:val="MDPI31text"/>
      </w:pPr>
    </w:p>
    <w:p w14:paraId="27A7DE98" w14:textId="1A696F19" w:rsidR="00AF6D07" w:rsidRDefault="00AF6D07" w:rsidP="00242122">
      <w:pPr>
        <w:pStyle w:val="MDPI31text"/>
      </w:pPr>
      <w:r w:rsidRPr="00AF6D07">
        <w:t xml:space="preserve">The landscape metrics analysis for both avocado plantations and native vegetation over the period 2003 to 2023 revealed distinct trends in spatial configuration (Table 2). For avocado lands, the number of patches increased markedly from 2,297 in 2003 to 7,262 in 2013, before declining to 4,823 in 2023—an overall increase of approximately 110% over </w:t>
      </w:r>
      <w:r w:rsidRPr="00AF6D07">
        <w:lastRenderedPageBreak/>
        <w:t>the two decades. In contrast, native vegetation patches exhibited a more modest rise, from 9,273 in 2003 to 11,231 in 2013 and 10,756 in 2023, amounting to a 16% increase.</w:t>
      </w:r>
    </w:p>
    <w:p w14:paraId="41834800" w14:textId="77777777" w:rsidR="00AF6D07" w:rsidRDefault="00AF6D07" w:rsidP="00242122">
      <w:pPr>
        <w:pStyle w:val="MDPI31text"/>
      </w:pPr>
    </w:p>
    <w:p w14:paraId="2D1B3261" w14:textId="18D86A97" w:rsidR="008074C1" w:rsidRDefault="00AF6D07" w:rsidP="008074C1">
      <w:pPr>
        <w:pStyle w:val="MDPI31text"/>
      </w:pPr>
      <w:r w:rsidRPr="00AF6D07">
        <w:rPr>
          <w:b/>
          <w:bCs/>
        </w:rPr>
        <w:t>Table 2</w:t>
      </w:r>
      <w:r w:rsidRPr="00AF6D07">
        <w:t>. Changes in landscape pattern indices for the avocado land and the native vegetation in 2003, 2013, and 2023 in the Aconcagua basin.</w:t>
      </w:r>
    </w:p>
    <w:p w14:paraId="11DEB630" w14:textId="77777777" w:rsidR="00347E08" w:rsidRDefault="00347E08" w:rsidP="008074C1">
      <w:pPr>
        <w:pStyle w:val="MDPI31text"/>
      </w:pPr>
    </w:p>
    <w:tbl>
      <w:tblPr>
        <w:tblW w:w="7796" w:type="dxa"/>
        <w:tblInd w:w="2694"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126"/>
        <w:gridCol w:w="425"/>
        <w:gridCol w:w="142"/>
        <w:gridCol w:w="709"/>
        <w:gridCol w:w="567"/>
        <w:gridCol w:w="992"/>
        <w:gridCol w:w="709"/>
        <w:gridCol w:w="567"/>
        <w:gridCol w:w="567"/>
        <w:gridCol w:w="992"/>
      </w:tblGrid>
      <w:tr w:rsidR="004E2CB3" w:rsidRPr="00D61D1F" w14:paraId="43087662" w14:textId="56C3D034" w:rsidTr="00CB58A7">
        <w:trPr>
          <w:trHeight w:val="440"/>
        </w:trPr>
        <w:tc>
          <w:tcPr>
            <w:tcW w:w="2126" w:type="dxa"/>
            <w:tcBorders>
              <w:bottom w:val="single" w:sz="4" w:space="0" w:color="auto"/>
            </w:tcBorders>
            <w:shd w:val="clear" w:color="auto" w:fill="auto"/>
            <w:vAlign w:val="center"/>
          </w:tcPr>
          <w:p w14:paraId="3E6250F2" w14:textId="7FBDFBFE" w:rsidR="004E2CB3" w:rsidRPr="006A2F2E" w:rsidRDefault="004E2CB3" w:rsidP="00725AC5">
            <w:pPr>
              <w:pStyle w:val="MDPI42tablebody"/>
              <w:spacing w:line="240" w:lineRule="auto"/>
              <w:rPr>
                <w:b/>
                <w:snapToGrid/>
                <w:sz w:val="18"/>
                <w:szCs w:val="18"/>
              </w:rPr>
            </w:pPr>
            <w:bookmarkStart w:id="11" w:name="_Hlk190954105"/>
          </w:p>
        </w:tc>
        <w:tc>
          <w:tcPr>
            <w:tcW w:w="2835" w:type="dxa"/>
            <w:gridSpan w:val="5"/>
            <w:tcBorders>
              <w:bottom w:val="single" w:sz="4" w:space="0" w:color="auto"/>
            </w:tcBorders>
            <w:shd w:val="clear" w:color="auto" w:fill="auto"/>
            <w:vAlign w:val="center"/>
          </w:tcPr>
          <w:p w14:paraId="5AE16400" w14:textId="3A0417C3" w:rsidR="004E2CB3" w:rsidRPr="006A2F2E" w:rsidRDefault="004E2CB3" w:rsidP="00725AC5">
            <w:pPr>
              <w:pStyle w:val="MDPI42tablebody"/>
              <w:spacing w:line="240" w:lineRule="auto"/>
              <w:rPr>
                <w:b/>
                <w:snapToGrid/>
                <w:sz w:val="18"/>
                <w:szCs w:val="18"/>
              </w:rPr>
            </w:pPr>
            <w:r w:rsidRPr="006A2F2E">
              <w:rPr>
                <w:b/>
                <w:snapToGrid/>
                <w:sz w:val="18"/>
                <w:szCs w:val="18"/>
              </w:rPr>
              <w:t>Avocado land</w:t>
            </w:r>
          </w:p>
        </w:tc>
        <w:tc>
          <w:tcPr>
            <w:tcW w:w="2835" w:type="dxa"/>
            <w:gridSpan w:val="4"/>
            <w:tcBorders>
              <w:bottom w:val="single" w:sz="4" w:space="0" w:color="auto"/>
            </w:tcBorders>
            <w:shd w:val="clear" w:color="auto" w:fill="auto"/>
            <w:vAlign w:val="center"/>
          </w:tcPr>
          <w:p w14:paraId="3117358E" w14:textId="4E1DC605" w:rsidR="004E2CB3" w:rsidRPr="006A2F2E" w:rsidRDefault="004E2CB3" w:rsidP="00725AC5">
            <w:pPr>
              <w:pStyle w:val="MDPI42tablebody"/>
              <w:spacing w:line="240" w:lineRule="auto"/>
              <w:rPr>
                <w:b/>
                <w:snapToGrid/>
                <w:sz w:val="18"/>
                <w:szCs w:val="18"/>
              </w:rPr>
            </w:pPr>
            <w:r w:rsidRPr="006A2F2E">
              <w:rPr>
                <w:b/>
                <w:snapToGrid/>
                <w:sz w:val="18"/>
                <w:szCs w:val="18"/>
              </w:rPr>
              <w:t>Native vegetation</w:t>
            </w:r>
          </w:p>
        </w:tc>
      </w:tr>
      <w:tr w:rsidR="00D45B34" w:rsidRPr="00D61D1F" w14:paraId="6C280E26" w14:textId="626E5A2E" w:rsidTr="00CB58A7">
        <w:trPr>
          <w:trHeight w:val="414"/>
        </w:trPr>
        <w:tc>
          <w:tcPr>
            <w:tcW w:w="2126" w:type="dxa"/>
            <w:tcBorders>
              <w:bottom w:val="single" w:sz="4" w:space="0" w:color="auto"/>
            </w:tcBorders>
            <w:shd w:val="clear" w:color="auto" w:fill="auto"/>
            <w:vAlign w:val="center"/>
          </w:tcPr>
          <w:p w14:paraId="3E51E865" w14:textId="3BED306C" w:rsidR="004E2CB3" w:rsidRPr="006A2F2E" w:rsidRDefault="004E2CB3" w:rsidP="00725AC5">
            <w:pPr>
              <w:pStyle w:val="MDPI42tablebody"/>
              <w:spacing w:line="240" w:lineRule="auto"/>
              <w:rPr>
                <w:b/>
                <w:snapToGrid/>
                <w:sz w:val="18"/>
                <w:szCs w:val="18"/>
              </w:rPr>
            </w:pPr>
            <w:r w:rsidRPr="006A2F2E">
              <w:rPr>
                <w:b/>
                <w:snapToGrid/>
                <w:sz w:val="18"/>
                <w:szCs w:val="18"/>
              </w:rPr>
              <w:t>Landscape Indices</w:t>
            </w:r>
          </w:p>
        </w:tc>
        <w:tc>
          <w:tcPr>
            <w:tcW w:w="567" w:type="dxa"/>
            <w:gridSpan w:val="2"/>
            <w:tcBorders>
              <w:bottom w:val="single" w:sz="4" w:space="0" w:color="auto"/>
            </w:tcBorders>
            <w:shd w:val="clear" w:color="auto" w:fill="auto"/>
            <w:vAlign w:val="center"/>
          </w:tcPr>
          <w:p w14:paraId="674D3D56" w14:textId="38E0EAE7" w:rsidR="004E2CB3" w:rsidRPr="006A2F2E" w:rsidRDefault="004E2CB3" w:rsidP="004E2CB3">
            <w:pPr>
              <w:pStyle w:val="MDPI42tablebody"/>
              <w:spacing w:line="240" w:lineRule="auto"/>
              <w:rPr>
                <w:b/>
                <w:snapToGrid/>
                <w:sz w:val="18"/>
                <w:szCs w:val="18"/>
              </w:rPr>
            </w:pPr>
            <w:r w:rsidRPr="006A2F2E">
              <w:rPr>
                <w:b/>
                <w:snapToGrid/>
                <w:sz w:val="18"/>
                <w:szCs w:val="18"/>
              </w:rPr>
              <w:t>2003</w:t>
            </w:r>
          </w:p>
        </w:tc>
        <w:tc>
          <w:tcPr>
            <w:tcW w:w="709" w:type="dxa"/>
            <w:tcBorders>
              <w:bottom w:val="single" w:sz="4" w:space="0" w:color="auto"/>
            </w:tcBorders>
            <w:vAlign w:val="center"/>
          </w:tcPr>
          <w:p w14:paraId="052A8D5A" w14:textId="2F6A9B8F" w:rsidR="004E2CB3" w:rsidRPr="006A2F2E" w:rsidRDefault="004E2CB3" w:rsidP="004E2CB3">
            <w:pPr>
              <w:pStyle w:val="MDPI42tablebody"/>
              <w:spacing w:line="240" w:lineRule="auto"/>
              <w:rPr>
                <w:b/>
                <w:snapToGrid/>
                <w:sz w:val="18"/>
                <w:szCs w:val="18"/>
              </w:rPr>
            </w:pPr>
            <w:r w:rsidRPr="006A2F2E">
              <w:rPr>
                <w:b/>
                <w:snapToGrid/>
                <w:sz w:val="18"/>
                <w:szCs w:val="18"/>
              </w:rPr>
              <w:t>2013</w:t>
            </w:r>
          </w:p>
        </w:tc>
        <w:tc>
          <w:tcPr>
            <w:tcW w:w="567" w:type="dxa"/>
            <w:tcBorders>
              <w:bottom w:val="single" w:sz="4" w:space="0" w:color="auto"/>
            </w:tcBorders>
            <w:vAlign w:val="center"/>
          </w:tcPr>
          <w:p w14:paraId="0C562C21" w14:textId="7397C9E2" w:rsidR="004E2CB3" w:rsidRPr="006A2F2E" w:rsidRDefault="004E2CB3" w:rsidP="004E2CB3">
            <w:pPr>
              <w:pStyle w:val="MDPI42tablebody"/>
              <w:spacing w:line="240" w:lineRule="auto"/>
              <w:rPr>
                <w:b/>
                <w:snapToGrid/>
                <w:sz w:val="18"/>
                <w:szCs w:val="18"/>
              </w:rPr>
            </w:pPr>
            <w:r w:rsidRPr="006A2F2E">
              <w:rPr>
                <w:b/>
                <w:snapToGrid/>
                <w:sz w:val="18"/>
                <w:szCs w:val="18"/>
              </w:rPr>
              <w:t>2023</w:t>
            </w:r>
          </w:p>
        </w:tc>
        <w:tc>
          <w:tcPr>
            <w:tcW w:w="992" w:type="dxa"/>
            <w:tcBorders>
              <w:bottom w:val="single" w:sz="4" w:space="0" w:color="auto"/>
            </w:tcBorders>
            <w:vAlign w:val="center"/>
          </w:tcPr>
          <w:p w14:paraId="35BC7890" w14:textId="58C72CB2" w:rsidR="004E2CB3" w:rsidRPr="006A2F2E" w:rsidRDefault="004E2CB3" w:rsidP="004E2CB3">
            <w:pPr>
              <w:pStyle w:val="MDPI42tablebody"/>
              <w:spacing w:line="240" w:lineRule="auto"/>
              <w:rPr>
                <w:b/>
                <w:snapToGrid/>
                <w:sz w:val="18"/>
                <w:szCs w:val="18"/>
              </w:rPr>
            </w:pPr>
            <w:r w:rsidRPr="006A2F2E">
              <w:rPr>
                <w:b/>
                <w:snapToGrid/>
                <w:sz w:val="18"/>
                <w:szCs w:val="18"/>
              </w:rPr>
              <w:t>% Change (2003-2023)</w:t>
            </w:r>
          </w:p>
        </w:tc>
        <w:tc>
          <w:tcPr>
            <w:tcW w:w="709" w:type="dxa"/>
            <w:tcBorders>
              <w:bottom w:val="single" w:sz="4" w:space="0" w:color="auto"/>
            </w:tcBorders>
            <w:shd w:val="clear" w:color="auto" w:fill="auto"/>
            <w:vAlign w:val="center"/>
          </w:tcPr>
          <w:p w14:paraId="1936F37F" w14:textId="5170412C" w:rsidR="004E2CB3" w:rsidRPr="006A2F2E" w:rsidRDefault="004E2CB3" w:rsidP="004E2CB3">
            <w:pPr>
              <w:pStyle w:val="MDPI42tablebody"/>
              <w:spacing w:line="240" w:lineRule="auto"/>
              <w:rPr>
                <w:b/>
                <w:snapToGrid/>
                <w:sz w:val="18"/>
                <w:szCs w:val="18"/>
              </w:rPr>
            </w:pPr>
            <w:r w:rsidRPr="006A2F2E">
              <w:rPr>
                <w:b/>
                <w:snapToGrid/>
                <w:sz w:val="18"/>
                <w:szCs w:val="18"/>
              </w:rPr>
              <w:t>2003</w:t>
            </w:r>
          </w:p>
        </w:tc>
        <w:tc>
          <w:tcPr>
            <w:tcW w:w="567" w:type="dxa"/>
            <w:tcBorders>
              <w:bottom w:val="single" w:sz="4" w:space="0" w:color="auto"/>
            </w:tcBorders>
            <w:vAlign w:val="center"/>
          </w:tcPr>
          <w:p w14:paraId="25778C1F" w14:textId="265B313B" w:rsidR="004E2CB3" w:rsidRPr="006A2F2E" w:rsidRDefault="004E2CB3" w:rsidP="004E2CB3">
            <w:pPr>
              <w:pStyle w:val="MDPI42tablebody"/>
              <w:spacing w:line="240" w:lineRule="auto"/>
              <w:rPr>
                <w:b/>
                <w:snapToGrid/>
                <w:sz w:val="18"/>
                <w:szCs w:val="18"/>
              </w:rPr>
            </w:pPr>
            <w:r w:rsidRPr="006A2F2E">
              <w:rPr>
                <w:b/>
                <w:snapToGrid/>
                <w:sz w:val="18"/>
                <w:szCs w:val="18"/>
              </w:rPr>
              <w:t>2013</w:t>
            </w:r>
          </w:p>
        </w:tc>
        <w:tc>
          <w:tcPr>
            <w:tcW w:w="567" w:type="dxa"/>
            <w:tcBorders>
              <w:bottom w:val="single" w:sz="4" w:space="0" w:color="auto"/>
            </w:tcBorders>
            <w:vAlign w:val="center"/>
          </w:tcPr>
          <w:p w14:paraId="1C1AD2DB" w14:textId="79E79756" w:rsidR="004E2CB3" w:rsidRPr="006A2F2E" w:rsidRDefault="004E2CB3" w:rsidP="004E2CB3">
            <w:pPr>
              <w:pStyle w:val="MDPI42tablebody"/>
              <w:spacing w:line="240" w:lineRule="auto"/>
              <w:rPr>
                <w:b/>
                <w:snapToGrid/>
                <w:sz w:val="18"/>
                <w:szCs w:val="18"/>
              </w:rPr>
            </w:pPr>
            <w:r w:rsidRPr="006A2F2E">
              <w:rPr>
                <w:b/>
                <w:snapToGrid/>
                <w:sz w:val="18"/>
                <w:szCs w:val="18"/>
              </w:rPr>
              <w:t>2023</w:t>
            </w:r>
          </w:p>
        </w:tc>
        <w:tc>
          <w:tcPr>
            <w:tcW w:w="992" w:type="dxa"/>
            <w:tcBorders>
              <w:bottom w:val="single" w:sz="4" w:space="0" w:color="auto"/>
            </w:tcBorders>
            <w:vAlign w:val="center"/>
          </w:tcPr>
          <w:p w14:paraId="3E868F7F" w14:textId="164E7417" w:rsidR="004E2CB3" w:rsidRPr="006A2F2E" w:rsidRDefault="004E2CB3" w:rsidP="004E2CB3">
            <w:pPr>
              <w:pStyle w:val="MDPI42tablebody"/>
              <w:spacing w:line="240" w:lineRule="auto"/>
              <w:rPr>
                <w:b/>
                <w:snapToGrid/>
                <w:sz w:val="18"/>
                <w:szCs w:val="18"/>
              </w:rPr>
            </w:pPr>
            <w:r w:rsidRPr="006A2F2E">
              <w:rPr>
                <w:b/>
                <w:snapToGrid/>
                <w:sz w:val="18"/>
                <w:szCs w:val="18"/>
              </w:rPr>
              <w:t>% Change  (2003-2023)</w:t>
            </w:r>
          </w:p>
        </w:tc>
      </w:tr>
      <w:tr w:rsidR="00D45B34" w:rsidRPr="00D61D1F" w14:paraId="54BBE115" w14:textId="4B3BCD7C" w:rsidTr="00CB58A7">
        <w:trPr>
          <w:trHeight w:val="436"/>
        </w:trPr>
        <w:tc>
          <w:tcPr>
            <w:tcW w:w="2126" w:type="dxa"/>
            <w:vAlign w:val="center"/>
          </w:tcPr>
          <w:p w14:paraId="36B25EAD" w14:textId="53651CAF" w:rsidR="004E2CB3" w:rsidRPr="00460AD2" w:rsidRDefault="004E2CB3" w:rsidP="00D45B34">
            <w:pPr>
              <w:pStyle w:val="MDPI42tablebody"/>
              <w:spacing w:line="240" w:lineRule="auto"/>
              <w:rPr>
                <w:sz w:val="18"/>
                <w:szCs w:val="18"/>
              </w:rPr>
            </w:pPr>
            <w:r w:rsidRPr="00460AD2">
              <w:rPr>
                <w:sz w:val="18"/>
                <w:szCs w:val="18"/>
              </w:rPr>
              <w:t>Number of patches</w:t>
            </w:r>
          </w:p>
        </w:tc>
        <w:tc>
          <w:tcPr>
            <w:tcW w:w="425" w:type="dxa"/>
            <w:shd w:val="clear" w:color="auto" w:fill="auto"/>
            <w:vAlign w:val="center"/>
          </w:tcPr>
          <w:p w14:paraId="73E6DADA" w14:textId="3D8EDD80" w:rsidR="004E2CB3" w:rsidRPr="007316C9" w:rsidRDefault="00D45B34" w:rsidP="00D45B34">
            <w:pPr>
              <w:pStyle w:val="MDPI42tablebody"/>
              <w:spacing w:line="240" w:lineRule="auto"/>
              <w:rPr>
                <w:sz w:val="18"/>
                <w:szCs w:val="18"/>
                <w:highlight w:val="yellow"/>
              </w:rPr>
            </w:pPr>
            <w:r w:rsidRPr="007316C9">
              <w:rPr>
                <w:sz w:val="18"/>
                <w:szCs w:val="18"/>
                <w:highlight w:val="yellow"/>
              </w:rPr>
              <w:t>2297</w:t>
            </w:r>
          </w:p>
        </w:tc>
        <w:tc>
          <w:tcPr>
            <w:tcW w:w="851" w:type="dxa"/>
            <w:gridSpan w:val="2"/>
            <w:vAlign w:val="center"/>
          </w:tcPr>
          <w:p w14:paraId="7FE2A98D" w14:textId="2F3FD426" w:rsidR="004E2CB3" w:rsidRPr="007316C9" w:rsidRDefault="00D45B34" w:rsidP="00D45B34">
            <w:pPr>
              <w:pStyle w:val="MDPI42tablebody"/>
              <w:spacing w:line="240" w:lineRule="auto"/>
              <w:rPr>
                <w:sz w:val="18"/>
                <w:szCs w:val="18"/>
                <w:highlight w:val="yellow"/>
              </w:rPr>
            </w:pPr>
            <w:r w:rsidRPr="007316C9">
              <w:rPr>
                <w:sz w:val="18"/>
                <w:szCs w:val="18"/>
                <w:highlight w:val="yellow"/>
              </w:rPr>
              <w:t>7262</w:t>
            </w:r>
          </w:p>
        </w:tc>
        <w:tc>
          <w:tcPr>
            <w:tcW w:w="567" w:type="dxa"/>
            <w:vAlign w:val="center"/>
          </w:tcPr>
          <w:p w14:paraId="3346993F" w14:textId="43C2BE40" w:rsidR="004E2CB3" w:rsidRPr="007316C9" w:rsidRDefault="00D45B34" w:rsidP="00D45B34">
            <w:pPr>
              <w:pStyle w:val="MDPI42tablebody"/>
              <w:spacing w:line="240" w:lineRule="auto"/>
              <w:rPr>
                <w:sz w:val="18"/>
                <w:szCs w:val="18"/>
                <w:highlight w:val="yellow"/>
              </w:rPr>
            </w:pPr>
            <w:r w:rsidRPr="007316C9">
              <w:rPr>
                <w:sz w:val="18"/>
                <w:szCs w:val="18"/>
                <w:highlight w:val="yellow"/>
              </w:rPr>
              <w:t>4823</w:t>
            </w:r>
          </w:p>
        </w:tc>
        <w:tc>
          <w:tcPr>
            <w:tcW w:w="992" w:type="dxa"/>
            <w:vAlign w:val="center"/>
          </w:tcPr>
          <w:p w14:paraId="6D9DD8D1" w14:textId="15E07726" w:rsidR="004E2CB3" w:rsidRPr="007316C9" w:rsidRDefault="00D45B34" w:rsidP="00D45B34">
            <w:pPr>
              <w:pStyle w:val="MDPI42tablebody"/>
              <w:spacing w:line="240" w:lineRule="auto"/>
              <w:rPr>
                <w:sz w:val="18"/>
                <w:szCs w:val="18"/>
                <w:highlight w:val="yellow"/>
              </w:rPr>
            </w:pPr>
            <w:r w:rsidRPr="007316C9">
              <w:rPr>
                <w:sz w:val="18"/>
                <w:szCs w:val="18"/>
                <w:highlight w:val="yellow"/>
              </w:rPr>
              <w:t>109.9</w:t>
            </w:r>
            <w:r w:rsidR="00CB58A7" w:rsidRPr="007316C9">
              <w:rPr>
                <w:sz w:val="18"/>
                <w:szCs w:val="18"/>
                <w:highlight w:val="yellow"/>
              </w:rPr>
              <w:t>0</w:t>
            </w:r>
          </w:p>
        </w:tc>
        <w:tc>
          <w:tcPr>
            <w:tcW w:w="709" w:type="dxa"/>
            <w:shd w:val="clear" w:color="auto" w:fill="auto"/>
            <w:vAlign w:val="center"/>
          </w:tcPr>
          <w:p w14:paraId="7A66CC63" w14:textId="7E81612D" w:rsidR="004E2CB3" w:rsidRPr="007316C9" w:rsidRDefault="00D45B34" w:rsidP="00D45B34">
            <w:pPr>
              <w:pStyle w:val="MDPI42tablebody"/>
              <w:spacing w:line="240" w:lineRule="auto"/>
              <w:rPr>
                <w:sz w:val="18"/>
                <w:szCs w:val="18"/>
                <w:highlight w:val="yellow"/>
              </w:rPr>
            </w:pPr>
            <w:r w:rsidRPr="007316C9">
              <w:rPr>
                <w:sz w:val="18"/>
                <w:szCs w:val="18"/>
                <w:highlight w:val="yellow"/>
              </w:rPr>
              <w:t>9273</w:t>
            </w:r>
          </w:p>
        </w:tc>
        <w:tc>
          <w:tcPr>
            <w:tcW w:w="567" w:type="dxa"/>
            <w:vAlign w:val="center"/>
          </w:tcPr>
          <w:p w14:paraId="296512CB" w14:textId="0A8DBB69" w:rsidR="004E2CB3" w:rsidRPr="007316C9" w:rsidRDefault="00D45B34" w:rsidP="00D45B34">
            <w:pPr>
              <w:pStyle w:val="MDPI42tablebody"/>
              <w:spacing w:line="240" w:lineRule="auto"/>
              <w:rPr>
                <w:sz w:val="18"/>
                <w:szCs w:val="18"/>
                <w:highlight w:val="yellow"/>
              </w:rPr>
            </w:pPr>
            <w:r w:rsidRPr="007316C9">
              <w:rPr>
                <w:sz w:val="18"/>
                <w:szCs w:val="18"/>
                <w:highlight w:val="yellow"/>
              </w:rPr>
              <w:t>11231</w:t>
            </w:r>
          </w:p>
        </w:tc>
        <w:tc>
          <w:tcPr>
            <w:tcW w:w="567" w:type="dxa"/>
            <w:vAlign w:val="center"/>
          </w:tcPr>
          <w:p w14:paraId="49D5ADC6" w14:textId="5C92312F" w:rsidR="004E2CB3" w:rsidRPr="007316C9" w:rsidRDefault="00D45B34" w:rsidP="00D45B34">
            <w:pPr>
              <w:pStyle w:val="MDPI42tablebody"/>
              <w:spacing w:line="240" w:lineRule="auto"/>
              <w:rPr>
                <w:sz w:val="18"/>
                <w:szCs w:val="18"/>
                <w:highlight w:val="yellow"/>
              </w:rPr>
            </w:pPr>
            <w:r w:rsidRPr="007316C9">
              <w:rPr>
                <w:sz w:val="18"/>
                <w:szCs w:val="18"/>
                <w:highlight w:val="yellow"/>
              </w:rPr>
              <w:t>10756</w:t>
            </w:r>
          </w:p>
        </w:tc>
        <w:tc>
          <w:tcPr>
            <w:tcW w:w="992" w:type="dxa"/>
            <w:vAlign w:val="center"/>
          </w:tcPr>
          <w:p w14:paraId="5046D96D" w14:textId="5387EDBE" w:rsidR="004E2CB3" w:rsidRPr="007316C9" w:rsidRDefault="00D45B34" w:rsidP="00D45B34">
            <w:pPr>
              <w:pStyle w:val="MDPI42tablebody"/>
              <w:spacing w:line="240" w:lineRule="auto"/>
              <w:rPr>
                <w:sz w:val="18"/>
                <w:szCs w:val="18"/>
                <w:highlight w:val="yellow"/>
              </w:rPr>
            </w:pPr>
            <w:r w:rsidRPr="007316C9">
              <w:rPr>
                <w:sz w:val="18"/>
                <w:szCs w:val="18"/>
                <w:highlight w:val="yellow"/>
              </w:rPr>
              <w:t>15.9</w:t>
            </w:r>
            <w:r w:rsidR="00CB58A7" w:rsidRPr="007316C9">
              <w:rPr>
                <w:sz w:val="18"/>
                <w:szCs w:val="18"/>
                <w:highlight w:val="yellow"/>
              </w:rPr>
              <w:t>0</w:t>
            </w:r>
          </w:p>
        </w:tc>
      </w:tr>
      <w:tr w:rsidR="00D45B34" w:rsidRPr="00D61D1F" w14:paraId="6B20D0F3" w14:textId="490FFA19" w:rsidTr="00CB58A7">
        <w:trPr>
          <w:trHeight w:val="196"/>
        </w:trPr>
        <w:tc>
          <w:tcPr>
            <w:tcW w:w="2126" w:type="dxa"/>
            <w:vAlign w:val="center"/>
          </w:tcPr>
          <w:p w14:paraId="46B6CADB" w14:textId="3FF780CC" w:rsidR="004E2CB3" w:rsidRPr="00460AD2" w:rsidRDefault="004E2CB3" w:rsidP="00D45B34">
            <w:pPr>
              <w:pStyle w:val="MDPI42tablebody"/>
              <w:spacing w:line="240" w:lineRule="auto"/>
              <w:rPr>
                <w:sz w:val="18"/>
                <w:szCs w:val="18"/>
              </w:rPr>
            </w:pPr>
            <w:r w:rsidRPr="00460AD2">
              <w:rPr>
                <w:sz w:val="18"/>
                <w:szCs w:val="18"/>
              </w:rPr>
              <w:t>Largest Patch Index (%)</w:t>
            </w:r>
          </w:p>
        </w:tc>
        <w:tc>
          <w:tcPr>
            <w:tcW w:w="425" w:type="dxa"/>
            <w:shd w:val="clear" w:color="auto" w:fill="auto"/>
            <w:vAlign w:val="center"/>
          </w:tcPr>
          <w:p w14:paraId="6D91006F" w14:textId="798E9637" w:rsidR="004E2CB3" w:rsidRPr="007316C9" w:rsidRDefault="00D45B34" w:rsidP="00E95F7A">
            <w:pPr>
              <w:pStyle w:val="MDPI42tablebody"/>
              <w:spacing w:line="240" w:lineRule="auto"/>
              <w:rPr>
                <w:sz w:val="18"/>
                <w:szCs w:val="18"/>
                <w:highlight w:val="yellow"/>
              </w:rPr>
            </w:pPr>
            <w:r w:rsidRPr="007316C9">
              <w:rPr>
                <w:sz w:val="18"/>
                <w:szCs w:val="18"/>
                <w:highlight w:val="yellow"/>
              </w:rPr>
              <w:t>0.02</w:t>
            </w:r>
          </w:p>
        </w:tc>
        <w:tc>
          <w:tcPr>
            <w:tcW w:w="851" w:type="dxa"/>
            <w:gridSpan w:val="2"/>
            <w:vAlign w:val="center"/>
          </w:tcPr>
          <w:p w14:paraId="600D7F5B" w14:textId="254B7238" w:rsidR="004E2CB3" w:rsidRPr="007316C9" w:rsidRDefault="00D45B34" w:rsidP="00E95F7A">
            <w:pPr>
              <w:pStyle w:val="MDPI42tablebody"/>
              <w:spacing w:line="240" w:lineRule="auto"/>
              <w:rPr>
                <w:sz w:val="18"/>
                <w:szCs w:val="18"/>
                <w:highlight w:val="yellow"/>
              </w:rPr>
            </w:pPr>
            <w:r w:rsidRPr="007316C9">
              <w:rPr>
                <w:sz w:val="18"/>
                <w:szCs w:val="18"/>
                <w:highlight w:val="yellow"/>
              </w:rPr>
              <w:t>0.14</w:t>
            </w:r>
          </w:p>
        </w:tc>
        <w:tc>
          <w:tcPr>
            <w:tcW w:w="567" w:type="dxa"/>
            <w:vAlign w:val="center"/>
          </w:tcPr>
          <w:p w14:paraId="47986BA6" w14:textId="43D64396" w:rsidR="004E2CB3" w:rsidRPr="007316C9" w:rsidRDefault="00D45B34" w:rsidP="00E95F7A">
            <w:pPr>
              <w:pStyle w:val="MDPI42tablebody"/>
              <w:spacing w:line="240" w:lineRule="auto"/>
              <w:rPr>
                <w:sz w:val="18"/>
                <w:szCs w:val="18"/>
                <w:highlight w:val="yellow"/>
              </w:rPr>
            </w:pPr>
            <w:r w:rsidRPr="007316C9">
              <w:rPr>
                <w:sz w:val="18"/>
                <w:szCs w:val="18"/>
                <w:highlight w:val="yellow"/>
              </w:rPr>
              <w:t>0.23</w:t>
            </w:r>
          </w:p>
        </w:tc>
        <w:tc>
          <w:tcPr>
            <w:tcW w:w="992" w:type="dxa"/>
            <w:vAlign w:val="center"/>
          </w:tcPr>
          <w:p w14:paraId="4C2EEECE" w14:textId="73F29D86" w:rsidR="004E2CB3" w:rsidRPr="007316C9" w:rsidRDefault="00460AD2" w:rsidP="00E95F7A">
            <w:pPr>
              <w:pStyle w:val="MDPI42tablebody"/>
              <w:spacing w:line="240" w:lineRule="auto"/>
              <w:rPr>
                <w:sz w:val="18"/>
                <w:szCs w:val="18"/>
                <w:highlight w:val="yellow"/>
              </w:rPr>
            </w:pPr>
            <w:r w:rsidRPr="007316C9">
              <w:rPr>
                <w:sz w:val="18"/>
                <w:szCs w:val="18"/>
                <w:highlight w:val="yellow"/>
              </w:rPr>
              <w:t>1050.0</w:t>
            </w:r>
          </w:p>
        </w:tc>
        <w:tc>
          <w:tcPr>
            <w:tcW w:w="709" w:type="dxa"/>
            <w:shd w:val="clear" w:color="auto" w:fill="auto"/>
            <w:vAlign w:val="center"/>
          </w:tcPr>
          <w:p w14:paraId="6ECA8A19" w14:textId="3890A118" w:rsidR="004E2CB3" w:rsidRPr="007316C9" w:rsidRDefault="00460AD2" w:rsidP="00E95F7A">
            <w:pPr>
              <w:pStyle w:val="MDPI42tablebody"/>
              <w:spacing w:line="240" w:lineRule="auto"/>
              <w:rPr>
                <w:sz w:val="18"/>
                <w:szCs w:val="18"/>
                <w:highlight w:val="yellow"/>
              </w:rPr>
            </w:pPr>
            <w:r w:rsidRPr="007316C9">
              <w:rPr>
                <w:sz w:val="18"/>
                <w:szCs w:val="18"/>
                <w:highlight w:val="yellow"/>
              </w:rPr>
              <w:t>51.3</w:t>
            </w:r>
            <w:r w:rsidR="00CB58A7" w:rsidRPr="007316C9">
              <w:rPr>
                <w:sz w:val="18"/>
                <w:szCs w:val="18"/>
                <w:highlight w:val="yellow"/>
              </w:rPr>
              <w:t>0</w:t>
            </w:r>
          </w:p>
        </w:tc>
        <w:tc>
          <w:tcPr>
            <w:tcW w:w="567" w:type="dxa"/>
            <w:vAlign w:val="center"/>
          </w:tcPr>
          <w:p w14:paraId="6FF59F3C" w14:textId="69F8F48D" w:rsidR="004E2CB3" w:rsidRPr="007316C9" w:rsidRDefault="00460AD2" w:rsidP="00E95F7A">
            <w:pPr>
              <w:pStyle w:val="MDPI42tablebody"/>
              <w:spacing w:line="240" w:lineRule="auto"/>
              <w:rPr>
                <w:sz w:val="18"/>
                <w:szCs w:val="18"/>
                <w:highlight w:val="yellow"/>
              </w:rPr>
            </w:pPr>
            <w:r w:rsidRPr="007316C9">
              <w:rPr>
                <w:sz w:val="18"/>
                <w:szCs w:val="18"/>
                <w:highlight w:val="yellow"/>
              </w:rPr>
              <w:t>43.5</w:t>
            </w:r>
            <w:r w:rsidR="00CB58A7" w:rsidRPr="007316C9">
              <w:rPr>
                <w:sz w:val="18"/>
                <w:szCs w:val="18"/>
                <w:highlight w:val="yellow"/>
              </w:rPr>
              <w:t>0</w:t>
            </w:r>
          </w:p>
        </w:tc>
        <w:tc>
          <w:tcPr>
            <w:tcW w:w="567" w:type="dxa"/>
            <w:vAlign w:val="center"/>
          </w:tcPr>
          <w:p w14:paraId="19117820" w14:textId="0EE22A77" w:rsidR="004E2CB3" w:rsidRPr="007316C9" w:rsidRDefault="00460AD2" w:rsidP="00E95F7A">
            <w:pPr>
              <w:pStyle w:val="MDPI42tablebody"/>
              <w:spacing w:line="240" w:lineRule="auto"/>
              <w:rPr>
                <w:sz w:val="18"/>
                <w:szCs w:val="18"/>
                <w:highlight w:val="yellow"/>
              </w:rPr>
            </w:pPr>
            <w:r w:rsidRPr="007316C9">
              <w:rPr>
                <w:sz w:val="18"/>
                <w:szCs w:val="18"/>
                <w:highlight w:val="yellow"/>
              </w:rPr>
              <w:t>41.68</w:t>
            </w:r>
          </w:p>
        </w:tc>
        <w:tc>
          <w:tcPr>
            <w:tcW w:w="992" w:type="dxa"/>
            <w:vAlign w:val="center"/>
          </w:tcPr>
          <w:p w14:paraId="04FA6036" w14:textId="11A073D2" w:rsidR="004E2CB3" w:rsidRPr="007316C9" w:rsidRDefault="00460AD2" w:rsidP="00E95F7A">
            <w:pPr>
              <w:pStyle w:val="MDPI42tablebody"/>
              <w:spacing w:line="240" w:lineRule="auto"/>
              <w:rPr>
                <w:sz w:val="18"/>
                <w:szCs w:val="18"/>
                <w:highlight w:val="yellow"/>
              </w:rPr>
            </w:pPr>
            <w:r w:rsidRPr="007316C9">
              <w:rPr>
                <w:sz w:val="18"/>
                <w:szCs w:val="18"/>
                <w:highlight w:val="yellow"/>
              </w:rPr>
              <w:t>-18.7</w:t>
            </w:r>
            <w:r w:rsidR="00CB58A7" w:rsidRPr="007316C9">
              <w:rPr>
                <w:sz w:val="18"/>
                <w:szCs w:val="18"/>
                <w:highlight w:val="yellow"/>
              </w:rPr>
              <w:t>0</w:t>
            </w:r>
          </w:p>
        </w:tc>
      </w:tr>
      <w:tr w:rsidR="00D45B34" w:rsidRPr="00D61D1F" w14:paraId="13EB64AB" w14:textId="1449A3E7" w:rsidTr="00CB58A7">
        <w:trPr>
          <w:trHeight w:val="370"/>
        </w:trPr>
        <w:tc>
          <w:tcPr>
            <w:tcW w:w="2126" w:type="dxa"/>
            <w:vAlign w:val="center"/>
          </w:tcPr>
          <w:p w14:paraId="66CBFA3F" w14:textId="1514DE2A" w:rsidR="004E2CB3" w:rsidRPr="00460AD2" w:rsidRDefault="004E2CB3" w:rsidP="00D45B34">
            <w:pPr>
              <w:pStyle w:val="MDPI42tablebody"/>
              <w:spacing w:line="240" w:lineRule="auto"/>
              <w:rPr>
                <w:sz w:val="18"/>
                <w:szCs w:val="18"/>
              </w:rPr>
            </w:pPr>
            <w:r w:rsidRPr="00460AD2">
              <w:rPr>
                <w:sz w:val="18"/>
                <w:szCs w:val="18"/>
              </w:rPr>
              <w:t>Mean patch area (ha)</w:t>
            </w:r>
          </w:p>
        </w:tc>
        <w:tc>
          <w:tcPr>
            <w:tcW w:w="567" w:type="dxa"/>
            <w:gridSpan w:val="2"/>
            <w:shd w:val="clear" w:color="auto" w:fill="auto"/>
            <w:vAlign w:val="center"/>
          </w:tcPr>
          <w:p w14:paraId="3A4C3C6C" w14:textId="4CEE7D73" w:rsidR="004E2CB3" w:rsidRPr="007316C9" w:rsidRDefault="00866F87" w:rsidP="00866F87">
            <w:pPr>
              <w:pStyle w:val="MDPI42tablebody"/>
              <w:spacing w:line="240" w:lineRule="auto"/>
              <w:jc w:val="both"/>
              <w:rPr>
                <w:sz w:val="18"/>
                <w:szCs w:val="18"/>
                <w:highlight w:val="yellow"/>
              </w:rPr>
            </w:pPr>
            <w:r w:rsidRPr="007316C9">
              <w:rPr>
                <w:sz w:val="18"/>
                <w:szCs w:val="18"/>
                <w:highlight w:val="yellow"/>
              </w:rPr>
              <w:t xml:space="preserve"> </w:t>
            </w:r>
            <w:r w:rsidR="00D45B34" w:rsidRPr="007316C9">
              <w:rPr>
                <w:sz w:val="18"/>
                <w:szCs w:val="18"/>
                <w:highlight w:val="yellow"/>
              </w:rPr>
              <w:t>1.6</w:t>
            </w:r>
            <w:r w:rsidR="00CB58A7" w:rsidRPr="007316C9">
              <w:rPr>
                <w:sz w:val="18"/>
                <w:szCs w:val="18"/>
                <w:highlight w:val="yellow"/>
              </w:rPr>
              <w:t>0</w:t>
            </w:r>
          </w:p>
        </w:tc>
        <w:tc>
          <w:tcPr>
            <w:tcW w:w="709" w:type="dxa"/>
            <w:vAlign w:val="center"/>
          </w:tcPr>
          <w:p w14:paraId="09CAB018" w14:textId="744F8B47" w:rsidR="004E2CB3" w:rsidRPr="007316C9" w:rsidRDefault="00866F87" w:rsidP="00866F87">
            <w:pPr>
              <w:pStyle w:val="MDPI42tablebody"/>
              <w:spacing w:line="240" w:lineRule="auto"/>
              <w:jc w:val="both"/>
              <w:rPr>
                <w:sz w:val="18"/>
                <w:szCs w:val="18"/>
                <w:highlight w:val="yellow"/>
              </w:rPr>
            </w:pPr>
            <w:r w:rsidRPr="007316C9">
              <w:rPr>
                <w:sz w:val="18"/>
                <w:szCs w:val="18"/>
                <w:highlight w:val="yellow"/>
              </w:rPr>
              <w:t xml:space="preserve">  </w:t>
            </w:r>
            <w:r w:rsidR="00D45B34" w:rsidRPr="007316C9">
              <w:rPr>
                <w:sz w:val="18"/>
                <w:szCs w:val="18"/>
                <w:highlight w:val="yellow"/>
              </w:rPr>
              <w:t>2.6</w:t>
            </w:r>
            <w:r w:rsidR="00CB58A7" w:rsidRPr="007316C9">
              <w:rPr>
                <w:sz w:val="18"/>
                <w:szCs w:val="18"/>
                <w:highlight w:val="yellow"/>
              </w:rPr>
              <w:t>0</w:t>
            </w:r>
          </w:p>
        </w:tc>
        <w:tc>
          <w:tcPr>
            <w:tcW w:w="567" w:type="dxa"/>
            <w:vAlign w:val="center"/>
          </w:tcPr>
          <w:p w14:paraId="26893589" w14:textId="6822B0AB" w:rsidR="004E2CB3" w:rsidRPr="007316C9" w:rsidRDefault="00866F87" w:rsidP="00866F87">
            <w:pPr>
              <w:pStyle w:val="MDPI42tablebody"/>
              <w:spacing w:line="240" w:lineRule="auto"/>
              <w:jc w:val="both"/>
              <w:rPr>
                <w:sz w:val="18"/>
                <w:szCs w:val="18"/>
                <w:highlight w:val="yellow"/>
              </w:rPr>
            </w:pPr>
            <w:r w:rsidRPr="007316C9">
              <w:rPr>
                <w:sz w:val="18"/>
                <w:szCs w:val="18"/>
                <w:highlight w:val="yellow"/>
              </w:rPr>
              <w:t xml:space="preserve"> </w:t>
            </w:r>
            <w:r w:rsidR="00D45B34" w:rsidRPr="007316C9">
              <w:rPr>
                <w:sz w:val="18"/>
                <w:szCs w:val="18"/>
                <w:highlight w:val="yellow"/>
              </w:rPr>
              <w:t>3.7</w:t>
            </w:r>
            <w:r w:rsidR="00CB58A7" w:rsidRPr="007316C9">
              <w:rPr>
                <w:sz w:val="18"/>
                <w:szCs w:val="18"/>
                <w:highlight w:val="yellow"/>
              </w:rPr>
              <w:t>0</w:t>
            </w:r>
          </w:p>
        </w:tc>
        <w:tc>
          <w:tcPr>
            <w:tcW w:w="992" w:type="dxa"/>
            <w:vAlign w:val="center"/>
          </w:tcPr>
          <w:p w14:paraId="023A79C1" w14:textId="07357578" w:rsidR="004E2CB3" w:rsidRPr="007316C9" w:rsidRDefault="00866F87" w:rsidP="00866F87">
            <w:pPr>
              <w:pStyle w:val="MDPI42tablebody"/>
              <w:spacing w:line="240" w:lineRule="auto"/>
              <w:jc w:val="both"/>
              <w:rPr>
                <w:sz w:val="18"/>
                <w:szCs w:val="18"/>
                <w:highlight w:val="yellow"/>
              </w:rPr>
            </w:pPr>
            <w:r w:rsidRPr="007316C9">
              <w:rPr>
                <w:sz w:val="18"/>
                <w:szCs w:val="18"/>
                <w:highlight w:val="yellow"/>
              </w:rPr>
              <w:t xml:space="preserve">   </w:t>
            </w:r>
            <w:r w:rsidR="00460AD2" w:rsidRPr="007316C9">
              <w:rPr>
                <w:sz w:val="18"/>
                <w:szCs w:val="18"/>
                <w:highlight w:val="yellow"/>
              </w:rPr>
              <w:t>131.2</w:t>
            </w:r>
            <w:r w:rsidR="00CB58A7" w:rsidRPr="007316C9">
              <w:rPr>
                <w:sz w:val="18"/>
                <w:szCs w:val="18"/>
                <w:highlight w:val="yellow"/>
              </w:rPr>
              <w:t>0</w:t>
            </w:r>
          </w:p>
        </w:tc>
        <w:tc>
          <w:tcPr>
            <w:tcW w:w="709" w:type="dxa"/>
            <w:shd w:val="clear" w:color="auto" w:fill="auto"/>
            <w:vAlign w:val="center"/>
          </w:tcPr>
          <w:p w14:paraId="19B6C68A" w14:textId="1F80DB7B" w:rsidR="004E2CB3" w:rsidRPr="007316C9" w:rsidRDefault="00460AD2" w:rsidP="00E95F7A">
            <w:pPr>
              <w:pStyle w:val="MDPI42tablebody"/>
              <w:spacing w:line="240" w:lineRule="auto"/>
              <w:rPr>
                <w:sz w:val="18"/>
                <w:szCs w:val="18"/>
                <w:highlight w:val="yellow"/>
              </w:rPr>
            </w:pPr>
            <w:r w:rsidRPr="007316C9">
              <w:rPr>
                <w:sz w:val="18"/>
                <w:szCs w:val="18"/>
                <w:highlight w:val="yellow"/>
              </w:rPr>
              <w:t>42.9</w:t>
            </w:r>
            <w:r w:rsidR="00CB58A7" w:rsidRPr="007316C9">
              <w:rPr>
                <w:sz w:val="18"/>
                <w:szCs w:val="18"/>
                <w:highlight w:val="yellow"/>
              </w:rPr>
              <w:t>0</w:t>
            </w:r>
          </w:p>
        </w:tc>
        <w:tc>
          <w:tcPr>
            <w:tcW w:w="567" w:type="dxa"/>
            <w:vAlign w:val="center"/>
          </w:tcPr>
          <w:p w14:paraId="12D8C752" w14:textId="61D2AB0D" w:rsidR="004E2CB3" w:rsidRPr="007316C9" w:rsidRDefault="00460AD2" w:rsidP="00E95F7A">
            <w:pPr>
              <w:pStyle w:val="MDPI42tablebody"/>
              <w:spacing w:line="240" w:lineRule="auto"/>
              <w:rPr>
                <w:sz w:val="18"/>
                <w:szCs w:val="18"/>
                <w:highlight w:val="yellow"/>
              </w:rPr>
            </w:pPr>
            <w:r w:rsidRPr="007316C9">
              <w:rPr>
                <w:sz w:val="18"/>
                <w:szCs w:val="18"/>
                <w:highlight w:val="yellow"/>
              </w:rPr>
              <w:t>29.9</w:t>
            </w:r>
            <w:r w:rsidR="00CB58A7" w:rsidRPr="007316C9">
              <w:rPr>
                <w:sz w:val="18"/>
                <w:szCs w:val="18"/>
                <w:highlight w:val="yellow"/>
              </w:rPr>
              <w:t>0</w:t>
            </w:r>
          </w:p>
        </w:tc>
        <w:tc>
          <w:tcPr>
            <w:tcW w:w="567" w:type="dxa"/>
            <w:vAlign w:val="center"/>
          </w:tcPr>
          <w:p w14:paraId="267DE7A5" w14:textId="0ECAB578" w:rsidR="004E2CB3" w:rsidRPr="007316C9" w:rsidRDefault="00460AD2" w:rsidP="00E95F7A">
            <w:pPr>
              <w:pStyle w:val="MDPI42tablebody"/>
              <w:spacing w:line="240" w:lineRule="auto"/>
              <w:rPr>
                <w:sz w:val="18"/>
                <w:szCs w:val="18"/>
                <w:highlight w:val="yellow"/>
              </w:rPr>
            </w:pPr>
            <w:r w:rsidRPr="007316C9">
              <w:rPr>
                <w:sz w:val="18"/>
                <w:szCs w:val="18"/>
                <w:highlight w:val="yellow"/>
              </w:rPr>
              <w:t>30.1</w:t>
            </w:r>
            <w:r w:rsidR="00CB58A7" w:rsidRPr="007316C9">
              <w:rPr>
                <w:sz w:val="18"/>
                <w:szCs w:val="18"/>
                <w:highlight w:val="yellow"/>
              </w:rPr>
              <w:t>0</w:t>
            </w:r>
          </w:p>
        </w:tc>
        <w:tc>
          <w:tcPr>
            <w:tcW w:w="992" w:type="dxa"/>
            <w:vAlign w:val="center"/>
          </w:tcPr>
          <w:p w14:paraId="682195CE" w14:textId="20B8838B" w:rsidR="004E2CB3" w:rsidRPr="007316C9" w:rsidRDefault="00460AD2" w:rsidP="00E95F7A">
            <w:pPr>
              <w:pStyle w:val="MDPI42tablebody"/>
              <w:spacing w:line="240" w:lineRule="auto"/>
              <w:rPr>
                <w:sz w:val="18"/>
                <w:szCs w:val="18"/>
                <w:highlight w:val="yellow"/>
              </w:rPr>
            </w:pPr>
            <w:r w:rsidRPr="007316C9">
              <w:rPr>
                <w:sz w:val="18"/>
                <w:szCs w:val="18"/>
                <w:highlight w:val="yellow"/>
              </w:rPr>
              <w:t>-29.8</w:t>
            </w:r>
            <w:r w:rsidR="00CB58A7" w:rsidRPr="007316C9">
              <w:rPr>
                <w:sz w:val="18"/>
                <w:szCs w:val="18"/>
                <w:highlight w:val="yellow"/>
              </w:rPr>
              <w:t>0</w:t>
            </w:r>
          </w:p>
        </w:tc>
      </w:tr>
      <w:tr w:rsidR="00D45B34" w:rsidRPr="00D61D1F" w14:paraId="3C6BEBD5" w14:textId="6B7CE536" w:rsidTr="00CB58A7">
        <w:trPr>
          <w:trHeight w:val="290"/>
        </w:trPr>
        <w:tc>
          <w:tcPr>
            <w:tcW w:w="2126" w:type="dxa"/>
            <w:vAlign w:val="center"/>
          </w:tcPr>
          <w:p w14:paraId="63525681" w14:textId="5C9BB2BE" w:rsidR="004E2CB3" w:rsidRPr="00460AD2" w:rsidRDefault="004E2CB3" w:rsidP="00D45B34">
            <w:pPr>
              <w:pStyle w:val="MDPI42tablebody"/>
              <w:spacing w:line="240" w:lineRule="auto"/>
              <w:rPr>
                <w:sz w:val="18"/>
                <w:szCs w:val="18"/>
              </w:rPr>
            </w:pPr>
            <w:r w:rsidRPr="00460AD2">
              <w:rPr>
                <w:sz w:val="18"/>
                <w:szCs w:val="18"/>
              </w:rPr>
              <w:t>Mean Euclidean nearest neighbor distance (m)</w:t>
            </w:r>
          </w:p>
        </w:tc>
        <w:tc>
          <w:tcPr>
            <w:tcW w:w="567" w:type="dxa"/>
            <w:gridSpan w:val="2"/>
            <w:shd w:val="clear" w:color="auto" w:fill="auto"/>
            <w:vAlign w:val="center"/>
          </w:tcPr>
          <w:p w14:paraId="68CD9097" w14:textId="103E46E8" w:rsidR="004E2CB3" w:rsidRPr="007316C9" w:rsidRDefault="00D45B34" w:rsidP="00E95F7A">
            <w:pPr>
              <w:pStyle w:val="MDPI42tablebody"/>
              <w:spacing w:line="240" w:lineRule="auto"/>
              <w:rPr>
                <w:sz w:val="18"/>
                <w:szCs w:val="18"/>
                <w:highlight w:val="yellow"/>
              </w:rPr>
            </w:pPr>
            <w:r w:rsidRPr="007316C9">
              <w:rPr>
                <w:sz w:val="18"/>
                <w:szCs w:val="18"/>
                <w:highlight w:val="yellow"/>
              </w:rPr>
              <w:t>113.0</w:t>
            </w:r>
          </w:p>
        </w:tc>
        <w:tc>
          <w:tcPr>
            <w:tcW w:w="709" w:type="dxa"/>
            <w:vAlign w:val="center"/>
          </w:tcPr>
          <w:p w14:paraId="7F92C4E0" w14:textId="2A9F0F37" w:rsidR="004E2CB3" w:rsidRPr="007316C9" w:rsidRDefault="00D45B34" w:rsidP="00E95F7A">
            <w:pPr>
              <w:pStyle w:val="MDPI42tablebody"/>
              <w:spacing w:line="240" w:lineRule="auto"/>
              <w:rPr>
                <w:sz w:val="18"/>
                <w:szCs w:val="18"/>
                <w:highlight w:val="yellow"/>
              </w:rPr>
            </w:pPr>
            <w:r w:rsidRPr="007316C9">
              <w:rPr>
                <w:sz w:val="18"/>
                <w:szCs w:val="18"/>
                <w:highlight w:val="yellow"/>
              </w:rPr>
              <w:t>122.9</w:t>
            </w:r>
            <w:r w:rsidR="00CB58A7" w:rsidRPr="007316C9">
              <w:rPr>
                <w:sz w:val="18"/>
                <w:szCs w:val="18"/>
                <w:highlight w:val="yellow"/>
              </w:rPr>
              <w:t>0</w:t>
            </w:r>
          </w:p>
        </w:tc>
        <w:tc>
          <w:tcPr>
            <w:tcW w:w="567" w:type="dxa"/>
            <w:vAlign w:val="center"/>
          </w:tcPr>
          <w:p w14:paraId="7F335E21" w14:textId="33178487" w:rsidR="004E2CB3" w:rsidRPr="007316C9" w:rsidRDefault="00460AD2" w:rsidP="00E95F7A">
            <w:pPr>
              <w:pStyle w:val="MDPI42tablebody"/>
              <w:spacing w:line="240" w:lineRule="auto"/>
              <w:rPr>
                <w:sz w:val="18"/>
                <w:szCs w:val="18"/>
                <w:highlight w:val="yellow"/>
              </w:rPr>
            </w:pPr>
            <w:r w:rsidRPr="007316C9">
              <w:rPr>
                <w:sz w:val="18"/>
                <w:szCs w:val="18"/>
                <w:highlight w:val="yellow"/>
              </w:rPr>
              <w:t>130.2</w:t>
            </w:r>
            <w:r w:rsidR="00CB58A7" w:rsidRPr="007316C9">
              <w:rPr>
                <w:sz w:val="18"/>
                <w:szCs w:val="18"/>
                <w:highlight w:val="yellow"/>
              </w:rPr>
              <w:t>0</w:t>
            </w:r>
          </w:p>
        </w:tc>
        <w:tc>
          <w:tcPr>
            <w:tcW w:w="992" w:type="dxa"/>
            <w:vAlign w:val="center"/>
          </w:tcPr>
          <w:p w14:paraId="57AD26F4" w14:textId="7DE8BB8E" w:rsidR="004E2CB3" w:rsidRPr="007316C9" w:rsidRDefault="00CB58A7" w:rsidP="00CB58A7">
            <w:pPr>
              <w:pStyle w:val="MDPI42tablebody"/>
              <w:spacing w:line="240" w:lineRule="auto"/>
              <w:jc w:val="both"/>
              <w:rPr>
                <w:sz w:val="18"/>
                <w:szCs w:val="18"/>
                <w:highlight w:val="yellow"/>
              </w:rPr>
            </w:pPr>
            <w:r w:rsidRPr="007316C9">
              <w:rPr>
                <w:sz w:val="18"/>
                <w:szCs w:val="18"/>
                <w:highlight w:val="yellow"/>
              </w:rPr>
              <w:t xml:space="preserve">   </w:t>
            </w:r>
            <w:r w:rsidR="00460AD2" w:rsidRPr="007316C9">
              <w:rPr>
                <w:sz w:val="18"/>
                <w:szCs w:val="18"/>
                <w:highlight w:val="yellow"/>
              </w:rPr>
              <w:t>15.2</w:t>
            </w:r>
            <w:r w:rsidRPr="007316C9">
              <w:rPr>
                <w:sz w:val="18"/>
                <w:szCs w:val="18"/>
                <w:highlight w:val="yellow"/>
              </w:rPr>
              <w:t>0</w:t>
            </w:r>
          </w:p>
        </w:tc>
        <w:tc>
          <w:tcPr>
            <w:tcW w:w="709" w:type="dxa"/>
            <w:shd w:val="clear" w:color="auto" w:fill="auto"/>
            <w:vAlign w:val="center"/>
          </w:tcPr>
          <w:p w14:paraId="3130E91E" w14:textId="2D70B548" w:rsidR="004E2CB3" w:rsidRPr="007316C9" w:rsidRDefault="00460AD2" w:rsidP="00E95F7A">
            <w:pPr>
              <w:pStyle w:val="MDPI42tablebody"/>
              <w:spacing w:line="240" w:lineRule="auto"/>
              <w:rPr>
                <w:sz w:val="18"/>
                <w:szCs w:val="18"/>
                <w:highlight w:val="yellow"/>
              </w:rPr>
            </w:pPr>
            <w:r w:rsidRPr="007316C9">
              <w:rPr>
                <w:sz w:val="18"/>
                <w:szCs w:val="18"/>
                <w:highlight w:val="yellow"/>
              </w:rPr>
              <w:t>222.5</w:t>
            </w:r>
            <w:r w:rsidR="00CB58A7" w:rsidRPr="007316C9">
              <w:rPr>
                <w:sz w:val="18"/>
                <w:szCs w:val="18"/>
                <w:highlight w:val="yellow"/>
              </w:rPr>
              <w:t>0</w:t>
            </w:r>
          </w:p>
        </w:tc>
        <w:tc>
          <w:tcPr>
            <w:tcW w:w="567" w:type="dxa"/>
            <w:vAlign w:val="center"/>
          </w:tcPr>
          <w:p w14:paraId="7C2DE3F6" w14:textId="57E75C74" w:rsidR="004E2CB3" w:rsidRPr="007316C9" w:rsidRDefault="00460AD2" w:rsidP="00E95F7A">
            <w:pPr>
              <w:pStyle w:val="MDPI42tablebody"/>
              <w:spacing w:line="240" w:lineRule="auto"/>
              <w:rPr>
                <w:sz w:val="18"/>
                <w:szCs w:val="18"/>
                <w:highlight w:val="yellow"/>
              </w:rPr>
            </w:pPr>
            <w:r w:rsidRPr="007316C9">
              <w:rPr>
                <w:sz w:val="18"/>
                <w:szCs w:val="18"/>
                <w:highlight w:val="yellow"/>
              </w:rPr>
              <w:t>151.2</w:t>
            </w:r>
            <w:r w:rsidR="00CB58A7" w:rsidRPr="007316C9">
              <w:rPr>
                <w:sz w:val="18"/>
                <w:szCs w:val="18"/>
                <w:highlight w:val="yellow"/>
              </w:rPr>
              <w:t>0</w:t>
            </w:r>
          </w:p>
        </w:tc>
        <w:tc>
          <w:tcPr>
            <w:tcW w:w="567" w:type="dxa"/>
            <w:vAlign w:val="center"/>
          </w:tcPr>
          <w:p w14:paraId="0CEF5F89" w14:textId="2614088D" w:rsidR="004E2CB3" w:rsidRPr="007316C9" w:rsidRDefault="00460AD2" w:rsidP="00E95F7A">
            <w:pPr>
              <w:pStyle w:val="MDPI42tablebody"/>
              <w:spacing w:line="240" w:lineRule="auto"/>
              <w:rPr>
                <w:sz w:val="18"/>
                <w:szCs w:val="18"/>
                <w:highlight w:val="yellow"/>
              </w:rPr>
            </w:pPr>
            <w:r w:rsidRPr="007316C9">
              <w:rPr>
                <w:sz w:val="18"/>
                <w:szCs w:val="18"/>
                <w:highlight w:val="yellow"/>
              </w:rPr>
              <w:t>183.5</w:t>
            </w:r>
          </w:p>
        </w:tc>
        <w:tc>
          <w:tcPr>
            <w:tcW w:w="992" w:type="dxa"/>
            <w:vAlign w:val="center"/>
          </w:tcPr>
          <w:p w14:paraId="31723F9B" w14:textId="619B2617" w:rsidR="004E2CB3" w:rsidRPr="007316C9" w:rsidRDefault="00460AD2" w:rsidP="00E95F7A">
            <w:pPr>
              <w:pStyle w:val="MDPI42tablebody"/>
              <w:spacing w:line="240" w:lineRule="auto"/>
              <w:rPr>
                <w:sz w:val="18"/>
                <w:szCs w:val="18"/>
                <w:highlight w:val="yellow"/>
              </w:rPr>
            </w:pPr>
            <w:r w:rsidRPr="007316C9">
              <w:rPr>
                <w:sz w:val="18"/>
                <w:szCs w:val="18"/>
                <w:highlight w:val="yellow"/>
              </w:rPr>
              <w:t>-17.5</w:t>
            </w:r>
            <w:r w:rsidR="00CB58A7" w:rsidRPr="007316C9">
              <w:rPr>
                <w:sz w:val="18"/>
                <w:szCs w:val="18"/>
                <w:highlight w:val="yellow"/>
              </w:rPr>
              <w:t>0</w:t>
            </w:r>
          </w:p>
        </w:tc>
      </w:tr>
      <w:bookmarkEnd w:id="11"/>
    </w:tbl>
    <w:p w14:paraId="6C845FA9" w14:textId="77777777" w:rsidR="00C554C6" w:rsidRDefault="00C554C6" w:rsidP="00242122">
      <w:pPr>
        <w:pStyle w:val="MDPI31text"/>
      </w:pPr>
    </w:p>
    <w:p w14:paraId="14B00ACA" w14:textId="68FDE541" w:rsidR="008074C1" w:rsidRDefault="008074C1" w:rsidP="00242122">
      <w:pPr>
        <w:pStyle w:val="MDPI31text"/>
      </w:pPr>
      <w:r w:rsidRPr="008074C1">
        <w:t>The Largest Patch Index (LPI) also showed divergent patterns: avocado areas experienced a dramatic escalation from 0.02% in 2003 to 0.23% in 2023 (a 1050% increase), indicating that the largest avocado patch became substantially more dominant over time. Meanwhile, native vegetation saw a reduction in LPI from 51.3</w:t>
      </w:r>
      <w:r w:rsidR="004E36A4">
        <w:t>0</w:t>
      </w:r>
      <w:r w:rsidRPr="008074C1">
        <w:t xml:space="preserve">% in 2003 to 41.68% in 2023 (an 18.75% decrease), suggesting increased fragmentation of the native </w:t>
      </w:r>
      <w:r w:rsidR="00842D2A" w:rsidRPr="00842D2A">
        <w:rPr>
          <w:highlight w:val="yellow"/>
        </w:rPr>
        <w:t xml:space="preserve">vegetation </w:t>
      </w:r>
      <w:r w:rsidRPr="00842D2A">
        <w:rPr>
          <w:highlight w:val="yellow"/>
        </w:rPr>
        <w:t>cover.</w:t>
      </w:r>
    </w:p>
    <w:p w14:paraId="75996E0C" w14:textId="09BA5C6F" w:rsidR="008074C1" w:rsidRDefault="008074C1" w:rsidP="00242122">
      <w:pPr>
        <w:pStyle w:val="MDPI31text"/>
      </w:pPr>
      <w:r w:rsidRPr="008074C1">
        <w:t>In terms of mean patch area, avocado plantations expanded from an average of 1.6</w:t>
      </w:r>
      <w:r w:rsidR="004E36A4">
        <w:t>0</w:t>
      </w:r>
      <w:r w:rsidRPr="008074C1">
        <w:t xml:space="preserve"> ha in 2003 to 3.7</w:t>
      </w:r>
      <w:r w:rsidR="004E36A4">
        <w:t>0</w:t>
      </w:r>
      <w:r w:rsidRPr="008074C1">
        <w:t xml:space="preserve"> ha in 2023—representing a 131.25% increase—implying that individual avocado patches grew larger. Conversely, </w:t>
      </w:r>
      <w:r w:rsidR="00765BCD" w:rsidRPr="00765BCD">
        <w:rPr>
          <w:highlight w:val="yellow"/>
        </w:rPr>
        <w:t>the average of</w:t>
      </w:r>
      <w:r w:rsidR="00765BCD">
        <w:t xml:space="preserve"> </w:t>
      </w:r>
      <w:r w:rsidRPr="008074C1">
        <w:t>native vegetation patches contracted from 42.9</w:t>
      </w:r>
      <w:r w:rsidR="004E36A4">
        <w:t>0</w:t>
      </w:r>
      <w:r w:rsidRPr="008074C1">
        <w:t xml:space="preserve"> ha in 2003 to 30.1</w:t>
      </w:r>
      <w:r w:rsidR="009F7CA3">
        <w:t>0</w:t>
      </w:r>
      <w:r w:rsidRPr="008074C1">
        <w:t xml:space="preserve"> ha in 2023, a decrease of nearly 30%, which reinforces the notion of a diminishing and more fragmented native landscape.</w:t>
      </w:r>
    </w:p>
    <w:p w14:paraId="0FAC52CC" w14:textId="60A0E112" w:rsidR="008074C1" w:rsidRDefault="008074C1" w:rsidP="00242122">
      <w:pPr>
        <w:pStyle w:val="MDPI31text"/>
      </w:pPr>
      <w:r w:rsidRPr="008074C1">
        <w:t>Finally, the mean Euclidean nearest neighbor distance for avocado patches increased from 113 m in 2003 to 130.2</w:t>
      </w:r>
      <w:r w:rsidR="004E36A4">
        <w:t>0</w:t>
      </w:r>
      <w:r w:rsidRPr="008074C1">
        <w:t xml:space="preserve"> m in 2023 (a 15.22% rise), indicating growing isolation among avocado patches. In contrast, native vegetation patches experienced a decrease in this metric from 222.5</w:t>
      </w:r>
      <w:r w:rsidR="004E36A4">
        <w:t>0</w:t>
      </w:r>
      <w:r w:rsidRPr="008074C1">
        <w:t xml:space="preserve"> m in 2003 to 183.5</w:t>
      </w:r>
      <w:r w:rsidR="004E36A4">
        <w:t>0</w:t>
      </w:r>
      <w:r w:rsidRPr="008074C1">
        <w:t xml:space="preserve"> m in 2023 (a 17.53% reduction), reflecting a trend towards closer proximity among native patches. Collectively, these results indicate that while avocado plantations have become larger, more dominant in the middle-low part of the basin and, and more isolated, native vegetation has become more fragmented and reduced in patch size over the study period.</w:t>
      </w:r>
    </w:p>
    <w:p w14:paraId="6F8C3D72" w14:textId="2E403F92" w:rsidR="008074C1" w:rsidRDefault="008074C1" w:rsidP="00242122">
      <w:pPr>
        <w:pStyle w:val="MDPI31text"/>
      </w:pPr>
      <w:r w:rsidRPr="008074C1">
        <w:t xml:space="preserve">Three different scenarios were analyzed to quantify changes in landscape structure and, consequently, to identify or propose new management practices based on ecological efforts and restoration (Table 3). Avocado plantations were specifically evaluated, as they have been identified as a major LULC that transforms the landscape and impacts native vegetation, which is among the most affected areas due to the expansion of avocado plantation. </w:t>
      </w:r>
      <w:r w:rsidRPr="00EC24A2">
        <w:rPr>
          <w:highlight w:val="yellow"/>
        </w:rPr>
        <w:t xml:space="preserve">The scenarios </w:t>
      </w:r>
      <w:r w:rsidR="00EC24A2" w:rsidRPr="00EC24A2">
        <w:rPr>
          <w:highlight w:val="yellow"/>
        </w:rPr>
        <w:t>description was presented in section 2.6</w:t>
      </w:r>
      <w:r w:rsidR="00EC24A2">
        <w:t xml:space="preserve">. </w:t>
      </w:r>
    </w:p>
    <w:p w14:paraId="2EC53158" w14:textId="77777777" w:rsidR="008074C1" w:rsidRDefault="008074C1" w:rsidP="00EC24A2">
      <w:pPr>
        <w:pStyle w:val="MDPI31text"/>
        <w:ind w:left="0" w:firstLine="0"/>
      </w:pPr>
    </w:p>
    <w:p w14:paraId="43AFA77D" w14:textId="3514993C" w:rsidR="008074C1" w:rsidRDefault="008074C1" w:rsidP="006A2F2E">
      <w:pPr>
        <w:pStyle w:val="MDPI31text"/>
      </w:pPr>
      <w:r w:rsidRPr="008074C1">
        <w:rPr>
          <w:b/>
          <w:bCs/>
        </w:rPr>
        <w:t>Table 3.</w:t>
      </w:r>
      <w:r w:rsidRPr="008074C1">
        <w:t xml:space="preserve"> Changes in landscape pattern indices for the avocado plantations and the native vegetation in 2023 under three scenarios in the Aconcagua basin.</w:t>
      </w:r>
    </w:p>
    <w:p w14:paraId="21E2416A" w14:textId="77777777" w:rsidR="00866F87" w:rsidRDefault="00866F87" w:rsidP="006A2F2E">
      <w:pPr>
        <w:pStyle w:val="MDPI31text"/>
      </w:pPr>
    </w:p>
    <w:tbl>
      <w:tblPr>
        <w:tblW w:w="7931" w:type="dxa"/>
        <w:tblInd w:w="2552"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268"/>
        <w:gridCol w:w="1276"/>
        <w:gridCol w:w="708"/>
        <w:gridCol w:w="709"/>
        <w:gridCol w:w="608"/>
        <w:gridCol w:w="384"/>
        <w:gridCol w:w="1128"/>
        <w:gridCol w:w="709"/>
        <w:gridCol w:w="141"/>
      </w:tblGrid>
      <w:tr w:rsidR="00F82E0C" w:rsidRPr="00D61D1F" w14:paraId="3277696F" w14:textId="77777777" w:rsidTr="00866F87">
        <w:trPr>
          <w:trHeight w:val="440"/>
        </w:trPr>
        <w:tc>
          <w:tcPr>
            <w:tcW w:w="2268" w:type="dxa"/>
            <w:tcBorders>
              <w:bottom w:val="single" w:sz="4" w:space="0" w:color="auto"/>
            </w:tcBorders>
            <w:shd w:val="clear" w:color="auto" w:fill="auto"/>
            <w:vAlign w:val="center"/>
          </w:tcPr>
          <w:p w14:paraId="3F5F121B" w14:textId="77777777" w:rsidR="00F82E0C" w:rsidRPr="006A2F2E" w:rsidRDefault="00F82E0C" w:rsidP="00725AC5">
            <w:pPr>
              <w:pStyle w:val="MDPI42tablebody"/>
              <w:spacing w:line="240" w:lineRule="auto"/>
              <w:rPr>
                <w:b/>
                <w:snapToGrid/>
                <w:sz w:val="18"/>
                <w:szCs w:val="18"/>
              </w:rPr>
            </w:pPr>
          </w:p>
        </w:tc>
        <w:tc>
          <w:tcPr>
            <w:tcW w:w="3301" w:type="dxa"/>
            <w:gridSpan w:val="4"/>
            <w:tcBorders>
              <w:bottom w:val="single" w:sz="4" w:space="0" w:color="auto"/>
            </w:tcBorders>
            <w:shd w:val="clear" w:color="auto" w:fill="auto"/>
            <w:vAlign w:val="center"/>
          </w:tcPr>
          <w:p w14:paraId="62969105" w14:textId="289E4DC1" w:rsidR="00F82E0C" w:rsidRPr="006A2F2E" w:rsidRDefault="00F82E0C" w:rsidP="00725AC5">
            <w:pPr>
              <w:pStyle w:val="MDPI42tablebody"/>
              <w:spacing w:line="240" w:lineRule="auto"/>
              <w:rPr>
                <w:b/>
                <w:snapToGrid/>
                <w:sz w:val="18"/>
                <w:szCs w:val="18"/>
              </w:rPr>
            </w:pPr>
            <w:r w:rsidRPr="006A2F2E">
              <w:rPr>
                <w:b/>
                <w:snapToGrid/>
                <w:sz w:val="18"/>
                <w:szCs w:val="18"/>
              </w:rPr>
              <w:t>Avocado land</w:t>
            </w:r>
          </w:p>
        </w:tc>
        <w:tc>
          <w:tcPr>
            <w:tcW w:w="2362" w:type="dxa"/>
            <w:gridSpan w:val="4"/>
            <w:tcBorders>
              <w:bottom w:val="single" w:sz="4" w:space="0" w:color="auto"/>
            </w:tcBorders>
            <w:shd w:val="clear" w:color="auto" w:fill="auto"/>
            <w:vAlign w:val="center"/>
          </w:tcPr>
          <w:p w14:paraId="2FC81DF6" w14:textId="4EB27145" w:rsidR="00F82E0C" w:rsidRPr="006A2F2E" w:rsidRDefault="00F82E0C" w:rsidP="00725AC5">
            <w:pPr>
              <w:pStyle w:val="MDPI42tablebody"/>
              <w:spacing w:line="240" w:lineRule="auto"/>
              <w:rPr>
                <w:b/>
                <w:snapToGrid/>
                <w:sz w:val="18"/>
                <w:szCs w:val="18"/>
              </w:rPr>
            </w:pPr>
            <w:r w:rsidRPr="006A2F2E">
              <w:rPr>
                <w:b/>
                <w:snapToGrid/>
                <w:sz w:val="18"/>
                <w:szCs w:val="18"/>
              </w:rPr>
              <w:t>Native vegetation</w:t>
            </w:r>
          </w:p>
        </w:tc>
      </w:tr>
      <w:tr w:rsidR="00F82E0C" w:rsidRPr="00D61D1F" w14:paraId="2BED7F34" w14:textId="77777777" w:rsidTr="00866F87">
        <w:trPr>
          <w:gridAfter w:val="1"/>
          <w:wAfter w:w="141" w:type="dxa"/>
          <w:trHeight w:val="414"/>
        </w:trPr>
        <w:tc>
          <w:tcPr>
            <w:tcW w:w="2268" w:type="dxa"/>
            <w:tcBorders>
              <w:bottom w:val="single" w:sz="4" w:space="0" w:color="auto"/>
            </w:tcBorders>
            <w:shd w:val="clear" w:color="auto" w:fill="auto"/>
            <w:vAlign w:val="center"/>
          </w:tcPr>
          <w:p w14:paraId="2A14866A" w14:textId="77777777" w:rsidR="00F82E0C" w:rsidRPr="006A2F2E" w:rsidRDefault="00F82E0C" w:rsidP="00725AC5">
            <w:pPr>
              <w:pStyle w:val="MDPI42tablebody"/>
              <w:spacing w:line="240" w:lineRule="auto"/>
              <w:rPr>
                <w:b/>
                <w:snapToGrid/>
                <w:sz w:val="18"/>
                <w:szCs w:val="18"/>
              </w:rPr>
            </w:pPr>
            <w:r w:rsidRPr="006A2F2E">
              <w:rPr>
                <w:b/>
                <w:snapToGrid/>
                <w:sz w:val="18"/>
                <w:szCs w:val="18"/>
              </w:rPr>
              <w:t>Landscape Indices</w:t>
            </w:r>
          </w:p>
        </w:tc>
        <w:tc>
          <w:tcPr>
            <w:tcW w:w="1276" w:type="dxa"/>
            <w:tcBorders>
              <w:bottom w:val="single" w:sz="4" w:space="0" w:color="auto"/>
            </w:tcBorders>
            <w:shd w:val="clear" w:color="auto" w:fill="auto"/>
            <w:vAlign w:val="center"/>
          </w:tcPr>
          <w:p w14:paraId="70756819" w14:textId="4FC33EE5" w:rsidR="00F82E0C" w:rsidRPr="006A2F2E" w:rsidRDefault="00F82E0C" w:rsidP="00725AC5">
            <w:pPr>
              <w:pStyle w:val="MDPI42tablebody"/>
              <w:spacing w:line="240" w:lineRule="auto"/>
              <w:rPr>
                <w:b/>
                <w:snapToGrid/>
                <w:sz w:val="18"/>
                <w:szCs w:val="18"/>
              </w:rPr>
            </w:pPr>
            <w:r>
              <w:rPr>
                <w:b/>
                <w:snapToGrid/>
                <w:sz w:val="18"/>
                <w:szCs w:val="18"/>
              </w:rPr>
              <w:t>S1</w:t>
            </w:r>
          </w:p>
        </w:tc>
        <w:tc>
          <w:tcPr>
            <w:tcW w:w="708" w:type="dxa"/>
            <w:tcBorders>
              <w:bottom w:val="single" w:sz="4" w:space="0" w:color="auto"/>
            </w:tcBorders>
            <w:vAlign w:val="center"/>
          </w:tcPr>
          <w:p w14:paraId="63276DE2" w14:textId="3F12204B" w:rsidR="00F82E0C" w:rsidRPr="006A2F2E" w:rsidRDefault="00F82E0C" w:rsidP="00725AC5">
            <w:pPr>
              <w:pStyle w:val="MDPI42tablebody"/>
              <w:spacing w:line="240" w:lineRule="auto"/>
              <w:rPr>
                <w:b/>
                <w:snapToGrid/>
                <w:sz w:val="18"/>
                <w:szCs w:val="18"/>
              </w:rPr>
            </w:pPr>
            <w:r>
              <w:rPr>
                <w:b/>
                <w:snapToGrid/>
                <w:sz w:val="18"/>
                <w:szCs w:val="18"/>
              </w:rPr>
              <w:t>S2</w:t>
            </w:r>
          </w:p>
        </w:tc>
        <w:tc>
          <w:tcPr>
            <w:tcW w:w="709" w:type="dxa"/>
            <w:tcBorders>
              <w:bottom w:val="single" w:sz="4" w:space="0" w:color="auto"/>
            </w:tcBorders>
            <w:vAlign w:val="center"/>
          </w:tcPr>
          <w:p w14:paraId="7AAF5908" w14:textId="588772B9" w:rsidR="00F82E0C" w:rsidRPr="006A2F2E" w:rsidRDefault="00F82E0C" w:rsidP="00725AC5">
            <w:pPr>
              <w:pStyle w:val="MDPI42tablebody"/>
              <w:spacing w:line="240" w:lineRule="auto"/>
              <w:rPr>
                <w:b/>
                <w:snapToGrid/>
                <w:sz w:val="18"/>
                <w:szCs w:val="18"/>
              </w:rPr>
            </w:pPr>
            <w:r>
              <w:rPr>
                <w:b/>
                <w:snapToGrid/>
                <w:sz w:val="18"/>
                <w:szCs w:val="18"/>
              </w:rPr>
              <w:t>S3</w:t>
            </w:r>
          </w:p>
        </w:tc>
        <w:tc>
          <w:tcPr>
            <w:tcW w:w="992" w:type="dxa"/>
            <w:gridSpan w:val="2"/>
            <w:tcBorders>
              <w:bottom w:val="single" w:sz="4" w:space="0" w:color="auto"/>
            </w:tcBorders>
            <w:vAlign w:val="center"/>
          </w:tcPr>
          <w:p w14:paraId="33F77142" w14:textId="0EAAA7EC" w:rsidR="00F82E0C" w:rsidRPr="006A2F2E" w:rsidRDefault="00F82E0C" w:rsidP="00725AC5">
            <w:pPr>
              <w:pStyle w:val="MDPI42tablebody"/>
              <w:spacing w:line="240" w:lineRule="auto"/>
              <w:rPr>
                <w:b/>
                <w:snapToGrid/>
                <w:sz w:val="18"/>
                <w:szCs w:val="18"/>
              </w:rPr>
            </w:pPr>
            <w:r>
              <w:rPr>
                <w:b/>
                <w:snapToGrid/>
                <w:sz w:val="18"/>
                <w:szCs w:val="18"/>
              </w:rPr>
              <w:t>S1</w:t>
            </w:r>
          </w:p>
        </w:tc>
        <w:tc>
          <w:tcPr>
            <w:tcW w:w="1128" w:type="dxa"/>
            <w:tcBorders>
              <w:bottom w:val="single" w:sz="4" w:space="0" w:color="auto"/>
            </w:tcBorders>
            <w:shd w:val="clear" w:color="auto" w:fill="auto"/>
            <w:vAlign w:val="center"/>
          </w:tcPr>
          <w:p w14:paraId="36C0B370" w14:textId="28806DC3" w:rsidR="00F82E0C" w:rsidRPr="006A2F2E" w:rsidRDefault="00F82E0C" w:rsidP="00725AC5">
            <w:pPr>
              <w:pStyle w:val="MDPI42tablebody"/>
              <w:spacing w:line="240" w:lineRule="auto"/>
              <w:rPr>
                <w:b/>
                <w:snapToGrid/>
                <w:sz w:val="18"/>
                <w:szCs w:val="18"/>
              </w:rPr>
            </w:pPr>
            <w:r>
              <w:rPr>
                <w:b/>
                <w:snapToGrid/>
                <w:sz w:val="18"/>
                <w:szCs w:val="18"/>
              </w:rPr>
              <w:t>S2</w:t>
            </w:r>
          </w:p>
        </w:tc>
        <w:tc>
          <w:tcPr>
            <w:tcW w:w="709" w:type="dxa"/>
            <w:tcBorders>
              <w:bottom w:val="single" w:sz="4" w:space="0" w:color="auto"/>
            </w:tcBorders>
            <w:vAlign w:val="center"/>
          </w:tcPr>
          <w:p w14:paraId="19B0ADF3" w14:textId="41DF08C2" w:rsidR="00F82E0C" w:rsidRPr="006A2F2E" w:rsidRDefault="00F82E0C" w:rsidP="00725AC5">
            <w:pPr>
              <w:pStyle w:val="MDPI42tablebody"/>
              <w:spacing w:line="240" w:lineRule="auto"/>
              <w:rPr>
                <w:b/>
                <w:snapToGrid/>
                <w:sz w:val="18"/>
                <w:szCs w:val="18"/>
              </w:rPr>
            </w:pPr>
            <w:r>
              <w:rPr>
                <w:b/>
                <w:snapToGrid/>
                <w:sz w:val="18"/>
                <w:szCs w:val="18"/>
              </w:rPr>
              <w:t>S3</w:t>
            </w:r>
          </w:p>
        </w:tc>
      </w:tr>
      <w:tr w:rsidR="00F82E0C" w:rsidRPr="00D61D1F" w14:paraId="40D164D2" w14:textId="77777777" w:rsidTr="00866F87">
        <w:trPr>
          <w:gridAfter w:val="1"/>
          <w:wAfter w:w="141" w:type="dxa"/>
          <w:trHeight w:val="266"/>
        </w:trPr>
        <w:tc>
          <w:tcPr>
            <w:tcW w:w="2268" w:type="dxa"/>
            <w:vAlign w:val="center"/>
          </w:tcPr>
          <w:p w14:paraId="5135A9C2" w14:textId="77777777" w:rsidR="00F82E0C" w:rsidRPr="006A2F2E" w:rsidRDefault="00F82E0C" w:rsidP="00725AC5">
            <w:pPr>
              <w:pStyle w:val="MDPI42tablebody"/>
              <w:spacing w:line="240" w:lineRule="auto"/>
              <w:rPr>
                <w:sz w:val="18"/>
                <w:szCs w:val="18"/>
              </w:rPr>
            </w:pPr>
            <w:r w:rsidRPr="006A2F2E">
              <w:rPr>
                <w:sz w:val="18"/>
                <w:szCs w:val="18"/>
              </w:rPr>
              <w:t>Number of patches</w:t>
            </w:r>
          </w:p>
        </w:tc>
        <w:tc>
          <w:tcPr>
            <w:tcW w:w="1276" w:type="dxa"/>
            <w:shd w:val="clear" w:color="auto" w:fill="auto"/>
            <w:vAlign w:val="center"/>
          </w:tcPr>
          <w:p w14:paraId="12BE5657" w14:textId="7AB5AA4E" w:rsidR="00F82E0C" w:rsidRPr="00C1710C" w:rsidRDefault="00F82E0C" w:rsidP="00866F87">
            <w:pPr>
              <w:pStyle w:val="MDPI42tablebody"/>
              <w:spacing w:line="240" w:lineRule="auto"/>
              <w:rPr>
                <w:sz w:val="18"/>
                <w:szCs w:val="18"/>
                <w:highlight w:val="yellow"/>
              </w:rPr>
            </w:pPr>
            <w:r w:rsidRPr="00C1710C">
              <w:rPr>
                <w:highlight w:val="yellow"/>
              </w:rPr>
              <w:t>3996</w:t>
            </w:r>
          </w:p>
        </w:tc>
        <w:tc>
          <w:tcPr>
            <w:tcW w:w="708" w:type="dxa"/>
            <w:vAlign w:val="center"/>
          </w:tcPr>
          <w:p w14:paraId="2B02F96F" w14:textId="7D9AB276" w:rsidR="00F82E0C" w:rsidRPr="00C1710C" w:rsidRDefault="00F82E0C" w:rsidP="00866F87">
            <w:pPr>
              <w:pStyle w:val="MDPI42tablebody"/>
              <w:spacing w:line="240" w:lineRule="auto"/>
              <w:rPr>
                <w:sz w:val="18"/>
                <w:szCs w:val="18"/>
                <w:highlight w:val="yellow"/>
              </w:rPr>
            </w:pPr>
            <w:r w:rsidRPr="00C1710C">
              <w:rPr>
                <w:sz w:val="18"/>
                <w:szCs w:val="18"/>
                <w:highlight w:val="yellow"/>
              </w:rPr>
              <w:t>475</w:t>
            </w:r>
          </w:p>
        </w:tc>
        <w:tc>
          <w:tcPr>
            <w:tcW w:w="709" w:type="dxa"/>
            <w:vAlign w:val="center"/>
          </w:tcPr>
          <w:p w14:paraId="2C27E926" w14:textId="70926807" w:rsidR="00F82E0C" w:rsidRPr="00C1710C" w:rsidRDefault="00F82E0C" w:rsidP="00866F87">
            <w:pPr>
              <w:pStyle w:val="MDPI42tablebody"/>
              <w:spacing w:line="240" w:lineRule="auto"/>
              <w:rPr>
                <w:sz w:val="18"/>
                <w:szCs w:val="18"/>
                <w:highlight w:val="yellow"/>
              </w:rPr>
            </w:pPr>
            <w:r w:rsidRPr="00C1710C">
              <w:rPr>
                <w:sz w:val="18"/>
                <w:szCs w:val="18"/>
                <w:highlight w:val="yellow"/>
              </w:rPr>
              <w:t>-</w:t>
            </w:r>
          </w:p>
        </w:tc>
        <w:tc>
          <w:tcPr>
            <w:tcW w:w="992" w:type="dxa"/>
            <w:gridSpan w:val="2"/>
            <w:vAlign w:val="center"/>
          </w:tcPr>
          <w:p w14:paraId="122817C5" w14:textId="6DADBDFF" w:rsidR="00F82E0C" w:rsidRPr="00C1710C" w:rsidRDefault="00F82E0C" w:rsidP="00866F87">
            <w:pPr>
              <w:pStyle w:val="MDPI42tablebody"/>
              <w:spacing w:line="240" w:lineRule="auto"/>
              <w:rPr>
                <w:sz w:val="18"/>
                <w:szCs w:val="18"/>
                <w:highlight w:val="yellow"/>
              </w:rPr>
            </w:pPr>
            <w:r w:rsidRPr="00C1710C">
              <w:rPr>
                <w:sz w:val="18"/>
                <w:szCs w:val="18"/>
                <w:highlight w:val="yellow"/>
              </w:rPr>
              <w:t>10890</w:t>
            </w:r>
          </w:p>
        </w:tc>
        <w:tc>
          <w:tcPr>
            <w:tcW w:w="1128" w:type="dxa"/>
            <w:shd w:val="clear" w:color="auto" w:fill="auto"/>
            <w:vAlign w:val="center"/>
          </w:tcPr>
          <w:p w14:paraId="2724A68D" w14:textId="4077E558" w:rsidR="00F82E0C" w:rsidRPr="00C1710C" w:rsidRDefault="00F82E0C" w:rsidP="00866F87">
            <w:pPr>
              <w:pStyle w:val="MDPI42tablebody"/>
              <w:spacing w:line="240" w:lineRule="auto"/>
              <w:rPr>
                <w:sz w:val="18"/>
                <w:szCs w:val="18"/>
                <w:highlight w:val="yellow"/>
              </w:rPr>
            </w:pPr>
            <w:r w:rsidRPr="00C1710C">
              <w:rPr>
                <w:sz w:val="18"/>
                <w:szCs w:val="18"/>
                <w:highlight w:val="yellow"/>
              </w:rPr>
              <w:t>7817</w:t>
            </w:r>
          </w:p>
        </w:tc>
        <w:tc>
          <w:tcPr>
            <w:tcW w:w="709" w:type="dxa"/>
            <w:vAlign w:val="center"/>
          </w:tcPr>
          <w:p w14:paraId="44163BB9" w14:textId="1FA55844" w:rsidR="00F82E0C" w:rsidRPr="00C1710C" w:rsidRDefault="00F82E0C" w:rsidP="00866F87">
            <w:pPr>
              <w:pStyle w:val="MDPI42tablebody"/>
              <w:spacing w:line="240" w:lineRule="auto"/>
              <w:rPr>
                <w:sz w:val="18"/>
                <w:szCs w:val="18"/>
                <w:highlight w:val="yellow"/>
              </w:rPr>
            </w:pPr>
            <w:r w:rsidRPr="00C1710C">
              <w:rPr>
                <w:sz w:val="18"/>
                <w:szCs w:val="18"/>
                <w:highlight w:val="yellow"/>
              </w:rPr>
              <w:t>10896</w:t>
            </w:r>
          </w:p>
        </w:tc>
      </w:tr>
      <w:tr w:rsidR="00F82E0C" w:rsidRPr="00D61D1F" w14:paraId="7E79E7A2" w14:textId="77777777" w:rsidTr="00866F87">
        <w:trPr>
          <w:gridAfter w:val="1"/>
          <w:wAfter w:w="141" w:type="dxa"/>
          <w:trHeight w:val="408"/>
        </w:trPr>
        <w:tc>
          <w:tcPr>
            <w:tcW w:w="2268" w:type="dxa"/>
            <w:vAlign w:val="center"/>
          </w:tcPr>
          <w:p w14:paraId="3C15A514" w14:textId="77777777" w:rsidR="00F82E0C" w:rsidRPr="006A2F2E" w:rsidRDefault="00F82E0C" w:rsidP="00725AC5">
            <w:pPr>
              <w:pStyle w:val="MDPI42tablebody"/>
              <w:spacing w:line="240" w:lineRule="auto"/>
              <w:rPr>
                <w:sz w:val="18"/>
                <w:szCs w:val="18"/>
              </w:rPr>
            </w:pPr>
            <w:r w:rsidRPr="006A2F2E">
              <w:rPr>
                <w:sz w:val="18"/>
                <w:szCs w:val="18"/>
              </w:rPr>
              <w:t>Largest Patch Index (%)</w:t>
            </w:r>
          </w:p>
        </w:tc>
        <w:tc>
          <w:tcPr>
            <w:tcW w:w="1276" w:type="dxa"/>
            <w:shd w:val="clear" w:color="auto" w:fill="auto"/>
            <w:vAlign w:val="center"/>
          </w:tcPr>
          <w:p w14:paraId="256AD379" w14:textId="265360B5" w:rsidR="00F82E0C" w:rsidRPr="00C1710C" w:rsidRDefault="00F82E0C" w:rsidP="00866F87">
            <w:pPr>
              <w:pStyle w:val="MDPI42tablebody"/>
              <w:spacing w:line="240" w:lineRule="auto"/>
              <w:rPr>
                <w:sz w:val="18"/>
                <w:szCs w:val="18"/>
                <w:highlight w:val="yellow"/>
              </w:rPr>
            </w:pPr>
            <w:r w:rsidRPr="00C1710C">
              <w:rPr>
                <w:sz w:val="18"/>
                <w:szCs w:val="18"/>
                <w:highlight w:val="yellow"/>
              </w:rPr>
              <w:t>0.07</w:t>
            </w:r>
          </w:p>
        </w:tc>
        <w:tc>
          <w:tcPr>
            <w:tcW w:w="708" w:type="dxa"/>
            <w:vAlign w:val="center"/>
          </w:tcPr>
          <w:p w14:paraId="0E3F8F51" w14:textId="7DF32E80" w:rsidR="00F82E0C" w:rsidRPr="00C1710C" w:rsidRDefault="00F82E0C" w:rsidP="00866F87">
            <w:pPr>
              <w:pStyle w:val="MDPI42tablebody"/>
              <w:spacing w:line="240" w:lineRule="auto"/>
              <w:rPr>
                <w:sz w:val="18"/>
                <w:szCs w:val="18"/>
                <w:highlight w:val="yellow"/>
              </w:rPr>
            </w:pPr>
            <w:r w:rsidRPr="00C1710C">
              <w:rPr>
                <w:sz w:val="18"/>
                <w:szCs w:val="18"/>
                <w:highlight w:val="yellow"/>
              </w:rPr>
              <w:t>8.03</w:t>
            </w:r>
          </w:p>
        </w:tc>
        <w:tc>
          <w:tcPr>
            <w:tcW w:w="709" w:type="dxa"/>
            <w:vAlign w:val="center"/>
          </w:tcPr>
          <w:p w14:paraId="3769DF68" w14:textId="38FA55C3" w:rsidR="00F82E0C" w:rsidRPr="00C1710C" w:rsidRDefault="00F82E0C" w:rsidP="00866F87">
            <w:pPr>
              <w:pStyle w:val="MDPI42tablebody"/>
              <w:spacing w:line="240" w:lineRule="auto"/>
              <w:rPr>
                <w:sz w:val="18"/>
                <w:szCs w:val="18"/>
                <w:highlight w:val="yellow"/>
              </w:rPr>
            </w:pPr>
            <w:r w:rsidRPr="00C1710C">
              <w:rPr>
                <w:sz w:val="18"/>
                <w:szCs w:val="18"/>
                <w:highlight w:val="yellow"/>
              </w:rPr>
              <w:t>-</w:t>
            </w:r>
          </w:p>
        </w:tc>
        <w:tc>
          <w:tcPr>
            <w:tcW w:w="992" w:type="dxa"/>
            <w:gridSpan w:val="2"/>
            <w:vAlign w:val="center"/>
          </w:tcPr>
          <w:p w14:paraId="73AC6F78" w14:textId="52EF2FA2" w:rsidR="00F82E0C" w:rsidRPr="00C1710C" w:rsidRDefault="00F82E0C" w:rsidP="00866F87">
            <w:pPr>
              <w:pStyle w:val="MDPI42tablebody"/>
              <w:spacing w:line="240" w:lineRule="auto"/>
              <w:rPr>
                <w:sz w:val="18"/>
                <w:szCs w:val="18"/>
                <w:highlight w:val="yellow"/>
              </w:rPr>
            </w:pPr>
            <w:r w:rsidRPr="00C1710C">
              <w:rPr>
                <w:sz w:val="18"/>
                <w:szCs w:val="18"/>
                <w:highlight w:val="yellow"/>
              </w:rPr>
              <w:t>42.3</w:t>
            </w:r>
            <w:r w:rsidR="0085349E" w:rsidRPr="00C1710C">
              <w:rPr>
                <w:sz w:val="18"/>
                <w:szCs w:val="18"/>
                <w:highlight w:val="yellow"/>
              </w:rPr>
              <w:t>0</w:t>
            </w:r>
          </w:p>
        </w:tc>
        <w:tc>
          <w:tcPr>
            <w:tcW w:w="1128" w:type="dxa"/>
            <w:shd w:val="clear" w:color="auto" w:fill="auto"/>
            <w:vAlign w:val="center"/>
          </w:tcPr>
          <w:p w14:paraId="393D54DE" w14:textId="5321EBFB" w:rsidR="00F82E0C" w:rsidRPr="00C1710C" w:rsidRDefault="00F82E0C" w:rsidP="00866F87">
            <w:pPr>
              <w:pStyle w:val="MDPI42tablebody"/>
              <w:spacing w:line="240" w:lineRule="auto"/>
              <w:rPr>
                <w:sz w:val="18"/>
                <w:szCs w:val="18"/>
                <w:highlight w:val="yellow"/>
              </w:rPr>
            </w:pPr>
            <w:r w:rsidRPr="00C1710C">
              <w:rPr>
                <w:sz w:val="18"/>
                <w:szCs w:val="18"/>
                <w:highlight w:val="yellow"/>
              </w:rPr>
              <w:t>37.7</w:t>
            </w:r>
            <w:r w:rsidR="0085349E" w:rsidRPr="00C1710C">
              <w:rPr>
                <w:sz w:val="18"/>
                <w:szCs w:val="18"/>
                <w:highlight w:val="yellow"/>
              </w:rPr>
              <w:t>0</w:t>
            </w:r>
          </w:p>
        </w:tc>
        <w:tc>
          <w:tcPr>
            <w:tcW w:w="709" w:type="dxa"/>
            <w:vAlign w:val="center"/>
          </w:tcPr>
          <w:p w14:paraId="00ED8F4F" w14:textId="6EB19A40" w:rsidR="00F82E0C" w:rsidRPr="00C1710C" w:rsidRDefault="00F82E0C" w:rsidP="00866F87">
            <w:pPr>
              <w:pStyle w:val="MDPI42tablebody"/>
              <w:spacing w:line="240" w:lineRule="auto"/>
              <w:rPr>
                <w:sz w:val="18"/>
                <w:szCs w:val="18"/>
                <w:highlight w:val="yellow"/>
              </w:rPr>
            </w:pPr>
            <w:r w:rsidRPr="00C1710C">
              <w:rPr>
                <w:sz w:val="18"/>
                <w:szCs w:val="18"/>
                <w:highlight w:val="yellow"/>
              </w:rPr>
              <w:t>44.04</w:t>
            </w:r>
          </w:p>
        </w:tc>
      </w:tr>
      <w:tr w:rsidR="00F82E0C" w:rsidRPr="00D61D1F" w14:paraId="15D0FEBC" w14:textId="77777777" w:rsidTr="00866F87">
        <w:trPr>
          <w:gridAfter w:val="1"/>
          <w:wAfter w:w="141" w:type="dxa"/>
          <w:trHeight w:val="285"/>
        </w:trPr>
        <w:tc>
          <w:tcPr>
            <w:tcW w:w="2268" w:type="dxa"/>
            <w:vAlign w:val="center"/>
          </w:tcPr>
          <w:p w14:paraId="25B81F66" w14:textId="77777777" w:rsidR="00F82E0C" w:rsidRPr="006A2F2E" w:rsidRDefault="00F82E0C" w:rsidP="00725AC5">
            <w:pPr>
              <w:pStyle w:val="MDPI42tablebody"/>
              <w:spacing w:line="240" w:lineRule="auto"/>
              <w:rPr>
                <w:sz w:val="18"/>
                <w:szCs w:val="18"/>
              </w:rPr>
            </w:pPr>
            <w:r w:rsidRPr="006A2F2E">
              <w:rPr>
                <w:sz w:val="18"/>
                <w:szCs w:val="18"/>
              </w:rPr>
              <w:lastRenderedPageBreak/>
              <w:t>Mean patch area (ha)</w:t>
            </w:r>
          </w:p>
        </w:tc>
        <w:tc>
          <w:tcPr>
            <w:tcW w:w="1276" w:type="dxa"/>
            <w:shd w:val="clear" w:color="auto" w:fill="auto"/>
            <w:vAlign w:val="center"/>
          </w:tcPr>
          <w:p w14:paraId="2399551D" w14:textId="29F44A35" w:rsidR="00F82E0C" w:rsidRPr="00C1710C" w:rsidRDefault="00F82E0C" w:rsidP="00866F87">
            <w:pPr>
              <w:pStyle w:val="MDPI42tablebody"/>
              <w:spacing w:line="240" w:lineRule="auto"/>
              <w:rPr>
                <w:sz w:val="18"/>
                <w:szCs w:val="18"/>
                <w:highlight w:val="yellow"/>
              </w:rPr>
            </w:pPr>
            <w:r w:rsidRPr="00C1710C">
              <w:rPr>
                <w:sz w:val="18"/>
                <w:szCs w:val="18"/>
                <w:highlight w:val="yellow"/>
              </w:rPr>
              <w:t>3.4</w:t>
            </w:r>
            <w:r w:rsidR="0085349E" w:rsidRPr="00C1710C">
              <w:rPr>
                <w:sz w:val="18"/>
                <w:szCs w:val="18"/>
                <w:highlight w:val="yellow"/>
              </w:rPr>
              <w:t>0</w:t>
            </w:r>
          </w:p>
        </w:tc>
        <w:tc>
          <w:tcPr>
            <w:tcW w:w="708" w:type="dxa"/>
            <w:vAlign w:val="center"/>
          </w:tcPr>
          <w:p w14:paraId="4C62F0D5" w14:textId="7059A932" w:rsidR="00F82E0C" w:rsidRPr="00C1710C" w:rsidRDefault="00F82E0C" w:rsidP="00866F87">
            <w:pPr>
              <w:pStyle w:val="MDPI42tablebody"/>
              <w:spacing w:line="240" w:lineRule="auto"/>
              <w:rPr>
                <w:sz w:val="18"/>
                <w:szCs w:val="18"/>
                <w:highlight w:val="yellow"/>
              </w:rPr>
            </w:pPr>
            <w:r w:rsidRPr="00C1710C">
              <w:rPr>
                <w:sz w:val="18"/>
                <w:szCs w:val="18"/>
                <w:highlight w:val="yellow"/>
              </w:rPr>
              <w:t>180.2</w:t>
            </w:r>
            <w:r w:rsidR="0085349E" w:rsidRPr="00C1710C">
              <w:rPr>
                <w:sz w:val="18"/>
                <w:szCs w:val="18"/>
                <w:highlight w:val="yellow"/>
              </w:rPr>
              <w:t>0</w:t>
            </w:r>
          </w:p>
        </w:tc>
        <w:tc>
          <w:tcPr>
            <w:tcW w:w="709" w:type="dxa"/>
            <w:vAlign w:val="center"/>
          </w:tcPr>
          <w:p w14:paraId="0ABDF72B" w14:textId="202C4600" w:rsidR="00F82E0C" w:rsidRPr="00C1710C" w:rsidRDefault="00F82E0C" w:rsidP="00866F87">
            <w:pPr>
              <w:pStyle w:val="MDPI42tablebody"/>
              <w:spacing w:line="240" w:lineRule="auto"/>
              <w:rPr>
                <w:sz w:val="18"/>
                <w:szCs w:val="18"/>
                <w:highlight w:val="yellow"/>
              </w:rPr>
            </w:pPr>
            <w:r w:rsidRPr="00C1710C">
              <w:rPr>
                <w:sz w:val="18"/>
                <w:szCs w:val="18"/>
                <w:highlight w:val="yellow"/>
              </w:rPr>
              <w:t>-</w:t>
            </w:r>
          </w:p>
        </w:tc>
        <w:tc>
          <w:tcPr>
            <w:tcW w:w="992" w:type="dxa"/>
            <w:gridSpan w:val="2"/>
            <w:vAlign w:val="center"/>
          </w:tcPr>
          <w:p w14:paraId="34BFF3A7" w14:textId="1FCDC5A2" w:rsidR="00F82E0C" w:rsidRPr="00C1710C" w:rsidRDefault="00F82E0C" w:rsidP="00866F87">
            <w:pPr>
              <w:pStyle w:val="MDPI42tablebody"/>
              <w:spacing w:line="240" w:lineRule="auto"/>
              <w:rPr>
                <w:sz w:val="18"/>
                <w:szCs w:val="18"/>
                <w:highlight w:val="yellow"/>
              </w:rPr>
            </w:pPr>
            <w:r w:rsidRPr="00C1710C">
              <w:rPr>
                <w:sz w:val="18"/>
                <w:szCs w:val="18"/>
                <w:highlight w:val="yellow"/>
              </w:rPr>
              <w:t>30.1</w:t>
            </w:r>
            <w:r w:rsidR="0085349E" w:rsidRPr="00C1710C">
              <w:rPr>
                <w:sz w:val="18"/>
                <w:szCs w:val="18"/>
                <w:highlight w:val="yellow"/>
              </w:rPr>
              <w:t>0</w:t>
            </w:r>
          </w:p>
        </w:tc>
        <w:tc>
          <w:tcPr>
            <w:tcW w:w="1128" w:type="dxa"/>
            <w:shd w:val="clear" w:color="auto" w:fill="auto"/>
            <w:vAlign w:val="center"/>
          </w:tcPr>
          <w:p w14:paraId="42F32F00" w14:textId="69F8E24F" w:rsidR="00F82E0C" w:rsidRPr="00C1710C" w:rsidRDefault="00F82E0C" w:rsidP="00866F87">
            <w:pPr>
              <w:pStyle w:val="MDPI42tablebody"/>
              <w:spacing w:line="240" w:lineRule="auto"/>
              <w:rPr>
                <w:sz w:val="18"/>
                <w:szCs w:val="18"/>
                <w:highlight w:val="yellow"/>
              </w:rPr>
            </w:pPr>
            <w:r w:rsidRPr="00C1710C">
              <w:rPr>
                <w:sz w:val="18"/>
                <w:szCs w:val="18"/>
                <w:highlight w:val="yellow"/>
              </w:rPr>
              <w:t>37.5</w:t>
            </w:r>
            <w:r w:rsidR="0085349E" w:rsidRPr="00C1710C">
              <w:rPr>
                <w:sz w:val="18"/>
                <w:szCs w:val="18"/>
                <w:highlight w:val="yellow"/>
              </w:rPr>
              <w:t>0</w:t>
            </w:r>
          </w:p>
        </w:tc>
        <w:tc>
          <w:tcPr>
            <w:tcW w:w="709" w:type="dxa"/>
            <w:vAlign w:val="center"/>
          </w:tcPr>
          <w:p w14:paraId="065EEAF8" w14:textId="3E4E7E93" w:rsidR="00F82E0C" w:rsidRPr="00C1710C" w:rsidRDefault="00F82E0C" w:rsidP="00866F87">
            <w:pPr>
              <w:pStyle w:val="MDPI42tablebody"/>
              <w:spacing w:line="240" w:lineRule="auto"/>
              <w:rPr>
                <w:sz w:val="18"/>
                <w:szCs w:val="18"/>
                <w:highlight w:val="yellow"/>
              </w:rPr>
            </w:pPr>
            <w:r w:rsidRPr="00C1710C">
              <w:rPr>
                <w:sz w:val="18"/>
                <w:szCs w:val="18"/>
                <w:highlight w:val="yellow"/>
              </w:rPr>
              <w:t>31.4</w:t>
            </w:r>
            <w:r w:rsidR="0085349E" w:rsidRPr="00C1710C">
              <w:rPr>
                <w:sz w:val="18"/>
                <w:szCs w:val="18"/>
                <w:highlight w:val="yellow"/>
              </w:rPr>
              <w:t>0</w:t>
            </w:r>
          </w:p>
        </w:tc>
      </w:tr>
      <w:tr w:rsidR="00F82E0C" w:rsidRPr="00D61D1F" w14:paraId="31F80F13" w14:textId="77777777" w:rsidTr="00866F87">
        <w:trPr>
          <w:gridAfter w:val="1"/>
          <w:wAfter w:w="141" w:type="dxa"/>
          <w:trHeight w:val="290"/>
        </w:trPr>
        <w:tc>
          <w:tcPr>
            <w:tcW w:w="2268" w:type="dxa"/>
            <w:vAlign w:val="center"/>
          </w:tcPr>
          <w:p w14:paraId="0DC93A02" w14:textId="77777777" w:rsidR="00F82E0C" w:rsidRPr="006A2F2E" w:rsidRDefault="00F82E0C" w:rsidP="00725AC5">
            <w:pPr>
              <w:pStyle w:val="MDPI42tablebody"/>
              <w:spacing w:line="240" w:lineRule="auto"/>
              <w:rPr>
                <w:sz w:val="18"/>
                <w:szCs w:val="18"/>
              </w:rPr>
            </w:pPr>
            <w:r w:rsidRPr="006A2F2E">
              <w:rPr>
                <w:sz w:val="18"/>
                <w:szCs w:val="18"/>
              </w:rPr>
              <w:t>Mean Euclidean nearest neighbor distance (m)</w:t>
            </w:r>
          </w:p>
        </w:tc>
        <w:tc>
          <w:tcPr>
            <w:tcW w:w="1276" w:type="dxa"/>
            <w:shd w:val="clear" w:color="auto" w:fill="auto"/>
            <w:vAlign w:val="center"/>
          </w:tcPr>
          <w:p w14:paraId="7BC30BAE" w14:textId="22200C57" w:rsidR="00F82E0C" w:rsidRPr="00C1710C" w:rsidRDefault="00F82E0C" w:rsidP="00866F87">
            <w:pPr>
              <w:pStyle w:val="MDPI42tablebody"/>
              <w:spacing w:line="240" w:lineRule="auto"/>
              <w:rPr>
                <w:sz w:val="18"/>
                <w:szCs w:val="18"/>
                <w:highlight w:val="yellow"/>
              </w:rPr>
            </w:pPr>
            <w:r w:rsidRPr="00C1710C">
              <w:rPr>
                <w:sz w:val="18"/>
                <w:szCs w:val="18"/>
                <w:highlight w:val="yellow"/>
              </w:rPr>
              <w:t>129.4</w:t>
            </w:r>
            <w:r w:rsidR="0085349E" w:rsidRPr="00C1710C">
              <w:rPr>
                <w:sz w:val="18"/>
                <w:szCs w:val="18"/>
                <w:highlight w:val="yellow"/>
              </w:rPr>
              <w:t>0</w:t>
            </w:r>
          </w:p>
        </w:tc>
        <w:tc>
          <w:tcPr>
            <w:tcW w:w="708" w:type="dxa"/>
            <w:vAlign w:val="center"/>
          </w:tcPr>
          <w:p w14:paraId="04A411D1" w14:textId="77BAE5A4" w:rsidR="00F82E0C" w:rsidRPr="00C1710C" w:rsidRDefault="00F82E0C" w:rsidP="00866F87">
            <w:pPr>
              <w:pStyle w:val="MDPI42tablebody"/>
              <w:spacing w:line="240" w:lineRule="auto"/>
              <w:rPr>
                <w:sz w:val="18"/>
                <w:szCs w:val="18"/>
                <w:highlight w:val="yellow"/>
              </w:rPr>
            </w:pPr>
            <w:r w:rsidRPr="00C1710C">
              <w:rPr>
                <w:sz w:val="18"/>
                <w:szCs w:val="18"/>
                <w:highlight w:val="yellow"/>
              </w:rPr>
              <w:t>615.6</w:t>
            </w:r>
            <w:r w:rsidR="0085349E" w:rsidRPr="00C1710C">
              <w:rPr>
                <w:sz w:val="18"/>
                <w:szCs w:val="18"/>
                <w:highlight w:val="yellow"/>
              </w:rPr>
              <w:t>0</w:t>
            </w:r>
          </w:p>
        </w:tc>
        <w:tc>
          <w:tcPr>
            <w:tcW w:w="709" w:type="dxa"/>
            <w:vAlign w:val="center"/>
          </w:tcPr>
          <w:p w14:paraId="254C3F4B" w14:textId="1415548D" w:rsidR="00F82E0C" w:rsidRPr="00C1710C" w:rsidRDefault="00F82E0C" w:rsidP="00866F87">
            <w:pPr>
              <w:pStyle w:val="MDPI42tablebody"/>
              <w:spacing w:line="240" w:lineRule="auto"/>
              <w:rPr>
                <w:sz w:val="18"/>
                <w:szCs w:val="18"/>
                <w:highlight w:val="yellow"/>
              </w:rPr>
            </w:pPr>
            <w:r w:rsidRPr="00C1710C">
              <w:rPr>
                <w:sz w:val="18"/>
                <w:szCs w:val="18"/>
                <w:highlight w:val="yellow"/>
              </w:rPr>
              <w:t>-</w:t>
            </w:r>
          </w:p>
        </w:tc>
        <w:tc>
          <w:tcPr>
            <w:tcW w:w="992" w:type="dxa"/>
            <w:gridSpan w:val="2"/>
            <w:vAlign w:val="center"/>
          </w:tcPr>
          <w:p w14:paraId="7924D4D8" w14:textId="4893E5F5" w:rsidR="00F82E0C" w:rsidRPr="00C1710C" w:rsidRDefault="00F82E0C" w:rsidP="00866F87">
            <w:pPr>
              <w:pStyle w:val="MDPI42tablebody"/>
              <w:spacing w:line="240" w:lineRule="auto"/>
              <w:rPr>
                <w:sz w:val="18"/>
                <w:szCs w:val="18"/>
                <w:highlight w:val="yellow"/>
              </w:rPr>
            </w:pPr>
            <w:r w:rsidRPr="00C1710C">
              <w:rPr>
                <w:sz w:val="18"/>
                <w:szCs w:val="18"/>
                <w:highlight w:val="yellow"/>
              </w:rPr>
              <w:t>133.9</w:t>
            </w:r>
            <w:r w:rsidR="0085349E" w:rsidRPr="00C1710C">
              <w:rPr>
                <w:sz w:val="18"/>
                <w:szCs w:val="18"/>
                <w:highlight w:val="yellow"/>
              </w:rPr>
              <w:t>0</w:t>
            </w:r>
          </w:p>
        </w:tc>
        <w:tc>
          <w:tcPr>
            <w:tcW w:w="1128" w:type="dxa"/>
            <w:shd w:val="clear" w:color="auto" w:fill="auto"/>
            <w:vAlign w:val="center"/>
          </w:tcPr>
          <w:p w14:paraId="15064FF1" w14:textId="64A03FEB" w:rsidR="00F82E0C" w:rsidRPr="00C1710C" w:rsidRDefault="00F82E0C" w:rsidP="00866F87">
            <w:pPr>
              <w:pStyle w:val="MDPI42tablebody"/>
              <w:spacing w:line="240" w:lineRule="auto"/>
              <w:rPr>
                <w:sz w:val="18"/>
                <w:szCs w:val="18"/>
                <w:highlight w:val="yellow"/>
              </w:rPr>
            </w:pPr>
            <w:r w:rsidRPr="00C1710C">
              <w:rPr>
                <w:sz w:val="18"/>
                <w:szCs w:val="18"/>
                <w:highlight w:val="yellow"/>
              </w:rPr>
              <w:t>152.0</w:t>
            </w:r>
          </w:p>
        </w:tc>
        <w:tc>
          <w:tcPr>
            <w:tcW w:w="709" w:type="dxa"/>
            <w:vAlign w:val="center"/>
          </w:tcPr>
          <w:p w14:paraId="2E359290" w14:textId="1D9D5DB3" w:rsidR="00F82E0C" w:rsidRPr="00C1710C" w:rsidRDefault="00F82E0C" w:rsidP="00866F87">
            <w:pPr>
              <w:pStyle w:val="MDPI42tablebody"/>
              <w:spacing w:line="240" w:lineRule="auto"/>
              <w:rPr>
                <w:sz w:val="18"/>
                <w:szCs w:val="18"/>
                <w:highlight w:val="yellow"/>
              </w:rPr>
            </w:pPr>
            <w:r w:rsidRPr="00C1710C">
              <w:rPr>
                <w:sz w:val="18"/>
                <w:szCs w:val="18"/>
                <w:highlight w:val="yellow"/>
              </w:rPr>
              <w:t>127.4</w:t>
            </w:r>
            <w:r w:rsidR="0085349E" w:rsidRPr="00C1710C">
              <w:rPr>
                <w:sz w:val="18"/>
                <w:szCs w:val="18"/>
                <w:highlight w:val="yellow"/>
              </w:rPr>
              <w:t>0</w:t>
            </w:r>
          </w:p>
        </w:tc>
      </w:tr>
    </w:tbl>
    <w:p w14:paraId="3F91A39F" w14:textId="05F6659A" w:rsidR="00934860" w:rsidRPr="00934860" w:rsidRDefault="00095BDA" w:rsidP="00934860">
      <w:pPr>
        <w:pStyle w:val="MDPI31text"/>
        <w:rPr>
          <w:sz w:val="16"/>
          <w:szCs w:val="16"/>
        </w:rPr>
      </w:pPr>
      <w:r w:rsidRPr="00095BDA">
        <w:rPr>
          <w:sz w:val="16"/>
          <w:szCs w:val="16"/>
          <w:highlight w:val="yellow"/>
        </w:rPr>
        <w:t>*</w:t>
      </w:r>
      <w:r>
        <w:rPr>
          <w:sz w:val="16"/>
          <w:szCs w:val="16"/>
          <w:highlight w:val="yellow"/>
        </w:rPr>
        <w:t xml:space="preserve"> </w:t>
      </w:r>
      <w:r w:rsidR="00934860" w:rsidRPr="00095BDA">
        <w:rPr>
          <w:sz w:val="16"/>
          <w:szCs w:val="16"/>
          <w:highlight w:val="yellow"/>
        </w:rPr>
        <w:t xml:space="preserve">S1 </w:t>
      </w:r>
      <w:r w:rsidR="00934860" w:rsidRPr="00A96E51">
        <w:rPr>
          <w:sz w:val="16"/>
          <w:szCs w:val="16"/>
          <w:highlight w:val="yellow"/>
        </w:rPr>
        <w:t>is Scenario 1 “avocado decrease”, S2 is Scenario 2 “avocado expansion” and S3, Scenario 3 “ecological restoration”</w:t>
      </w:r>
    </w:p>
    <w:p w14:paraId="1072517D" w14:textId="77777777" w:rsidR="00934860" w:rsidRDefault="00934860" w:rsidP="00934860">
      <w:pPr>
        <w:pStyle w:val="MDPI31text"/>
        <w:ind w:left="0" w:firstLine="0"/>
      </w:pPr>
    </w:p>
    <w:p w14:paraId="0456BBB8" w14:textId="79B986D1" w:rsidR="008074C1" w:rsidRDefault="00866F87" w:rsidP="008074C1">
      <w:pPr>
        <w:pStyle w:val="MDPI31text"/>
      </w:pPr>
      <w:r w:rsidRPr="00866F87">
        <w:t>Based on the 2023 LULC baseline, the simulated scenarios produced contrasting effects on landscape configuration for avocado plantations and native vegetation. In S1, which involves reducing avocado by substituting avocado lands beyond 550 m with native vegetation, the number of avocado patches increased to 3,996 accompanied by a very low Largest Patch Index (LPI) of 0.07% and a modest mean patch area of 3.4 hectares. The mean Euclidean nearest neighbor distance for avocado patches was 129.4 m, indicating relatively close proximity among these smaller, more fragmented patches. In contrast, native vegetation in S1 showed an increase to 10,890 patches, with an LPI of 42.3%, a mean patch area of 30.1 ha, and a nearest neighbor distance of 133.9 m, suggesting a widespread yet fragmented cover.</w:t>
      </w:r>
    </w:p>
    <w:p w14:paraId="60111BFC" w14:textId="33796A93" w:rsidR="00866F87" w:rsidRDefault="00866F87" w:rsidP="008074C1">
      <w:pPr>
        <w:pStyle w:val="MDPI31text"/>
      </w:pPr>
      <w:r w:rsidRPr="00866F87">
        <w:t>In S2, simulating the expansion of avocado plantations through a 200-m buffer, the landscape configuration shifted markedly. Here, the number of avocado patches dramatically decreased to 475, while the LPI increased substantially to 8.03% and the mean patch area soared to 180.2 ha. This indicates that avocado patches became much larger and more spatially dominant, though also more isolated, as reflected by the increased mean nearest neighbor distance of 615.6 m. Concurrently, native vegetation in S2 decreased to 7,817 patches, with an LPI of 37.7%, a slightly larger mean patch area of 37.5 ha, and an increased nearest neighbor distance of 152.0 m, suggesting a reduction in the continuity of the native cover.</w:t>
      </w:r>
    </w:p>
    <w:p w14:paraId="53FB394D" w14:textId="040B1D35" w:rsidR="00866F87" w:rsidRDefault="00866F87" w:rsidP="008074C1">
      <w:pPr>
        <w:pStyle w:val="MDPI31text"/>
      </w:pPr>
      <w:r w:rsidRPr="00866F87">
        <w:t>Finally, S3 represents an ecological restoration intervention where avocado plantations are entirely replaced by native vegetation. As expected, no metrics were recorded for avocado land under this scenario. Native vegetation, however, achieved 10,896 patches, with an LPI of 44.04%, a mean patch area of 31.4 ha, and a reduced mean nearest neighbor distance of 127.4 m. This configuration implies a more consolidated and potentially less fragmented native vegetation cover compared to S2.</w:t>
      </w:r>
    </w:p>
    <w:p w14:paraId="7E983384" w14:textId="1FE805EC" w:rsidR="00866F87" w:rsidRDefault="00866F87" w:rsidP="008074C1">
      <w:pPr>
        <w:pStyle w:val="MDPI31text"/>
      </w:pPr>
      <w:r w:rsidRPr="00866F87">
        <w:t>In general, these results demonstrate that management interventions can have profound and divergent impacts on landscape structure. While S2 enhances the dominance and spatial aggregation of avocado plantations, S1 and S3 promote a landscape with more, albeit smaller, native vegetation patches, influencing both the degree of fragmentation and connectivity within the landscape.</w:t>
      </w:r>
    </w:p>
    <w:p w14:paraId="5289BBFE" w14:textId="77777777" w:rsidR="00866F87" w:rsidRDefault="00866F87" w:rsidP="008074C1">
      <w:pPr>
        <w:pStyle w:val="MDPI31text"/>
      </w:pPr>
    </w:p>
    <w:p w14:paraId="79ED3431" w14:textId="77777777" w:rsidR="005344F3" w:rsidRDefault="005344F3" w:rsidP="00242122">
      <w:pPr>
        <w:pStyle w:val="MDPI21heading1"/>
      </w:pPr>
      <w:r w:rsidRPr="00242122">
        <w:t>4. Discussion</w:t>
      </w:r>
    </w:p>
    <w:p w14:paraId="462B61DE" w14:textId="3C060901" w:rsidR="00866F87" w:rsidRDefault="00866F87" w:rsidP="00FA28E0">
      <w:pPr>
        <w:pStyle w:val="MDPI22heading2"/>
        <w:spacing w:before="0"/>
      </w:pPr>
      <w:bookmarkStart w:id="12" w:name="_Hlk190956623"/>
      <w:r>
        <w:t>4.1</w:t>
      </w:r>
      <w:r w:rsidRPr="001F31D1">
        <w:t xml:space="preserve"> </w:t>
      </w:r>
      <w:r>
        <w:t xml:space="preserve">Assessment of </w:t>
      </w:r>
      <w:r w:rsidR="005510A8">
        <w:t>C</w:t>
      </w:r>
      <w:r>
        <w:t xml:space="preserve">hange </w:t>
      </w:r>
      <w:r w:rsidR="005510A8">
        <w:t>A</w:t>
      </w:r>
      <w:r>
        <w:t xml:space="preserve">nalysis of LULC and </w:t>
      </w:r>
      <w:r w:rsidR="005510A8">
        <w:t>A</w:t>
      </w:r>
      <w:r>
        <w:t xml:space="preserve">vocado </w:t>
      </w:r>
      <w:r w:rsidR="005510A8">
        <w:t>P</w:t>
      </w:r>
      <w:r>
        <w:t>lantations</w:t>
      </w:r>
    </w:p>
    <w:bookmarkEnd w:id="12"/>
    <w:p w14:paraId="6E7C9B71" w14:textId="77777777" w:rsidR="001D6243" w:rsidRDefault="001D6243" w:rsidP="00FA28E0">
      <w:pPr>
        <w:pStyle w:val="MDPI22heading2"/>
        <w:spacing w:before="0"/>
        <w:ind w:firstLine="425"/>
        <w:jc w:val="both"/>
        <w:rPr>
          <w:i w:val="0"/>
          <w:noProof w:val="0"/>
        </w:rPr>
      </w:pPr>
      <w:r w:rsidRPr="001D6243">
        <w:rPr>
          <w:i w:val="0"/>
          <w:noProof w:val="0"/>
        </w:rPr>
        <w:t>A 9-class classification was successfully generated at a 30 m resolution, with emphasis on avocado plantations. Therefore, we proved that a supervised classification with the Random Forest method on the Google Earth Engine (GEE) platform and Landsat images from 2003, 2013, and 2023, allow an in-depth analysis of the influences of avocado plantations on LULC changes in the Aconcagua basin.</w:t>
      </w:r>
    </w:p>
    <w:p w14:paraId="2F060C2B" w14:textId="101C129B" w:rsidR="001D6243" w:rsidRDefault="001D6243" w:rsidP="00FA28E0">
      <w:pPr>
        <w:pStyle w:val="MDPI22heading2"/>
        <w:spacing w:before="0"/>
        <w:ind w:firstLine="425"/>
        <w:jc w:val="both"/>
        <w:rPr>
          <w:i w:val="0"/>
          <w:noProof w:val="0"/>
        </w:rPr>
      </w:pPr>
      <w:r w:rsidRPr="001D6243">
        <w:rPr>
          <w:i w:val="0"/>
          <w:noProof w:val="0"/>
        </w:rPr>
        <w:t xml:space="preserve">Particularly, our </w:t>
      </w:r>
      <w:r w:rsidR="00766F14" w:rsidRPr="00766F14">
        <w:rPr>
          <w:i w:val="0"/>
          <w:noProof w:val="0"/>
        </w:rPr>
        <w:t xml:space="preserve">geospatial analysis </w:t>
      </w:r>
      <w:r w:rsidRPr="001D6243">
        <w:rPr>
          <w:i w:val="0"/>
          <w:noProof w:val="0"/>
        </w:rPr>
        <w:t>workflow went beyond LULC products for Chile's Aconcagua basin that do not distinguish specific fruit crops (CONAF</w:t>
      </w:r>
      <w:r>
        <w:rPr>
          <w:i w:val="0"/>
          <w:noProof w:val="0"/>
        </w:rPr>
        <w:t xml:space="preserve"> </w:t>
      </w:r>
      <w:r>
        <w:rPr>
          <w:i w:val="0"/>
          <w:noProof w:val="0"/>
        </w:rPr>
        <w:fldChar w:fldCharType="begin" w:fldLock="1"/>
      </w:r>
      <w:r w:rsidR="00B2687A">
        <w:rPr>
          <w:i w:val="0"/>
          <w:noProof w:val="0"/>
        </w:rPr>
        <w:instrText>ADDIN CSL_CITATION {"citationItems":[{"id":"ITEM-1","itemData":{"author":[{"dropping-particle":"","family":"(CONAF)","given":"Corporación Nacional Forestal","non-dropping-particle":"","parse-names":false,"suffix":""}],"id":"ITEM-1","issued":{"date-parts":[["2019"]]},"number-of-pages":"70","title":"ACTUALIZACIÓN DEL CATASTRO DE LOS RECURSOS VEGETACIONALES DE LA REGIÓN DE VALPARAÍSO AÑO 2019","type":"report"},"uris":["http://www.mendeley.com/documents/?uuid=50db3f03-cd84-4cdf-bafb-0e921d413f46"]}],"mendeley":{"formattedCitation":"&lt;span style=\"baseline\"&gt;[35]&lt;/span&gt;","plainTextFormattedCitation":"[35]","previouslyFormattedCitation":"&lt;span style=\"baseline\"&gt;[35]&lt;/span&gt;"},"properties":{"noteIndex":0},"schema":"https://github.com/citation-style-language/schema/raw/master/csl-citation.json"}</w:instrText>
      </w:r>
      <w:r>
        <w:rPr>
          <w:i w:val="0"/>
          <w:noProof w:val="0"/>
        </w:rPr>
        <w:fldChar w:fldCharType="separate"/>
      </w:r>
      <w:r w:rsidR="004B02F5" w:rsidRPr="004B02F5">
        <w:rPr>
          <w:i w:val="0"/>
        </w:rPr>
        <w:t>[35]</w:t>
      </w:r>
      <w:r>
        <w:rPr>
          <w:i w:val="0"/>
          <w:noProof w:val="0"/>
        </w:rPr>
        <w:fldChar w:fldCharType="end"/>
      </w:r>
      <w:r w:rsidRPr="001D6243">
        <w:rPr>
          <w:i w:val="0"/>
          <w:noProof w:val="0"/>
        </w:rPr>
        <w:t xml:space="preserve"> and </w:t>
      </w:r>
      <w:proofErr w:type="spellStart"/>
      <w:r w:rsidRPr="001D6243">
        <w:rPr>
          <w:i w:val="0"/>
          <w:noProof w:val="0"/>
        </w:rPr>
        <w:t>MapBiomas</w:t>
      </w:r>
      <w:proofErr w:type="spellEnd"/>
      <w:r>
        <w:rPr>
          <w:i w:val="0"/>
          <w:noProof w:val="0"/>
        </w:rPr>
        <w:t xml:space="preserve"> </w:t>
      </w:r>
      <w:r>
        <w:rPr>
          <w:i w:val="0"/>
          <w:noProof w:val="0"/>
        </w:rPr>
        <w:fldChar w:fldCharType="begin" w:fldLock="1"/>
      </w:r>
      <w:r w:rsidR="00CF0B43">
        <w:rPr>
          <w:i w:val="0"/>
          <w:noProof w:val="0"/>
        </w:rPr>
        <w:instrText>ADDIN CSL_CITATION {"citationItems":[{"id":"ITEM-1","itemData":{"URL":"https://chile.mapbiomas.org/","abstract":"Seiring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Kata","accessed":{"date-parts":[["2025","1","2"]]},"author":[{"dropping-particle":"","family":"MapBiomas","given":"","non-dropping-particle":"","parse-names":false,"suffix":""}],"id":"ITEM-1","issue":"2024","issued":{"date-parts":[["2024"]]},"title":"Colección 1 [2024] de la Serie Anual de Mapas de Cobertura y Uso del Suelo de Chile","type":"webpage","volume":"1"},"uris":["http://www.mendeley.com/documents/?uuid=359c3b76-e2d3-42ad-ad5b-74bb5a1d633a"]}],"mendeley":{"formattedCitation":"&lt;span style=\"baseline\"&gt;[36]&lt;/span&gt;","plainTextFormattedCitation":"[36]","previouslyFormattedCitation":"&lt;span style=\"baseline\"&gt;[36]&lt;/span&gt;"},"properties":{"noteIndex":0},"schema":"https://github.com/citation-style-language/schema/raw/master/csl-citation.json"}</w:instrText>
      </w:r>
      <w:r>
        <w:rPr>
          <w:i w:val="0"/>
          <w:noProof w:val="0"/>
        </w:rPr>
        <w:fldChar w:fldCharType="separate"/>
      </w:r>
      <w:r w:rsidR="004B02F5" w:rsidRPr="004B02F5">
        <w:rPr>
          <w:i w:val="0"/>
        </w:rPr>
        <w:t>[36]</w:t>
      </w:r>
      <w:r>
        <w:rPr>
          <w:i w:val="0"/>
          <w:noProof w:val="0"/>
        </w:rPr>
        <w:fldChar w:fldCharType="end"/>
      </w:r>
      <w:r w:rsidRPr="001D6243">
        <w:rPr>
          <w:i w:val="0"/>
          <w:noProof w:val="0"/>
        </w:rPr>
        <w:t>). This highlights the significance of the present study, which introduces an updated classification that independently categorizes avocado plantations, fruit farm lands, and other agricultural lands.</w:t>
      </w:r>
    </w:p>
    <w:p w14:paraId="34EEC083" w14:textId="79AE653E" w:rsidR="00FA28E0" w:rsidRDefault="00FA28E0" w:rsidP="00FA28E0">
      <w:pPr>
        <w:pStyle w:val="MDPI22heading2"/>
        <w:spacing w:before="0"/>
        <w:ind w:firstLine="425"/>
        <w:jc w:val="both"/>
        <w:rPr>
          <w:i w:val="0"/>
          <w:noProof w:val="0"/>
        </w:rPr>
      </w:pPr>
      <w:r w:rsidRPr="00FA28E0">
        <w:rPr>
          <w:i w:val="0"/>
          <w:noProof w:val="0"/>
        </w:rPr>
        <w:lastRenderedPageBreak/>
        <w:t xml:space="preserve">The latest LULC update by CONAF dates to 2019 </w:t>
      </w:r>
      <w:r w:rsidR="00DA3C0E">
        <w:rPr>
          <w:i w:val="0"/>
          <w:noProof w:val="0"/>
        </w:rPr>
        <w:fldChar w:fldCharType="begin" w:fldLock="1"/>
      </w:r>
      <w:r w:rsidR="00B2687A">
        <w:rPr>
          <w:i w:val="0"/>
          <w:noProof w:val="0"/>
        </w:rPr>
        <w:instrText>ADDIN CSL_CITATION {"citationItems":[{"id":"ITEM-1","itemData":{"author":[{"dropping-particle":"","family":"(CONAF)","given":"Corporación Nacional Forestal","non-dropping-particle":"","parse-names":false,"suffix":""}],"id":"ITEM-1","issued":{"date-parts":[["2019"]]},"number-of-pages":"70","title":"ACTUALIZACIÓN DEL CATASTRO DE LOS RECURSOS VEGETACIONALES DE LA REGIÓN DE VALPARAÍSO AÑO 2019","type":"report"},"uris":["http://www.mendeley.com/documents/?uuid=50db3f03-cd84-4cdf-bafb-0e921d413f46"]}],"mendeley":{"formattedCitation":"&lt;span style=\"baseline\"&gt;[35]&lt;/span&gt;","plainTextFormattedCitation":"[35]","previouslyFormattedCitation":"&lt;span style=\"baseline\"&gt;[35]&lt;/span&gt;"},"properties":{"noteIndex":0},"schema":"https://github.com/citation-style-language/schema/raw/master/csl-citation.json"}</w:instrText>
      </w:r>
      <w:r w:rsidR="00DA3C0E">
        <w:rPr>
          <w:i w:val="0"/>
          <w:noProof w:val="0"/>
        </w:rPr>
        <w:fldChar w:fldCharType="separate"/>
      </w:r>
      <w:r w:rsidR="004B02F5" w:rsidRPr="004B02F5">
        <w:rPr>
          <w:i w:val="0"/>
        </w:rPr>
        <w:t>[35]</w:t>
      </w:r>
      <w:r w:rsidR="00DA3C0E">
        <w:rPr>
          <w:i w:val="0"/>
          <w:noProof w:val="0"/>
        </w:rPr>
        <w:fldChar w:fldCharType="end"/>
      </w:r>
      <w:r w:rsidRPr="00FA28E0">
        <w:rPr>
          <w:i w:val="0"/>
          <w:noProof w:val="0"/>
        </w:rPr>
        <w:t>, and its evaluation report identifies wildfires, land conversion for livestock and agriculture, and urban expansion as the three primary drivers of LULC change. These findings align with the results of this study, which revealed an increase in urban areas, a decrease in shrublands and dense native vegetation, and a substantial expansion of all fruit crops. Wildfires may have played a role in the loss of native vegetation areas, resulting in their conversion to bare soil, which could subsequently transit</w:t>
      </w:r>
      <w:r w:rsidR="00406F6B">
        <w:rPr>
          <w:i w:val="0"/>
          <w:noProof w:val="0"/>
        </w:rPr>
        <w:t xml:space="preserve"> </w:t>
      </w:r>
      <w:r w:rsidRPr="00FA28E0">
        <w:rPr>
          <w:i w:val="0"/>
          <w:noProof w:val="0"/>
        </w:rPr>
        <w:t>to agricultural land, as suggested by</w:t>
      </w:r>
      <w:r w:rsidR="009E26F0">
        <w:rPr>
          <w:i w:val="0"/>
          <w:noProof w:val="0"/>
        </w:rPr>
        <w:t xml:space="preserve"> </w:t>
      </w:r>
      <w:r w:rsidRPr="00FA28E0">
        <w:rPr>
          <w:i w:val="0"/>
          <w:noProof w:val="0"/>
        </w:rPr>
        <w:t>Zambrano et a</w:t>
      </w:r>
      <w:r w:rsidR="009E26F0">
        <w:rPr>
          <w:i w:val="0"/>
          <w:noProof w:val="0"/>
        </w:rPr>
        <w:t>l</w:t>
      </w:r>
      <w:r w:rsidR="00711FA3" w:rsidRPr="00711FA3">
        <w:rPr>
          <w:i w:val="0"/>
          <w:noProof w:val="0"/>
          <w:highlight w:val="yellow"/>
        </w:rPr>
        <w:t>.</w:t>
      </w:r>
      <w:r w:rsidR="009E26F0">
        <w:rPr>
          <w:i w:val="0"/>
          <w:noProof w:val="0"/>
        </w:rPr>
        <w:t xml:space="preserve"> </w:t>
      </w:r>
      <w:r w:rsidR="009E26F0">
        <w:rPr>
          <w:i w:val="0"/>
          <w:noProof w:val="0"/>
        </w:rPr>
        <w:fldChar w:fldCharType="begin" w:fldLock="1"/>
      </w:r>
      <w:r w:rsidR="00CF0B43">
        <w:rPr>
          <w:i w:val="0"/>
          <w:noProof w:val="0"/>
        </w:rPr>
        <w:instrText>ADDIN CSL_CITATION {"citationItems":[{"id":"ITEM-1","itemData":{"DOI":"https://doi.org/10.31223/X5CD80","abstract":"Globally, droughts are becoming longer, more frequent and more severe, and their impacts are multidimensional. These impacts typically extend beyond the water balance as long-term, cumulative changes in the water balance can lead to regime shifts in land use. Here, we assess the effects of temporal changes in water supply and demand on vegetation productivity and land cover change over multiple time scales in continental Chile, which has experienced a severe drought over the last 20 years. Across most of continental Chile, we found a persistent decreasing trend in water supply and an increasing trend in water demand since 1981, trends that intensify over longer time scales. This long-term decrease in water availability has led to a decrease in vegetation productivity, especially in central and southern Chile. Our models suggest that increasing drought severity has led to shifts in land use towards more drought-tolerant land cover types, such as shrublands. We also found evidence that human perceptions of prolonged drought can indirectly lead to large-scale changes in land use. Our results suggest that long-term climate change may lead to regime shifts in land cover that can be mitigated by context-specific adaptation strategies. 1 This paper is a non-peer reviewed preprint submitted to EarthArXiv.","author":[{"dropping-particle":"","family":"Zambrano","given":"Francisco","non-dropping-particle":"","parse-names":false,"suffix":""},{"dropping-particle":"","family":"Vrieling","given":"Anton","non-dropping-particle":"","parse-names":false,"suffix":""},{"dropping-particle":"","family":"Meza","given":"Francisco","non-dropping-particle":"","parse-names":false,"suffix":""},{"dropping-particle":"","family":"Duran-Llacer","given":"Iongel","non-dropping-particle":"","parse-names":false,"suffix":""},{"dropping-particle":"","family":"Fernández","given":"Francisco","non-dropping-particle":"","parse-names":false,"suffix":""},{"dropping-particle":"","family":"Venegas-González","given":"Alejandro","non-dropping-particle":"","parse-names":false,"suffix":""},{"dropping-particle":"","family":"Raab","given":"Nicolas","non-dropping-particle":"","parse-names":false,"suffix":""},{"dropping-particle":"","family":"Craven","given":"Dylan","non-dropping-particle":"","parse-names":false,"suffix":""}],"container-title":"Eartharxiv repository","id":"ITEM-1","issued":{"date-parts":[["2025"]]},"title":"Shifts in water supply and demand drive land cover change across Chile","type":"article-journal"},"uris":["http://www.mendeley.com/documents/?uuid=29749a92-3261-4671-8095-9e830142a90b"]}],"mendeley":{"formattedCitation":"&lt;span style=\"baseline\"&gt;[61]&lt;/span&gt;","plainTextFormattedCitation":"[61]","previouslyFormattedCitation":"&lt;span style=\"baseline\"&gt;[61]&lt;/span&gt;"},"properties":{"noteIndex":0},"schema":"https://github.com/citation-style-language/schema/raw/master/csl-citation.json"}</w:instrText>
      </w:r>
      <w:r w:rsidR="009E26F0">
        <w:rPr>
          <w:i w:val="0"/>
          <w:noProof w:val="0"/>
        </w:rPr>
        <w:fldChar w:fldCharType="separate"/>
      </w:r>
      <w:r w:rsidR="004B02F5" w:rsidRPr="004B02F5">
        <w:rPr>
          <w:i w:val="0"/>
        </w:rPr>
        <w:t>[61]</w:t>
      </w:r>
      <w:r w:rsidR="009E26F0">
        <w:rPr>
          <w:i w:val="0"/>
          <w:noProof w:val="0"/>
        </w:rPr>
        <w:fldChar w:fldCharType="end"/>
      </w:r>
      <w:r w:rsidRPr="00FA28E0">
        <w:rPr>
          <w:i w:val="0"/>
          <w:noProof w:val="0"/>
        </w:rPr>
        <w:t xml:space="preserve">. However, the results of </w:t>
      </w:r>
      <w:r w:rsidR="00805271">
        <w:rPr>
          <w:i w:val="0"/>
          <w:noProof w:val="0"/>
        </w:rPr>
        <w:t>our</w:t>
      </w:r>
      <w:r w:rsidRPr="00FA28E0">
        <w:rPr>
          <w:i w:val="0"/>
          <w:noProof w:val="0"/>
        </w:rPr>
        <w:t xml:space="preserve"> study indicate that avocado plantations primarily expanded at the expense of native vegetation, particularly shrublands. </w:t>
      </w:r>
      <w:proofErr w:type="spellStart"/>
      <w:r w:rsidRPr="00FA28E0">
        <w:rPr>
          <w:i w:val="0"/>
          <w:noProof w:val="0"/>
        </w:rPr>
        <w:t>MapBiomas</w:t>
      </w:r>
      <w:proofErr w:type="spellEnd"/>
      <w:r w:rsidRPr="00FA28E0">
        <w:rPr>
          <w:i w:val="0"/>
          <w:noProof w:val="0"/>
        </w:rPr>
        <w:t xml:space="preserve"> provides annual maps from 2000 to 2022. Nevertheless, it is limited to a general agricultural land class. In contrast, the </w:t>
      </w:r>
      <w:proofErr w:type="spellStart"/>
      <w:r w:rsidRPr="00FA28E0">
        <w:rPr>
          <w:i w:val="0"/>
          <w:noProof w:val="0"/>
        </w:rPr>
        <w:t>CLDynamicLandCover</w:t>
      </w:r>
      <w:proofErr w:type="spellEnd"/>
      <w:r w:rsidRPr="00FA28E0">
        <w:rPr>
          <w:i w:val="0"/>
          <w:noProof w:val="0"/>
        </w:rPr>
        <w:t xml:space="preserve"> product by Galleguillos et al. </w:t>
      </w:r>
      <w:r w:rsidR="00171199">
        <w:rPr>
          <w:i w:val="0"/>
          <w:noProof w:val="0"/>
        </w:rPr>
        <w:fldChar w:fldCharType="begin" w:fldLock="1"/>
      </w:r>
      <w:r w:rsidR="00CF0B43">
        <w:rPr>
          <w:i w:val="0"/>
          <w:noProof w:val="0"/>
        </w:rPr>
        <w:instrText>ADDIN CSL_CITATION {"citationItems":[{"id":"ITEM-1","itemData":{"DOI":"10.5281/zenodo.13153631","URL":"https://doi.org/10.5281/zenodo.13153631","accessed":{"date-parts":[["2024","8","30"]]},"author":[{"dropping-particle":"","family":"Galleguillos","given":"Mauricio","non-dropping-particle":"","parse-names":false,"suffix":""},{"dropping-particle":"","family":"Ceballos-Comisso","given":"A.","non-dropping-particle":"","parse-names":false,"suffix":""},{"dropping-particle":"","family":"Gimeno","given":"F.","non-dropping-particle":"","parse-names":false,"suffix":""},{"dropping-particle":"","family":"Zambrano-Bigiarini","given":"Mauricio","non-dropping-particle":"","parse-names":false,"suffix":""}],"id":"ITEM-1","issued":{"date-parts":[["2024"]]},"publisher":"Zenodo","title":"CLDynamicLandCover [Data set]. Zenodo","type":"webpage","volume":"Version v3"},"uris":["http://www.mendeley.com/documents/?uuid=c042acf7-da24-4f31-a04f-7ce17290518e"]}],"mendeley":{"formattedCitation":"&lt;span style=\"baseline\"&gt;[37]&lt;/span&gt;","plainTextFormattedCitation":"[37]","previouslyFormattedCitation":"&lt;span style=\"baseline\"&gt;[37]&lt;/span&gt;"},"properties":{"noteIndex":0},"schema":"https://github.com/citation-style-language/schema/raw/master/csl-citation.json"}</w:instrText>
      </w:r>
      <w:r w:rsidR="00171199">
        <w:rPr>
          <w:i w:val="0"/>
          <w:noProof w:val="0"/>
        </w:rPr>
        <w:fldChar w:fldCharType="separate"/>
      </w:r>
      <w:r w:rsidR="004B02F5" w:rsidRPr="004B02F5">
        <w:rPr>
          <w:i w:val="0"/>
        </w:rPr>
        <w:t>[37]</w:t>
      </w:r>
      <w:r w:rsidR="00171199">
        <w:rPr>
          <w:i w:val="0"/>
          <w:noProof w:val="0"/>
        </w:rPr>
        <w:fldChar w:fldCharType="end"/>
      </w:r>
      <w:r w:rsidRPr="00FA28E0">
        <w:rPr>
          <w:i w:val="0"/>
          <w:noProof w:val="0"/>
        </w:rPr>
        <w:t xml:space="preserve"> represents an advancement as it includes a specific fruit trees class. However, this dataset is only available until 2018, and avocado plantations are not a specific class. A recent product was developed to study long-term land-use dynamics: CR2LUC by </w:t>
      </w:r>
      <w:proofErr w:type="spellStart"/>
      <w:r w:rsidRPr="00FA28E0">
        <w:rPr>
          <w:i w:val="0"/>
          <w:noProof w:val="0"/>
        </w:rPr>
        <w:t>Boisier</w:t>
      </w:r>
      <w:proofErr w:type="spellEnd"/>
      <w:r w:rsidRPr="00FA28E0">
        <w:rPr>
          <w:i w:val="0"/>
          <w:noProof w:val="0"/>
        </w:rPr>
        <w:t xml:space="preserve"> et al.</w:t>
      </w:r>
      <w:r w:rsidR="00171199">
        <w:rPr>
          <w:i w:val="0"/>
          <w:noProof w:val="0"/>
        </w:rPr>
        <w:t xml:space="preserve"> </w:t>
      </w:r>
      <w:r w:rsidR="00171199">
        <w:rPr>
          <w:i w:val="0"/>
          <w:noProof w:val="0"/>
        </w:rPr>
        <w:fldChar w:fldCharType="begin" w:fldLock="1"/>
      </w:r>
      <w:r w:rsidR="00CF0B43">
        <w:rPr>
          <w:i w:val="0"/>
          <w:noProof w:val="0"/>
        </w:rPr>
        <w:instrText>ADDIN CSL_CITATION {"citationItems":[{"id":"ITEM-1","itemData":{"DOI":"10.5194/egusphere-2024-2695","author":[{"dropping-particle":"","family":"Boisier","given":"Juan Pablo","non-dropping-particle":"","parse-names":false,"suffix":""},{"dropping-particle":"","family":"Alvarez-garreton","given":"Camila","non-dropping-particle":"","parse-names":false,"suffix":""},{"dropping-particle":"","family":"Marinao","given":"Rodrigo","non-dropping-particle":"","parse-names":false,"suffix":""},{"dropping-particle":"","family":"Galleguillos","given":"Mauricio","non-dropping-particle":"","parse-names":false,"suffix":""}],"id":"ITEM-1","issue":"September","issued":{"date-parts":[["2024"]]},"page":"1-50","title":"Increasing water stress in Chile evidenced by novel datasets of water availability , land use and water use","type":"article-journal"},"uris":["http://www.mendeley.com/documents/?uuid=2e7d8c57-065d-4b9d-bef9-b5a4b68c823a"]}],"mendeley":{"formattedCitation":"&lt;span style=\"baseline\"&gt;[38]&lt;/span&gt;","plainTextFormattedCitation":"[38]","previouslyFormattedCitation":"&lt;span style=\"baseline\"&gt;[38]&lt;/span&gt;"},"properties":{"noteIndex":0},"schema":"https://github.com/citation-style-language/schema/raw/master/csl-citation.json"}</w:instrText>
      </w:r>
      <w:r w:rsidR="00171199">
        <w:rPr>
          <w:i w:val="0"/>
          <w:noProof w:val="0"/>
        </w:rPr>
        <w:fldChar w:fldCharType="separate"/>
      </w:r>
      <w:r w:rsidR="004B02F5" w:rsidRPr="004B02F5">
        <w:rPr>
          <w:i w:val="0"/>
        </w:rPr>
        <w:t>[38]</w:t>
      </w:r>
      <w:r w:rsidR="00171199">
        <w:rPr>
          <w:i w:val="0"/>
          <w:noProof w:val="0"/>
        </w:rPr>
        <w:fldChar w:fldCharType="end"/>
      </w:r>
      <w:r w:rsidRPr="00FA28E0">
        <w:rPr>
          <w:i w:val="0"/>
          <w:noProof w:val="0"/>
        </w:rPr>
        <w:t>, which describes LULC changes in Chile since 1950. This innovative dataset, with a 1 km spatial resolution, includes specific fruit crop classes, including avocado plantations. Yet, its low spatial resolution limits the precise identification of avocado plantations within the studied basin.</w:t>
      </w:r>
    </w:p>
    <w:p w14:paraId="559DC2E7" w14:textId="0D6BBCF7" w:rsidR="00FA28E0" w:rsidRPr="00FA28E0" w:rsidRDefault="00FA28E0" w:rsidP="00FA28E0">
      <w:pPr>
        <w:pStyle w:val="MDPI22heading2"/>
        <w:ind w:firstLine="425"/>
        <w:jc w:val="both"/>
        <w:rPr>
          <w:i w:val="0"/>
          <w:noProof w:val="0"/>
        </w:rPr>
      </w:pPr>
      <w:r w:rsidRPr="00FA28E0">
        <w:rPr>
          <w:i w:val="0"/>
          <w:noProof w:val="0"/>
        </w:rPr>
        <w:t xml:space="preserve">Climate change has significantly influenced land cover changes in central-southern Chile, due to rising temperatures and decreasing precipitation, which have negatively affected the productivity of rainfed crops and grasslands </w:t>
      </w:r>
      <w:r w:rsidR="00DB02BE">
        <w:rPr>
          <w:i w:val="0"/>
          <w:noProof w:val="0"/>
        </w:rPr>
        <w:fldChar w:fldCharType="begin" w:fldLock="1"/>
      </w:r>
      <w:r w:rsidR="00CF0B43">
        <w:rPr>
          <w:i w:val="0"/>
          <w:noProof w:val="0"/>
        </w:rPr>
        <w:instrText>ADDIN CSL_CITATION {"citationItems":[{"id":"ITEM-1","itemData":{"DOI":"10.1016/j.foreco.2024.121847","ISSN":"03781127","abstract":"Chile is a global biodiversity hotspot and hosts a large proportion of the southern hemisphere's temperate forests. The Chilean Valdivian temperate forest is a vulnerable ecosystem containing a highly ecologically valuable species assemblage. Productive forest plantations have involved deforestation of, and alien species introduction into, this ecosystem. This process has already severely impacted the western part of Chile (the Coastal Range) and is now occurring in the eastern part (the Andes), with forestry plantations promoted by government subsidies between 1974 and 2012. Archive Landsat satellite imagery classification and Google Earth Engine are used to assess land cover change over a 31-year period with a focus on alien species (Pinaceae and Eucalyptus spp.) spread and native (Nothofagus spp. and Araucaria araucana) deforestation. Results show a clear land cover pattern based on elevation: a higher altitude, relatively undisturbed area dominated by native forest (the Andes), and a lower altitude area where most human activity and related land covers are located (the valley area). The valley is highly dynamic because of constant land cover change due to forestry. Overall, Araucaria araucana cover has decreased over the study period, while Nothofagus spp. has remained relatively stable. Alien Pinaceae has decreased, while Eucalyptus spp. has remained stable. However, the results indicate that change analysis over long periods conceal dynamism. For example, Eucalyptus spp. sharply decreased between the 1980s and the 1990s and surged afterwards. Also, even though Nothofagus spp. cover dominates throughout the study period, change analysis shows a high degree of change in the valley area, indicating newly established Nothofagus spp. patches. Over the study period, long rotation Pinaceae plantations for timber have given way to shorter rotation forestry (alien Eucalyptus spp., native Nothofagus spp.) for pulp and local uses resulting from discontinuation of forest subsidies. In the absence of subsidies, only large-scale plantations can engage in long rotation forestry, as smallholders need the more stable income provided by shorter rotation forestry. Although higher elevations (the Andes) are dominated by native forest, several abandoned alien forest plantations may be the source of biological invasion. In addition, native forest degradation as a result of Araucaria araucana loss and shrub encroachment is occurring. Earth observation methods are key fo…","author":[{"dropping-particle":"","family":"Martin-Gallego","given":"Pilar","non-dropping-particle":"","parse-names":false,"suffix":""},{"dropping-particle":"","family":"Marston","given":"Christopher G.","non-dropping-particle":"","parse-names":false,"suffix":""},{"dropping-particle":"","family":"Altamirano","given":"Adison","non-dropping-particle":"","parse-names":false,"suffix":""},{"dropping-particle":"","family":"Pauchard","given":"Aníbal","non-dropping-particle":"","parse-names":false,"suffix":""},{"dropping-particle":"","family":"Aplin","given":"Paul","non-dropping-particle":"","parse-names":false,"suffix":""}],"container-title":"Forest Ecology and Management","id":"ITEM-1","issue":"March","issued":{"date-parts":[["2024"]]},"page":"121847","publisher":"Elsevier B.V.","title":"Mapping alien and native forest dynamics in Chile using Earth observation time series analysis","type":"article-journal","volume":"560"},"uris":["http://www.mendeley.com/documents/?uuid=7324c42d-cc2f-4af5-b50d-9ec249ff8eb3"]}],"mendeley":{"formattedCitation":"&lt;span style=\"baseline\"&gt;[25]&lt;/span&gt;","plainTextFormattedCitation":"[25]","previouslyFormattedCitation":"&lt;span style=\"baseline\"&gt;[25]&lt;/span&gt;"},"properties":{"noteIndex":0},"schema":"https://github.com/citation-style-language/schema/raw/master/csl-citation.json"}</w:instrText>
      </w:r>
      <w:r w:rsidR="00DB02BE">
        <w:rPr>
          <w:i w:val="0"/>
          <w:noProof w:val="0"/>
        </w:rPr>
        <w:fldChar w:fldCharType="separate"/>
      </w:r>
      <w:r w:rsidR="004B02F5" w:rsidRPr="004B02F5">
        <w:rPr>
          <w:i w:val="0"/>
        </w:rPr>
        <w:t>[25]</w:t>
      </w:r>
      <w:r w:rsidR="00DB02BE">
        <w:rPr>
          <w:i w:val="0"/>
          <w:noProof w:val="0"/>
        </w:rPr>
        <w:fldChar w:fldCharType="end"/>
      </w:r>
      <w:r w:rsidRPr="00FA28E0">
        <w:rPr>
          <w:i w:val="0"/>
          <w:noProof w:val="0"/>
        </w:rPr>
        <w:t xml:space="preserve">. This trend suggests that the increase in bare soil observed between 2003 and 2023 may, to some extent, be attributed to decreasing precipitation. The central region has been experiencing a prolonged megadrought </w:t>
      </w:r>
      <w:r w:rsidR="00DB02BE">
        <w:rPr>
          <w:i w:val="0"/>
          <w:noProof w:val="0"/>
        </w:rPr>
        <w:fldChar w:fldCharType="begin" w:fldLock="1"/>
      </w:r>
      <w:r w:rsidR="00CF0B43">
        <w:rPr>
          <w:i w:val="0"/>
          <w:noProof w:val="0"/>
        </w:rPr>
        <w:instrText>ADDIN CSL_CITATION {"citationItems":[{"id":"ITEM-1","itemData":{"DOI":"10.5194/hess-2017-191","abstract":"Since 2010 an uninterrupted sequence of dry years, with annual rainfall deficits ranging from 25 to 45%, has prevailed in Central Chile (western South America, 30-38°S). Although intense 1-or 2-year droughts are recurrent in this Mediterranean-like region, the ongoing event stands out because of its longevity and large extent. The extraordinary character of the so-called Central Chile mega drought (MD) was established against century long historical records and a millennial tree-ring reconstruction of regional precipitation. The largest MD-averaged rainfall relative anomalies occurred in 5 the northern, semi-arid sector of central Chile but the event was unprecedented to the south of 35°S. ENSO neutral conditions have prevailed since 2011 (but for the strong El Niño 2015) contrasting with La Niña conditions that often accompanied past drougths. The precipitation deficit diminished the Andean snowpack and resulted in amplified declines (up to 90%) of river flow, reservoir volumes and groundwater levels along central Chile and westernmost Argentina. In some semiarid basins we found a decrease in the runoff-to-rainfall coefficient. A substantial decrease in vegetation productivity 10 occurred in the shrubland-dominated, northern sector, but a mix of greening and browning patches occurred farther south where irrigated croplands and exotic forest plantations dominate. The ongoing warming in central Chile, making the MD one of the warmest 6-year period on record, may have also contributed to such complex vegetation changes by increasing potential evapotranspiration. The understanding of the nature and biophysical impacts of the MD contributes to preparedness efforts to face a dry, warm future regional climate scenario. 15","author":[{"dropping-particle":"","family":"Garreaud","given":"René","non-dropping-particle":"","parse-names":false,"suffix":""},{"dropping-particle":"","family":"Alvarez-Garreton","given":"Camila","non-dropping-particle":"","parse-names":false,"suffix":""},{"dropping-particle":"","family":"Barichivich","given":"Jonathan","non-dropping-particle":"","parse-names":false,"suffix":""},{"dropping-particle":"","family":"Boisier","given":"Juan Pablo","non-dropping-particle":"","parse-names":false,"suffix":""},{"dropping-particle":"","family":"Christie","given":"Duncan","non-dropping-particle":"","parse-names":false,"suffix":""},{"dropping-particle":"","family":"Galleguillos","given":"Mauricio","non-dropping-particle":"","parse-names":false,"suffix":""},{"dropping-particle":"","family":"Lequesne","given":"Carlos","non-dropping-particle":"","parse-names":false,"suffix":""},{"dropping-particle":"","family":"Mcphee","given":"James","non-dropping-particle":"","parse-names":false,"suffix":""},{"dropping-particle":"","family":"Zambrano-5 Bigiarini","given":"Mauricio","non-dropping-particle":"","parse-names":false,"suffix":""}],"container-title":"Hydrol. Earth Syst. Sci. Discuss","id":"ITEM-1","issued":{"date-parts":[["2017"]]},"title":"The 2010-2015 mega drought in Central Chile: Impacts on regional hydroclimate and vegetation","type":"article-journal"},"uris":["http://www.mendeley.com/documents/?uuid=a3272a40-6ab3-3f2b-b4c4-56808b372210"]}],"mendeley":{"formattedCitation":"&lt;span style=\"baseline\"&gt;[62]&lt;/span&gt;","plainTextFormattedCitation":"[62]","previouslyFormattedCitation":"&lt;span style=\"baseline\"&gt;[62]&lt;/span&gt;"},"properties":{"noteIndex":0},"schema":"https://github.com/citation-style-language/schema/raw/master/csl-citation.json"}</w:instrText>
      </w:r>
      <w:r w:rsidR="00DB02BE">
        <w:rPr>
          <w:i w:val="0"/>
          <w:noProof w:val="0"/>
        </w:rPr>
        <w:fldChar w:fldCharType="separate"/>
      </w:r>
      <w:r w:rsidR="004B02F5" w:rsidRPr="004B02F5">
        <w:rPr>
          <w:i w:val="0"/>
        </w:rPr>
        <w:t>[62]</w:t>
      </w:r>
      <w:r w:rsidR="00DB02BE">
        <w:rPr>
          <w:i w:val="0"/>
          <w:noProof w:val="0"/>
        </w:rPr>
        <w:fldChar w:fldCharType="end"/>
      </w:r>
      <w:r w:rsidRPr="00FA28E0">
        <w:rPr>
          <w:i w:val="0"/>
          <w:noProof w:val="0"/>
        </w:rPr>
        <w:t xml:space="preserve"> since before 2010 </w:t>
      </w:r>
      <w:r w:rsidR="00DB02BE">
        <w:rPr>
          <w:i w:val="0"/>
          <w:noProof w:val="0"/>
        </w:rPr>
        <w:fldChar w:fldCharType="begin" w:fldLock="1"/>
      </w:r>
      <w:r w:rsidR="00CF0B43">
        <w:rPr>
          <w:i w:val="0"/>
          <w:noProof w:val="0"/>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approach","type":"article-journal","volume":"12"},"uris":["http://www.mendeley.com/documents/?uuid=77f8c6a9-01fa-387a-bb5e-ee29029f0221"]}],"mendeley":{"formattedCitation":"&lt;span style=\"baseline\"&gt;[23]&lt;/span&gt;","plainTextFormattedCitation":"[23]","previouslyFormattedCitation":"&lt;span style=\"baseline\"&gt;[23]&lt;/span&gt;"},"properties":{"noteIndex":0},"schema":"https://github.com/citation-style-language/schema/raw/master/csl-citation.json"}</w:instrText>
      </w:r>
      <w:r w:rsidR="00DB02BE">
        <w:rPr>
          <w:i w:val="0"/>
          <w:noProof w:val="0"/>
        </w:rPr>
        <w:fldChar w:fldCharType="separate"/>
      </w:r>
      <w:r w:rsidR="004B02F5" w:rsidRPr="004B02F5">
        <w:rPr>
          <w:i w:val="0"/>
        </w:rPr>
        <w:t>[23]</w:t>
      </w:r>
      <w:r w:rsidR="00DB02BE">
        <w:rPr>
          <w:i w:val="0"/>
          <w:noProof w:val="0"/>
        </w:rPr>
        <w:fldChar w:fldCharType="end"/>
      </w:r>
      <w:r w:rsidRPr="00FA28E0">
        <w:rPr>
          <w:i w:val="0"/>
          <w:noProof w:val="0"/>
        </w:rPr>
        <w:t xml:space="preserve">, which continues to the present day. In the Aconcagua basin, this has resulted in precipitation deficits of approximately 32.9% </w:t>
      </w:r>
      <w:r w:rsidR="00DB02BE">
        <w:rPr>
          <w:i w:val="0"/>
          <w:noProof w:val="0"/>
        </w:rPr>
        <w:fldChar w:fldCharType="begin" w:fldLock="1"/>
      </w:r>
      <w:r w:rsidR="00CF0B43">
        <w:rPr>
          <w:i w:val="0"/>
          <w:noProof w:val="0"/>
        </w:rPr>
        <w:instrText>ADDIN CSL_CITATION {"citationItems":[{"id":"ITEM-1","itemData":{"DOI":"10.1016/j.scitotenv.2023.167723","ISSN":"18791026","PMID":"37832663","abstract":"Ensuring water supply under climate change scenarios is a global concern, and groundwater resources play a crucial role. Aquifer depletion is a worldwide trend, and Chile is no exception. Through a statistical approach with strong hydrogeological criteria, the groundwater overexploitation phenomenon is studied in Central Chile, the most populated region in this mountainous country. With this purpose, we assess the evolution of groundwater levels and pumping between 1970 and 2020 by analysing 26,065 groundwater rights and 222 observation wells. Withdrawals increased from 498 hm3 in 1970 to 8883 hm3 in 2020. We recognised two general trends in groundwater levels: a quasi-steady state hydrodynamic regime pre-1988 and sustained decline post-1988, exacerbated since 2010 with the start of the Megadrought. Although groundwater recharge is expected to decrease during this severe drought, the declining trend strongly correlates with pumping but not with precipitation changes. Climate forcing is usually invoked to warrant the dramatic depletion of groundwater resources, but we demonstrated that all analysed aquifers have been overexploited since much earlier than 2010. Finally, the Chilean aquifers' overexploitation is a clear example of the consequences of prioritising the water offer over the water demand regulation, which hinders the United Nations' sustainable development goals accomplishment.","author":[{"dropping-particle":"","family":"Taucare","given":"Matías","non-dropping-particle":"","parse-names":false,"suffix":""},{"dropping-particle":"","family":"Viguier","given":"Benoît","non-dropping-particle":"","parse-names":false,"suffix":""},{"dropping-particle":"","family":"Figueroa","given":"Ronny","non-dropping-particle":"","parse-names":false,"suffix":""},{"dropping-particle":"","family":"Daniele","given":"Linda","non-dropping-particle":"","parse-names":false,"suffix":""}],"container-title":"Science of the Total Environment","id":"ITEM-1","issued":{"date-parts":[["2024","1","1"]]},"page":"167723","publisher":"Elsevier B.V.","title":"The alarming state of Central Chile's groundwater resources: A paradigmatic case of a lasting overexploitation","type":"article-journal","volume":"906"},"uris":["http://www.mendeley.com/documents/?uuid=32d6b2c0-55ca-35fe-979e-406debcc7969"]}],"mendeley":{"formattedCitation":"&lt;span style=\"baseline\"&gt;[39]&lt;/span&gt;","plainTextFormattedCitation":"[39]","previouslyFormattedCitation":"&lt;span style=\"baseline\"&gt;[39]&lt;/span&gt;"},"properties":{"noteIndex":0},"schema":"https://github.com/citation-style-language/schema/raw/master/csl-citation.json"}</w:instrText>
      </w:r>
      <w:r w:rsidR="00DB02BE">
        <w:rPr>
          <w:i w:val="0"/>
          <w:noProof w:val="0"/>
        </w:rPr>
        <w:fldChar w:fldCharType="separate"/>
      </w:r>
      <w:r w:rsidR="004B02F5" w:rsidRPr="004B02F5">
        <w:rPr>
          <w:i w:val="0"/>
        </w:rPr>
        <w:t>[39]</w:t>
      </w:r>
      <w:r w:rsidR="00DB02BE">
        <w:rPr>
          <w:i w:val="0"/>
          <w:noProof w:val="0"/>
        </w:rPr>
        <w:fldChar w:fldCharType="end"/>
      </w:r>
      <w:r w:rsidRPr="00FA28E0">
        <w:rPr>
          <w:i w:val="0"/>
          <w:noProof w:val="0"/>
        </w:rPr>
        <w:t xml:space="preserve">, and this trend is expected to persist in the future. This prolonged drought may have contributed to the slight reduction in avocado plantations between 2013 and 2023 (about 5%), which is consistent with the findings of Bellisario et al. </w:t>
      </w:r>
      <w:r w:rsidR="00DB02BE">
        <w:rPr>
          <w:i w:val="0"/>
          <w:noProof w:val="0"/>
        </w:rPr>
        <w:fldChar w:fldCharType="begin" w:fldLock="1"/>
      </w:r>
      <w:r w:rsidR="00CF0B43">
        <w:rPr>
          <w:i w:val="0"/>
          <w:noProof w:val="0"/>
        </w:rPr>
        <w:instrText>ADDIN CSL_CITATION {"citationItems":[{"id":"ITEM-1","itemData":{"DOI":"10.5354/0719-5370.2024.75159","author":[{"dropping-particle":"","family":"Bellisario","given":"Antonio","non-dropping-particle":"","parse-names":false,"suffix":""},{"dropping-particle":"","family":"Janke","given":"Jason","non-dropping-particle":"","parse-names":false,"suffix":""}],"container-title":"Investigaciones Geográficas: una mirada desde el Sur","id":"ITEM-1","issued":{"date-parts":[["2024"]]},"page":"72-94","title":"Assessing the Impacts of a Multi-Year Drought on Water Resources and Agriculture in the Aconcagua River Basin of Chile","type":"article-journal","volume":"67"},"uris":["http://www.mendeley.com/documents/?uuid=27550efe-5331-46c7-900e-e15dce0a02fe"]}],"mendeley":{"formattedCitation":"&lt;span style=\"baseline\"&gt;[29]&lt;/span&gt;","plainTextFormattedCitation":"[29]","previouslyFormattedCitation":"&lt;span style=\"baseline\"&gt;[29]&lt;/span&gt;"},"properties":{"noteIndex":0},"schema":"https://github.com/citation-style-language/schema/raw/master/csl-citation.json"}</w:instrText>
      </w:r>
      <w:r w:rsidR="00DB02BE">
        <w:rPr>
          <w:i w:val="0"/>
          <w:noProof w:val="0"/>
        </w:rPr>
        <w:fldChar w:fldCharType="separate"/>
      </w:r>
      <w:r w:rsidR="004B02F5" w:rsidRPr="004B02F5">
        <w:rPr>
          <w:i w:val="0"/>
        </w:rPr>
        <w:t>[29]</w:t>
      </w:r>
      <w:r w:rsidR="00DB02BE">
        <w:rPr>
          <w:i w:val="0"/>
          <w:noProof w:val="0"/>
        </w:rPr>
        <w:fldChar w:fldCharType="end"/>
      </w:r>
      <w:r w:rsidR="00DB02BE">
        <w:rPr>
          <w:i w:val="0"/>
          <w:noProof w:val="0"/>
        </w:rPr>
        <w:t xml:space="preserve">. </w:t>
      </w:r>
      <w:r w:rsidRPr="00FA28E0">
        <w:rPr>
          <w:i w:val="0"/>
          <w:noProof w:val="0"/>
        </w:rPr>
        <w:t>Duran-Llacer et al.</w:t>
      </w:r>
      <w:r w:rsidR="00DB02BE">
        <w:rPr>
          <w:i w:val="0"/>
          <w:noProof w:val="0"/>
        </w:rPr>
        <w:t xml:space="preserve"> </w:t>
      </w:r>
      <w:r w:rsidR="00DB02BE">
        <w:rPr>
          <w:i w:val="0"/>
          <w:noProof w:val="0"/>
        </w:rPr>
        <w:fldChar w:fldCharType="begin" w:fldLock="1"/>
      </w:r>
      <w:r w:rsidR="00CF0B43">
        <w:rPr>
          <w:i w:val="0"/>
          <w:noProof w:val="0"/>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approach","type":"article-journal","volume":"12"},"uris":["http://www.mendeley.com/documents/?uuid=77f8c6a9-01fa-387a-bb5e-ee29029f0221"]}],"mendeley":{"formattedCitation":"&lt;span style=\"baseline\"&gt;[23]&lt;/span&gt;","plainTextFormattedCitation":"[23]","previouslyFormattedCitation":"&lt;span style=\"baseline\"&gt;[23]&lt;/span&gt;"},"properties":{"noteIndex":0},"schema":"https://github.com/citation-style-language/schema/raw/master/csl-citation.json"}</w:instrText>
      </w:r>
      <w:r w:rsidR="00DB02BE">
        <w:rPr>
          <w:i w:val="0"/>
          <w:noProof w:val="0"/>
        </w:rPr>
        <w:fldChar w:fldCharType="separate"/>
      </w:r>
      <w:r w:rsidR="004B02F5" w:rsidRPr="004B02F5">
        <w:rPr>
          <w:i w:val="0"/>
        </w:rPr>
        <w:t>[23]</w:t>
      </w:r>
      <w:r w:rsidR="00DB02BE">
        <w:rPr>
          <w:i w:val="0"/>
          <w:noProof w:val="0"/>
        </w:rPr>
        <w:fldChar w:fldCharType="end"/>
      </w:r>
      <w:r w:rsidRPr="00FA28E0">
        <w:rPr>
          <w:i w:val="0"/>
          <w:noProof w:val="0"/>
        </w:rPr>
        <w:t xml:space="preserve"> found that in the nearby Petorca basin, some avocado plantations had been abandoned by 2017 due to water stress. The affected parcels were owned primarily by small-scale farmers who lacked the financial resources and infrastructure to adapt to the precipitation deficit. A similar situation may have occurred in the </w:t>
      </w:r>
      <w:r w:rsidR="00261A9D" w:rsidRPr="00E14399">
        <w:rPr>
          <w:i w:val="0"/>
          <w:noProof w:val="0"/>
          <w:highlight w:val="yellow"/>
        </w:rPr>
        <w:t>Aconcagua by 2023, where fruit farmland and avocado plantations experienced a decline in farmers' incomes alongside rising irrigation costs, as reported by</w:t>
      </w:r>
      <w:r w:rsidRPr="00FA28E0">
        <w:rPr>
          <w:i w:val="0"/>
          <w:noProof w:val="0"/>
        </w:rPr>
        <w:t xml:space="preserve"> Aldunce, et al. </w:t>
      </w:r>
      <w:r w:rsidR="00751949">
        <w:rPr>
          <w:i w:val="0"/>
          <w:noProof w:val="0"/>
        </w:rPr>
        <w:fldChar w:fldCharType="begin" w:fldLock="1"/>
      </w:r>
      <w:r w:rsidR="00CF0B43">
        <w:rPr>
          <w:i w:val="0"/>
          <w:noProof w:val="0"/>
        </w:rPr>
        <w:instrText>ADDIN CSL_CITATION {"citationItems":[{"id":"ITEM-1","itemData":{"DOI":"10.3390/su16187916","ISSN":"20711050","abstract":"Droughts and extreme rainfall events are two of the hazards that affect many people in the world and are frequent and complex hazards, the rate of occurrence and magnitude of which are expected to increase in a changing climate. In this context, understanding how different actors perceive changes in climate, drought, and extreme rainfall events and their impacts is relevant in contributing to successfully implementing adaptation strategies to reduce their impacts. This research seeks to explore the main changes the climate has undergone and the impacts of drought and precipitation events, as perceived at local levels by different stakeholders. A multi-method approach was applied, including qualitative methods such as observation, 51 semi-structured interviews, and document reviews in Chañaral and the Aconcagua Valley, Chile. This research shows what the perceived changes in climate are and that drought and extreme rainfall events have affected the well-being of the local people by severely impacting the economy, the environment, social interactions, quality of life, and human health. Additionally, the perception of climate change and its impacts vary depending on the type of hazard and the social, geographical, and environmental contexts in which communities live. This study is useful as it has generated knowledge relevant to inform policy decisions, practice, and theory.","author":[{"dropping-particle":"","family":"Aldunce","given":"Paulina","non-dropping-particle":"","parse-names":false,"suffix":""},{"dropping-particle":"","family":"Haverbeck","given":"Fernanda","non-dropping-particle":"","parse-names":false,"suffix":""},{"dropping-particle":"","family":"Sapiains","given":"Rodolfo","non-dropping-particle":"","parse-names":false,"suffix":""},{"dropping-particle":"","family":"Quilaqueo","given":"Antonio","non-dropping-particle":"","parse-names":false,"suffix":""},{"dropping-particle":"","family":"Castro","given":"Carmen Paz","non-dropping-particle":"","parse-names":false,"suffix":""}],"container-title":"Sustainability (Switzerland)","id":"ITEM-1","issue":"18","issued":{"date-parts":[["2024"]]},"page":"1-20","title":"Public Perception of Drought and Extreme Rainfall Impacts in a Changing Climate: Aconcagua Valley and Chañaral, Chile","type":"article-journal","volume":"16"},"uris":["http://www.mendeley.com/documents/?uuid=344eea33-943d-4775-9e3a-3125dd5f3e22"]}],"mendeley":{"formattedCitation":"&lt;span style=\"baseline\"&gt;[63]&lt;/span&gt;","plainTextFormattedCitation":"[63]","previouslyFormattedCitation":"&lt;span style=\"baseline\"&gt;[63]&lt;/span&gt;"},"properties":{"noteIndex":0},"schema":"https://github.com/citation-style-language/schema/raw/master/csl-citation.json"}</w:instrText>
      </w:r>
      <w:r w:rsidR="00751949">
        <w:rPr>
          <w:i w:val="0"/>
          <w:noProof w:val="0"/>
        </w:rPr>
        <w:fldChar w:fldCharType="separate"/>
      </w:r>
      <w:r w:rsidR="004B02F5" w:rsidRPr="004B02F5">
        <w:rPr>
          <w:i w:val="0"/>
        </w:rPr>
        <w:t>[63]</w:t>
      </w:r>
      <w:r w:rsidR="00751949">
        <w:rPr>
          <w:i w:val="0"/>
          <w:noProof w:val="0"/>
        </w:rPr>
        <w:fldChar w:fldCharType="end"/>
      </w:r>
      <w:r w:rsidRPr="00FA28E0">
        <w:rPr>
          <w:i w:val="0"/>
          <w:noProof w:val="0"/>
        </w:rPr>
        <w:t>. However, according to the results of this study, the small loss of avocado plantation was mainly replaced by fruit farm land and natural vegetation. This suggests that these areas were not entirely lost or converted into bare soil but instead transitioned to fruit farms or less intensive crops, providing a more viable solution for small-scale farmers. Additionally, native vegetation on steep slopes may have regained some of the lost surface area. Despite this, it is evident that avocado plantations expanded significantly, primarily at the expense of native sclerophyllous vegetation and other agricultural lands. Therefore, while the drought may have affected small-scale farmers, its overall impact on avocado production appears to be limited, as large-scale commercial producers dedicated to avocado exports managed to maintain adequate irrigation for their plots and preserve their cultivated area.</w:t>
      </w:r>
    </w:p>
    <w:p w14:paraId="71057994" w14:textId="5D7524AB" w:rsidR="00FA28E0" w:rsidRDefault="00FA28E0" w:rsidP="00FA28E0">
      <w:pPr>
        <w:pStyle w:val="MDPI22heading2"/>
        <w:spacing w:before="0"/>
        <w:ind w:firstLine="425"/>
        <w:jc w:val="both"/>
        <w:rPr>
          <w:i w:val="0"/>
          <w:noProof w:val="0"/>
        </w:rPr>
      </w:pPr>
      <w:r w:rsidRPr="00FA28E0">
        <w:rPr>
          <w:i w:val="0"/>
          <w:noProof w:val="0"/>
        </w:rPr>
        <w:t xml:space="preserve">It was reaffirmed that the expansion of avocado plantations occurred towards the hills, as documented in previous studies </w:t>
      </w:r>
      <w:r w:rsidR="005F0862">
        <w:rPr>
          <w:i w:val="0"/>
          <w:noProof w:val="0"/>
        </w:rPr>
        <w:fldChar w:fldCharType="begin" w:fldLock="1"/>
      </w:r>
      <w:r w:rsidR="00CF0B43">
        <w:rPr>
          <w:i w:val="0"/>
          <w:noProof w:val="0"/>
        </w:rPr>
        <w:instrText>ADDIN CSL_CITATION {"citationItems":[{"id":"ITEM-1","itemData":{"DOI":"10.5354/0719-5370.2024.75159","author":[{"dropping-particle":"","family":"Bellisario","given":"Antonio","non-dropping-particle":"","parse-names":false,"suffix":""},{"dropping-particle":"","family":"Janke","given":"Jason","non-dropping-particle":"","parse-names":false,"suffix":""}],"container-title":"Investigaciones Geográficas: una mirada desde el Sur","id":"ITEM-1","issued":{"date-parts":[["2024"]]},"page":"72-94","title":"Assessing the Impacts of a Multi-Year Drought on Water Resources and Agriculture in the Aconcagua River Basin of Chile","type":"article-journal","volume":"67"},"uris":["http://www.mendeley.com/documents/?uuid=27550efe-5331-46c7-900e-e15dce0a02fe"]}],"mendeley":{"formattedCitation":"&lt;span style=\"baseline\"&gt;[29]&lt;/span&gt;","plainTextFormattedCitation":"[29]","previouslyFormattedCitation":"&lt;span style=\"baseline\"&gt;[29]&lt;/span&gt;"},"properties":{"noteIndex":0},"schema":"https://github.com/citation-style-language/schema/raw/master/csl-citation.json"}</w:instrText>
      </w:r>
      <w:r w:rsidR="005F0862">
        <w:rPr>
          <w:i w:val="0"/>
          <w:noProof w:val="0"/>
        </w:rPr>
        <w:fldChar w:fldCharType="separate"/>
      </w:r>
      <w:r w:rsidR="004B02F5" w:rsidRPr="004B02F5">
        <w:rPr>
          <w:i w:val="0"/>
        </w:rPr>
        <w:t>[29]</w:t>
      </w:r>
      <w:r w:rsidR="005F0862">
        <w:rPr>
          <w:i w:val="0"/>
          <w:noProof w:val="0"/>
        </w:rPr>
        <w:fldChar w:fldCharType="end"/>
      </w:r>
      <w:r w:rsidR="005F0862">
        <w:rPr>
          <w:i w:val="0"/>
          <w:noProof w:val="0"/>
        </w:rPr>
        <w:t xml:space="preserve"> </w:t>
      </w:r>
      <w:r w:rsidRPr="00FA28E0">
        <w:rPr>
          <w:i w:val="0"/>
          <w:noProof w:val="0"/>
        </w:rPr>
        <w:t xml:space="preserve">and observed in adjacent basins </w:t>
      </w:r>
      <w:r w:rsidR="005F0862">
        <w:rPr>
          <w:i w:val="0"/>
          <w:noProof w:val="0"/>
        </w:rPr>
        <w:fldChar w:fldCharType="begin" w:fldLock="1"/>
      </w:r>
      <w:r w:rsidR="00CF0B43">
        <w:rPr>
          <w:i w:val="0"/>
          <w:noProof w:val="0"/>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approach","type":"article-journal","volume":"12"},"uris":["http://www.mendeley.com/documents/?uuid=67a251eb-2187-383f-873c-50cc2e42e1ca"]}],"mendeley":{"formattedCitation":"&lt;span style=\"baseline\"&gt;[23]&lt;/span&gt;","plainTextFormattedCitation":"[23]","previouslyFormattedCitation":"&lt;span style=\"baseline\"&gt;[23]&lt;/span&gt;"},"properties":{"noteIndex":0},"schema":"https://github.com/citation-style-language/schema/raw/master/csl-citation.json"}</w:instrText>
      </w:r>
      <w:r w:rsidR="005F0862">
        <w:rPr>
          <w:i w:val="0"/>
          <w:noProof w:val="0"/>
        </w:rPr>
        <w:fldChar w:fldCharType="separate"/>
      </w:r>
      <w:r w:rsidR="004B02F5" w:rsidRPr="004B02F5">
        <w:rPr>
          <w:i w:val="0"/>
        </w:rPr>
        <w:t>[23]</w:t>
      </w:r>
      <w:r w:rsidR="005F0862">
        <w:rPr>
          <w:i w:val="0"/>
          <w:noProof w:val="0"/>
        </w:rPr>
        <w:fldChar w:fldCharType="end"/>
      </w:r>
      <w:r w:rsidRPr="00FA28E0">
        <w:rPr>
          <w:i w:val="0"/>
          <w:noProof w:val="0"/>
        </w:rPr>
        <w:t>. However, this study provides highly precise spatial evidence, identifying that the most significant changes were observed around agricultural and urban zones, particularly in areas with medium to high slopes, and predominantly in the middle-lower part of the basin. The municipalities</w:t>
      </w:r>
      <w:r w:rsidR="002A7920">
        <w:rPr>
          <w:i w:val="0"/>
          <w:noProof w:val="0"/>
        </w:rPr>
        <w:t xml:space="preserve"> or communes</w:t>
      </w:r>
      <w:r w:rsidRPr="00FA28E0">
        <w:rPr>
          <w:i w:val="0"/>
          <w:noProof w:val="0"/>
        </w:rPr>
        <w:t xml:space="preserve"> in these areas contain the largest avocado plantation surfaces, as confirmed by the agricultural </w:t>
      </w:r>
      <w:proofErr w:type="spellStart"/>
      <w:r w:rsidRPr="00FA28E0">
        <w:rPr>
          <w:i w:val="0"/>
          <w:noProof w:val="0"/>
        </w:rPr>
        <w:t>cadastres</w:t>
      </w:r>
      <w:proofErr w:type="spellEnd"/>
      <w:r w:rsidRPr="00FA28E0">
        <w:rPr>
          <w:i w:val="0"/>
          <w:noProof w:val="0"/>
        </w:rPr>
        <w:t xml:space="preserve"> of the Natural Resources Information </w:t>
      </w:r>
      <w:r w:rsidRPr="00FA28E0">
        <w:rPr>
          <w:i w:val="0"/>
          <w:noProof w:val="0"/>
        </w:rPr>
        <w:lastRenderedPageBreak/>
        <w:t>Center (CIREN</w:t>
      </w:r>
      <w:r w:rsidR="005F0862">
        <w:rPr>
          <w:i w:val="0"/>
          <w:noProof w:val="0"/>
        </w:rPr>
        <w:t xml:space="preserve">) </w:t>
      </w:r>
      <w:r w:rsidR="005F0862">
        <w:rPr>
          <w:i w:val="0"/>
          <w:noProof w:val="0"/>
        </w:rPr>
        <w:fldChar w:fldCharType="begin" w:fldLock="1"/>
      </w:r>
      <w:r w:rsidR="00945B43">
        <w:rPr>
          <w:i w:val="0"/>
          <w:noProof w:val="0"/>
        </w:rPr>
        <w:instrText>ADDIN CSL_CITATION {"citationItems":[{"id":"ITEM-1","itemData":{"author":[{"dropping-particle":"","family":"Centro de Información de Recursos Naturales","given":"CIREN","non-dropping-particle":"","parse-names":false,"suffix":""}],"id":"ITEM-1","issued":{"date-parts":[["2023"]]},"number-of-pages":"26","publisher":"CIREN","publisher-place":"Santiago, Chile","title":"Catastro frutícola 2023. Región de Valparaíso","type":"report"},"uris":["http://www.mendeley.com/documents/?uuid=b651584a-6a43-4c4d-8b7e-796b1fd424c0"]}],"mendeley":{"formattedCitation":"&lt;span style=\"baseline\"&gt;[4]&lt;/span&gt;","plainTextFormattedCitation":"[4]","previouslyFormattedCitation":"&lt;span style=\"baseline\"&gt;[4]&lt;/span&gt;"},"properties":{"noteIndex":0},"schema":"https://github.com/citation-style-language/schema/raw/master/csl-citation.json"}</w:instrText>
      </w:r>
      <w:r w:rsidR="005F0862">
        <w:rPr>
          <w:i w:val="0"/>
          <w:noProof w:val="0"/>
        </w:rPr>
        <w:fldChar w:fldCharType="separate"/>
      </w:r>
      <w:r w:rsidR="005F0862" w:rsidRPr="005F0862">
        <w:rPr>
          <w:i w:val="0"/>
        </w:rPr>
        <w:t>[4]</w:t>
      </w:r>
      <w:r w:rsidR="005F0862">
        <w:rPr>
          <w:i w:val="0"/>
          <w:noProof w:val="0"/>
        </w:rPr>
        <w:fldChar w:fldCharType="end"/>
      </w:r>
      <w:r w:rsidRPr="00FA28E0">
        <w:rPr>
          <w:i w:val="0"/>
          <w:noProof w:val="0"/>
        </w:rPr>
        <w:t xml:space="preserve">. Although avocado plantations significantly contributed to the loss of native vegetation, they were not the only cause, fruit farms </w:t>
      </w:r>
      <w:r w:rsidR="002A7920">
        <w:rPr>
          <w:i w:val="0"/>
          <w:noProof w:val="0"/>
        </w:rPr>
        <w:t xml:space="preserve">land </w:t>
      </w:r>
      <w:r w:rsidRPr="00FA28E0">
        <w:rPr>
          <w:i w:val="0"/>
          <w:noProof w:val="0"/>
        </w:rPr>
        <w:t>and other agricultural land</w:t>
      </w:r>
      <w:r w:rsidR="00C4684D" w:rsidRPr="00C4684D">
        <w:rPr>
          <w:i w:val="0"/>
          <w:noProof w:val="0"/>
          <w:highlight w:val="yellow"/>
        </w:rPr>
        <w:t>s</w:t>
      </w:r>
      <w:r w:rsidRPr="00FA28E0">
        <w:rPr>
          <w:i w:val="0"/>
          <w:noProof w:val="0"/>
        </w:rPr>
        <w:t xml:space="preserve"> also played a role in this decrease.</w:t>
      </w:r>
    </w:p>
    <w:p w14:paraId="6EA4853E" w14:textId="736F3A6E" w:rsidR="00FA28E0" w:rsidRDefault="00FA28E0" w:rsidP="00FA28E0">
      <w:pPr>
        <w:pStyle w:val="MDPI22heading2"/>
        <w:spacing w:before="0"/>
        <w:ind w:firstLine="425"/>
        <w:jc w:val="both"/>
        <w:rPr>
          <w:i w:val="0"/>
          <w:noProof w:val="0"/>
        </w:rPr>
      </w:pPr>
      <w:r w:rsidRPr="00FA28E0">
        <w:rPr>
          <w:i w:val="0"/>
          <w:noProof w:val="0"/>
        </w:rPr>
        <w:t>As a result of the expansion of avocado plantations, water resources may be increasingly affected, particularly groundwater levels. Similar trends have been observed in other basins within the Valparaíso region, such as La Ligua and Petorca</w:t>
      </w:r>
      <w:r w:rsidR="003B334A">
        <w:rPr>
          <w:i w:val="0"/>
          <w:noProof w:val="0"/>
        </w:rPr>
        <w:t xml:space="preserve"> </w:t>
      </w:r>
      <w:r w:rsidR="00B35475" w:rsidRPr="009B40E2">
        <w:rPr>
          <w:i w:val="0"/>
          <w:noProof w:val="0"/>
          <w:highlight w:val="yellow"/>
        </w:rPr>
        <w:fldChar w:fldCharType="begin" w:fldLock="1"/>
      </w:r>
      <w:r w:rsidR="00CF0B43" w:rsidRPr="009B40E2">
        <w:rPr>
          <w:i w:val="0"/>
          <w:noProof w:val="0"/>
          <w:highlight w:val="yellow"/>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approach","type":"article-journal","volume":"12"},"uris":["http://www.mendeley.com/documents/?uuid=67a251eb-2187-383f-873c-50cc2e42e1ca"]}],"mendeley":{"formattedCitation":"&lt;span style=\"baseline\"&gt;[23]&lt;/span&gt;","plainTextFormattedCitation":"[23]","previouslyFormattedCitation":"&lt;span style=\"baseline\"&gt;[23]&lt;/span&gt;"},"properties":{"noteIndex":0},"schema":"https://github.com/citation-style-language/schema/raw/master/csl-citation.json"}</w:instrText>
      </w:r>
      <w:r w:rsidR="00B35475" w:rsidRPr="009B40E2">
        <w:rPr>
          <w:i w:val="0"/>
          <w:noProof w:val="0"/>
          <w:highlight w:val="yellow"/>
        </w:rPr>
        <w:fldChar w:fldCharType="separate"/>
      </w:r>
      <w:r w:rsidR="004B02F5" w:rsidRPr="009B40E2">
        <w:rPr>
          <w:i w:val="0"/>
          <w:highlight w:val="yellow"/>
        </w:rPr>
        <w:t>[23]</w:t>
      </w:r>
      <w:r w:rsidR="00B35475" w:rsidRPr="009B40E2">
        <w:rPr>
          <w:i w:val="0"/>
          <w:noProof w:val="0"/>
          <w:highlight w:val="yellow"/>
        </w:rPr>
        <w:fldChar w:fldCharType="end"/>
      </w:r>
      <w:r w:rsidR="003B334A" w:rsidRPr="009B40E2">
        <w:rPr>
          <w:i w:val="0"/>
          <w:noProof w:val="0"/>
          <w:highlight w:val="yellow"/>
        </w:rPr>
        <w:t>,</w:t>
      </w:r>
      <w:r w:rsidRPr="009B40E2">
        <w:rPr>
          <w:i w:val="0"/>
          <w:noProof w:val="0"/>
          <w:highlight w:val="yellow"/>
        </w:rPr>
        <w:t xml:space="preserve"> </w:t>
      </w:r>
      <w:r w:rsidR="003B334A" w:rsidRPr="009B40E2">
        <w:rPr>
          <w:i w:val="0"/>
          <w:noProof w:val="0"/>
          <w:highlight w:val="yellow"/>
        </w:rPr>
        <w:t>were researchers</w:t>
      </w:r>
      <w:r w:rsidR="003B334A">
        <w:rPr>
          <w:i w:val="0"/>
          <w:noProof w:val="0"/>
        </w:rPr>
        <w:t xml:space="preserve"> </w:t>
      </w:r>
      <w:r w:rsidRPr="00FA28E0">
        <w:rPr>
          <w:i w:val="0"/>
          <w:noProof w:val="0"/>
        </w:rPr>
        <w:t xml:space="preserve">found that areas with the greatest groundwater depletion coincided with those experiencing the highest increase in avocado plantations. According to </w:t>
      </w:r>
      <w:proofErr w:type="spellStart"/>
      <w:r w:rsidRPr="00FA28E0">
        <w:rPr>
          <w:i w:val="0"/>
          <w:noProof w:val="0"/>
        </w:rPr>
        <w:t>Taucare</w:t>
      </w:r>
      <w:proofErr w:type="spellEnd"/>
      <w:r w:rsidRPr="00FA28E0">
        <w:rPr>
          <w:i w:val="0"/>
          <w:noProof w:val="0"/>
        </w:rPr>
        <w:t xml:space="preserve"> et al. </w:t>
      </w:r>
      <w:r w:rsidR="00B35475">
        <w:rPr>
          <w:i w:val="0"/>
          <w:noProof w:val="0"/>
        </w:rPr>
        <w:fldChar w:fldCharType="begin" w:fldLock="1"/>
      </w:r>
      <w:r w:rsidR="00CF0B43">
        <w:rPr>
          <w:i w:val="0"/>
          <w:noProof w:val="0"/>
        </w:rPr>
        <w:instrText>ADDIN CSL_CITATION {"citationItems":[{"id":"ITEM-1","itemData":{"DOI":"10.1016/j.scitotenv.2023.167723","ISSN":"18791026","PMID":"37832663","abstract":"Ensuring water supply under climate change scenarios is a global concern, and groundwater resources play a crucial role. Aquifer depletion is a worldwide trend, and Chile is no exception. Through a statistical approach with strong hydrogeological criteria, the groundwater overexploitation phenomenon is studied in Central Chile, the most populated region in this mountainous country. With this purpose, we assess the evolution of groundwater levels and pumping between 1970 and 2020 by analysing 26,065 groundwater rights and 222 observation wells. Withdrawals increased from 498 hm3 in 1970 to 8883 hm3 in 2020. We recognised two general trends in groundwater levels: a quasi-steady state hydrodynamic regime pre-1988 and sustained decline post-1988, exacerbated since 2010 with the start of the Megadrought. Although groundwater recharge is expected to decrease during this severe drought, the declining trend strongly correlates with pumping but not with precipitation changes. Climate forcing is usually invoked to warrant the dramatic depletion of groundwater resources, but we demonstrated that all analysed aquifers have been overexploited since much earlier than 2010. Finally, the Chilean aquifers' overexploitation is a clear example of the consequences of prioritising the water offer over the water demand regulation, which hinders the United Nations' sustainable development goals accomplishment.","author":[{"dropping-particle":"","family":"Taucare","given":"Matías","non-dropping-particle":"","parse-names":false,"suffix":""},{"dropping-particle":"","family":"Viguier","given":"Benoît","non-dropping-particle":"","parse-names":false,"suffix":""},{"dropping-particle":"","family":"Figueroa","given":"Ronny","non-dropping-particle":"","parse-names":false,"suffix":""},{"dropping-particle":"","family":"Daniele","given":"Linda","non-dropping-particle":"","parse-names":false,"suffix":""}],"container-title":"Science of the Total Environment","id":"ITEM-1","issued":{"date-parts":[["2024","1","1"]]},"page":"167723","publisher":"Elsevier B.V.","title":"The alarming state of Central Chile's groundwater resources: A paradigmatic case of a lasting overexploitation","type":"article-journal","volume":"906"},"uris":["http://www.mendeley.com/documents/?uuid=32d6b2c0-55ca-35fe-979e-406debcc7969"]}],"mendeley":{"formattedCitation":"&lt;span style=\"baseline\"&gt;[39]&lt;/span&gt;","plainTextFormattedCitation":"[39]","previouslyFormattedCitation":"&lt;span style=\"baseline\"&gt;[39]&lt;/span&gt;"},"properties":{"noteIndex":0},"schema":"https://github.com/citation-style-language/schema/raw/master/csl-citation.json"}</w:instrText>
      </w:r>
      <w:r w:rsidR="00B35475">
        <w:rPr>
          <w:i w:val="0"/>
          <w:noProof w:val="0"/>
        </w:rPr>
        <w:fldChar w:fldCharType="separate"/>
      </w:r>
      <w:r w:rsidR="004B02F5" w:rsidRPr="004B02F5">
        <w:rPr>
          <w:i w:val="0"/>
        </w:rPr>
        <w:t>[39]</w:t>
      </w:r>
      <w:r w:rsidR="00B35475">
        <w:rPr>
          <w:i w:val="0"/>
          <w:noProof w:val="0"/>
        </w:rPr>
        <w:fldChar w:fldCharType="end"/>
      </w:r>
      <w:r w:rsidRPr="00FA28E0">
        <w:rPr>
          <w:i w:val="0"/>
          <w:noProof w:val="0"/>
        </w:rPr>
        <w:t xml:space="preserve">, groundwater levels in the Aconcagua basin have declined by up to 48.68 meters below the ground surface (m </w:t>
      </w:r>
      <w:proofErr w:type="spellStart"/>
      <w:r w:rsidRPr="00FA28E0">
        <w:rPr>
          <w:i w:val="0"/>
          <w:noProof w:val="0"/>
        </w:rPr>
        <w:t>b.g.s</w:t>
      </w:r>
      <w:proofErr w:type="spellEnd"/>
      <w:r w:rsidRPr="00FA28E0">
        <w:rPr>
          <w:i w:val="0"/>
          <w:noProof w:val="0"/>
        </w:rPr>
        <w:t xml:space="preserve">) due to increased water extraction and reduced recharge caused by prolonged drought conditions. These extractions may be directly linked to the expansion of agricultural areas, particularly fruit farm land and avocado plantations, which have grown by 527.49 km², representing a 575.09% increase. It is important to clarify that the avocado is a </w:t>
      </w:r>
      <w:r w:rsidR="00777FED">
        <w:rPr>
          <w:i w:val="0"/>
          <w:noProof w:val="0"/>
        </w:rPr>
        <w:t>sub</w:t>
      </w:r>
      <w:r w:rsidRPr="00FA28E0">
        <w:rPr>
          <w:i w:val="0"/>
          <w:noProof w:val="0"/>
        </w:rPr>
        <w:t xml:space="preserve">tropical fruit </w:t>
      </w:r>
      <w:r w:rsidR="006B481F" w:rsidRPr="006B481F">
        <w:rPr>
          <w:i w:val="0"/>
          <w:noProof w:val="0"/>
          <w:highlight w:val="yellow"/>
        </w:rPr>
        <w:t>tree</w:t>
      </w:r>
      <w:r w:rsidR="006B481F">
        <w:rPr>
          <w:i w:val="0"/>
          <w:noProof w:val="0"/>
        </w:rPr>
        <w:t xml:space="preserve"> </w:t>
      </w:r>
      <w:r w:rsidRPr="00FA28E0">
        <w:rPr>
          <w:i w:val="0"/>
          <w:noProof w:val="0"/>
        </w:rPr>
        <w:t xml:space="preserve">that requires a substantial water supply throughout the year for optimal vegetative growth and productivity. In a Mediterranean region, the water requirements to achieve maximum yields for this crop exceed ~7,500 m³ ha⁻¹ year⁻¹ </w:t>
      </w:r>
      <w:r w:rsidR="00B35475">
        <w:rPr>
          <w:i w:val="0"/>
          <w:noProof w:val="0"/>
        </w:rPr>
        <w:fldChar w:fldCharType="begin" w:fldLock="1"/>
      </w:r>
      <w:r w:rsidR="00CF0B43">
        <w:rPr>
          <w:i w:val="0"/>
          <w:noProof w:val="0"/>
        </w:rPr>
        <w:instrText>ADDIN CSL_CITATION {"citationItems":[{"id":"ITEM-1","itemData":{"DOI":"10.1016/j.agwat.2019.05.001","ISSN":"18732283","abstract":"The subtropical Mediterranean climate of southeastern Andalusian coast allows Spain to be the largest European producer of subtropical fruit, with the avocado as the main representative. In this region, precipitations are scarce and erratic and limit water availability for irrigation. Under this climatic uncertainty, appropriate water use is required for assuring crop environmental sustainability and increasing water productivity (WP)of avocado orchards. For this purpose, it is necessary to evaluate if current water endowments in the region match crop water requirements and to what extent water use can be improved. In this study, water productivity was assessed in a mature avocado (cv. ‘Hass’)orchard along six consecutive seasons. The physiological and agronomical responses of avocado trees to five water treatments (T1-T5)were also evaluated during two consecutive seasons. Water amounts supplied by irrigation were compared with FAO's estimations. For the six seasons, averaged FAO irrigation needs were 7916 ± 395 m3 ha−1 season−1 but averaged water supplied was 6503 ± 328 m3 ha−1 season−1 (˜18% below FAO's)with yields 11 ± 2 t ha−1, meaning a WP of 1.7 kg m-3. FAO's recommendations matched T2 and irrigation over or below T2 affected avocado yield, fruit quality (i.e. size)and WP. Water supplies 15% above FAO's (T3)did not involve better yields but decreased WP. Conventional irrigation for mature orchards (T1)was ˜20% lower than FAO's and entailed yield decreases (˜16%)but similar fruit sizes and WP. Water supplies 40% and 60% below FAO's (T4 and T5, respectively)caused significant water stress and decreased yields and fruit quality of avocado trees but increased WP. These effects were more noticeable during the productive season, in which T5 trees showed weakening symptoms and marked fruit drop. Results are discussed in the context of viability of avocado cropping in the Mediterranean region under low water resource scenarios.","author":[{"dropping-particle":"","family":"Moreno-Ortega","given":"G.","non-dropping-particle":"","parse-names":false,"suffix":""},{"dropping-particle":"","family":"Pliego","given":"C.","non-dropping-particle":"","parse-names":false,"suffix":""},{"dropping-particle":"","family":"Sarmiento","given":"D.","non-dropping-particle":"","parse-names":false,"suffix":""},{"dropping-particle":"","family":"Barceló","given":"A.","non-dropping-particle":"","parse-names":false,"suffix":""},{"dropping-particle":"","family":"Martínez-Ferri","given":"E.","non-dropping-particle":"","parse-names":false,"suffix":""}],"container-title":"Agricultural Water Management","id":"ITEM-1","issue":"December 2018","issued":{"date-parts":[["2019"]]},"page":"192-201","publisher":"Elsevier","title":"Yield and fruit quality of avocado trees under different regimes of water supply in the subtropical coast of Spain","type":"article-journal","volume":"221"},"uris":["http://www.mendeley.com/documents/?uuid=0ba9b41d-ea59-4269-ba4a-e7acafdb60a4"]}],"mendeley":{"formattedCitation":"&lt;span style=\"baseline\"&gt;[64]&lt;/span&gt;","plainTextFormattedCitation":"[64]","previouslyFormattedCitation":"&lt;span style=\"baseline\"&gt;[64]&lt;/span&gt;"},"properties":{"noteIndex":0},"schema":"https://github.com/citation-style-language/schema/raw/master/csl-citation.json"}</w:instrText>
      </w:r>
      <w:r w:rsidR="00B35475">
        <w:rPr>
          <w:i w:val="0"/>
          <w:noProof w:val="0"/>
        </w:rPr>
        <w:fldChar w:fldCharType="separate"/>
      </w:r>
      <w:r w:rsidR="004B02F5" w:rsidRPr="004B02F5">
        <w:rPr>
          <w:i w:val="0"/>
        </w:rPr>
        <w:t>[64]</w:t>
      </w:r>
      <w:r w:rsidR="00B35475">
        <w:rPr>
          <w:i w:val="0"/>
          <w:noProof w:val="0"/>
        </w:rPr>
        <w:fldChar w:fldCharType="end"/>
      </w:r>
      <w:r w:rsidRPr="00FA28E0">
        <w:rPr>
          <w:i w:val="0"/>
          <w:noProof w:val="0"/>
        </w:rPr>
        <w:t>.</w:t>
      </w:r>
    </w:p>
    <w:p w14:paraId="479F1215" w14:textId="3B15D8DE" w:rsidR="00FA28E0" w:rsidRDefault="00FA28E0" w:rsidP="00FA28E0">
      <w:pPr>
        <w:pStyle w:val="MDPI22heading2"/>
        <w:spacing w:before="0"/>
        <w:ind w:firstLine="425"/>
        <w:jc w:val="both"/>
        <w:rPr>
          <w:i w:val="0"/>
          <w:noProof w:val="0"/>
        </w:rPr>
      </w:pPr>
      <w:r w:rsidRPr="00FA28E0">
        <w:rPr>
          <w:i w:val="0"/>
          <w:noProof w:val="0"/>
        </w:rPr>
        <w:t>Despite the above claims, the water class in the resulting LULC classification showed a slight increase over the study period. However, it is important to note that this class includes both natural and artificial water bodies. It appears that the infrastructure for agricultural water supply expanded or remained stable in certain areas, despite declining rainfall and groundwater levels. According to Bolados et al</w:t>
      </w:r>
      <w:r w:rsidR="003268D7">
        <w:rPr>
          <w:i w:val="0"/>
          <w:noProof w:val="0"/>
        </w:rPr>
        <w:t xml:space="preserve"> </w:t>
      </w:r>
      <w:r w:rsidR="003268D7">
        <w:rPr>
          <w:i w:val="0"/>
          <w:noProof w:val="0"/>
        </w:rPr>
        <w:fldChar w:fldCharType="begin" w:fldLock="1"/>
      </w:r>
      <w:r w:rsidR="00CF0B43">
        <w:rPr>
          <w:i w:val="0"/>
          <w:noProof w:val="0"/>
        </w:rPr>
        <w:instrText>ADDIN CSL_CITATION {"citationItems":[{"id":"ITEM-1","itemData":{"author":[{"dropping-particle":"","family":"Bolados García","given":"Paola","non-dropping-particle":"","parse-names":false,"suffix":""},{"dropping-particle":"","family":"Henríquez Olguín","given":"Fabiola","non-dropping-particle":"","parse-names":false,"suffix":""},{"dropping-particle":"","family":"Ceruti Mahn","given":"Cristian","non-dropping-particle":"","parse-names":false,"suffix":""},{"dropping-particle":"","family":"Sánchez Cuevas","given":"Alejandra","non-dropping-particle":"","parse-names":false,"suffix":""}],"container-title":"Rupturas","id":"ITEM-1","issue":"1","issued":{"date-parts":[["2018"]]},"page":"167-199","title":"La eco-geo-política del agua: Una propuesta desde los territorios en las luchas por la recuperación del agua en la provincia de Petorca (Zona Central de Chile)","type":"article-journal","volume":"8"},"uris":["http://www.mendeley.com/documents/?uuid=cd30e577-a94b-3c62-9943-577a381e199f"]}],"mendeley":{"formattedCitation":"&lt;span style=\"baseline\"&gt;[65]&lt;/span&gt;","plainTextFormattedCitation":"[65]","previouslyFormattedCitation":"&lt;span style=\"baseline\"&gt;[65]&lt;/span&gt;"},"properties":{"noteIndex":0},"schema":"https://github.com/citation-style-language/schema/raw/master/csl-citation.json"}</w:instrText>
      </w:r>
      <w:r w:rsidR="003268D7">
        <w:rPr>
          <w:i w:val="0"/>
          <w:noProof w:val="0"/>
        </w:rPr>
        <w:fldChar w:fldCharType="separate"/>
      </w:r>
      <w:r w:rsidR="004B02F5" w:rsidRPr="004B02F5">
        <w:rPr>
          <w:i w:val="0"/>
        </w:rPr>
        <w:t>[65]</w:t>
      </w:r>
      <w:r w:rsidR="003268D7">
        <w:rPr>
          <w:i w:val="0"/>
          <w:noProof w:val="0"/>
        </w:rPr>
        <w:fldChar w:fldCharType="end"/>
      </w:r>
      <w:r w:rsidR="003268D7">
        <w:rPr>
          <w:i w:val="0"/>
          <w:noProof w:val="0"/>
        </w:rPr>
        <w:t xml:space="preserve"> </w:t>
      </w:r>
      <w:r w:rsidRPr="00FA28E0">
        <w:rPr>
          <w:i w:val="0"/>
          <w:noProof w:val="0"/>
        </w:rPr>
        <w:t xml:space="preserve">and Panez-Pinto et al. </w:t>
      </w:r>
      <w:r w:rsidR="003268D7">
        <w:rPr>
          <w:i w:val="0"/>
          <w:noProof w:val="0"/>
        </w:rPr>
        <w:fldChar w:fldCharType="begin" w:fldLock="1"/>
      </w:r>
      <w:r w:rsidR="00CF0B43">
        <w:rPr>
          <w:i w:val="0"/>
          <w:noProof w:val="0"/>
        </w:rPr>
        <w:instrText>ADDIN CSL_CITATION {"citationItems":[{"id":"ITEM-1","itemData":{"DOI":"10.17561/at.10.3614","ISSN":"2340-8472","abstract":"El artículo tiene como objetivo analizar los procesos de politización de los conflictos por el agua en Chile a partir del estudio de caso de la provincia de Petorca (región de Valparaíso) y, particularmente, el surgimiento y trayectoria del Movimiento por la Defensa del Agua, la Tierra y el Medioambiente (MODATIMA). Las principales contribuciones del análisis de dicha experiencia tienen que ver con: a) Los alcances del proceso de politización de este tipo de conflictos en su cuestionamiento al modelo de desarrollo chileno. b) La relación de esta politización con la reivindicación de otras miradas sobre la comprensión del agua. c) La vinculación de la conflictividad en torno al agua con los procesos de acumulación de capital por desposesión que se experimentan en Chile y a nivel global.","author":[{"dropping-particle":"","family":"Panez-Pinto","given":"Alexander","non-dropping-particle":"","parse-names":false,"suffix":""},{"dropping-particle":"","family":"Faúndez-Vergara","given":"Rodrigo","non-dropping-particle":"","parse-names":false,"suffix":""},{"dropping-particle":"","family":"Mansilla-Quiñones","given":"Camilo","non-dropping-particle":"","parse-names":false,"suffix":""}],"container-title":"Agua y Territorio","id":"ITEM-1","issue":"10","issued":{"date-parts":[["2017","12","20"]]},"page":"131","publisher":"Universidad de Jaen","title":"Politización de la crisis hídrica en Chile: Análisis del conflicto por el agua en la provincia de Petorca","type":"article-journal"},"uris":["http://www.mendeley.com/documents/?uuid=4000b5f7-1456-3d6e-be69-bd28d4efd3d0"]}],"mendeley":{"formattedCitation":"&lt;span style=\"baseline\"&gt;[66]&lt;/span&gt;","plainTextFormattedCitation":"[66]","previouslyFormattedCitation":"&lt;span style=\"baseline\"&gt;[66]&lt;/span&gt;"},"properties":{"noteIndex":0},"schema":"https://github.com/citation-style-language/schema/raw/master/csl-citation.json"}</w:instrText>
      </w:r>
      <w:r w:rsidR="003268D7">
        <w:rPr>
          <w:i w:val="0"/>
          <w:noProof w:val="0"/>
        </w:rPr>
        <w:fldChar w:fldCharType="separate"/>
      </w:r>
      <w:r w:rsidR="004B02F5" w:rsidRPr="004B02F5">
        <w:rPr>
          <w:i w:val="0"/>
        </w:rPr>
        <w:t>[66]</w:t>
      </w:r>
      <w:r w:rsidR="003268D7">
        <w:rPr>
          <w:i w:val="0"/>
          <w:noProof w:val="0"/>
        </w:rPr>
        <w:fldChar w:fldCharType="end"/>
      </w:r>
      <w:r w:rsidR="003268D7">
        <w:rPr>
          <w:i w:val="0"/>
          <w:noProof w:val="0"/>
        </w:rPr>
        <w:t xml:space="preserve">, </w:t>
      </w:r>
      <w:r w:rsidRPr="00FA28E0">
        <w:rPr>
          <w:i w:val="0"/>
          <w:noProof w:val="0"/>
        </w:rPr>
        <w:t>the Chilean government built several reservoirs to mitigate the effects of the drought. In addition, it is possible that large-scale farmers built their own reservoirs to ensure irrigation supply.</w:t>
      </w:r>
    </w:p>
    <w:p w14:paraId="3BF2E4AD" w14:textId="229E7B1A" w:rsidR="00FA28E0" w:rsidRDefault="00FA28E0" w:rsidP="00FA28E0">
      <w:pPr>
        <w:pStyle w:val="MDPI22heading2"/>
        <w:spacing w:before="0"/>
        <w:ind w:firstLine="425"/>
        <w:jc w:val="both"/>
        <w:rPr>
          <w:i w:val="0"/>
          <w:noProof w:val="0"/>
        </w:rPr>
      </w:pPr>
      <w:r w:rsidRPr="00FA28E0">
        <w:rPr>
          <w:i w:val="0"/>
          <w:noProof w:val="0"/>
        </w:rPr>
        <w:t xml:space="preserve">Aldunce et al. </w:t>
      </w:r>
      <w:r w:rsidR="006C2194">
        <w:rPr>
          <w:i w:val="0"/>
          <w:noProof w:val="0"/>
        </w:rPr>
        <w:fldChar w:fldCharType="begin" w:fldLock="1"/>
      </w:r>
      <w:r w:rsidR="00CF0B43">
        <w:rPr>
          <w:i w:val="0"/>
          <w:noProof w:val="0"/>
        </w:rPr>
        <w:instrText>ADDIN CSL_CITATION {"citationItems":[{"id":"ITEM-1","itemData":{"DOI":"10.3390/su16187916","ISSN":"20711050","abstract":"Droughts and extreme rainfall events are two of the hazards that affect many people in the world and are frequent and complex hazards, the rate of occurrence and magnitude of which are expected to increase in a changing climate. In this context, understanding how different actors perceive changes in climate, drought, and extreme rainfall events and their impacts is relevant in contributing to successfully implementing adaptation strategies to reduce their impacts. This research seeks to explore the main changes the climate has undergone and the impacts of drought and precipitation events, as perceived at local levels by different stakeholders. A multi-method approach was applied, including qualitative methods such as observation, 51 semi-structured interviews, and document reviews in Chañaral and the Aconcagua Valley, Chile. This research shows what the perceived changes in climate are and that drought and extreme rainfall events have affected the well-being of the local people by severely impacting the economy, the environment, social interactions, quality of life, and human health. Additionally, the perception of climate change and its impacts vary depending on the type of hazard and the social, geographical, and environmental contexts in which communities live. This study is useful as it has generated knowledge relevant to inform policy decisions, practice, and theory.","author":[{"dropping-particle":"","family":"Aldunce","given":"Paulina","non-dropping-particle":"","parse-names":false,"suffix":""},{"dropping-particle":"","family":"Haverbeck","given":"Fernanda","non-dropping-particle":"","parse-names":false,"suffix":""},{"dropping-particle":"","family":"Sapiains","given":"Rodolfo","non-dropping-particle":"","parse-names":false,"suffix":""},{"dropping-particle":"","family":"Quilaqueo","given":"Antonio","non-dropping-particle":"","parse-names":false,"suffix":""},{"dropping-particle":"","family":"Castro","given":"Carmen Paz","non-dropping-particle":"","parse-names":false,"suffix":""}],"container-title":"Sustainability (Switzerland)","id":"ITEM-1","issue":"18","issued":{"date-parts":[["2024"]]},"page":"1-20","title":"Public Perception of Drought and Extreme Rainfall Impacts in a Changing Climate: Aconcagua Valley and Chañaral, Chile","type":"article-journal","volume":"16"},"uris":["http://www.mendeley.com/documents/?uuid=344eea33-943d-4775-9e3a-3125dd5f3e22"]}],"mendeley":{"formattedCitation":"&lt;span style=\"baseline\"&gt;[63]&lt;/span&gt;","plainTextFormattedCitation":"[63]","previouslyFormattedCitation":"&lt;span style=\"baseline\"&gt;[63]&lt;/span&gt;"},"properties":{"noteIndex":0},"schema":"https://github.com/citation-style-language/schema/raw/master/csl-citation.json"}</w:instrText>
      </w:r>
      <w:r w:rsidR="006C2194">
        <w:rPr>
          <w:i w:val="0"/>
          <w:noProof w:val="0"/>
        </w:rPr>
        <w:fldChar w:fldCharType="separate"/>
      </w:r>
      <w:r w:rsidR="004B02F5" w:rsidRPr="004B02F5">
        <w:rPr>
          <w:i w:val="0"/>
        </w:rPr>
        <w:t>[63]</w:t>
      </w:r>
      <w:r w:rsidR="006C2194">
        <w:rPr>
          <w:i w:val="0"/>
          <w:noProof w:val="0"/>
        </w:rPr>
        <w:fldChar w:fldCharType="end"/>
      </w:r>
      <w:r w:rsidR="006C2194">
        <w:rPr>
          <w:i w:val="0"/>
          <w:noProof w:val="0"/>
        </w:rPr>
        <w:t xml:space="preserve"> </w:t>
      </w:r>
      <w:r w:rsidRPr="00FA28E0">
        <w:rPr>
          <w:i w:val="0"/>
          <w:noProof w:val="0"/>
        </w:rPr>
        <w:t xml:space="preserve">emphasized that the growing water demand from the agricultural sector has disrupted the natural water cycle. However, this situation is not only the result of drought and agricultural expansion but </w:t>
      </w:r>
      <w:r w:rsidR="00EF6EFA" w:rsidRPr="00EF6EFA">
        <w:rPr>
          <w:i w:val="0"/>
          <w:noProof w:val="0"/>
          <w:highlight w:val="yellow"/>
        </w:rPr>
        <w:t>it</w:t>
      </w:r>
      <w:r w:rsidR="00EF6EFA">
        <w:rPr>
          <w:i w:val="0"/>
          <w:noProof w:val="0"/>
        </w:rPr>
        <w:t xml:space="preserve"> </w:t>
      </w:r>
      <w:r w:rsidRPr="00FA28E0">
        <w:rPr>
          <w:i w:val="0"/>
          <w:noProof w:val="0"/>
        </w:rPr>
        <w:t xml:space="preserve">is also exacerbated by Chile’s highly unequal system of water rights and distribution </w:t>
      </w:r>
      <w:r w:rsidR="006C2194">
        <w:rPr>
          <w:i w:val="0"/>
          <w:noProof w:val="0"/>
        </w:rPr>
        <w:fldChar w:fldCharType="begin" w:fldLock="1"/>
      </w:r>
      <w:r w:rsidR="00CF0B43">
        <w:rPr>
          <w:i w:val="0"/>
          <w:noProof w:val="0"/>
        </w:rPr>
        <w:instrText>ADDIN CSL_CITATION {"citationItems":[{"id":"ITEM-1","itemData":{"DOI":"10.5194/hess-28-2483-2024","ISSN":"16077938","abstract":"Since 2010, central Chile has experienced a protracted megadrought with annual precipitation deficits ranging from 25 % to 70 %. An intensification of drought propagation has been attributed to the effect of cumulative precipitation deficits linked to catchment memory. Yet, the influence of water extractions on drought intensification is still unclear. Our study assesses climate and water use effects on streamflow reductions during a high-human-influence period (1988–2020) in four major agricultural basins. We performed this attribution by contrasting observed streamflow (driven by climate and water use) with near-natural streamflow simulations (driven mainly by climate) representing what would have occurred without water extractions. Near-natural streamflow estimations were obtained from rainfall–runoff models trained over a reference period with low human intervention (1960–1988). Annual and seasonal streamflow reductions were examined before and after the megadrought onset, and hydrological drought events were characterized for the complete evaluation period in terms of their frequency, duration, and intensity. Our results show that before the megadrought onset (1988–2009) the mean annual deficits in observed streamflow ranged between 2 % and 20 % across the study basins and that 81 % to 100 % of those deficits were explained by water extractions. During the megadrought (2010–2020), the mean annual deficits in observed streamflow were 47 % to 76 % among the basins. During this time, the relative contribution of precipitation deficits on streamflow reduction increased while the contribution of water extractions decreased, accounting for 27 % to 51 % of the streamflow reduction. Regarding drought events during the complete evaluation period, we show that human activities have amplified drought propagation, with almost double the intensity of hydrological droughts in some basins compared to those expected by precipitation deficits only. We conclude that while the primary cause of streamflow reductions during the megadrought has been the lack of precipitation, water uses have not diminished during this time, causing an exacerbation of the hydrological drought conditions and aggravating their impacts on water accessibility in rural communities and natural ecosystems.","author":[{"dropping-particle":"","family":"Álamos","given":"Nicolás","non-dropping-particle":"","parse-names":false,"suffix":""},{"dropping-particle":"","family":"Alvarez-Garreton","given":"Camila","non-dropping-particle":"","parse-names":false,"suffix":""},{"dropping-particle":"","family":"Muñoz","given":"Ariel","non-dropping-particle":"","parse-names":false,"suffix":""},{"dropping-particle":"","family":"González-Reyes","given":"Álvaro","non-dropping-particle":"","parse-names":false,"suffix":""}],"container-title":"Hydrology and Earth System Sciences","id":"ITEM-1","issue":"11","issued":{"date-parts":[["2024"]]},"page":"2483-2503","title":"The influence of human activities on streamflow reductions during the megadrought in central Chile","type":"article-journal","volume":"28"},"uris":["http://www.mendeley.com/documents/?uuid=9431a0f6-1962-4ba4-a396-c9d6ea58c866"]},{"id":"ITEM-2","itemData":{"DOI":"10.1016/j.exis.2022.101081","ISSN":"2214790X","abstract":"Both supporters and critics of the Chilean water model have described it as a textbook example of deregulation and the free-market model for water management. In this article, we challenge this characterization and argue that the model has relied on long-term and highly centralized State decisions that have installed and reproduced historical power asymmetries. Based on archival research and historical records of water rights assignments and water-related legal instruments, we develop a comprehensive historical analysis of how water rights have been distributed over the last 100 years in one of the country's most paradigmatic cases: the Antofagasta Region. Starting seven decades before the military regime imposed the 1981 Water Code, our analysis reveals that water in this geographical area has historically been distributed through distinct State-driven strategies rather than market instruments, favoring mining companies. We conclude that the Chilean water model, rather than being a market-driven approach to water management, actually relies on strong regulations, and that the Water Code merely crystallizes centralized historical decisions regarding water distribution that support an extractivist development model.","author":[{"dropping-particle":"","family":"Prieto","given":"Manuel","non-dropping-particle":"","parse-names":false,"suffix":""},{"dropping-particle":"","family":"Calderón-Seguel","given":"Matías","non-dropping-particle":"","parse-names":false,"suffix":""},{"dropping-particle":"","family":"Fragkou","given":"María Christina","non-dropping-particle":"","parse-names":false,"suffix":""},{"dropping-particle":"","family":"Fuster","given":"Rodrigo","non-dropping-particle":"","parse-names":false,"suffix":""}],"container-title":"Extractive Industries and Society","id":"ITEM-2","issue":"May","issued":{"date-parts":[["2022"]]},"title":"The (not-so-free) Chilean water model. The case of the Antofagasta Region, Atacama Desert, Chile","type":"article-journal","volume":"11"},"uris":["http://www.mendeley.com/documents/?uuid=2c7f59df-d212-45fe-94d2-a73162545475"]}],"mendeley":{"formattedCitation":"&lt;span style=\"baseline\"&gt;[67,68]&lt;/span&gt;","plainTextFormattedCitation":"[67,68]","previouslyFormattedCitation":"&lt;span style=\"baseline\"&gt;[67,68]&lt;/span&gt;"},"properties":{"noteIndex":0},"schema":"https://github.com/citation-style-language/schema/raw/master/csl-citation.json"}</w:instrText>
      </w:r>
      <w:r w:rsidR="006C2194">
        <w:rPr>
          <w:i w:val="0"/>
          <w:noProof w:val="0"/>
        </w:rPr>
        <w:fldChar w:fldCharType="separate"/>
      </w:r>
      <w:r w:rsidR="004B02F5" w:rsidRPr="004B02F5">
        <w:rPr>
          <w:i w:val="0"/>
        </w:rPr>
        <w:t>[67,68]</w:t>
      </w:r>
      <w:r w:rsidR="006C2194">
        <w:rPr>
          <w:i w:val="0"/>
          <w:noProof w:val="0"/>
        </w:rPr>
        <w:fldChar w:fldCharType="end"/>
      </w:r>
      <w:r w:rsidRPr="00FA28E0">
        <w:rPr>
          <w:i w:val="0"/>
          <w:noProof w:val="0"/>
        </w:rPr>
        <w:t xml:space="preserve">. The expansion of avocado plantations in adjacent basins has resulted in the overallocation of both surface and groundwater rights, leading to multiple conflicts concerning the human right to water, agro-industry demands, and illegal groundwater extraction </w:t>
      </w:r>
      <w:r w:rsidR="00724555">
        <w:rPr>
          <w:i w:val="0"/>
          <w:noProof w:val="0"/>
        </w:rPr>
        <w:fldChar w:fldCharType="begin" w:fldLock="1"/>
      </w:r>
      <w:r w:rsidR="00CF0B43">
        <w:rPr>
          <w:i w:val="0"/>
          <w:noProof w:val="0"/>
        </w:rPr>
        <w:instrText>ADDIN CSL_CITATION {"citationItems":[{"id":"ITEM-1","itemData":{"author":[{"dropping-particle":"","family":"Bolados García","given":"Paola","non-dropping-particle":"","parse-names":false,"suffix":""},{"dropping-particle":"","family":"Henríquez Olguín","given":"Fabiola","non-dropping-particle":"","parse-names":false,"suffix":""},{"dropping-particle":"","family":"Ceruti Mahn","given":"Cristian","non-dropping-particle":"","parse-names":false,"suffix":""},{"dropping-particle":"","family":"Sánchez Cuevas","given":"Alejandra","non-dropping-particle":"","parse-names":false,"suffix":""}],"container-title":"Rupturas","id":"ITEM-1","issue":"1","issued":{"date-parts":[["2018"]]},"page":"167-199","title":"La eco-geo-política del agua: Una propuesta desde los territorios en las luchas por la recuperación del agua en la provincia de Petorca (Zona Central de Chile)","type":"article-journal","volume":"8"},"uris":["http://www.mendeley.com/documents/?uuid=cd30e577-a94b-3c62-9943-577a381e199f"]},{"id":"ITEM-2","itemData":{"abstract":"Introducción El objetivo del artículo es componer un cuerpo teórico y metodológico para comprender desde una perspectiva socioecológica los efectos de la agricultura de exportación, considerando los factores económicos, ecológicos, sociales y políticos que afectan a las comunidades campesinas con relación al agua y a la tierra. La agricultura de exportación no suele generar oposiciones inmediatas entre los habitantes, comparado con otras actividades contemporáneas que promueven impactos socioecológicos significativos como la explotación minera, las plantas industriales o los proyectos hidroeléctricos. Esto se debe, en parte, a que los efectos de ese sistema agrícola son más visibles a mediano y largo plazo, y debido a que las clases dominantes construyen un sentido común que nos avisa que se trata de una actividad económica cuyo foco es producir alimentos, función vital e ineludible para la sociedad (McMichael, 2009). No obstante, la producción de alimentos ha sido subordinada sistemáticamente en las últimas décadas a los procesos de mercantilización de la actividad agrícola, cuyo centro es garantizar ganancias a lo largo del proceso de producción y circulación capitalista (McMichael, 2009). Esta transformación ha llevado a una lógica nueva de producción bajo un modelo de agronegocio (Gras y Hernández, 2013) que implica: i) la intensificación del protagonismo del capital en cada una de las fases de producción, circulación, comercialización y consumo de alimentos, ii) la imbricación con el sector químico y biotecnológico, junto con la progresiva sustitución de productos agrícolas por agroindustriales, iii) la organización de la producción mundial controlada por oligopolios y centrada en el consumidor global, en desmedro de los consumidores locales, iv) los procesos crecientes de acaparamiento y concentración de tierras en los países del Sur global, y v) la pro-fundización a gran escala de la producción de monocultivos, lo que implica usos intensivos de energía, agua, suelo y agroquímicos (Pengue, 2006). Un aspecto inédito del agronegocio contemporáneo es haber generado una circulación de energía y materiales sin precedentes (Porto-Gonçalves, 2016). En ese incremento de los flujos, el agua posee un papel protagónico, cuya circulación ha aumentado \"con las exportaciones de los países agrícolas durante los últimos cuarenta años […] Aproximadamente el 15% del agua utilizada en el mundo se destina a la exportación en forma de agua virtual\" (Pengue, 2006: 4). …","author":[{"dropping-particle":"","family":"Panez-Pinto","given":"Alexander","non-dropping-particle":"","parse-names":false,"suffix":""},{"dropping-particle":"","family":"Mansilla-Quiñones","given":"Pablo","non-dropping-particle":"","parse-names":false,"suffix":""},{"dropping-particle":"","family":"Moreira-Muñoz","given":"Andrés","non-dropping-particle":"","parse-names":false,"suffix":""}],"container-title":"Bitacora","id":"ITEM-2","issue":"3","issued":{"date-parts":[["2018"]]},"page":"153 - 160","title":"Agua, tierra y fractura sociometabólica del agronegocio","type":"article-journal","volume":"28"},"uris":["http://www.mendeley.com/documents/?uuid=cbb97f04-2a0e-30ce-b2d2-a4548767b51e"]}],"mendeley":{"formattedCitation":"&lt;span style=\"baseline\"&gt;[30,65]&lt;/span&gt;","plainTextFormattedCitation":"[30,65]","previouslyFormattedCitation":"&lt;span style=\"baseline\"&gt;[30,65]&lt;/span&gt;"},"properties":{"noteIndex":0},"schema":"https://github.com/citation-style-language/schema/raw/master/csl-citation.json"}</w:instrText>
      </w:r>
      <w:r w:rsidR="00724555">
        <w:rPr>
          <w:i w:val="0"/>
          <w:noProof w:val="0"/>
        </w:rPr>
        <w:fldChar w:fldCharType="separate"/>
      </w:r>
      <w:r w:rsidR="004B02F5" w:rsidRPr="004B02F5">
        <w:rPr>
          <w:i w:val="0"/>
        </w:rPr>
        <w:t>[30,65]</w:t>
      </w:r>
      <w:r w:rsidR="00724555">
        <w:rPr>
          <w:i w:val="0"/>
          <w:noProof w:val="0"/>
        </w:rPr>
        <w:fldChar w:fldCharType="end"/>
      </w:r>
      <w:r w:rsidRPr="00FA28E0">
        <w:rPr>
          <w:i w:val="0"/>
          <w:noProof w:val="0"/>
        </w:rPr>
        <w:t xml:space="preserve">. In Chile, water rights are granted to different users in perpetuity and at no cost, as national legislation defines water as a public good while allowing individuals to acquire rights for its use </w:t>
      </w:r>
      <w:r w:rsidR="00724555">
        <w:rPr>
          <w:i w:val="0"/>
          <w:noProof w:val="0"/>
        </w:rPr>
        <w:fldChar w:fldCharType="begin" w:fldLock="1"/>
      </w:r>
      <w:r w:rsidR="00CF0B43">
        <w:rPr>
          <w:i w:val="0"/>
          <w:noProof w:val="0"/>
        </w:rPr>
        <w:instrText>ADDIN CSL_CITATION {"citationItems":[{"id":"ITEM-1","itemData":{"author":[{"dropping-particle":"","family":"Bolados García","given":"Paola","non-dropping-particle":"","parse-names":false,"suffix":""},{"dropping-particle":"","family":"Henríquez Olguín","given":"Fabiola","non-dropping-particle":"","parse-names":false,"suffix":""},{"dropping-particle":"","family":"Ceruti Mahn","given":"Cristian","non-dropping-particle":"","parse-names":false,"suffix":""},{"dropping-particle":"","family":"Sánchez Cuevas","given":"Alejandra","non-dropping-particle":"","parse-names":false,"suffix":""}],"container-title":"Rupturas","id":"ITEM-1","issue":"1","issued":{"date-parts":[["2018"]]},"page":"167-199","title":"La eco-geo-política del agua: Una propuesta desde los territorios en las luchas por la recuperación del agua en la provincia de Petorca (Zona Central de Chile)","type":"article-journal","volume":"8"},"uris":["http://www.mendeley.com/documents/?uuid=cd30e577-a94b-3c62-9943-577a381e199f"]}],"mendeley":{"formattedCitation":"&lt;span style=\"baseline\"&gt;[65]&lt;/span&gt;","plainTextFormattedCitation":"[65]","previouslyFormattedCitation":"&lt;span style=\"baseline\"&gt;[65]&lt;/span&gt;"},"properties":{"noteIndex":0},"schema":"https://github.com/citation-style-language/schema/raw/master/csl-citation.json"}</w:instrText>
      </w:r>
      <w:r w:rsidR="00724555">
        <w:rPr>
          <w:i w:val="0"/>
          <w:noProof w:val="0"/>
        </w:rPr>
        <w:fldChar w:fldCharType="separate"/>
      </w:r>
      <w:r w:rsidR="004B02F5" w:rsidRPr="004B02F5">
        <w:rPr>
          <w:i w:val="0"/>
        </w:rPr>
        <w:t>[65]</w:t>
      </w:r>
      <w:r w:rsidR="00724555">
        <w:rPr>
          <w:i w:val="0"/>
          <w:noProof w:val="0"/>
        </w:rPr>
        <w:fldChar w:fldCharType="end"/>
      </w:r>
      <w:r w:rsidRPr="00FA28E0">
        <w:rPr>
          <w:i w:val="0"/>
          <w:noProof w:val="0"/>
        </w:rPr>
        <w:t xml:space="preserve">. Consequently, water rights have been distributed for years with limited regulatory oversight, contributing to uncontrolled and even illegal water extraction for agricultural purposes </w:t>
      </w:r>
      <w:r w:rsidR="00A06EF7">
        <w:rPr>
          <w:i w:val="0"/>
          <w:noProof w:val="0"/>
        </w:rPr>
        <w:fldChar w:fldCharType="begin" w:fldLock="1"/>
      </w:r>
      <w:r w:rsidR="00CF0B43">
        <w:rPr>
          <w:i w:val="0"/>
          <w:noProof w:val="0"/>
        </w:rPr>
        <w:instrText>ADDIN CSL_CITATION {"citationItems":[{"id":"ITEM-1","itemData":{"DOI":"10.3390/w12092446","ISSN":"20734441","abstract":"Groundwater (GW) is the primary source of unfrozen freshwater on the planet and in many semi-arid areas, it is the only source of water available during low-water periods. In north-central Chile, there has been GW depletion as a result of semi-arid conditions and high water demand, which has unleashed major social conflicts, some due to drought and others due to agribusiness practices against the backdrop of a private water management model. The Ligua and Petorca watersheds in the Valparaíso Region were studied in order to analyze the influence of climatic and anthropogenic factors on aquifer depletion using an interdisciplinary approach that integrates hydroclimatic variables, remote sensing data techniques, and GW rights data to promote sustainable GW management. The Standardized Precipitation Index (SPI) and Normalized Difference Vegetation Index (NDVI) were calculated and the 2002-2017 land-use change was analyzed. It was shown that GW decreased significantly (in 75% of the wells) and that the hydrological drought was moderate and prolonged (longest drought in the last 36 years). The avocado-growing area in Ligua increased significantly-by 2623 ha-with respect to other agricultural areas (higher GW decrease), while in Petorca, it decreased by 128 ha. In addition, GW-rainfall correlations were low and GW rights were granted continuously despite the drought. The results confirmed that aquifer depletion was mostly influenced by human factors due to overexploitation by agriculture and a lack of water management.","author":[{"dropping-particle":"","family":"Duran-Llacer","given":"Iongel","non-dropping-particle":"","parse-names":false,"suffix":""},{"dropping-particle":"","family":"Munizaga","given":"Juan","non-dropping-particle":"","parse-names":false,"suffix":""},{"dropping-particle":"","family":"Arumí","given":"José Luis","non-dropping-particle":"","parse-names":false,"suffix":""},{"dropping-particle":"","family":"Ruybal","given":"Christopher","non-dropping-particle":"","parse-names":false,"suffix":""},{"dropping-particle":"","family":"Aguayo","given":"Mauricio","non-dropping-particle":"","parse-names":false,"suffix":""},{"dropping-particle":"","family":"Sáez-Carrillo","given":"Katia","non-dropping-particle":"","parse-names":false,"suffix":""},{"dropping-particle":"","family":"Arriagada","given":"Loretto","non-dropping-particle":"","parse-names":false,"suffix":""},{"dropping-particle":"","family":"Rojas","given":"Octavio","non-dropping-particle":"","parse-names":false,"suffix":""}],"container-title":"Water (Switzerland)","id":"ITEM-1","issue":"9","issued":{"date-parts":[["2020","9","1"]]},"publisher":"MDPI AG","title":"Lessons to be learned: Groundwater depletion in Chile's ligua and petorca watersheds through an interdisciplinary approach","type":"article-journal","volume":"12"},"uris":["http://www.mendeley.com/documents/?uuid=67a251eb-2187-383f-873c-50cc2e42e1ca"]}],"mendeley":{"formattedCitation":"&lt;span style=\"baseline\"&gt;[23]&lt;/span&gt;","plainTextFormattedCitation":"[23]","previouslyFormattedCitation":"&lt;span style=\"baseline\"&gt;[23]&lt;/span&gt;"},"properties":{"noteIndex":0},"schema":"https://github.com/citation-style-language/schema/raw/master/csl-citation.json"}</w:instrText>
      </w:r>
      <w:r w:rsidR="00A06EF7">
        <w:rPr>
          <w:i w:val="0"/>
          <w:noProof w:val="0"/>
        </w:rPr>
        <w:fldChar w:fldCharType="separate"/>
      </w:r>
      <w:r w:rsidR="004B02F5" w:rsidRPr="004B02F5">
        <w:rPr>
          <w:i w:val="0"/>
        </w:rPr>
        <w:t>[23]</w:t>
      </w:r>
      <w:r w:rsidR="00A06EF7">
        <w:rPr>
          <w:i w:val="0"/>
          <w:noProof w:val="0"/>
        </w:rPr>
        <w:fldChar w:fldCharType="end"/>
      </w:r>
      <w:r w:rsidRPr="00FA28E0">
        <w:rPr>
          <w:i w:val="0"/>
          <w:noProof w:val="0"/>
        </w:rPr>
        <w:t xml:space="preserve">. Although the DGA (General Water Directorate), the institution responsible for granting and monitoring water rights in Chile, </w:t>
      </w:r>
      <w:r w:rsidR="00B72E10" w:rsidRPr="00B72E10">
        <w:rPr>
          <w:i w:val="0"/>
          <w:noProof w:val="0"/>
          <w:highlight w:val="yellow"/>
        </w:rPr>
        <w:t>has recently introduced several efficient water management measures, past years lacked effective regulatory mechanisms. This may have had serious consequences for water re-sources in the Aconcagua basin</w:t>
      </w:r>
      <w:r w:rsidRPr="00B72E10">
        <w:rPr>
          <w:i w:val="0"/>
          <w:noProof w:val="0"/>
          <w:highlight w:val="yellow"/>
        </w:rPr>
        <w:t>.</w:t>
      </w:r>
    </w:p>
    <w:p w14:paraId="07D52546" w14:textId="2978DC9F" w:rsidR="00FA28E0" w:rsidRDefault="002C1CBF" w:rsidP="00FA28E0">
      <w:pPr>
        <w:pStyle w:val="MDPI22heading2"/>
        <w:spacing w:before="0"/>
        <w:ind w:firstLine="425"/>
        <w:jc w:val="both"/>
        <w:rPr>
          <w:i w:val="0"/>
          <w:noProof w:val="0"/>
        </w:rPr>
      </w:pPr>
      <w:r w:rsidRPr="002C1CBF">
        <w:rPr>
          <w:i w:val="0"/>
          <w:noProof w:val="0"/>
          <w:highlight w:val="yellow"/>
        </w:rPr>
        <w:t>Our findings related to the loss of native vegetation due to the expansion of avocado plantations was consistent with a previous survey in which respondents reported a per-</w:t>
      </w:r>
      <w:proofErr w:type="spellStart"/>
      <w:r w:rsidRPr="002C1CBF">
        <w:rPr>
          <w:i w:val="0"/>
          <w:noProof w:val="0"/>
          <w:highlight w:val="yellow"/>
        </w:rPr>
        <w:t>ceived</w:t>
      </w:r>
      <w:proofErr w:type="spellEnd"/>
      <w:r w:rsidRPr="002C1CBF">
        <w:rPr>
          <w:i w:val="0"/>
          <w:noProof w:val="0"/>
          <w:highlight w:val="yellow"/>
        </w:rPr>
        <w:t xml:space="preserve"> decline in sclerophyllous forests, the endemic forests of central Chile, known for their high drought resistance </w:t>
      </w:r>
      <w:r w:rsidR="00287C40" w:rsidRPr="002C1CBF">
        <w:rPr>
          <w:i w:val="0"/>
          <w:noProof w:val="0"/>
          <w:highlight w:val="yellow"/>
        </w:rPr>
        <w:fldChar w:fldCharType="begin" w:fldLock="1"/>
      </w:r>
      <w:r w:rsidR="00CF0B43" w:rsidRPr="002C1CBF">
        <w:rPr>
          <w:i w:val="0"/>
          <w:noProof w:val="0"/>
          <w:highlight w:val="yellow"/>
        </w:rPr>
        <w:instrText>ADDIN CSL_CITATION {"citationItems":[{"id":"ITEM-1","itemData":{"DOI":"10.3390/su16187916","ISSN":"20711050","abstract":"Droughts and extreme rainfall events are two of the hazards that affect many people in the world and are frequent and complex hazards, the rate of occurrence and magnitude of which are expected to increase in a changing climate. In this context, understanding how different actors perceive changes in climate, drought, and extreme rainfall events and their impacts is relevant in contributing to successfully implementing adaptation strategies to reduce their impacts. This research seeks to explore the main changes the climate has undergone and the impacts of drought and precipitation events, as perceived at local levels by different stakeholders. A multi-method approach was applied, including qualitative methods such as observation, 51 semi-structured interviews, and document reviews in Chañaral and the Aconcagua Valley, Chile. This research shows what the perceived changes in climate are and that drought and extreme rainfall events have affected the well-being of the local people by severely impacting the economy, the environment, social interactions, quality of life, and human health. Additionally, the perception of climate change and its impacts vary depending on the type of hazard and the social, geographical, and environmental contexts in which communities live. This study is useful as it has generated knowledge relevant to inform policy decisions, practice, and theory.","author":[{"dropping-particle":"","family":"Aldunce","given":"Paulina","non-dropping-particle":"","parse-names":false,"suffix":""},{"dropping-particle":"","family":"Haverbeck","given":"Fernanda","non-dropping-particle":"","parse-names":false,"suffix":""},{"dropping-particle":"","family":"Sapiains","given":"Rodolfo","non-dropping-particle":"","parse-names":false,"suffix":""},{"dropping-particle":"","family":"Quilaqueo","given":"Antonio","non-dropping-particle":"","parse-names":false,"suffix":""},{"dropping-particle":"","family":"Castro","given":"Carmen Paz","non-dropping-particle":"","parse-names":false,"suffix":""}],"container-title":"Sustainability (Switzerland)","id":"ITEM-1","issue":"18","issued":{"date-parts":[["2024"]]},"page":"1-20","title":"Public Perception of Drought and Extreme Rainfall Impacts in a Changing Climate: Aconcagua Valley and Chañaral, Chile","type":"article-journal","volume":"16"},"uris":["http://www.mendeley.com/documents/?uuid=344eea33-943d-4775-9e3a-3125dd5f3e22"]}],"mendeley":{"formattedCitation":"&lt;span style=\"baseline\"&gt;[63]&lt;/span&gt;","plainTextFormattedCitation":"[63]","previouslyFormattedCitation":"&lt;span style=\"baseline\"&gt;[63]&lt;/span&gt;"},"properties":{"noteIndex":0},"schema":"https://github.com/citation-style-language/schema/raw/master/csl-citation.json"}</w:instrText>
      </w:r>
      <w:r w:rsidR="00287C40" w:rsidRPr="002C1CBF">
        <w:rPr>
          <w:i w:val="0"/>
          <w:noProof w:val="0"/>
          <w:highlight w:val="yellow"/>
        </w:rPr>
        <w:fldChar w:fldCharType="separate"/>
      </w:r>
      <w:r w:rsidR="004B02F5" w:rsidRPr="002C1CBF">
        <w:rPr>
          <w:i w:val="0"/>
          <w:highlight w:val="yellow"/>
        </w:rPr>
        <w:t>[63]</w:t>
      </w:r>
      <w:r w:rsidR="00287C40" w:rsidRPr="002C1CBF">
        <w:rPr>
          <w:i w:val="0"/>
          <w:noProof w:val="0"/>
          <w:highlight w:val="yellow"/>
        </w:rPr>
        <w:fldChar w:fldCharType="end"/>
      </w:r>
      <w:r w:rsidRPr="002C1CBF">
        <w:rPr>
          <w:i w:val="0"/>
          <w:noProof w:val="0"/>
          <w:highlight w:val="yellow"/>
        </w:rPr>
        <w:t xml:space="preserve">. </w:t>
      </w:r>
      <w:r w:rsidR="00FA28E0" w:rsidRPr="002C1CBF">
        <w:rPr>
          <w:i w:val="0"/>
          <w:noProof w:val="0"/>
          <w:highlight w:val="yellow"/>
        </w:rPr>
        <w:t xml:space="preserve">Similarly, </w:t>
      </w:r>
      <w:proofErr w:type="spellStart"/>
      <w:r w:rsidR="00FA28E0" w:rsidRPr="002C1CBF">
        <w:rPr>
          <w:i w:val="0"/>
          <w:noProof w:val="0"/>
          <w:highlight w:val="yellow"/>
        </w:rPr>
        <w:t>Lavín</w:t>
      </w:r>
      <w:proofErr w:type="spellEnd"/>
      <w:r w:rsidR="00FA28E0" w:rsidRPr="002C1CBF">
        <w:rPr>
          <w:i w:val="0"/>
          <w:noProof w:val="0"/>
          <w:highlight w:val="yellow"/>
        </w:rPr>
        <w:t xml:space="preserve"> et al. </w:t>
      </w:r>
      <w:r w:rsidR="00287C40" w:rsidRPr="002C1CBF">
        <w:rPr>
          <w:i w:val="0"/>
          <w:noProof w:val="0"/>
          <w:highlight w:val="yellow"/>
        </w:rPr>
        <w:fldChar w:fldCharType="begin" w:fldLock="1"/>
      </w:r>
      <w:r w:rsidR="00CF0B43" w:rsidRPr="002C1CBF">
        <w:rPr>
          <w:i w:val="0"/>
          <w:noProof w:val="0"/>
          <w:highlight w:val="yellow"/>
        </w:rPr>
        <w:instrText>ADDIN CSL_CITATION {"citationItems":[{"id":"ITEM-1","itemData":{"DOI":"10.1080/26395916.2024.2358471","ISSN":"26395916","abstract":"Wild pollinators play a crucial role in maintaining healthy ecosystems and sustaining agricultural productivity. However, their survival is at risk due to habitat loss and land use changes, exacerbating the ongoing biodiversity crisis, and jeopardising global food security. We assessed the contribution of native vegetation cover to pollination and avocado crop yield by modelling the abundance of native bees and the pollination services they provide in agroecosystems of the Aconcagua River basin in Central Chile. This region stands as a critical biodiversity hotspot, currently confronted with the challenge of land use change, especially due to the expansion of avocado (Persea americana Mill.) monocultures. Our findings revealed a clear relationship between native bee abundance, pollination services, and avocado yield as a function of natural vegetation cover surrounding the crops. Areas with a higher proportion of native vegetation exhibited the most abundant supply of pollination services, while within avocado crops show lower levels of pollination support. A spatial mismatch between supply and demand for pollination revealed by our results indicates that agricultural expansion threatens native pollinators and agricultural yield production in this region. The development of pollination maps has been proposed as a strategic tool to guide land-use planning decisions within agricultural landscapes. Prioritizing the conservation of native vegetation or adopting biodiversity-friendly practices can help mitigate the effects of agricultural expansion on wild pollinators. These strategies are vital for safeguarding biodiversity, ensuring food security, and mitigating the far-reaching impacts of the current biodiversity crisis. (Figure presented.).","author":[{"dropping-particle":"","family":"Lavín","given":"U.","non-dropping-particle":"","parse-names":false,"suffix":""},{"dropping-particle":"","family":"Martinez-Harms","given":"M. J.","non-dropping-particle":"","parse-names":false,"suffix":""},{"dropping-particle":"","family":"Celis-Diez","given":"J. L.","non-dropping-particle":"","parse-names":false,"suffix":""},{"dropping-particle":"","family":"Francois","given":"J. P.","non-dropping-particle":"","parse-names":false,"suffix":""},{"dropping-particle":"","family":"Aguirre","given":"Y.","non-dropping-particle":"","parse-names":false,"suffix":""},{"dropping-particle":"","family":"Martínez-Harms","given":"J.","non-dropping-particle":"","parse-names":false,"suffix":""}],"container-title":"Ecosystems and People","id":"ITEM-1","issue":"1","issued":{"date-parts":[["2024"]]},"publisher":"Taylor &amp; Francis","title":"Modelling pollination maps in agroecosystems of a Chilean biodiversity hotspot","type":"article-journal","volume":"20"},"uris":["http://www.mendeley.com/documents/?uuid=9ee17a56-1d5a-4929-9ba0-5fde54abe059"]}],"mendeley":{"formattedCitation":"&lt;span style=\"baseline\"&gt;[8]&lt;/span&gt;","plainTextFormattedCitation":"[8]","previouslyFormattedCitation":"&lt;span style=\"baseline\"&gt;[8]&lt;/span&gt;"},"properties":{"noteIndex":0},"schema":"https://github.com/citation-style-language/schema/raw/master/csl-citation.json"}</w:instrText>
      </w:r>
      <w:r w:rsidR="00287C40" w:rsidRPr="002C1CBF">
        <w:rPr>
          <w:i w:val="0"/>
          <w:noProof w:val="0"/>
          <w:highlight w:val="yellow"/>
        </w:rPr>
        <w:fldChar w:fldCharType="separate"/>
      </w:r>
      <w:r w:rsidR="004B02F5" w:rsidRPr="002C1CBF">
        <w:rPr>
          <w:i w:val="0"/>
          <w:highlight w:val="yellow"/>
        </w:rPr>
        <w:t>[8]</w:t>
      </w:r>
      <w:r w:rsidR="00287C40" w:rsidRPr="002C1CBF">
        <w:rPr>
          <w:i w:val="0"/>
          <w:noProof w:val="0"/>
          <w:highlight w:val="yellow"/>
        </w:rPr>
        <w:fldChar w:fldCharType="end"/>
      </w:r>
      <w:r w:rsidR="00FA28E0" w:rsidRPr="002C1CBF">
        <w:rPr>
          <w:i w:val="0"/>
          <w:noProof w:val="0"/>
          <w:highlight w:val="yellow"/>
        </w:rPr>
        <w:t xml:space="preserve"> </w:t>
      </w:r>
      <w:r w:rsidRPr="002C1CBF">
        <w:rPr>
          <w:i w:val="0"/>
          <w:noProof w:val="0"/>
          <w:highlight w:val="yellow"/>
        </w:rPr>
        <w:t>documented this trend, indicating that it also results in habitat loss for pollinators and, consequently, a decline in ecosystem services.</w:t>
      </w:r>
    </w:p>
    <w:p w14:paraId="2E3A4912" w14:textId="2D284E5B" w:rsidR="00FA28E0" w:rsidRDefault="00FA28E0" w:rsidP="00FA28E0">
      <w:pPr>
        <w:pStyle w:val="MDPI22heading2"/>
        <w:spacing w:before="0"/>
        <w:ind w:firstLine="425"/>
        <w:jc w:val="both"/>
        <w:rPr>
          <w:i w:val="0"/>
          <w:noProof w:val="0"/>
        </w:rPr>
      </w:pPr>
      <w:r w:rsidRPr="00FA28E0">
        <w:rPr>
          <w:i w:val="0"/>
          <w:noProof w:val="0"/>
        </w:rPr>
        <w:t xml:space="preserve">On the other hand, the environmental impacts of increasing avocado plantation have been documented in other Latin American regions. In Mexico, significant environmental consequences have been identified, particularly affecting biodiversity </w:t>
      </w:r>
      <w:r w:rsidR="006B209C">
        <w:rPr>
          <w:i w:val="0"/>
          <w:noProof w:val="0"/>
        </w:rPr>
        <w:fldChar w:fldCharType="begin" w:fldLock="1"/>
      </w:r>
      <w:r w:rsidR="00CF0B43">
        <w:rPr>
          <w:i w:val="0"/>
          <w:noProof w:val="0"/>
        </w:rPr>
        <w:instrText>ADDIN CSL_CITATION {"citationItems":[{"id":"ITEM-1","itemData":{"DOI":"10.3390/land12030631","ISSN":"2073445X","abstract":"The rapid expansion of avocado cultivation in Michoacán, Mexico, is one of the drivers of deforestation. We assessed the degree of fragmentation and functional connectivity of the remaining temperate forest within the Avocado Belt and prioritized patches that contribute the most to connectivity using a network-based approach and modelling different seed and pollen dispersal scenarios, including two types of patch attributes (size and degree of conservation). As landscape transformation in the region is rapid and ongoing, we updated the land-use and land-cover maps through a supervised classification of Sentinel-2 imagery, improving the reliability of our analyses. Temperate forest is highly fragmented within the region: most patches are small (&lt;30 ha), have a reduced core-area (28%), and irregular shapes. The degree of connectivity is very low (0.06), dropping to 0.019 when the degree of conservation of patches was considered. The top 100 ranked patches of forest that support the connectivity of seeds and pollen have different characteristics (i.e., size and topology) that may be considered for implementing conservation and management strategies. Seed dispersal seems to be more threatened by fragmentation than pollen dispersal, and patches that are important for maintaining seed connectivity are embedded in the denser zone of avocado orchards.","author":[{"dropping-particle":"","family":"Latorre-Cárdenas","given":"María Camila","non-dropping-particle":"","parse-names":false,"suffix":""},{"dropping-particle":"","family":"González-Rodríguez","given":"Antonio","non-dropping-particle":"","parse-names":false,"suffix":""},{"dropping-particle":"","family":"Godínez-Gómez","given":"Oscar","non-dropping-particle":"","parse-names":false,"suffix":""},{"dropping-particle":"","family":"Arima","given":"Eugenio Y.","non-dropping-particle":"","parse-names":false,"suffix":""},{"dropping-particle":"","family":"Young","given":"Kenneth R.","non-dropping-particle":"","parse-names":false,"suffix":""},{"dropping-particle":"","family":"Denvir","given":"Audrey","non-dropping-particle":"","parse-names":false,"suffix":""},{"dropping-particle":"","family":"García-Oliva","given":"Felipe","non-dropping-particle":"","parse-names":false,"suffix":""},{"dropping-particle":"","family":"Ghilardi","given":"Adrián","non-dropping-particle":"","parse-names":false,"suffix":""}],"container-title":"Land","id":"ITEM-1","issue":"3","issued":{"date-parts":[["2023"]]},"title":"Estimating Fragmentation and Connectivity Patterns of the Temperate Forest in an Avocado-Dominated Landscape to Propose Conservation Strategies","type":"article-journal","volume":"12"},"uris":["http://www.mendeley.com/documents/?uuid=3bfa98ec-644a-43b3-ad69-404bad1a0936"]}],"mendeley":{"formattedCitation":"&lt;span style=\"baseline\"&gt;[9]&lt;/span&gt;","plainTextFormattedCitation":"[9]","previouslyFormattedCitation":"&lt;span style=\"baseline\"&gt;[9]&lt;/span&gt;"},"properties":{"noteIndex":0},"schema":"https://github.com/citation-style-language/schema/raw/master/csl-citation.json"}</w:instrText>
      </w:r>
      <w:r w:rsidR="006B209C">
        <w:rPr>
          <w:i w:val="0"/>
          <w:noProof w:val="0"/>
        </w:rPr>
        <w:fldChar w:fldCharType="separate"/>
      </w:r>
      <w:r w:rsidR="004B02F5" w:rsidRPr="004B02F5">
        <w:rPr>
          <w:i w:val="0"/>
        </w:rPr>
        <w:t>[9]</w:t>
      </w:r>
      <w:r w:rsidR="006B209C">
        <w:rPr>
          <w:i w:val="0"/>
          <w:noProof w:val="0"/>
        </w:rPr>
        <w:fldChar w:fldCharType="end"/>
      </w:r>
      <w:r w:rsidRPr="00FA28E0">
        <w:rPr>
          <w:i w:val="0"/>
          <w:noProof w:val="0"/>
        </w:rPr>
        <w:t xml:space="preserve">. This situation is not unfamiliar in Aconcagua </w:t>
      </w:r>
      <w:r w:rsidR="006B209C">
        <w:rPr>
          <w:i w:val="0"/>
          <w:noProof w:val="0"/>
        </w:rPr>
        <w:fldChar w:fldCharType="begin" w:fldLock="1"/>
      </w:r>
      <w:r w:rsidR="00CF0B43">
        <w:rPr>
          <w:i w:val="0"/>
          <w:noProof w:val="0"/>
        </w:rPr>
        <w:instrText>ADDIN CSL_CITATION {"citationItems":[{"id":"ITEM-1","itemData":{"DOI":"10.1080/26395916.2024.2358471","ISSN":"26395916","abstract":"Wild pollinators play a crucial role in maintaining healthy ecosystems and sustaining agricultural productivity. However, their survival is at risk due to habitat loss and land use changes, exacerbating the ongoing biodiversity crisis, and jeopardising global food security. We assessed the contribution of native vegetation cover to pollination and avocado crop yield by modelling the abundance of native bees and the pollination services they provide in agroecosystems of the Aconcagua River basin in Central Chile. This region stands as a critical biodiversity hotspot, currently confronted with the challenge of land use change, especially due to the expansion of avocado (Persea americana Mill.) monocultures. Our findings revealed a clear relationship between native bee abundance, pollination services, and avocado yield as a function of natural vegetation cover surrounding the crops. Areas with a higher proportion of native vegetation exhibited the most abundant supply of pollination services, while within avocado crops show lower levels of pollination support. A spatial mismatch between supply and demand for pollination revealed by our results indicates that agricultural expansion threatens native pollinators and agricultural yield production in this region. The development of pollination maps has been proposed as a strategic tool to guide land-use planning decisions within agricultural landscapes. Prioritizing the conservation of native vegetation or adopting biodiversity-friendly practices can help mitigate the effects of agricultural expansion on wild pollinators. These strategies are vital for safeguarding biodiversity, ensuring food security, and mitigating the far-reaching impacts of the current biodiversity crisis. (Figure presented.).","author":[{"dropping-particle":"","family":"Lavín","given":"U.","non-dropping-particle":"","parse-names":false,"suffix":""},{"dropping-particle":"","family":"Martinez-Harms","given":"M. J.","non-dropping-particle":"","parse-names":false,"suffix":""},{"dropping-particle":"","family":"Celis-Diez","given":"J. L.","non-dropping-particle":"","parse-names":false,"suffix":""},{"dropping-particle":"","family":"Francois","given":"J. P.","non-dropping-particle":"","parse-names":false,"suffix":""},{"dropping-particle":"","family":"Aguirre","given":"Y.","non-dropping-particle":"","parse-names":false,"suffix":""},{"dropping-particle":"","family":"Martínez-Harms","given":"J.","non-dropping-particle":"","parse-names":false,"suffix":""}],"container-title":"Ecosystems and People","id":"ITEM-1","issue":"1","issued":{"date-parts":[["2024"]]},"publisher":"Taylor &amp; Francis","title":"Modelling pollination maps in agroecosystems of a Chilean biodiversity hotspot","type":"article-journal","volume":"20"},"uris":["http://www.mendeley.com/documents/?uuid=9ee17a56-1d5a-4929-9ba0-5fde54abe059"]}],"mendeley":{"formattedCitation":"&lt;span style=\"baseline\"&gt;[8]&lt;/span&gt;","plainTextFormattedCitation":"[8]","previouslyFormattedCitation":"&lt;span style=\"baseline\"&gt;[8]&lt;/span&gt;"},"properties":{"noteIndex":0},"schema":"https://github.com/citation-style-language/schema/raw/master/csl-citation.json"}</w:instrText>
      </w:r>
      <w:r w:rsidR="006B209C">
        <w:rPr>
          <w:i w:val="0"/>
          <w:noProof w:val="0"/>
        </w:rPr>
        <w:fldChar w:fldCharType="separate"/>
      </w:r>
      <w:r w:rsidR="004B02F5" w:rsidRPr="004B02F5">
        <w:rPr>
          <w:i w:val="0"/>
        </w:rPr>
        <w:t>[8]</w:t>
      </w:r>
      <w:r w:rsidR="006B209C">
        <w:rPr>
          <w:i w:val="0"/>
          <w:noProof w:val="0"/>
        </w:rPr>
        <w:fldChar w:fldCharType="end"/>
      </w:r>
      <w:r w:rsidR="006B209C">
        <w:rPr>
          <w:i w:val="0"/>
          <w:noProof w:val="0"/>
        </w:rPr>
        <w:t>.</w:t>
      </w:r>
      <w:r w:rsidRPr="00FA28E0">
        <w:rPr>
          <w:i w:val="0"/>
          <w:noProof w:val="0"/>
        </w:rPr>
        <w:t xml:space="preserve"> Despite generating economic benefits such as job </w:t>
      </w:r>
      <w:r w:rsidRPr="00FA28E0">
        <w:rPr>
          <w:i w:val="0"/>
          <w:noProof w:val="0"/>
        </w:rPr>
        <w:lastRenderedPageBreak/>
        <w:t xml:space="preserve">creation, social inequality persists, as wealth remains concentrated among large agribusinesses and families involved in the export sector. Additionally, the construction of irrigation channels and roads to adapt land for avocado plantation may have led to high levels of sedimentation in water sources intended for human consumption, as observed in Colombia </w:t>
      </w:r>
      <w:r w:rsidR="006B209C">
        <w:rPr>
          <w:i w:val="0"/>
          <w:noProof w:val="0"/>
        </w:rPr>
        <w:fldChar w:fldCharType="begin" w:fldLock="1"/>
      </w:r>
      <w:r w:rsidR="00CF0B43">
        <w:rPr>
          <w:i w:val="0"/>
          <w:noProof w:val="0"/>
        </w:rPr>
        <w:instrText>ADDIN CSL_CITATION {"citationItems":[{"id":"ITEM-1","itemData":{"DOI":"10.1080/1747423X.2024.2387922","ISSN":"17474248","abstract":"This paper sheds light on the broader impacts of high-value commodity crops in the tropics by examining critically the rapid expansion of Hass avocado plantations (HAP). Using Salamina as a case study, this paper provides empirical evidence of local impacts and highlights the need for more sustainable and equitable governance strategies to manage emerging socio-economic and environmental challenges. HAP are transforming Salamina’s traditional landscape by seizing considerable areas for avocado cultivation in response to the ongoing coffee sector crisis. Since 2018, the region has transitioned from a coffee-centered economy to one dominated by capital- and labor-intensive avocado production. While HAP has become a significant economic driver, it has also exacerbated social grievances and inequalities among local communities. This paper stresses the economic shift, environmental disturbances, and comments on governance policies for inadequately addressing sustainability and social issues.","author":[{"dropping-particle":"","family":"Suarez","given":"Andres","non-dropping-particle":"","parse-names":false,"suffix":""}],"container-title":"Journal of Land Use Science","id":"ITEM-1","issue":"1","issued":{"date-parts":[["2024"]]},"page":"230-238","publisher":"Taylor &amp; Francis","title":"Critical overview of the expansion of Hass avocado plantations in Salamina, northern Caldas, Colombia","type":"article-journal","volume":"19"},"uris":["http://www.mendeley.com/documents/?uuid=a8cc7c26-8440-456b-b516-416e5509d5e5"]}],"mendeley":{"formattedCitation":"&lt;span style=\"baseline\"&gt;[69]&lt;/span&gt;","plainTextFormattedCitation":"[69]","previouslyFormattedCitation":"&lt;span style=\"baseline\"&gt;[69]&lt;/span&gt;"},"properties":{"noteIndex":0},"schema":"https://github.com/citation-style-language/schema/raw/master/csl-citation.json"}</w:instrText>
      </w:r>
      <w:r w:rsidR="006B209C">
        <w:rPr>
          <w:i w:val="0"/>
          <w:noProof w:val="0"/>
        </w:rPr>
        <w:fldChar w:fldCharType="separate"/>
      </w:r>
      <w:r w:rsidR="004B02F5" w:rsidRPr="004B02F5">
        <w:rPr>
          <w:i w:val="0"/>
        </w:rPr>
        <w:t>[69]</w:t>
      </w:r>
      <w:r w:rsidR="006B209C">
        <w:rPr>
          <w:i w:val="0"/>
          <w:noProof w:val="0"/>
        </w:rPr>
        <w:fldChar w:fldCharType="end"/>
      </w:r>
      <w:r w:rsidRPr="00FA28E0">
        <w:rPr>
          <w:i w:val="0"/>
          <w:noProof w:val="0"/>
        </w:rPr>
        <w:t xml:space="preserve">. In the state of Michoacán, Mexico, evidence suggests that excessive fertilization in avocado trees, particularly with phosphorus, may be temporarily mitigating soil carbon loss </w:t>
      </w:r>
      <w:r w:rsidR="006B209C">
        <w:rPr>
          <w:i w:val="0"/>
          <w:noProof w:val="0"/>
        </w:rPr>
        <w:fldChar w:fldCharType="begin" w:fldLock="1"/>
      </w:r>
      <w:r w:rsidR="00CF0B43">
        <w:rPr>
          <w:i w:val="0"/>
          <w:noProof w:val="0"/>
        </w:rPr>
        <w:instrText>ADDIN CSL_CITATION {"citationItems":[{"id":"ITEM-1","itemData":{"DOI":"10.1016/j.agee.2023.108746","ISSN":"01678809","abstract":"Carbon storage is examined along the avocado frontier in the state of Michoacán, Mexico, where native pine-oak forest is being rapidly lost for the sake of avocado production expansion. Carbon pools for aboveground biomass carbon and for belowground soil carbon were compared across avocado orchards and neighboring pine-oak forests. While aboveground carbon was found to be significantly higher in forests when compared to orchards, there was no significant difference found in soil carbon stocks between the two land uses. Mixed effects regression models were used to parse out the landscape scale heterogeneity that is affecting soil carbon beyond land cover alone. Temperature, precipitation, and fragmentation variables were all found to significantly impact soil carbon across the landscape studied. Furthermore, there is evidence of over-fertilization within orchards, particularly of phosphorus, which may be temporarily subsidizing soil carbon loss. Sustainability considerations, therefore, must consider land use decisions in relation to other soil nutrients, beyond just carbon, to comprehensively address sustainability concerns arising from the impacts of avocado production.","author":[{"dropping-particle":"","family":"Denvir","given":"Audrey","non-dropping-particle":"","parse-names":false,"suffix":""},{"dropping-particle":"","family":"García-Oliva","given":"Felipe","non-dropping-particle":"","parse-names":false,"suffix":""},{"dropping-particle":"","family":"Arima","given":"Eugenio Y.","non-dropping-particle":"","parse-names":false,"suffix":""},{"dropping-particle":"","family":"Latorre-Cárdenas","given":"María Camila","non-dropping-particle":"","parse-names":false,"suffix":""},{"dropping-particle":"","family":"González-Rodríguez","given":"Antonio","non-dropping-particle":"","parse-names":false,"suffix":""},{"dropping-particle":"","family":"Young","given":"Kenneth R.","non-dropping-particle":"","parse-names":false,"suffix":""},{"dropping-particle":"","family":"La Cruz","given":"Libny Ingrid Lara","non-dropping-particle":"De","parse-names":false,"suffix":""}],"container-title":"Agriculture, Ecosystems and Environment","id":"ITEM-1","issue":"September 2023","issued":{"date-parts":[["2024"]]},"title":"Sustainability implications of carbon dynamics on the avocado frontier","type":"article-journal","volume":"359"},"uris":["http://www.mendeley.com/documents/?uuid=4b154571-a177-4212-a414-d57b5ce439a2"]}],"mendeley":{"formattedCitation":"&lt;span style=\"baseline\"&gt;[70]&lt;/span&gt;","plainTextFormattedCitation":"[70]","previouslyFormattedCitation":"&lt;span style=\"baseline\"&gt;[70]&lt;/span&gt;"},"properties":{"noteIndex":0},"schema":"https://github.com/citation-style-language/schema/raw/master/csl-citation.json"}</w:instrText>
      </w:r>
      <w:r w:rsidR="006B209C">
        <w:rPr>
          <w:i w:val="0"/>
          <w:noProof w:val="0"/>
        </w:rPr>
        <w:fldChar w:fldCharType="separate"/>
      </w:r>
      <w:r w:rsidR="004B02F5" w:rsidRPr="004B02F5">
        <w:rPr>
          <w:i w:val="0"/>
        </w:rPr>
        <w:t>[70]</w:t>
      </w:r>
      <w:r w:rsidR="006B209C">
        <w:rPr>
          <w:i w:val="0"/>
          <w:noProof w:val="0"/>
        </w:rPr>
        <w:fldChar w:fldCharType="end"/>
      </w:r>
      <w:r w:rsidRPr="00FA28E0">
        <w:rPr>
          <w:i w:val="0"/>
          <w:noProof w:val="0"/>
        </w:rPr>
        <w:t xml:space="preserve">. Furthermore, Pérez-Solache et al. </w:t>
      </w:r>
      <w:r w:rsidR="006B209C">
        <w:rPr>
          <w:i w:val="0"/>
          <w:noProof w:val="0"/>
        </w:rPr>
        <w:fldChar w:fldCharType="begin" w:fldLock="1"/>
      </w:r>
      <w:r w:rsidR="00CF0B43">
        <w:rPr>
          <w:i w:val="0"/>
          <w:noProof w:val="0"/>
        </w:rPr>
        <w:instrText>ADDIN CSL_CITATION {"citationItems":[{"id":"ITEM-1","itemData":{"DOI":"10.1016/j.agsy.2022.103556","ISSN":"0308521X","abstract":"CONTEXT: Temperate forest ecosystems harbor great biodiversity and provide key ecosystem services. However, in Mexico they have been deforested for use in avocado orchards, which represents a major threat to ecosystems functioning and the conservation of biodiversity. OBJECTIVE: We evaluated the changes in soil chemical properties in a fragmented landscape of avocado agrosystems and forests in Mexico and the effects on plant quantity and quality (leaf area, canopy cover, DBH and chlorophyll content), leaf morphology, herbivory and fluctuating asymmetry in Quercus castanea and Q. obtusata. METHODS: Eight study sites were selected: i) areas with a more proportion of forest and less of avocado orchards, ii) areas with equal proportion of both forest and orchards, iii) areas with more proportion of orchards. In all sites, 15 adult trees at the edge and 15 trees in the interior of each fragment were selected for each oak species. Soil samples were also collected in all study sites to analyze their chemical properties. RESULTS AND CONCLUSIONS: We found higher concentration of Mg2+, NO3− and SO42− in soils of sites with more proportion of orchards. Total leaf area, canopy cover and DBH, as well the herbivory and FA levels were higher in these sites and in the edges of fragments for both oak species. Chlorophyll content was higher at forest edges than in the interior of fragments for all sites analyzed. Leaves of both oak species were more elongated and wider in sites with more proportion of orchards, as well in forest edges. Plant traits, herbivory and FA were related to chemical soil properties according to the proportion of forest and orchards, indicating that the mechanisms driving this interaction are scale-dependent and vary among habitat types according to proportion of forest. Herbivory was positively correlated with leaf area, DBH, chlorophyll content and FA for both oak species, indicating that herbivory increase as resource availability and quality increased along mosaic of avocado agrosystems. Our results showed that land use change of forest to avocado orchards, creates fragments with intense edge effects changing chemical soil properties, which in turn affect quantity and quality of resources to insect herbivores, as well as leaf morphology and FA levels of Q. castanea and Q. obtusata individuals. SIGNIFICANCE: Our study is the first to denote the importance of the maintenance and conservation of temperate forest ecosystems and their potential fun…","author":[{"dropping-particle":"","family":"Pérez-Solache","given":"Abel","non-dropping-particle":"","parse-names":false,"suffix":""},{"dropping-particle":"","family":"Vaca-Sánchez","given":"Marcela Sofía","non-dropping-particle":"","parse-names":false,"suffix":""},{"dropping-particle":"","family":"Maldonado-López","given":"Yurixhi","non-dropping-particle":"","parse-names":false,"suffix":""},{"dropping-particle":"","family":"Faria","given":"Maurício Lopes","non-dropping-particle":"De","parse-names":false,"suffix":""},{"dropping-particle":"","family":"Borges","given":"Magno Augusto Zazá","non-dropping-particle":"","parse-names":false,"suffix":""},{"dropping-particle":"","family":"Fagundes","given":"Marcílio","non-dropping-particle":"","parse-names":false,"suffix":""},{"dropping-particle":"","family":"Oyama","given":"Ken","non-dropping-particle":"","parse-names":false,"suffix":""},{"dropping-particle":"","family":"Méndez-Solórzano","given":"María Isabel","non-dropping-particle":"","parse-names":false,"suffix":""},{"dropping-particle":"","family":"Aguilar-Peralta","given":"Joan Sebastian","non-dropping-particle":"","parse-names":false,"suffix":""},{"dropping-particle":"","family":"Hernández-Guzmán","given":"Rafael","non-dropping-particle":"","parse-names":false,"suffix":""},{"dropping-particle":"","family":"Cuevas-Reyes","given":"Pablo","non-dropping-particle":"","parse-names":false,"suffix":""}],"container-title":"Agricultural Systems","id":"ITEM-1","issue":"November 2022","issued":{"date-parts":[["2023"]]},"title":"Changes in land use of temperate forests associated to avocado production in Mexico: Impacts on soil properties, plant traits and insect-plant interactions","type":"article-journal","volume":"204"},"uris":["http://www.mendeley.com/documents/?uuid=c63f5d04-0a29-4759-a808-ee3de0b79992"]}],"mendeley":{"formattedCitation":"&lt;span style=\"baseline\"&gt;[10]&lt;/span&gt;","plainTextFormattedCitation":"[10]","previouslyFormattedCitation":"&lt;span style=\"baseline\"&gt;[10]&lt;/span&gt;"},"properties":{"noteIndex":0},"schema":"https://github.com/citation-style-language/schema/raw/master/csl-citation.json"}</w:instrText>
      </w:r>
      <w:r w:rsidR="006B209C">
        <w:rPr>
          <w:i w:val="0"/>
          <w:noProof w:val="0"/>
        </w:rPr>
        <w:fldChar w:fldCharType="separate"/>
      </w:r>
      <w:r w:rsidR="004B02F5" w:rsidRPr="004B02F5">
        <w:rPr>
          <w:i w:val="0"/>
        </w:rPr>
        <w:t>[10]</w:t>
      </w:r>
      <w:r w:rsidR="006B209C">
        <w:rPr>
          <w:i w:val="0"/>
          <w:noProof w:val="0"/>
        </w:rPr>
        <w:fldChar w:fldCharType="end"/>
      </w:r>
      <w:r w:rsidR="006B209C">
        <w:rPr>
          <w:i w:val="0"/>
          <w:noProof w:val="0"/>
        </w:rPr>
        <w:t xml:space="preserve"> </w:t>
      </w:r>
      <w:r w:rsidRPr="00FA28E0">
        <w:rPr>
          <w:i w:val="0"/>
          <w:noProof w:val="0"/>
        </w:rPr>
        <w:t>demonstrated that land-use conversion to avocado plantations alters soil chemical properties, which in turn affects both the quantity and quality of resources available to herbivorous insects.</w:t>
      </w:r>
    </w:p>
    <w:p w14:paraId="31B72114" w14:textId="17C8E272" w:rsidR="000B3B50" w:rsidRDefault="00DB5344" w:rsidP="00F054F1">
      <w:pPr>
        <w:pStyle w:val="MDPI22heading2"/>
        <w:spacing w:before="0"/>
        <w:ind w:firstLine="425"/>
        <w:jc w:val="both"/>
        <w:rPr>
          <w:i w:val="0"/>
          <w:noProof w:val="0"/>
        </w:rPr>
      </w:pPr>
      <w:r w:rsidRPr="00DB5344">
        <w:rPr>
          <w:i w:val="0"/>
          <w:noProof w:val="0"/>
          <w:highlight w:val="yellow"/>
        </w:rPr>
        <w:t>In contrast to the previously documented ecological impacts widely reported in the international scientific literature, a 2020 study in Chile</w:t>
      </w:r>
      <w:r w:rsidR="009E1B37">
        <w:rPr>
          <w:i w:val="0"/>
          <w:noProof w:val="0"/>
          <w:highlight w:val="yellow"/>
        </w:rPr>
        <w:t xml:space="preserve"> </w:t>
      </w:r>
      <w:r w:rsidR="009E1B37">
        <w:rPr>
          <w:i w:val="0"/>
          <w:noProof w:val="0"/>
          <w:highlight w:val="yellow"/>
        </w:rPr>
        <w:fldChar w:fldCharType="begin" w:fldLock="1"/>
      </w:r>
      <w:r w:rsidR="000205A1">
        <w:rPr>
          <w:i w:val="0"/>
          <w:noProof w:val="0"/>
          <w:highlight w:val="yellow"/>
        </w:rPr>
        <w:instrText>ADDIN CSL_CITATION {"citationItems":[{"id":"ITEM-1","itemData":{"author":[{"dropping-particle":"","family":"CAZALAC","given":"","non-dropping-particle":"","parse-names":false,"suffix":""}],"id":"ITEM-1","issued":{"date-parts":[["2020"]]},"number-of-pages":"1-69","title":"Estado del arte ambiental de plantaciones de Persea americana Mill en Chile","type":"report"},"uris":["http://www.mendeley.com/documents/?uuid=f1c7f036-7f1e-4b6c-a4f1-a4bfb28fd408"]}],"mendeley":{"formattedCitation":"&lt;span style=\"baseline\"&gt;[11]&lt;/span&gt;","plainTextFormattedCitation":"[11]","previouslyFormattedCitation":"&lt;span style=\"baseline\"&gt;[11]&lt;/span&gt;"},"properties":{"noteIndex":0},"schema":"https://github.com/citation-style-language/schema/raw/master/csl-citation.json"}</w:instrText>
      </w:r>
      <w:r w:rsidR="009E1B37">
        <w:rPr>
          <w:i w:val="0"/>
          <w:noProof w:val="0"/>
          <w:highlight w:val="yellow"/>
        </w:rPr>
        <w:fldChar w:fldCharType="separate"/>
      </w:r>
      <w:r w:rsidR="009E1B37" w:rsidRPr="009E1B37">
        <w:rPr>
          <w:i w:val="0"/>
          <w:highlight w:val="yellow"/>
        </w:rPr>
        <w:t>[11]</w:t>
      </w:r>
      <w:r w:rsidR="009E1B37">
        <w:rPr>
          <w:i w:val="0"/>
          <w:noProof w:val="0"/>
          <w:highlight w:val="yellow"/>
        </w:rPr>
        <w:fldChar w:fldCharType="end"/>
      </w:r>
      <w:r w:rsidR="009E1B37">
        <w:rPr>
          <w:i w:val="0"/>
          <w:noProof w:val="0"/>
          <w:highlight w:val="yellow"/>
        </w:rPr>
        <w:t xml:space="preserve"> </w:t>
      </w:r>
      <w:r w:rsidRPr="00DB5344">
        <w:rPr>
          <w:i w:val="0"/>
          <w:noProof w:val="0"/>
          <w:highlight w:val="yellow"/>
        </w:rPr>
        <w:t xml:space="preserve">presented different findings. It reported that avocado plantations create a new internal ecosystem that positively replaces species. Plantations closer to native scrublands show high biodiversity, with an abundance of native species, mitigating the greenhouse effect and facilitating faster soil recovery compared to reforestation. </w:t>
      </w:r>
      <w:r w:rsidRPr="00285509">
        <w:rPr>
          <w:i w:val="0"/>
          <w:noProof w:val="0"/>
          <w:highlight w:val="yellow"/>
        </w:rPr>
        <w:t xml:space="preserve">Additionally, </w:t>
      </w:r>
      <w:r w:rsidR="00285509" w:rsidRPr="00285509">
        <w:rPr>
          <w:i w:val="0"/>
          <w:noProof w:val="0"/>
          <w:highlight w:val="yellow"/>
        </w:rPr>
        <w:t>it was concluded that avocado plantations could help maintain native ecosystems at risk of degradation</w:t>
      </w:r>
      <w:r w:rsidRPr="00285509">
        <w:rPr>
          <w:i w:val="0"/>
          <w:noProof w:val="0"/>
          <w:highlight w:val="yellow"/>
        </w:rPr>
        <w:t xml:space="preserve">. </w:t>
      </w:r>
      <w:r w:rsidRPr="00DB5344">
        <w:rPr>
          <w:i w:val="0"/>
          <w:noProof w:val="0"/>
          <w:highlight w:val="yellow"/>
        </w:rPr>
        <w:t>However, further studies are needed to validate these findings, as the negative ecological impacts of avocado plantations have been scientifically proven worldwide.</w:t>
      </w:r>
    </w:p>
    <w:p w14:paraId="5D8CC751" w14:textId="362110A5" w:rsidR="00E45693" w:rsidRDefault="00391B5D" w:rsidP="00FA28E0">
      <w:pPr>
        <w:pStyle w:val="MDPI22heading2"/>
        <w:spacing w:before="0"/>
        <w:ind w:firstLine="425"/>
        <w:jc w:val="both"/>
        <w:rPr>
          <w:i w:val="0"/>
          <w:noProof w:val="0"/>
        </w:rPr>
      </w:pPr>
      <w:r w:rsidRPr="00391B5D">
        <w:rPr>
          <w:i w:val="0"/>
          <w:noProof w:val="0"/>
          <w:highlight w:val="yellow"/>
        </w:rPr>
        <w:t>Regardless of the current controversy surrounding environmental issues related to avocado plantations, certain practices must be followed for planting and cultivation. These include avoiding excessive humidity and low temperatures, as well as ensuring deep, sandy loam or clayey loam soils that are porous and well-aerated. Proper plant spacing and soil preparation are crucial for healthy growth. Pruning should be done in three stages to maintain leaf balance, improve light penetration, and facilitate harvesting. A balanced supply of nutrients is vital, especially during spring, when demand is highest. A drip irrigation system is recommended, as is being aware of common diseases affecting the crop</w:t>
      </w:r>
      <w:r w:rsidRPr="00391B5D">
        <w:rPr>
          <w:i w:val="0"/>
          <w:noProof w:val="0"/>
          <w:highlight w:val="yellow"/>
        </w:rPr>
        <w:t xml:space="preserve"> </w:t>
      </w:r>
      <w:r w:rsidR="00E45693" w:rsidRPr="00391B5D">
        <w:rPr>
          <w:i w:val="0"/>
          <w:noProof w:val="0"/>
          <w:highlight w:val="yellow"/>
        </w:rPr>
        <w:fldChar w:fldCharType="begin" w:fldLock="1"/>
      </w:r>
      <w:r w:rsidR="009E1B37" w:rsidRPr="00391B5D">
        <w:rPr>
          <w:i w:val="0"/>
          <w:noProof w:val="0"/>
          <w:highlight w:val="yellow"/>
        </w:rPr>
        <w:instrText>ADDIN CSL_CITATION {"citationItems":[{"id":"ITEM-1","itemData":{"ISBN":"0717-4829","author":[{"dropping-particle":"","family":"Torres","given":"Andrea","non-dropping-particle":"","parse-names":false,"suffix":""}],"edition":"Boletín IN","editor":[{"dropping-particle":"","family":"Andrea Torres","given":"","non-dropping-particle":"","parse-names":false,"suffix":""},{"dropping-particle":"","family":"INIA","given":"","non-dropping-particle":"","parse-names":false,"suffix":""}],"id":"ITEM-1","issued":{"date-parts":[["2017"]]},"number-of-pages":"75","publisher":"INIA","publisher-place":"Santiago, Chile","title":"Manual del cultivo del palto","type":"book"},"uris":["http://www.mendeley.com/documents/?uuid=52153164-adfb-3c97-a1bd-0b0d7b0d9ddc"]}],"mendeley":{"formattedCitation":"&lt;span style=\"baseline\"&gt;[71]&lt;/span&gt;","plainTextFormattedCitation":"[71]","previouslyFormattedCitation":"&lt;span style=\"baseline\"&gt;[71]&lt;/span&gt;"},"properties":{"noteIndex":0},"schema":"https://github.com/citation-style-language/schema/raw/master/csl-citation.json"}</w:instrText>
      </w:r>
      <w:r w:rsidR="00E45693" w:rsidRPr="00391B5D">
        <w:rPr>
          <w:i w:val="0"/>
          <w:noProof w:val="0"/>
          <w:highlight w:val="yellow"/>
        </w:rPr>
        <w:fldChar w:fldCharType="separate"/>
      </w:r>
      <w:r w:rsidR="00E45693" w:rsidRPr="00391B5D">
        <w:rPr>
          <w:i w:val="0"/>
          <w:highlight w:val="yellow"/>
        </w:rPr>
        <w:t>[71]</w:t>
      </w:r>
      <w:r w:rsidR="00E45693" w:rsidRPr="00391B5D">
        <w:rPr>
          <w:i w:val="0"/>
          <w:noProof w:val="0"/>
          <w:highlight w:val="yellow"/>
        </w:rPr>
        <w:fldChar w:fldCharType="end"/>
      </w:r>
      <w:r w:rsidR="00E45693" w:rsidRPr="00391B5D">
        <w:rPr>
          <w:i w:val="0"/>
          <w:noProof w:val="0"/>
          <w:highlight w:val="yellow"/>
        </w:rPr>
        <w:t>.</w:t>
      </w:r>
      <w:r w:rsidR="00E45693">
        <w:rPr>
          <w:i w:val="0"/>
          <w:noProof w:val="0"/>
        </w:rPr>
        <w:t xml:space="preserve"> </w:t>
      </w:r>
    </w:p>
    <w:p w14:paraId="606941F0" w14:textId="77777777" w:rsidR="00FA28E0" w:rsidRDefault="00FA28E0" w:rsidP="00FA28E0">
      <w:pPr>
        <w:pStyle w:val="MDPI22heading2"/>
        <w:spacing w:before="0"/>
        <w:ind w:firstLine="425"/>
        <w:jc w:val="both"/>
        <w:rPr>
          <w:i w:val="0"/>
          <w:noProof w:val="0"/>
        </w:rPr>
      </w:pPr>
    </w:p>
    <w:p w14:paraId="48C41087" w14:textId="7E7B3B11" w:rsidR="00FA28E0" w:rsidRDefault="00FA28E0" w:rsidP="00FA28E0">
      <w:pPr>
        <w:pStyle w:val="MDPI22heading2"/>
        <w:spacing w:before="0"/>
      </w:pPr>
      <w:r>
        <w:t>4.2</w:t>
      </w:r>
      <w:r w:rsidRPr="001F31D1">
        <w:t xml:space="preserve"> </w:t>
      </w:r>
      <w:r w:rsidRPr="00FA28E0">
        <w:t xml:space="preserve">Implications of </w:t>
      </w:r>
      <w:r w:rsidR="005510A8">
        <w:t>C</w:t>
      </w:r>
      <w:r w:rsidRPr="00FA28E0">
        <w:t xml:space="preserve">hanges in </w:t>
      </w:r>
      <w:r w:rsidR="005510A8">
        <w:t>A</w:t>
      </w:r>
      <w:r w:rsidRPr="00FA28E0">
        <w:t xml:space="preserve">vocado </w:t>
      </w:r>
      <w:r w:rsidR="005510A8">
        <w:t>P</w:t>
      </w:r>
      <w:r w:rsidRPr="00FA28E0">
        <w:t xml:space="preserve">lantations on </w:t>
      </w:r>
      <w:r w:rsidR="005510A8">
        <w:t>L</w:t>
      </w:r>
      <w:r w:rsidRPr="00FA28E0">
        <w:t xml:space="preserve">andscape </w:t>
      </w:r>
      <w:r w:rsidR="005510A8">
        <w:t>T</w:t>
      </w:r>
      <w:r w:rsidRPr="00FA28E0">
        <w:t xml:space="preserve">ransformation. Sustainable </w:t>
      </w:r>
      <w:r w:rsidR="005510A8">
        <w:t>L</w:t>
      </w:r>
      <w:r w:rsidRPr="00FA28E0">
        <w:t xml:space="preserve">and </w:t>
      </w:r>
      <w:r w:rsidR="005510A8">
        <w:t>M</w:t>
      </w:r>
      <w:r w:rsidRPr="00FA28E0">
        <w:t xml:space="preserve">anagement </w:t>
      </w:r>
      <w:r w:rsidR="005510A8">
        <w:t>P</w:t>
      </w:r>
      <w:r w:rsidRPr="00FA28E0">
        <w:t>ractices</w:t>
      </w:r>
    </w:p>
    <w:p w14:paraId="4636097A" w14:textId="371E7A8B" w:rsidR="00FA28E0" w:rsidRDefault="00FA28E0" w:rsidP="00FA28E0">
      <w:pPr>
        <w:pStyle w:val="MDPI22heading2"/>
        <w:spacing w:before="0"/>
        <w:ind w:firstLine="425"/>
        <w:jc w:val="both"/>
        <w:rPr>
          <w:i w:val="0"/>
          <w:noProof w:val="0"/>
        </w:rPr>
      </w:pPr>
      <w:r w:rsidRPr="00FA28E0">
        <w:rPr>
          <w:i w:val="0"/>
          <w:noProof w:val="0"/>
        </w:rPr>
        <w:t>The temporal analysis of landscape metrics reveals contrasting trends between avocado plantations and native vegetation from 2003 to 2023. Avocado areas have shown significant spatial transformation, with a notable increase in the Largest Patch Index (LPI) and mean patch area, suggesting that these plantations have consolidated into larger, more dominant patches over time. The increase in the number of patches from 2,297 in 2003 to 4,823 in 2023—after peaking in 2013—coupled with a rise in mean Euclidean nearest neighbor distance, indicates a growing spatial isolation among these patches. In contrast, native vegetation exhibited a relatively modest increase in patch count and even experienced declines in both LPI and mean patch area over the same period, reflecting a trend towards fragmentation and reduction of contiguous natural cover. These divergent dynamics underscore the impact of agricultural expansion, particularly avocado cultivation, on landscape structure and highlight the potential ecological consequences such as altered connectivity and biodiversity loss.</w:t>
      </w:r>
    </w:p>
    <w:p w14:paraId="4DD86A7D" w14:textId="4A97E740" w:rsidR="00B17581" w:rsidRDefault="00FA28E0" w:rsidP="00D25C8B">
      <w:pPr>
        <w:pStyle w:val="MDPI22heading2"/>
        <w:spacing w:before="0"/>
        <w:ind w:firstLine="425"/>
        <w:jc w:val="both"/>
        <w:rPr>
          <w:i w:val="0"/>
          <w:noProof w:val="0"/>
        </w:rPr>
      </w:pPr>
      <w:r w:rsidRPr="00FA28E0">
        <w:rPr>
          <w:i w:val="0"/>
          <w:noProof w:val="0"/>
        </w:rPr>
        <w:t xml:space="preserve">The scenario-based analysis further illustrates how targeted land management strategies can dramatically reshape the landscape. In S1, which simulates a reduction in avocado by substituting areas beyond 550 m with native vegetation, the results indicate an increase in the number of smaller avocado patches, alongside a substantial rise in native vegetation patches. This scenario suggests enhanced fragmentation for both land covers, though with a moderate degree of connectivity maintained. S2, representing an expansion of avocado plantations via a 200-meter buffer, leads to a landscape dominated by fewer </w:t>
      </w:r>
      <w:r w:rsidRPr="00FA28E0">
        <w:rPr>
          <w:i w:val="0"/>
          <w:noProof w:val="0"/>
        </w:rPr>
        <w:lastRenderedPageBreak/>
        <w:t>but much larger and spatially isolated avocado patches, as evidenced by the sharp increase in LPI and mean patch area. Conversely, S3, which models an ecological restoration by replacing avocado with native vegetation, eliminates avocado metrics entirely while producing a more consolidated native vegetation configuration characterized by a high number of patches and an elevated LPI.</w:t>
      </w:r>
      <w:r w:rsidR="00D25C8B">
        <w:rPr>
          <w:i w:val="0"/>
          <w:noProof w:val="0"/>
        </w:rPr>
        <w:t xml:space="preserve"> </w:t>
      </w:r>
      <w:r w:rsidRPr="00FA28E0">
        <w:rPr>
          <w:i w:val="0"/>
          <w:noProof w:val="0"/>
        </w:rPr>
        <w:t xml:space="preserve">These outcomes demonstrate that management practices can lead to significant trade-offs, where intensification of avocado plantations may enhance agricultural yield at the expense of ecological connectivity, whereas restoration efforts </w:t>
      </w:r>
      <w:r w:rsidRPr="00862A9D">
        <w:rPr>
          <w:i w:val="0"/>
          <w:noProof w:val="0"/>
          <w:highlight w:val="yellow"/>
        </w:rPr>
        <w:t xml:space="preserve">can </w:t>
      </w:r>
      <w:r w:rsidR="00862A9D" w:rsidRPr="00862A9D">
        <w:rPr>
          <w:i w:val="0"/>
          <w:noProof w:val="0"/>
          <w:highlight w:val="yellow"/>
        </w:rPr>
        <w:t>strengthen</w:t>
      </w:r>
      <w:r w:rsidRPr="00862A9D">
        <w:rPr>
          <w:i w:val="0"/>
          <w:noProof w:val="0"/>
          <w:highlight w:val="yellow"/>
        </w:rPr>
        <w:t xml:space="preserve"> native </w:t>
      </w:r>
      <w:r w:rsidR="00862A9D" w:rsidRPr="00862A9D">
        <w:rPr>
          <w:i w:val="0"/>
          <w:noProof w:val="0"/>
          <w:highlight w:val="yellow"/>
        </w:rPr>
        <w:t>vegetation</w:t>
      </w:r>
      <w:r w:rsidRPr="00FA28E0">
        <w:rPr>
          <w:i w:val="0"/>
          <w:noProof w:val="0"/>
        </w:rPr>
        <w:t xml:space="preserve"> </w:t>
      </w:r>
      <w:r w:rsidRPr="00BE63BF">
        <w:rPr>
          <w:i w:val="0"/>
          <w:noProof w:val="0"/>
          <w:highlight w:val="yellow"/>
        </w:rPr>
        <w:t>but may require balancing socioeconomic considerations. S1 and S3 can therefore be considered as references for sustainable land management practices measures.</w:t>
      </w:r>
      <w:r w:rsidRPr="00FA28E0">
        <w:rPr>
          <w:i w:val="0"/>
          <w:noProof w:val="0"/>
        </w:rPr>
        <w:t xml:space="preserve"> </w:t>
      </w:r>
    </w:p>
    <w:p w14:paraId="06186C69" w14:textId="17AF2B2B" w:rsidR="00FA28E0" w:rsidRDefault="00DD2F00" w:rsidP="00447018">
      <w:pPr>
        <w:pStyle w:val="MDPI22heading2"/>
        <w:spacing w:before="0"/>
        <w:ind w:firstLine="425"/>
        <w:jc w:val="both"/>
        <w:rPr>
          <w:i w:val="0"/>
          <w:noProof w:val="0"/>
        </w:rPr>
      </w:pPr>
      <w:r w:rsidRPr="00DD2F00">
        <w:rPr>
          <w:i w:val="0"/>
          <w:noProof w:val="0"/>
          <w:highlight w:val="yellow"/>
        </w:rPr>
        <w:t xml:space="preserve">A landscape approach in agricultural areas can contribute to sustainable </w:t>
      </w:r>
      <w:r w:rsidR="00711485" w:rsidRPr="00DD2F00">
        <w:rPr>
          <w:i w:val="0"/>
          <w:noProof w:val="0"/>
          <w:highlight w:val="yellow"/>
        </w:rPr>
        <w:t>development</w:t>
      </w:r>
      <w:r w:rsidRPr="00DD2F00">
        <w:rPr>
          <w:i w:val="0"/>
          <w:noProof w:val="0"/>
          <w:highlight w:val="yellow"/>
        </w:rPr>
        <w:t xml:space="preserve"> by balancing conservation and productivity. In this context, modeled scenarios can serve as valuable tools for stakeholders, helping them protect native vegetation while </w:t>
      </w:r>
      <w:r w:rsidR="00711485" w:rsidRPr="00DD2F00">
        <w:rPr>
          <w:i w:val="0"/>
          <w:noProof w:val="0"/>
          <w:highlight w:val="yellow"/>
        </w:rPr>
        <w:t>optimizing</w:t>
      </w:r>
      <w:r w:rsidRPr="00DD2F00">
        <w:rPr>
          <w:i w:val="0"/>
          <w:noProof w:val="0"/>
          <w:highlight w:val="yellow"/>
        </w:rPr>
        <w:t xml:space="preserve"> agriculture. One promising strategy is ecological intensification, an agricultural system designed to mitigate the environmental impacts of intensive farming. However, its widespread adoption faces a major barrier: sustainable agriculture is typically promoted at the farm level rather than across entire landscapes</w:t>
      </w:r>
      <w:r w:rsidR="00D03ED1">
        <w:rPr>
          <w:i w:val="0"/>
          <w:noProof w:val="0"/>
          <w:highlight w:val="yellow"/>
        </w:rPr>
        <w:t xml:space="preserve"> </w:t>
      </w:r>
      <w:r w:rsidR="00885556" w:rsidRPr="00885556">
        <w:rPr>
          <w:i w:val="0"/>
          <w:noProof w:val="0"/>
          <w:color w:val="auto"/>
          <w:highlight w:val="yellow"/>
        </w:rPr>
        <w:fldChar w:fldCharType="begin" w:fldLock="1"/>
      </w:r>
      <w:r w:rsidR="001C7906">
        <w:rPr>
          <w:i w:val="0"/>
          <w:noProof w:val="0"/>
          <w:color w:val="auto"/>
          <w:highlight w:val="yellow"/>
        </w:rPr>
        <w:instrText>ADDIN CSL_CITATION {"citationItems":[{"id":"ITEM-1","itemData":{"DOI":"10.1007/s10668-022-02691-y","author":[{"dropping-particle":"","family":"Díaz‑Siefer","given":"Pablo","non-dropping-particle":"","parse-names":false,"suffix":""},{"dropping-particle":"","family":"Fontúrbel","given":"Francisco E.","non-dropping-particle":"","parse-names":false,"suffix":""},{"dropping-particle":"","family":"Berasaluce","given":"Maite","non-dropping-particle":"","parse-names":false,"suffix":""},{"dropping-particle":"","family":"Huenchuleo","given":"Carlos","non-dropping-particle":"","parse-names":false,"suffix":""},{"dropping-particle":"","family":"Lal","given":"Rattan","non-dropping-particle":"","parse-names":false,"suffix":""},{"dropping-particle":"","family":"Mondaca","given":"Pedro","non-dropping-particle":"","parse-names":false,"suffix":""},{"dropping-particle":"","family":"Juan L. Celis‑Diez","given":"","non-dropping-particle":"","parse-names":false,"suffix":""}],"container-title":"Environment, Development and Sustainability","id":"ITEM-1","issued":{"date-parts":[["2022"]]},"page":"29981–30000","title":"The market–society–policy nexus in sustainable agriculture","type":"article-journal","volume":"26"},"uris":["http://www.mendeley.com/documents/?uuid=03defc8d-ee9f-44c9-8e53-3d079d9896e2"]}],"mendeley":{"formattedCitation":"&lt;span style=\"baseline\"&gt;[72]&lt;/span&gt;","plainTextFormattedCitation":"[72]","previouslyFormattedCitation":"&lt;span style=\"baseline\"&gt;[72]&lt;/span&gt;"},"properties":{"noteIndex":0},"schema":"https://github.com/citation-style-language/schema/raw/master/csl-citation.json"}</w:instrText>
      </w:r>
      <w:r w:rsidR="00885556" w:rsidRPr="00885556">
        <w:rPr>
          <w:i w:val="0"/>
          <w:noProof w:val="0"/>
          <w:color w:val="auto"/>
          <w:highlight w:val="yellow"/>
        </w:rPr>
        <w:fldChar w:fldCharType="separate"/>
      </w:r>
      <w:r w:rsidR="00885556" w:rsidRPr="00885556">
        <w:rPr>
          <w:i w:val="0"/>
          <w:color w:val="auto"/>
          <w:highlight w:val="yellow"/>
        </w:rPr>
        <w:t>[72]</w:t>
      </w:r>
      <w:r w:rsidR="00885556" w:rsidRPr="00885556">
        <w:rPr>
          <w:i w:val="0"/>
          <w:noProof w:val="0"/>
          <w:color w:val="auto"/>
          <w:highlight w:val="yellow"/>
        </w:rPr>
        <w:fldChar w:fldCharType="end"/>
      </w:r>
      <w:r w:rsidRPr="00885556">
        <w:rPr>
          <w:i w:val="0"/>
          <w:noProof w:val="0"/>
          <w:color w:val="auto"/>
          <w:highlight w:val="yellow"/>
        </w:rPr>
        <w:t xml:space="preserve">. </w:t>
      </w:r>
      <w:r w:rsidRPr="00DD2F00">
        <w:rPr>
          <w:i w:val="0"/>
          <w:noProof w:val="0"/>
          <w:highlight w:val="yellow"/>
        </w:rPr>
        <w:t xml:space="preserve">Additionally, adopting </w:t>
      </w:r>
      <w:proofErr w:type="spellStart"/>
      <w:r w:rsidRPr="00DD2F00">
        <w:rPr>
          <w:i w:val="0"/>
          <w:noProof w:val="0"/>
          <w:highlight w:val="yellow"/>
        </w:rPr>
        <w:t>alterna-tive</w:t>
      </w:r>
      <w:proofErr w:type="spellEnd"/>
      <w:r w:rsidRPr="00DD2F00">
        <w:rPr>
          <w:i w:val="0"/>
          <w:noProof w:val="0"/>
          <w:highlight w:val="yellow"/>
        </w:rPr>
        <w:t xml:space="preserve"> production models, such as the Community Model of Avocado Production (CMAP) in </w:t>
      </w:r>
      <w:proofErr w:type="spellStart"/>
      <w:r w:rsidRPr="00DD2F00">
        <w:rPr>
          <w:i w:val="0"/>
          <w:noProof w:val="0"/>
          <w:highlight w:val="yellow"/>
        </w:rPr>
        <w:t>Zitácuaro</w:t>
      </w:r>
      <w:proofErr w:type="spellEnd"/>
      <w:r w:rsidRPr="00DD2F00">
        <w:rPr>
          <w:i w:val="0"/>
          <w:noProof w:val="0"/>
          <w:highlight w:val="yellow"/>
        </w:rPr>
        <w:t xml:space="preserve">, Mexico, could be beneficial. </w:t>
      </w:r>
      <w:r w:rsidR="00711485" w:rsidRPr="00DD2F00">
        <w:rPr>
          <w:i w:val="0"/>
          <w:noProof w:val="0"/>
          <w:highlight w:val="yellow"/>
        </w:rPr>
        <w:t>CMAP</w:t>
      </w:r>
      <w:r w:rsidRPr="00DD2F00">
        <w:rPr>
          <w:i w:val="0"/>
          <w:noProof w:val="0"/>
          <w:highlight w:val="yellow"/>
        </w:rPr>
        <w:t xml:space="preserve"> prioritizes local labor, enabling </w:t>
      </w:r>
      <w:r w:rsidR="006059F2" w:rsidRPr="00DD2F00">
        <w:rPr>
          <w:i w:val="0"/>
          <w:noProof w:val="0"/>
          <w:highlight w:val="yellow"/>
        </w:rPr>
        <w:t>communities</w:t>
      </w:r>
      <w:r w:rsidRPr="00DD2F00">
        <w:rPr>
          <w:i w:val="0"/>
          <w:noProof w:val="0"/>
          <w:highlight w:val="yellow"/>
        </w:rPr>
        <w:t xml:space="preserve"> to retain land ownership and directly manage land use and cultivation </w:t>
      </w:r>
      <w:r w:rsidR="006059F2" w:rsidRPr="00DD2F00">
        <w:rPr>
          <w:i w:val="0"/>
          <w:noProof w:val="0"/>
          <w:highlight w:val="yellow"/>
        </w:rPr>
        <w:t>decisions</w:t>
      </w:r>
      <w:r w:rsidRPr="00DD2F00">
        <w:rPr>
          <w:i w:val="0"/>
          <w:noProof w:val="0"/>
          <w:highlight w:val="yellow"/>
        </w:rPr>
        <w:t xml:space="preserve">. As a governance framework, it limits external intervention, safeguards local </w:t>
      </w:r>
      <w:r w:rsidR="006059F2" w:rsidRPr="00DD2F00">
        <w:rPr>
          <w:i w:val="0"/>
          <w:noProof w:val="0"/>
          <w:highlight w:val="yellow"/>
        </w:rPr>
        <w:t>institutions</w:t>
      </w:r>
      <w:r w:rsidRPr="00DD2F00">
        <w:rPr>
          <w:i w:val="0"/>
          <w:noProof w:val="0"/>
          <w:highlight w:val="yellow"/>
        </w:rPr>
        <w:t xml:space="preserve"> and cultural values, and enhances livelihood security for its members </w:t>
      </w:r>
      <w:r w:rsidR="00A01425" w:rsidRPr="00DD2F00">
        <w:rPr>
          <w:i w:val="0"/>
          <w:noProof w:val="0"/>
          <w:highlight w:val="yellow"/>
        </w:rPr>
        <w:fldChar w:fldCharType="begin" w:fldLock="1"/>
      </w:r>
      <w:r w:rsidR="001C7906">
        <w:rPr>
          <w:i w:val="0"/>
          <w:noProof w:val="0"/>
          <w:highlight w:val="yellow"/>
        </w:rPr>
        <w:instrText>ADDIN CSL_CITATION {"citationItems":[{"id":"ITEM-1","itemData":{"DOI":"10.1007/s10708-024-11195-3","ISBN":"0123456789","ISSN":"15729893","abstract":"The avocado is a commodity crop that has generated severe environmental and social impacts in Michoacán, the world’s leading producer. Current studies overlook the diversity of avocado production by focusing on Michocán’s central region, while the regions of a more recent expansion remain poorly studied. We analyzed the model of avocado production in five indigenous communities in the municipality of Zitácuaro that have part of their territory within the Monarch Butterfly Biosphere Reserve. We use the Framework for the Evaluation of Management Systems using Sustainability Indicators to characterize and evaluate the sustainability of the Community Model of Avocado Production (CMAP). Based on 42 interviews with producers, we identified eleven critical points related to environmental (small-scale production; forest conservation; high prophylactic use of agrochemicals; high dependence on irrigation), economic (high crop diversity; low profitability; high yield loss to pests; low economic diversification), and social (high dependence on technical advisors; low dependence on labor force external to the community; few changes in land ownership) aspects of sustainability. The CMAP has productive and socio-political characteristics that represent strengths and weaknesses for its sustainability. The main environmental results suggest that the avocado expansion (2007–2022) in the communities did not involve a change in forest land use. Socially, the CMAP favors the local workforce and facilitates the maintenance of land ownership. The sustainability of CMAP is mostly limited by its economic aspects. With adequate economic support for socially and environmentally sustainable productive practices, the CMAP can improve the local livelihoods while promoting forest conservation.","author":[{"dropping-particle":"","family":"Ramírez","given":"M. Isabel","non-dropping-particle":"","parse-names":false,"suffix":""},{"dropping-particle":"","family":"Špirić","given":"Jovanka","non-dropping-particle":"","parse-names":false,"suffix":""},{"dropping-particle":"","family":"Orozco-Meléndez","given":"Francisco","non-dropping-particle":"","parse-names":false,"suffix":""},{"dropping-particle":"","family":"Merlo-Reyes","given":"Ana","non-dropping-particle":"","parse-names":false,"suffix":""}],"container-title":"GeoJournal","id":"ITEM-1","issue":"5","issued":{"date-parts":[["2024"]]},"page":"1-15","publisher":"Springer Netherlands","title":"Sustainability of the community model of avocado production in the Monarch Butterfly Biosphere Reserve, Michoacán, México","type":"article-journal","volume":"89"},"uris":["http://www.mendeley.com/documents/?uuid=8f603081-3094-4ac3-bd49-8b51da77d0e8"]}],"mendeley":{"formattedCitation":"&lt;span style=\"baseline\"&gt;[73]&lt;/span&gt;","plainTextFormattedCitation":"[73]","previouslyFormattedCitation":"&lt;span style=\"baseline\"&gt;[73]&lt;/span&gt;"},"properties":{"noteIndex":0},"schema":"https://github.com/citation-style-language/schema/raw/master/csl-citation.json"}</w:instrText>
      </w:r>
      <w:r w:rsidR="00A01425" w:rsidRPr="00DD2F00">
        <w:rPr>
          <w:i w:val="0"/>
          <w:noProof w:val="0"/>
          <w:highlight w:val="yellow"/>
        </w:rPr>
        <w:fldChar w:fldCharType="separate"/>
      </w:r>
      <w:r w:rsidR="00885556" w:rsidRPr="00885556">
        <w:rPr>
          <w:i w:val="0"/>
          <w:highlight w:val="yellow"/>
        </w:rPr>
        <w:t>[73]</w:t>
      </w:r>
      <w:r w:rsidR="00A01425" w:rsidRPr="00DD2F00">
        <w:rPr>
          <w:i w:val="0"/>
          <w:noProof w:val="0"/>
          <w:highlight w:val="yellow"/>
        </w:rPr>
        <w:fldChar w:fldCharType="end"/>
      </w:r>
      <w:r w:rsidR="00FA28E0" w:rsidRPr="00DD2F00">
        <w:rPr>
          <w:i w:val="0"/>
          <w:noProof w:val="0"/>
          <w:highlight w:val="yellow"/>
        </w:rPr>
        <w:t xml:space="preserve">. </w:t>
      </w:r>
      <w:r w:rsidRPr="00DD2F00">
        <w:rPr>
          <w:i w:val="0"/>
          <w:noProof w:val="0"/>
          <w:highlight w:val="yellow"/>
        </w:rPr>
        <w:t>Implementing a similar model in Aconcagua could strengthen small farmers' protection and promote sustainable land-use practices in avocado plantations</w:t>
      </w:r>
      <w:r w:rsidR="00FA28E0" w:rsidRPr="00DD2F00">
        <w:rPr>
          <w:i w:val="0"/>
          <w:noProof w:val="0"/>
          <w:highlight w:val="yellow"/>
        </w:rPr>
        <w:t>.</w:t>
      </w:r>
    </w:p>
    <w:p w14:paraId="637CFF61" w14:textId="7DB83B06" w:rsidR="00866F87" w:rsidRPr="006850F6" w:rsidRDefault="00FA28E0" w:rsidP="00447018">
      <w:pPr>
        <w:pStyle w:val="MDPI22heading2"/>
        <w:spacing w:before="0"/>
        <w:ind w:firstLine="425"/>
        <w:jc w:val="both"/>
        <w:rPr>
          <w:i w:val="0"/>
          <w:noProof w:val="0"/>
        </w:rPr>
      </w:pPr>
      <w:r w:rsidRPr="006850F6">
        <w:rPr>
          <w:i w:val="0"/>
          <w:noProof w:val="0"/>
        </w:rPr>
        <w:t>Prioritizing the conservation of native vegetation or adopting biodiversity-friendly practices can help mitigate the effects of agricultural expansion on wild pollinators (</w:t>
      </w:r>
      <w:proofErr w:type="spellStart"/>
      <w:r w:rsidRPr="006850F6">
        <w:rPr>
          <w:i w:val="0"/>
          <w:noProof w:val="0"/>
        </w:rPr>
        <w:t>Lavín</w:t>
      </w:r>
      <w:proofErr w:type="spellEnd"/>
      <w:r w:rsidRPr="006850F6">
        <w:rPr>
          <w:i w:val="0"/>
          <w:noProof w:val="0"/>
        </w:rPr>
        <w:t xml:space="preserve"> et al., 2024). It is important to establish scientific and political agreements between academic and government agencies and effective regulations that guarantee adequate water resources management </w:t>
      </w:r>
      <w:r w:rsidR="00035F3C" w:rsidRPr="006850F6">
        <w:rPr>
          <w:i w:val="0"/>
          <w:noProof w:val="0"/>
        </w:rPr>
        <w:fldChar w:fldCharType="begin" w:fldLock="1"/>
      </w:r>
      <w:r w:rsidR="001C7906">
        <w:rPr>
          <w:i w:val="0"/>
          <w:noProof w:val="0"/>
        </w:rPr>
        <w:instrText>ADDIN CSL_CITATION {"citationItems":[{"id":"ITEM-1","itemData":{"ISBN":"0719-3009","author":[{"dropping-particle":"","family":"Duran-Llacer","given":"Iongel","non-dropping-particle":"","parse-names":false,"suffix":""},{"dropping-particle":"","family":"Rodríguez-López","given":"Lien","non-dropping-particle":"","parse-names":false,"suffix":""},{"dropping-particle":"","family":"Arumí","given":"J. L.","non-dropping-particle":"","parse-names":false,"suffix":""},{"dropping-particle":"","family":"Martínez-Retureta","given":"Rebeca","non-dropping-particle":"","parse-names":false,"suffix":""},{"dropping-particle":"","family":"Urrutia","given":"Roberto","non-dropping-particle":"","parse-names":false,"suffix":""}],"edition":"SERIE COMU","editor":[{"dropping-particle":"","family":"CRHIAM","given":"","non-dropping-particle":"","parse-names":false,"suffix":""}],"id":"ITEM-1","issued":{"date-parts":[["2024"]]},"number-of-pages":"1-22","publisher":"CHRIAM","publisher-place":"Concepción, Chile","title":"Ecosistemas dependientes de las aguas subterráneas en ambientes semiáridos","type":"book"},"uris":["http://www.mendeley.com/documents/?uuid=29288562-469c-4e89-8418-b3c418b265c0"]}],"mendeley":{"formattedCitation":"&lt;span style=\"baseline\"&gt;[74]&lt;/span&gt;","plainTextFormattedCitation":"[74]","previouslyFormattedCitation":"&lt;span style=\"baseline\"&gt;[74]&lt;/span&gt;"},"properties":{"noteIndex":0},"schema":"https://github.com/citation-style-language/schema/raw/master/csl-citation.json"}</w:instrText>
      </w:r>
      <w:r w:rsidR="00035F3C" w:rsidRPr="006850F6">
        <w:rPr>
          <w:i w:val="0"/>
          <w:noProof w:val="0"/>
        </w:rPr>
        <w:fldChar w:fldCharType="separate"/>
      </w:r>
      <w:r w:rsidR="00885556" w:rsidRPr="00885556">
        <w:rPr>
          <w:i w:val="0"/>
        </w:rPr>
        <w:t>[74]</w:t>
      </w:r>
      <w:r w:rsidR="00035F3C" w:rsidRPr="006850F6">
        <w:rPr>
          <w:i w:val="0"/>
          <w:noProof w:val="0"/>
        </w:rPr>
        <w:fldChar w:fldCharType="end"/>
      </w:r>
      <w:r w:rsidRPr="006850F6">
        <w:rPr>
          <w:i w:val="0"/>
          <w:noProof w:val="0"/>
        </w:rPr>
        <w:t xml:space="preserve">. Also, more efficient irrigation systems could improve water availability and reduce the impacts of agricultural expansion </w:t>
      </w:r>
      <w:r w:rsidR="00035F3C" w:rsidRPr="006850F6">
        <w:rPr>
          <w:i w:val="0"/>
          <w:noProof w:val="0"/>
        </w:rPr>
        <w:fldChar w:fldCharType="begin" w:fldLock="1"/>
      </w:r>
      <w:r w:rsidR="00CF0B43">
        <w:rPr>
          <w:i w:val="0"/>
          <w:noProof w:val="0"/>
        </w:rPr>
        <w:instrText>ADDIN CSL_CITATION {"citationItems":[{"id":"ITEM-1","itemData":{"DOI":"10.5354/0719-5370.2024.75159","author":[{"dropping-particle":"","family":"Bellisario","given":"Antonio","non-dropping-particle":"","parse-names":false,"suffix":""},{"dropping-particle":"","family":"Janke","given":"Jason","non-dropping-particle":"","parse-names":false,"suffix":""}],"container-title":"Investigaciones Geográficas: una mirada desde el Sur","id":"ITEM-1","issued":{"date-parts":[["2024"]]},"page":"72-94","title":"Assessing the Impacts of a Multi-Year Drought on Water Resources and Agriculture in the Aconcagua River Basin of Chile","type":"article-journal","volume":"67"},"uris":["http://www.mendeley.com/documents/?uuid=27550efe-5331-46c7-900e-e15dce0a02fe"]}],"mendeley":{"formattedCitation":"&lt;span style=\"baseline\"&gt;[29]&lt;/span&gt;","plainTextFormattedCitation":"[29]","previouslyFormattedCitation":"&lt;span style=\"baseline\"&gt;[29]&lt;/span&gt;"},"properties":{"noteIndex":0},"schema":"https://github.com/citation-style-language/schema/raw/master/csl-citation.json"}</w:instrText>
      </w:r>
      <w:r w:rsidR="00035F3C" w:rsidRPr="006850F6">
        <w:rPr>
          <w:i w:val="0"/>
          <w:noProof w:val="0"/>
        </w:rPr>
        <w:fldChar w:fldCharType="separate"/>
      </w:r>
      <w:r w:rsidR="004B02F5" w:rsidRPr="004B02F5">
        <w:rPr>
          <w:i w:val="0"/>
        </w:rPr>
        <w:t>[29]</w:t>
      </w:r>
      <w:r w:rsidR="00035F3C" w:rsidRPr="006850F6">
        <w:rPr>
          <w:i w:val="0"/>
          <w:noProof w:val="0"/>
        </w:rPr>
        <w:fldChar w:fldCharType="end"/>
      </w:r>
      <w:r w:rsidRPr="006850F6">
        <w:rPr>
          <w:i w:val="0"/>
          <w:noProof w:val="0"/>
        </w:rPr>
        <w:t xml:space="preserve">, including horizontal </w:t>
      </w:r>
      <w:r w:rsidRPr="00AC4065">
        <w:rPr>
          <w:i w:val="0"/>
          <w:noProof w:val="0"/>
          <w:highlight w:val="yellow"/>
        </w:rPr>
        <w:t>sprinkler, surface drip,</w:t>
      </w:r>
      <w:r w:rsidRPr="006850F6">
        <w:rPr>
          <w:i w:val="0"/>
          <w:noProof w:val="0"/>
        </w:rPr>
        <w:t xml:space="preserve"> and subsurface drip</w:t>
      </w:r>
      <w:r w:rsidR="0056112C" w:rsidRPr="006850F6">
        <w:rPr>
          <w:i w:val="0"/>
          <w:noProof w:val="0"/>
        </w:rPr>
        <w:t xml:space="preserve">, </w:t>
      </w:r>
      <w:r w:rsidR="0056112C" w:rsidRPr="006850F6">
        <w:rPr>
          <w:i w:val="0"/>
          <w:noProof w:val="0"/>
          <w:lang w:val="en"/>
        </w:rPr>
        <w:t>which have been applied in Egypt</w:t>
      </w:r>
      <w:r w:rsidRPr="006850F6">
        <w:rPr>
          <w:i w:val="0"/>
          <w:noProof w:val="0"/>
        </w:rPr>
        <w:t xml:space="preserve"> </w:t>
      </w:r>
      <w:r w:rsidR="00035F3C" w:rsidRPr="006850F6">
        <w:rPr>
          <w:i w:val="0"/>
          <w:noProof w:val="0"/>
        </w:rPr>
        <w:fldChar w:fldCharType="begin" w:fldLock="1"/>
      </w:r>
      <w:r w:rsidR="001C7906">
        <w:rPr>
          <w:i w:val="0"/>
          <w:noProof w:val="0"/>
        </w:rPr>
        <w:instrText>ADDIN CSL_CITATION {"citationItems":[{"id":"ITEM-1","itemData":{"DOI":"10.1016/j.agwat.2024.109064","ISSN":"18732283","abstract":"This study investigates the replacement of traditional surface irrigation methods with modern irrigation systems (MIS) including horizontal sprinkler, central pivot, surface drip, and subsurface drip aimed at improving water efficiency in the Nile Delta, Egypt. The primary objectives were to determine the optimal agricultural area for implementing MIS and to assess the effects of these systems on groundwater quantity and quality in the region. To achieve this, the LINDO software was employed to optimize land allocation for each irrigation method. At the same time, the SEAWAT code was utilized to simulate saltwater intrusion (SWI) in the Nile Delta aquifer. The transition from traditional surface irrigation to MIS resulted in significant water savings, reaching 2.15 × 10^9 m³. However, groundwater modeling indicated a decrease in groundwater levels, leading to an 8 % increase in aquifer salinity due to reduced infiltration of recharge water. These findings underscore the urgent need to revise outdated irrigation practices and enhance water management strategies in the Nile Delta to mitigate salinity issues in coastal aquifers. This research's outcomes are crucial for decision-makers and stakeholders in selecting appropriate irrigation methods, particularly in arid and semi-arid regions, to ensure sustainable water use and agricultural productivity.","author":[{"dropping-particle":"","family":"Abd-Elaty","given":"Ismail","non-dropping-particle":"","parse-names":false,"suffix":""},{"dropping-particle":"","family":"Ramadan","given":"Elsayed M.","non-dropping-particle":"","parse-names":false,"suffix":""},{"dropping-particle":"","family":"Elbagory","given":"Ibrahim A.","non-dropping-particle":"","parse-names":false,"suffix":""},{"dropping-particle":"","family":"Nosair","given":"Ahmed M.","non-dropping-particle":"","parse-names":false,"suffix":""},{"dropping-particle":"","family":"Kuriqi","given":"Alban","non-dropping-particle":"","parse-names":false,"suffix":""},{"dropping-particle":"","family":"Garrote","given":"Luis","non-dropping-particle":"","parse-names":false,"suffix":""},{"dropping-particle":"","family":"Ahmed","given":"Ashraf A.","non-dropping-particle":"","parse-names":false,"suffix":""}],"container-title":"Agricultural Water Management","id":"ITEM-1","issue":"May","issued":{"date-parts":[["2024"]]},"page":"109064","publisher":"Elsevier B.V.","title":"Optimizing Irrigation Systems for Water Efficiency and Groundwater Sustainability in the Coastal Nile Delta","type":"article-journal","volume":"304"},"uris":["http://www.mendeley.com/documents/?uuid=5bcdc564-0f1a-4cd6-b4a1-bb3f3e97cec7"]}],"mendeley":{"formattedCitation":"&lt;span style=\"baseline\"&gt;[75]&lt;/span&gt;","plainTextFormattedCitation":"[75]","previouslyFormattedCitation":"&lt;span style=\"baseline\"&gt;[75]&lt;/span&gt;"},"properties":{"noteIndex":0},"schema":"https://github.com/citation-style-language/schema/raw/master/csl-citation.json"}</w:instrText>
      </w:r>
      <w:r w:rsidR="00035F3C" w:rsidRPr="006850F6">
        <w:rPr>
          <w:i w:val="0"/>
          <w:noProof w:val="0"/>
        </w:rPr>
        <w:fldChar w:fldCharType="separate"/>
      </w:r>
      <w:r w:rsidR="00885556" w:rsidRPr="00885556">
        <w:rPr>
          <w:i w:val="0"/>
        </w:rPr>
        <w:t>[75]</w:t>
      </w:r>
      <w:r w:rsidR="00035F3C" w:rsidRPr="006850F6">
        <w:rPr>
          <w:i w:val="0"/>
          <w:noProof w:val="0"/>
        </w:rPr>
        <w:fldChar w:fldCharType="end"/>
      </w:r>
      <w:r w:rsidRPr="006850F6">
        <w:rPr>
          <w:i w:val="0"/>
          <w:noProof w:val="0"/>
        </w:rPr>
        <w:t xml:space="preserve">. The development of smart irrigation control and scheduling technologies, combined with water-saving strategies like agricultural water pricing reforms, plays a crucial role in advancing precision irrigation </w:t>
      </w:r>
      <w:r w:rsidR="00035F3C" w:rsidRPr="006850F6">
        <w:rPr>
          <w:i w:val="0"/>
          <w:noProof w:val="0"/>
        </w:rPr>
        <w:fldChar w:fldCharType="begin" w:fldLock="1"/>
      </w:r>
      <w:r w:rsidR="001C7906">
        <w:rPr>
          <w:i w:val="0"/>
          <w:noProof w:val="0"/>
        </w:rPr>
        <w:instrText>ADDIN CSL_CITATION {"citationItems":[{"id":"ITEM-1","itemData":{"DOI":"10.3390/plants13223184","ISSN":"22237747","abstract":"The intensifying challenges posed by global climate change and water scarcity necessitate enhancements in agricultural productivity and sustainability within arid regions. This review synthesizes recent advancements in genetic engineering, molecular breeding, precision agriculture, and innovative water management techniques aimed at improving crop drought resistance, soil health, and overall agricultural efficiency. By examining cutting-edge methodologies, such as CRISPR/Cas9 gene editing, marker-assisted selection (MAS), and omics technologies, we highlight efforts to manipulate drought-responsive genes and consolidate favorable agronomic traits through interdisciplinary innovations. Furthermore, we explore the potential of precision farming technologies, including the Internet of Things (IoT), remote sensing, and smart irrigation systems, to optimize water utilization and facilitate real-time environmental monitoring. The integration of genetic, biotechnological, and agronomic approaches demonstrates a significant potential to enhance crop resilience against abiotic and biotic stressors while improving resource efficiency. Additionally, advanced irrigation systems, along with soil conservation techniques, show promise for maximizing water efficiency and sustaining soil fertility under saline–alkali conditions. This review concludes with recommendations for a further multidisciplinary exploration of genomics, sustainable water management practices, and precision agriculture to ensure long-term food security and sustainable agricultural development in water-limited environments. By providing a comprehensive framework for addressing agricultural challenges in arid regions, we emphasize the urgent need for continued innovation in response to escalating global environmental pressures.","author":[{"dropping-particle":"","family":"Xing","given":"Yingying","non-dropping-particle":"","parse-names":false,"suffix":""},{"dropping-particle":"","family":"Wang","given":"Xiukang","non-dropping-particle":"","parse-names":false,"suffix":""}],"container-title":"Plants","id":"ITEM-1","issue":"22","issued":{"date-parts":[["2024"]]},"title":"Precision Agriculture and Water Conservation Strategies for Sustainable Crop Production in Arid Regions","type":"article-journal","volume":"13"},"uris":["http://www.mendeley.com/documents/?uuid=e2aa119d-3d3e-44e4-be2c-f838b20662e0"]}],"mendeley":{"formattedCitation":"&lt;span style=\"baseline\"&gt;[76]&lt;/span&gt;","plainTextFormattedCitation":"[76]","previouslyFormattedCitation":"&lt;span style=\"baseline\"&gt;[76]&lt;/span&gt;"},"properties":{"noteIndex":0},"schema":"https://github.com/citation-style-language/schema/raw/master/csl-citation.json"}</w:instrText>
      </w:r>
      <w:r w:rsidR="00035F3C" w:rsidRPr="006850F6">
        <w:rPr>
          <w:i w:val="0"/>
          <w:noProof w:val="0"/>
        </w:rPr>
        <w:fldChar w:fldCharType="separate"/>
      </w:r>
      <w:r w:rsidR="00885556" w:rsidRPr="00885556">
        <w:rPr>
          <w:i w:val="0"/>
        </w:rPr>
        <w:t>[76]</w:t>
      </w:r>
      <w:r w:rsidR="00035F3C" w:rsidRPr="006850F6">
        <w:rPr>
          <w:i w:val="0"/>
          <w:noProof w:val="0"/>
        </w:rPr>
        <w:fldChar w:fldCharType="end"/>
      </w:r>
      <w:r w:rsidRPr="006850F6">
        <w:rPr>
          <w:i w:val="0"/>
          <w:noProof w:val="0"/>
        </w:rPr>
        <w:t xml:space="preserve">. A possible crop adaptation strategy for arid environments could involve introducing crops that are better suited to the region's evolving ecological conditions </w:t>
      </w:r>
      <w:r w:rsidR="00035F3C" w:rsidRPr="006850F6">
        <w:rPr>
          <w:i w:val="0"/>
          <w:noProof w:val="0"/>
        </w:rPr>
        <w:fldChar w:fldCharType="begin" w:fldLock="1"/>
      </w:r>
      <w:r w:rsidR="00CF0B43">
        <w:rPr>
          <w:i w:val="0"/>
          <w:noProof w:val="0"/>
        </w:rPr>
        <w:instrText>ADDIN CSL_CITATION {"citationItems":[{"id":"ITEM-1","itemData":{"DOI":"10.5354/0719-5370.2024.75159","author":[{"dropping-particle":"","family":"Bellisario","given":"Antonio","non-dropping-particle":"","parse-names":false,"suffix":""},{"dropping-particle":"","family":"Janke","given":"Jason","non-dropping-particle":"","parse-names":false,"suffix":""}],"container-title":"Investigaciones Geográficas: una mirada desde el Sur","id":"ITEM-1","issued":{"date-parts":[["2024"]]},"page":"72-94","title":"Assessing the Impacts of a Multi-Year Drought on Water Resources and Agriculture in the Aconcagua River Basin of Chile","type":"article-journal","volume":"67"},"uris":["http://www.mendeley.com/documents/?uuid=27550efe-5331-46c7-900e-e15dce0a02fe"]}],"mendeley":{"formattedCitation":"&lt;span style=\"baseline\"&gt;[29]&lt;/span&gt;","plainTextFormattedCitation":"[29]","previouslyFormattedCitation":"&lt;span style=\"baseline\"&gt;[29]&lt;/span&gt;"},"properties":{"noteIndex":0},"schema":"https://github.com/citation-style-language/schema/raw/master/csl-citation.json"}</w:instrText>
      </w:r>
      <w:r w:rsidR="00035F3C" w:rsidRPr="006850F6">
        <w:rPr>
          <w:i w:val="0"/>
          <w:noProof w:val="0"/>
        </w:rPr>
        <w:fldChar w:fldCharType="separate"/>
      </w:r>
      <w:r w:rsidR="004B02F5" w:rsidRPr="004B02F5">
        <w:rPr>
          <w:i w:val="0"/>
        </w:rPr>
        <w:t>[29]</w:t>
      </w:r>
      <w:r w:rsidR="00035F3C" w:rsidRPr="006850F6">
        <w:rPr>
          <w:i w:val="0"/>
          <w:noProof w:val="0"/>
        </w:rPr>
        <w:fldChar w:fldCharType="end"/>
      </w:r>
      <w:r w:rsidRPr="006850F6">
        <w:rPr>
          <w:i w:val="0"/>
          <w:noProof w:val="0"/>
        </w:rPr>
        <w:t xml:space="preserve">. One such example is the prickly pear </w:t>
      </w:r>
      <w:r w:rsidRPr="006850F6">
        <w:rPr>
          <w:iCs/>
          <w:noProof w:val="0"/>
        </w:rPr>
        <w:t>Opuntia</w:t>
      </w:r>
      <w:r w:rsidR="00035F3C" w:rsidRPr="006850F6">
        <w:rPr>
          <w:i w:val="0"/>
          <w:noProof w:val="0"/>
        </w:rPr>
        <w:t xml:space="preserve"> </w:t>
      </w:r>
      <w:r w:rsidRPr="006850F6">
        <w:rPr>
          <w:i w:val="0"/>
          <w:noProof w:val="0"/>
        </w:rPr>
        <w:t xml:space="preserve">a native plant of arid and semi-arid regions. Its unique adaptation mechanisms allow it to thrive in harsh climatic conditions, while also offering high nutritional value and being rich in value-added compounds </w:t>
      </w:r>
      <w:r w:rsidR="00035F3C" w:rsidRPr="006850F6">
        <w:rPr>
          <w:i w:val="0"/>
          <w:noProof w:val="0"/>
        </w:rPr>
        <w:fldChar w:fldCharType="begin" w:fldLock="1"/>
      </w:r>
      <w:r w:rsidR="001C7906">
        <w:rPr>
          <w:i w:val="0"/>
          <w:noProof w:val="0"/>
        </w:rPr>
        <w:instrText>ADDIN CSL_CITATION {"citationItems":[{"id":"ITEM-1","itemData":{"DOI":"10.1038/s41598-020-66972-0","ISSN":"20452322","PMID":"32572082","abstract":"The cactus pear has demonstrated productive potential in arid and semi-arid regions due to its photosynthetic process of crassulacean acid metabolism. Thus, this study aimed to evaluate agronomic characteristics and chemical composition of three genotypes of cactus pear at different locations of a tropical semiarid region classified as non-suitable for cactus pear cultivation. A completely randomized design in a factorial arrangement (3 × 7) (three genotypes of cactus pear [Miúda, Baiana (Nopalea cochenillifera) and Orelha de Efefante Mexicana - OEM (Opuntia stricta)] and seven locations) was used. The climatic conditions characterized an environment that restricts the growth of cactus pear genotypes, mainly due to the air relative humidity values. All morphological characteristics of the cactus pear genotypes were influenced by the interaction genotype x location, with higher expression of the characteristics on the different genotypes under hot semi-arid climate and tropical wet and dry climate. An effect of the interaction genotype x location was observed (p &lt; 0.05) on water use efficiency, water accumulation and carrying capacity, where the highest values were observed for genotype Baiana at location 1. Also, there was influence of the interaction genotype x location over the chemical composition of the cactus pear. The cultivation of cactus pear is recommended under restricted climatic conditions in semi-arid tropical regions, especially the genotype Baiana, based on growth factors, biomass production and chemical composition.","author":[{"dropping-particle":"","family":"Edvan","given":"Ricardo Loiola","non-dropping-particle":"","parse-names":false,"suffix":""},{"dropping-particle":"","family":"Mota","given":"Rute Ribeiro Marins","non-dropping-particle":"","parse-names":false,"suffix":""},{"dropping-particle":"","family":"Dias-Silva","given":"Tairon Pannunzio","non-dropping-particle":"","parse-names":false,"suffix":""},{"dropping-particle":"","family":"Nascimento","given":"Romilda Rodrigues","non-dropping-particle":"do","parse-names":false,"suffix":""},{"dropping-particle":"","family":"Sousa","given":"Sheila Vilarindo","non-dropping-particle":"de","parse-names":false,"suffix":""},{"dropping-particle":"","family":"Silva","given":"Alex Lopes","non-dropping-particle":"da","parse-names":false,"suffix":""},{"dropping-particle":"de","family":"Araújo","given":"Marcos Jácome","non-dropping-particle":"","parse-names":false,"suffix":""},{"dropping-particle":"","family":"Araújo","given":"Jucilene Silva","non-dropping-particle":"","parse-names":false,"suffix":""}],"container-title":"Scientific Reports","id":"ITEM-1","issue":"1","issued":{"date-parts":[["2020"]]},"page":"1-10","title":"Resilience of cactus pear genotypes in a tropical semi-arid region subject to climatic cultivation restriction","type":"article-journal","volume":"10"},"uris":["http://www.mendeley.com/documents/?uuid=d5aea58b-464d-419c-bae0-f64d9c36c7c5"]},{"id":"ITEM-2","itemData":{"DOI":"10.1016/j.jsps.2024.102167","ISSN":"13190164","abstract":"Opuntia (Cactaceae) species are native to arid and semi-arid regions of Mexico and the southern United States and grow in various climatic zones. Opuntia dillenii is a cactus fruit with many beneficial properties, and it is used as a medicinal plant in various countries. This review paper provides updated information on the phytochemical and pharmacological aspects of O. dillenii. The fruit contains valuable compounds such as flavonoids, phenolics, ascorbic acid, betanin, and essential elements, which have been isolated and identified. The fruit also exhibits diverse pharmacological activities, such as antioxidant, anti-inflammatory, anti-tumor, neuroprotective, hepatoprotective, hypotensive, anti-diabetic, antifungal, and anticancer effects. Moreover, molecular docking and ADMET predictions were performed to evaluate the antibacterial potential of the fruit against Escherichia coli protein. This paper suggests that O. dillenii has significant potential as a complementary therapy for various pathological conditions.","author":[{"dropping-particle":"","family":"Loukili","given":"EL Hassania","non-dropping-particle":"","parse-names":false,"suffix":""},{"dropping-particle":"","family":"Merzouki","given":"Mohammed","non-dropping-particle":"","parse-names":false,"suffix":""},{"dropping-particle":"","family":"Taibi","given":"Mohamed","non-dropping-particle":"","parse-names":false,"suffix":""},{"dropping-particle":"","family":"Elbouzidi","given":"Amine","non-dropping-particle":"","parse-names":false,"suffix":""},{"dropping-particle":"","family":"Hammouti","given":"Belkheir","non-dropping-particle":"","parse-names":false,"suffix":""},{"dropping-particle":"","family":"Kumar Yadav","given":"Krishna","non-dropping-particle":"","parse-names":false,"suffix":""},{"dropping-particle":"","family":"Khalid","given":"Mohammad","non-dropping-particle":"","parse-names":false,"suffix":""},{"dropping-particle":"","family":"Addi","given":"Mohamed","non-dropping-particle":"","parse-names":false,"suffix":""},{"dropping-particle":"","family":"Ramdani","given":"Mohammed","non-dropping-particle":"","parse-names":false,"suffix":""},{"dropping-particle":"","family":"Kumar","given":"Pankaj","non-dropping-particle":"","parse-names":false,"suffix":""},{"dropping-particle":"","family":"Ryeol Choi","given":"Jeong","non-dropping-particle":"","parse-names":false,"suffix":""}],"container-title":"Saudi Pharmaceutical Journal","id":"ITEM-2","issue":"10","issued":{"date-parts":[["2024"]]},"page":"102167","publisher":"Elsevier B.V.","title":"Phytochemical, biological, and nutritional properties of the prickly pear, Opuntia dillenii: A review","type":"article-journal","volume":"32"},"uris":["http://www.mendeley.com/documents/?uuid=89744fd6-aa1f-46a7-ad1f-e101db212a83"]}],"mendeley":{"formattedCitation":"&lt;span style=\"baseline\"&gt;[77,78]&lt;/span&gt;","plainTextFormattedCitation":"[77,78]","previouslyFormattedCitation":"&lt;span style=\"baseline\"&gt;[77,78]&lt;/span&gt;"},"properties":{"noteIndex":0},"schema":"https://github.com/citation-style-language/schema/raw/master/csl-citation.json"}</w:instrText>
      </w:r>
      <w:r w:rsidR="00035F3C" w:rsidRPr="006850F6">
        <w:rPr>
          <w:i w:val="0"/>
          <w:noProof w:val="0"/>
        </w:rPr>
        <w:fldChar w:fldCharType="separate"/>
      </w:r>
      <w:r w:rsidR="00885556" w:rsidRPr="00885556">
        <w:rPr>
          <w:i w:val="0"/>
        </w:rPr>
        <w:t>[77,78]</w:t>
      </w:r>
      <w:r w:rsidR="00035F3C" w:rsidRPr="006850F6">
        <w:rPr>
          <w:i w:val="0"/>
          <w:noProof w:val="0"/>
        </w:rPr>
        <w:fldChar w:fldCharType="end"/>
      </w:r>
      <w:r w:rsidRPr="006850F6">
        <w:rPr>
          <w:i w:val="0"/>
          <w:noProof w:val="0"/>
        </w:rPr>
        <w:t xml:space="preserve">. In addition, it is essential to implement measures to monitor and regulate nutrient use in avocado plantations, given the possible chemical alterations of the soil, ensuring the protection of both soil and water resources </w:t>
      </w:r>
      <w:r w:rsidR="00035F3C" w:rsidRPr="006850F6">
        <w:rPr>
          <w:i w:val="0"/>
          <w:noProof w:val="0"/>
        </w:rPr>
        <w:fldChar w:fldCharType="begin" w:fldLock="1"/>
      </w:r>
      <w:r w:rsidR="00CF0B43">
        <w:rPr>
          <w:i w:val="0"/>
          <w:noProof w:val="0"/>
        </w:rPr>
        <w:instrText>ADDIN CSL_CITATION {"citationItems":[{"id":"ITEM-1","itemData":{"DOI":"10.1016/j.agee.2023.108746","ISSN":"01678809","abstract":"Carbon storage is examined along the avocado frontier in the state of Michoacán, Mexico, where native pine-oak forest is being rapidly lost for the sake of avocado production expansion. Carbon pools for aboveground biomass carbon and for belowground soil carbon were compared across avocado orchards and neighboring pine-oak forests. While aboveground carbon was found to be significantly higher in forests when compared to orchards, there was no significant difference found in soil carbon stocks between the two land uses. Mixed effects regression models were used to parse out the landscape scale heterogeneity that is affecting soil carbon beyond land cover alone. Temperature, precipitation, and fragmentation variables were all found to significantly impact soil carbon across the landscape studied. Furthermore, there is evidence of over-fertilization within orchards, particularly of phosphorus, which may be temporarily subsidizing soil carbon loss. Sustainability considerations, therefore, must consider land use decisions in relation to other soil nutrients, beyond just carbon, to comprehensively address sustainability concerns arising from the impacts of avocado production.","author":[{"dropping-particle":"","family":"Denvir","given":"Audrey","non-dropping-particle":"","parse-names":false,"suffix":""},{"dropping-particle":"","family":"García-Oliva","given":"Felipe","non-dropping-particle":"","parse-names":false,"suffix":""},{"dropping-particle":"","family":"Arima","given":"Eugenio Y.","non-dropping-particle":"","parse-names":false,"suffix":""},{"dropping-particle":"","family":"Latorre-Cárdenas","given":"María Camila","non-dropping-particle":"","parse-names":false,"suffix":""},{"dropping-particle":"","family":"González-Rodríguez","given":"Antonio","non-dropping-particle":"","parse-names":false,"suffix":""},{"dropping-particle":"","family":"Young","given":"Kenneth R.","non-dropping-particle":"","parse-names":false,"suffix":""},{"dropping-particle":"","family":"La Cruz","given":"Libny Ingrid Lara","non-dropping-particle":"De","parse-names":false,"suffix":""}],"container-title":"Agriculture, Ecosystems and Environment","id":"ITEM-1","issue":"September 2023","issued":{"date-parts":[["2024"]]},"title":"Sustainability implications of carbon dynamics on the avocado frontier","type":"article-journal","volume":"359"},"uris":["http://www.mendeley.com/documents/?uuid=4b154571-a177-4212-a414-d57b5ce439a2"]}],"mendeley":{"formattedCitation":"&lt;span style=\"baseline\"&gt;[70]&lt;/span&gt;","plainTextFormattedCitation":"[70]","previouslyFormattedCitation":"&lt;span style=\"baseline\"&gt;[70]&lt;/span&gt;"},"properties":{"noteIndex":0},"schema":"https://github.com/citation-style-language/schema/raw/master/csl-citation.json"}</w:instrText>
      </w:r>
      <w:r w:rsidR="00035F3C" w:rsidRPr="006850F6">
        <w:rPr>
          <w:i w:val="0"/>
          <w:noProof w:val="0"/>
        </w:rPr>
        <w:fldChar w:fldCharType="separate"/>
      </w:r>
      <w:r w:rsidR="004B02F5" w:rsidRPr="004B02F5">
        <w:rPr>
          <w:i w:val="0"/>
        </w:rPr>
        <w:t>[70]</w:t>
      </w:r>
      <w:r w:rsidR="00035F3C" w:rsidRPr="006850F6">
        <w:rPr>
          <w:i w:val="0"/>
          <w:noProof w:val="0"/>
        </w:rPr>
        <w:fldChar w:fldCharType="end"/>
      </w:r>
      <w:r w:rsidRPr="006850F6">
        <w:rPr>
          <w:i w:val="0"/>
          <w:noProof w:val="0"/>
        </w:rPr>
        <w:t>.</w:t>
      </w:r>
    </w:p>
    <w:p w14:paraId="3065332A" w14:textId="77777777" w:rsidR="00FA28E0" w:rsidRPr="00FA28E0" w:rsidRDefault="00FA28E0" w:rsidP="00FA28E0">
      <w:pPr>
        <w:pStyle w:val="MDPI22heading2"/>
        <w:spacing w:before="0"/>
        <w:ind w:firstLine="425"/>
        <w:jc w:val="both"/>
        <w:rPr>
          <w:i w:val="0"/>
          <w:noProof w:val="0"/>
        </w:rPr>
      </w:pPr>
    </w:p>
    <w:p w14:paraId="1C2B8F3C" w14:textId="611AFD87" w:rsidR="005344F3" w:rsidRDefault="005344F3" w:rsidP="00242122">
      <w:pPr>
        <w:pStyle w:val="MDPI21heading1"/>
      </w:pPr>
      <w:r w:rsidRPr="00242122">
        <w:t>5. Conclusions</w:t>
      </w:r>
    </w:p>
    <w:p w14:paraId="210F073F" w14:textId="20D70DE9" w:rsidR="00FA28E0" w:rsidRDefault="00BD26F2" w:rsidP="00001260">
      <w:pPr>
        <w:pStyle w:val="MDPI21heading1"/>
        <w:spacing w:before="0" w:after="0"/>
        <w:ind w:firstLine="510"/>
        <w:jc w:val="both"/>
        <w:rPr>
          <w:b w:val="0"/>
          <w:bCs/>
          <w:sz w:val="20"/>
          <w:szCs w:val="20"/>
        </w:rPr>
      </w:pPr>
      <w:r w:rsidRPr="00BD26F2">
        <w:rPr>
          <w:b w:val="0"/>
          <w:bCs/>
          <w:sz w:val="20"/>
          <w:szCs w:val="20"/>
          <w:highlight w:val="yellow"/>
        </w:rPr>
        <w:t>T</w:t>
      </w:r>
      <w:r w:rsidR="00FA28E0" w:rsidRPr="00BD26F2">
        <w:rPr>
          <w:b w:val="0"/>
          <w:bCs/>
          <w:sz w:val="20"/>
          <w:szCs w:val="20"/>
          <w:highlight w:val="yellow"/>
        </w:rPr>
        <w:t>his study assesses</w:t>
      </w:r>
      <w:r w:rsidR="00FA28E0" w:rsidRPr="00FA28E0">
        <w:rPr>
          <w:b w:val="0"/>
          <w:bCs/>
          <w:sz w:val="20"/>
          <w:szCs w:val="20"/>
        </w:rPr>
        <w:t xml:space="preserve"> the impact of avocado plantations on LULC changes within the Aconcagua basin using </w:t>
      </w:r>
      <w:r w:rsidR="00BB5859" w:rsidRPr="00BB5859">
        <w:rPr>
          <w:b w:val="0"/>
          <w:bCs/>
          <w:sz w:val="20"/>
          <w:szCs w:val="20"/>
        </w:rPr>
        <w:t>advanced geospatial analysis techniques</w:t>
      </w:r>
      <w:r w:rsidR="00BB5859">
        <w:rPr>
          <w:b w:val="0"/>
          <w:bCs/>
          <w:sz w:val="20"/>
          <w:szCs w:val="20"/>
        </w:rPr>
        <w:t xml:space="preserve"> i</w:t>
      </w:r>
      <w:r w:rsidR="00FA28E0" w:rsidRPr="00FA28E0">
        <w:rPr>
          <w:b w:val="0"/>
          <w:bCs/>
          <w:sz w:val="20"/>
          <w:szCs w:val="20"/>
        </w:rPr>
        <w:t>n Google Earth Engine. The most significant LULC changes occurred between 2003 and 2013, with avocado plantations undergoing the most substantial transformations, followed by native vegetation, such as sclerophyllous shrublands, as well as fruit farm land and bare soil.</w:t>
      </w:r>
    </w:p>
    <w:p w14:paraId="4DEB53F7" w14:textId="77777777" w:rsidR="00001260" w:rsidRDefault="00FA28E0" w:rsidP="00001260">
      <w:pPr>
        <w:pStyle w:val="MDPI21heading1"/>
        <w:spacing w:before="0" w:after="0"/>
        <w:ind w:firstLine="510"/>
        <w:jc w:val="both"/>
        <w:rPr>
          <w:b w:val="0"/>
          <w:bCs/>
          <w:sz w:val="20"/>
          <w:szCs w:val="20"/>
        </w:rPr>
      </w:pPr>
      <w:r w:rsidRPr="00FA28E0">
        <w:rPr>
          <w:b w:val="0"/>
          <w:bCs/>
          <w:sz w:val="20"/>
          <w:szCs w:val="20"/>
        </w:rPr>
        <w:lastRenderedPageBreak/>
        <w:t>The LULC that experienced the greatest loss due to the expansion of avocado plantations were native vegetation and other agricultural lands. By 2023, the rate of change in avocado plantations had slightly decreased, possibly indicating the impact of drought on small-scale farmers. However, the transition was primarily toward fruit farm land, suggesting that alternative measures were taken to cope with the drought. This expansion mainly occurred around agricultural and urban zones, with a notable expansion towards the hills, particularly in areas with medium to high slopes, and predominantly in the middle-low part of the basin. In contrast, native vegetation remained relatively stable on high slopes and their greatest decrease was observed near agricultural valleys and urban zones.</w:t>
      </w:r>
    </w:p>
    <w:p w14:paraId="0C408F0E" w14:textId="4A12CA65" w:rsidR="00FA28E0" w:rsidRPr="00E20909" w:rsidRDefault="00FA28E0" w:rsidP="00001260">
      <w:pPr>
        <w:pStyle w:val="MDPI21heading1"/>
        <w:spacing w:before="0" w:after="0"/>
        <w:ind w:firstLine="510"/>
        <w:jc w:val="both"/>
        <w:rPr>
          <w:b w:val="0"/>
          <w:bCs/>
          <w:sz w:val="20"/>
          <w:szCs w:val="20"/>
        </w:rPr>
      </w:pPr>
      <w:r w:rsidRPr="00FA28E0">
        <w:rPr>
          <w:b w:val="0"/>
          <w:bCs/>
          <w:sz w:val="20"/>
          <w:szCs w:val="20"/>
        </w:rPr>
        <w:t>The analysis of local landscape patterns and some landscape metrics revealed that the expansion of avocado plantations is the primary driver of the most critical local landscape transformations and the greatest alterations in LULC. Additionally, the metrics indicate that while avocado plantations have become larger, more dominant, and more isolated, native vegetation has become increasingly fragmented and has decreased in patch size. Based on these findings, three different future scenarios were analyzed to quantify changes in landscape structure and, consequently, to identify or propose new management practices based on ecological efforts and restoration. This analysis demonstrated that a portion of avocado plantations could be replaced with native forest, promoting a landscape with more, but smaller, native vegetation patches. This, in turn, influences both the degree of fragmentation and connectivity within the landscape. In addition, some management practices were proposed for the Aconcagua basin. Further research is needed to evaluate the impact of avocado plantations on landscape patterns, as well as to investigate water demand, evapotranspiration, carbon storage, soil chemistry, and related social challenges. These findings serve as a crucial foundation for developing sustainable land management practices that balance agricultural production with environmental conservation, landscape dynamics, and community well-being.</w:t>
      </w:r>
    </w:p>
    <w:p w14:paraId="4C309B58" w14:textId="5DC88396" w:rsidR="005344F3" w:rsidRDefault="005344F3" w:rsidP="00242122">
      <w:pPr>
        <w:pStyle w:val="MDPI62backmatter"/>
        <w:spacing w:before="240"/>
      </w:pPr>
      <w:r w:rsidRPr="00FA04F1">
        <w:rPr>
          <w:b/>
        </w:rPr>
        <w:t>Supplementary Materials:</w:t>
      </w:r>
      <w:r w:rsidR="008D1918">
        <w:rPr>
          <w:b/>
        </w:rPr>
        <w:t xml:space="preserve"> </w:t>
      </w:r>
      <w:r w:rsidR="00EC633B" w:rsidRPr="00EC633B">
        <w:t>The following supporting information can be downloaded at:</w:t>
      </w:r>
    </w:p>
    <w:p w14:paraId="39E7966E" w14:textId="08679D86" w:rsidR="00EC633B" w:rsidRDefault="005344F3" w:rsidP="00242122">
      <w:pPr>
        <w:pStyle w:val="MDPI62backmatter"/>
      </w:pPr>
      <w:r w:rsidRPr="00613B31">
        <w:rPr>
          <w:b/>
        </w:rPr>
        <w:t>Author Contributions:</w:t>
      </w:r>
      <w:r w:rsidRPr="00613B31">
        <w:t xml:space="preserve"> </w:t>
      </w:r>
      <w:r w:rsidR="00EC633B" w:rsidRPr="00EC633B">
        <w:t>Conceptualization, I.D.-L. ; methodology, I.D.-L., and A.A.S.; software, I.D.-L., and A.A.S; validation, I.D.-L., and A.A.S.; formal analysis, I.D.-L., A.A.S and P.M.; investigation, I.D.-L. A.A.S and F.L; resources, I.D.-L.; writing—original draft preparation, I.D.-L., and A.A.S; writing—review and editing, I.D.-L., A.A.S, P.M, R.M-R., F.F, L.R-L, and F.Z.; visualization, I.D.-L., A.A.S., P.M, L.R-L, R.M-R and F.Z; project administration, I.D.-L. and F.Z; funding acquisition I.D.-L., L.R-L</w:t>
      </w:r>
      <w:r w:rsidR="00285003">
        <w:t>, F.Z.</w:t>
      </w:r>
      <w:r w:rsidR="00EC633B" w:rsidRPr="00EC633B">
        <w:t xml:space="preserve"> and F.F.; All authors have read and agreed to the published version of the manuscript.</w:t>
      </w:r>
    </w:p>
    <w:p w14:paraId="2D221142" w14:textId="7860681F" w:rsidR="005344F3" w:rsidRPr="00613B31" w:rsidRDefault="005344F3" w:rsidP="00242122">
      <w:pPr>
        <w:pStyle w:val="MDPI62backmatter"/>
      </w:pPr>
      <w:r w:rsidRPr="00613B31">
        <w:rPr>
          <w:b/>
        </w:rPr>
        <w:t>Funding:</w:t>
      </w:r>
      <w:r w:rsidRPr="00613B31">
        <w:t xml:space="preserve"> Please add: </w:t>
      </w:r>
      <w:r w:rsidR="00EC633B" w:rsidRPr="00EC633B">
        <w:t xml:space="preserve">This research was funded by the National Agency for Research and Development of Chilean Government ANID, Fondecyt Postdoctorado </w:t>
      </w:r>
      <w:r w:rsidR="00EC633B" w:rsidRPr="00EC633B">
        <w:rPr>
          <w:b/>
          <w:bCs/>
        </w:rPr>
        <w:t>N°3230678</w:t>
      </w:r>
      <w:r w:rsidR="00EC633B" w:rsidRPr="00EC633B">
        <w:t xml:space="preserve"> and Hémera Centro de </w:t>
      </w:r>
      <w:proofErr w:type="spellStart"/>
      <w:r w:rsidR="00EC633B" w:rsidRPr="00EC633B">
        <w:t>Observación</w:t>
      </w:r>
      <w:proofErr w:type="spellEnd"/>
      <w:r w:rsidR="00EC633B" w:rsidRPr="00EC633B">
        <w:t xml:space="preserve"> de la Tierra, Universidad Mayor.</w:t>
      </w:r>
    </w:p>
    <w:p w14:paraId="0EFCD371" w14:textId="4861583A" w:rsidR="00E65348" w:rsidRPr="00E65348" w:rsidRDefault="00E65348" w:rsidP="00242122">
      <w:pPr>
        <w:pStyle w:val="MDPI62backmatter"/>
      </w:pPr>
      <w:r w:rsidRPr="00E65348">
        <w:rPr>
          <w:b/>
        </w:rPr>
        <w:t>Data Availability Statement:</w:t>
      </w:r>
      <w:r w:rsidRPr="00E65348">
        <w:t xml:space="preserve"> </w:t>
      </w:r>
      <w:r w:rsidR="00EC633B" w:rsidRPr="00EC633B">
        <w:t>Codes and data are available through communication with the authors.</w:t>
      </w:r>
    </w:p>
    <w:p w14:paraId="14484DF3" w14:textId="50C275FB" w:rsidR="005344F3" w:rsidRPr="00613B31" w:rsidRDefault="005344F3" w:rsidP="00242122">
      <w:pPr>
        <w:pStyle w:val="MDPI62backmatter"/>
      </w:pPr>
      <w:r w:rsidRPr="00613B31">
        <w:rPr>
          <w:b/>
        </w:rPr>
        <w:t>Acknowledgments:</w:t>
      </w:r>
      <w:r w:rsidRPr="00613B31">
        <w:t xml:space="preserve"> </w:t>
      </w:r>
      <w:r w:rsidR="00EC633B" w:rsidRPr="00EC633B">
        <w:t xml:space="preserve">Iongel Duran-Llacer is grateful for the National Agency for Research and Development of Chilean Government ANID, Fondecyt Postdoctorado </w:t>
      </w:r>
      <w:r w:rsidR="00EC633B" w:rsidRPr="00EC633B">
        <w:rPr>
          <w:b/>
          <w:bCs/>
        </w:rPr>
        <w:t>N°3230678</w:t>
      </w:r>
      <w:r w:rsidR="00EC633B" w:rsidRPr="00EC633B">
        <w:t xml:space="preserve"> and Hémera Centro de </w:t>
      </w:r>
      <w:proofErr w:type="spellStart"/>
      <w:r w:rsidR="00EC633B" w:rsidRPr="00EC633B">
        <w:t>Observación</w:t>
      </w:r>
      <w:proofErr w:type="spellEnd"/>
      <w:r w:rsidR="00EC633B" w:rsidRPr="00EC633B">
        <w:t xml:space="preserve"> de la Tierra, Universidad Mayor.</w:t>
      </w:r>
      <w:r w:rsidR="00EC633B">
        <w:t xml:space="preserve"> </w:t>
      </w:r>
    </w:p>
    <w:p w14:paraId="34E32A16" w14:textId="4CA8100C" w:rsidR="005344F3" w:rsidRPr="00613B31" w:rsidRDefault="005344F3" w:rsidP="00242122">
      <w:pPr>
        <w:pStyle w:val="MDPI62backmatter"/>
      </w:pPr>
      <w:r w:rsidRPr="00613B31">
        <w:rPr>
          <w:b/>
        </w:rPr>
        <w:t>Conflicts of Interest:</w:t>
      </w:r>
      <w:r w:rsidRPr="00613B31">
        <w:t xml:space="preserve"> </w:t>
      </w:r>
      <w:r w:rsidR="00C847AD" w:rsidRPr="00C847AD">
        <w:t>The authors declare no conflict of interest.</w:t>
      </w:r>
    </w:p>
    <w:p w14:paraId="1BF84916" w14:textId="77777777" w:rsidR="005344F3" w:rsidRDefault="005344F3" w:rsidP="00242122">
      <w:pPr>
        <w:pStyle w:val="MDPI21heading1"/>
        <w:ind w:left="0"/>
      </w:pPr>
      <w:r w:rsidRPr="00242122">
        <w:t>References</w:t>
      </w:r>
    </w:p>
    <w:p w14:paraId="5E311768" w14:textId="39B56856" w:rsidR="001C7906" w:rsidRPr="001C7906" w:rsidRDefault="00017A3E" w:rsidP="001C7906">
      <w:pPr>
        <w:widowControl w:val="0"/>
        <w:autoSpaceDE w:val="0"/>
        <w:autoSpaceDN w:val="0"/>
        <w:adjustRightInd w:val="0"/>
        <w:spacing w:line="240" w:lineRule="auto"/>
        <w:ind w:left="640" w:hanging="640"/>
        <w:rPr>
          <w:noProof/>
          <w:sz w:val="18"/>
        </w:rPr>
      </w:pPr>
      <w:r w:rsidRPr="00C74E13">
        <w:rPr>
          <w:noProof/>
          <w:sz w:val="18"/>
          <w:szCs w:val="18"/>
        </w:rPr>
        <w:fldChar w:fldCharType="begin" w:fldLock="1"/>
      </w:r>
      <w:r w:rsidRPr="00C74E13">
        <w:rPr>
          <w:sz w:val="18"/>
          <w:szCs w:val="18"/>
        </w:rPr>
        <w:instrText xml:space="preserve">ADDIN Mendeley Bibliography CSL_BIBLIOGRAPHY </w:instrText>
      </w:r>
      <w:r w:rsidRPr="00C74E13">
        <w:rPr>
          <w:noProof/>
          <w:sz w:val="18"/>
          <w:szCs w:val="18"/>
        </w:rPr>
        <w:fldChar w:fldCharType="separate"/>
      </w:r>
      <w:r w:rsidR="001C7906" w:rsidRPr="001C7906">
        <w:rPr>
          <w:noProof/>
          <w:sz w:val="18"/>
        </w:rPr>
        <w:t>1.</w:t>
      </w:r>
      <w:r w:rsidR="001C7906" w:rsidRPr="001C7906">
        <w:rPr>
          <w:noProof/>
          <w:sz w:val="18"/>
        </w:rPr>
        <w:tab/>
        <w:t xml:space="preserve">Food and Agriculture Organization of the United Nations, F. </w:t>
      </w:r>
      <w:r w:rsidR="001C7906" w:rsidRPr="001C7906">
        <w:rPr>
          <w:i/>
          <w:iCs/>
          <w:noProof/>
          <w:sz w:val="18"/>
        </w:rPr>
        <w:t>The State of Food and Agriculture 2020. Overcoming Water Challenges in Agriculture</w:t>
      </w:r>
      <w:r w:rsidR="001C7906" w:rsidRPr="001C7906">
        <w:rPr>
          <w:noProof/>
          <w:sz w:val="18"/>
        </w:rPr>
        <w:t>; FAO: Rome, 2020. https://doi.org/10.4060/cb1447en.</w:t>
      </w:r>
    </w:p>
    <w:p w14:paraId="1C5BCA2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w:t>
      </w:r>
      <w:r w:rsidRPr="001C7906">
        <w:rPr>
          <w:noProof/>
          <w:sz w:val="18"/>
        </w:rPr>
        <w:tab/>
        <w:t xml:space="preserve">Schulz, J. J.; Cayuela, L.; Echeverria, C.; Salas, J.; Rey Benayas, J. M. Monitoring Land Cover Change of the Dryland Forest </w:t>
      </w:r>
      <w:r w:rsidRPr="001C7906">
        <w:rPr>
          <w:noProof/>
          <w:sz w:val="18"/>
        </w:rPr>
        <w:lastRenderedPageBreak/>
        <w:t xml:space="preserve">Landscape of Central Chile (1975-2008). </w:t>
      </w:r>
      <w:r w:rsidRPr="001C7906">
        <w:rPr>
          <w:i/>
          <w:iCs/>
          <w:noProof/>
          <w:sz w:val="18"/>
        </w:rPr>
        <w:t>Appl. Geogr.</w:t>
      </w:r>
      <w:r w:rsidRPr="001C7906">
        <w:rPr>
          <w:noProof/>
          <w:sz w:val="18"/>
        </w:rPr>
        <w:t xml:space="preserve"> </w:t>
      </w:r>
      <w:r w:rsidRPr="001C7906">
        <w:rPr>
          <w:b/>
          <w:bCs/>
          <w:noProof/>
          <w:sz w:val="18"/>
        </w:rPr>
        <w:t>2010</w:t>
      </w:r>
      <w:r w:rsidRPr="001C7906">
        <w:rPr>
          <w:noProof/>
          <w:sz w:val="18"/>
        </w:rPr>
        <w:t xml:space="preserve">, </w:t>
      </w:r>
      <w:r w:rsidRPr="001C7906">
        <w:rPr>
          <w:i/>
          <w:iCs/>
          <w:noProof/>
          <w:sz w:val="18"/>
        </w:rPr>
        <w:t>30</w:t>
      </w:r>
      <w:r w:rsidRPr="001C7906">
        <w:rPr>
          <w:noProof/>
          <w:sz w:val="18"/>
        </w:rPr>
        <w:t xml:space="preserve"> (3), 436–447. https://doi.org/10.1016/j.apgeog.2009.12.003.</w:t>
      </w:r>
    </w:p>
    <w:p w14:paraId="0867C837" w14:textId="442A681B"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w:t>
      </w:r>
      <w:r w:rsidRPr="001C7906">
        <w:rPr>
          <w:noProof/>
          <w:sz w:val="18"/>
        </w:rPr>
        <w:tab/>
      </w:r>
      <w:r w:rsidRPr="001C7906">
        <w:rPr>
          <w:noProof/>
          <w:sz w:val="18"/>
        </w:rPr>
        <w:t xml:space="preserve">CIREN. </w:t>
      </w:r>
      <w:r w:rsidRPr="00E509B6">
        <w:rPr>
          <w:noProof/>
          <w:sz w:val="18"/>
          <w:lang w:val="es-CL"/>
        </w:rPr>
        <w:t>Centro de Información de Recursos Naturales</w:t>
      </w:r>
      <w:r w:rsidRPr="00E509B6">
        <w:rPr>
          <w:noProof/>
          <w:sz w:val="18"/>
          <w:lang w:val="es-CL"/>
        </w:rPr>
        <w:t xml:space="preserve">. </w:t>
      </w:r>
      <w:r w:rsidRPr="001C7906">
        <w:rPr>
          <w:i/>
          <w:iCs/>
          <w:noProof/>
          <w:sz w:val="18"/>
        </w:rPr>
        <w:t>Catastro Frutícola 2008. Región de Valparaíso</w:t>
      </w:r>
      <w:r w:rsidRPr="001C7906">
        <w:rPr>
          <w:noProof/>
          <w:sz w:val="18"/>
        </w:rPr>
        <w:t>; CIREN: Santiago, Chile, 2008. https://bibliotecadigital.ciren.cl/items/deeda92d-495c-4bb1-b380-a3a08ec6adbb.</w:t>
      </w:r>
    </w:p>
    <w:p w14:paraId="10788B5F" w14:textId="76B00FFB"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w:t>
      </w:r>
      <w:r w:rsidRPr="001C7906">
        <w:rPr>
          <w:noProof/>
          <w:sz w:val="18"/>
        </w:rPr>
        <w:tab/>
      </w:r>
      <w:r w:rsidRPr="001C7906">
        <w:rPr>
          <w:noProof/>
          <w:sz w:val="18"/>
        </w:rPr>
        <w:t xml:space="preserve">CIREN. </w:t>
      </w:r>
      <w:r w:rsidRPr="001C7906">
        <w:rPr>
          <w:noProof/>
          <w:sz w:val="18"/>
          <w:lang w:val="es-CL"/>
        </w:rPr>
        <w:t>Centro de Información de Recursos Naturales</w:t>
      </w:r>
      <w:r w:rsidRPr="001C7906">
        <w:rPr>
          <w:noProof/>
          <w:sz w:val="18"/>
          <w:lang w:val="es-CL"/>
        </w:rPr>
        <w:t xml:space="preserve">. </w:t>
      </w:r>
      <w:r w:rsidRPr="001C7906">
        <w:rPr>
          <w:i/>
          <w:iCs/>
          <w:noProof/>
          <w:sz w:val="18"/>
        </w:rPr>
        <w:t>Catastro Frutícola 2023. Región de Valparaíso</w:t>
      </w:r>
      <w:r w:rsidRPr="001C7906">
        <w:rPr>
          <w:noProof/>
          <w:sz w:val="18"/>
        </w:rPr>
        <w:t>; CIREN: Santiago, Chile, 2023. https://bibliotecadigital.ciren.cl/server/api/core/bitstreams/5a2f7900-febb-40c5-b4bc-498c8170da80/content.</w:t>
      </w:r>
    </w:p>
    <w:p w14:paraId="7B87877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w:t>
      </w:r>
      <w:r w:rsidRPr="001C7906">
        <w:rPr>
          <w:noProof/>
          <w:sz w:val="18"/>
        </w:rPr>
        <w:tab/>
        <w:t xml:space="preserve">Youlton, C.; Espejo, P.; Biggs, J.; Norambuena, M.; Cisternas, M.; Neaman, A.; Salgado, E. Quantification and Control of Runoff and Soil Erosion on Avocado Orchards on Ridges along Steep-Hillslopes. </w:t>
      </w:r>
      <w:r w:rsidRPr="001C7906">
        <w:rPr>
          <w:i/>
          <w:iCs/>
          <w:noProof/>
          <w:sz w:val="18"/>
        </w:rPr>
        <w:t>Cienc. e Investig. Agrar.</w:t>
      </w:r>
      <w:r w:rsidRPr="001C7906">
        <w:rPr>
          <w:noProof/>
          <w:sz w:val="18"/>
        </w:rPr>
        <w:t xml:space="preserve"> </w:t>
      </w:r>
      <w:r w:rsidRPr="001C7906">
        <w:rPr>
          <w:b/>
          <w:bCs/>
          <w:noProof/>
          <w:sz w:val="18"/>
        </w:rPr>
        <w:t>2010</w:t>
      </w:r>
      <w:r w:rsidRPr="001C7906">
        <w:rPr>
          <w:noProof/>
          <w:sz w:val="18"/>
        </w:rPr>
        <w:t xml:space="preserve">, </w:t>
      </w:r>
      <w:r w:rsidRPr="001C7906">
        <w:rPr>
          <w:i/>
          <w:iCs/>
          <w:noProof/>
          <w:sz w:val="18"/>
        </w:rPr>
        <w:t>37</w:t>
      </w:r>
      <w:r w:rsidRPr="001C7906">
        <w:rPr>
          <w:noProof/>
          <w:sz w:val="18"/>
        </w:rPr>
        <w:t xml:space="preserve"> (3), 113–123. https://doi.org/10.4067/s0718-16202010000300010.</w:t>
      </w:r>
    </w:p>
    <w:p w14:paraId="1965A74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w:t>
      </w:r>
      <w:r w:rsidRPr="001C7906">
        <w:rPr>
          <w:noProof/>
          <w:sz w:val="18"/>
        </w:rPr>
        <w:tab/>
        <w:t xml:space="preserve">Magrach, A.; Sanz, M. J. Environmental and Social Consequences of the Increase in the Demand for ‘Superfoods’ World-Wide. </w:t>
      </w:r>
      <w:r w:rsidRPr="001C7906">
        <w:rPr>
          <w:i/>
          <w:iCs/>
          <w:noProof/>
          <w:sz w:val="18"/>
        </w:rPr>
        <w:t>People Nat.</w:t>
      </w:r>
      <w:r w:rsidRPr="001C7906">
        <w:rPr>
          <w:noProof/>
          <w:sz w:val="18"/>
        </w:rPr>
        <w:t xml:space="preserve"> </w:t>
      </w:r>
      <w:r w:rsidRPr="001C7906">
        <w:rPr>
          <w:b/>
          <w:bCs/>
          <w:noProof/>
          <w:sz w:val="18"/>
        </w:rPr>
        <w:t>2020</w:t>
      </w:r>
      <w:r w:rsidRPr="001C7906">
        <w:rPr>
          <w:noProof/>
          <w:sz w:val="18"/>
        </w:rPr>
        <w:t xml:space="preserve">, </w:t>
      </w:r>
      <w:r w:rsidRPr="001C7906">
        <w:rPr>
          <w:i/>
          <w:iCs/>
          <w:noProof/>
          <w:sz w:val="18"/>
        </w:rPr>
        <w:t>2</w:t>
      </w:r>
      <w:r w:rsidRPr="001C7906">
        <w:rPr>
          <w:noProof/>
          <w:sz w:val="18"/>
        </w:rPr>
        <w:t xml:space="preserve"> (2), 267–278. https://doi.org/10.1002/pan3.10085.</w:t>
      </w:r>
    </w:p>
    <w:p w14:paraId="6BCFBCD6"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w:t>
      </w:r>
      <w:r w:rsidRPr="001C7906">
        <w:rPr>
          <w:noProof/>
          <w:sz w:val="18"/>
        </w:rPr>
        <w:tab/>
        <w:t xml:space="preserve">Berasaluce, M.; Díaz-Siefer, P.; Rodríguez-Díaz, P.; Mena-Carrasco, M.; Ibarra, J. T.; Celis-Diez, J. L.; Mondaca, P. Social-Environmental Conflicts in Chile: Is There Any Potential for an Ecological Constitution? </w:t>
      </w:r>
      <w:r w:rsidRPr="001C7906">
        <w:rPr>
          <w:i/>
          <w:iCs/>
          <w:noProof/>
          <w:sz w:val="18"/>
        </w:rPr>
        <w:t>Sustain.</w:t>
      </w:r>
      <w:r w:rsidRPr="001C7906">
        <w:rPr>
          <w:noProof/>
          <w:sz w:val="18"/>
        </w:rPr>
        <w:t xml:space="preserve"> </w:t>
      </w:r>
      <w:r w:rsidRPr="001C7906">
        <w:rPr>
          <w:b/>
          <w:bCs/>
          <w:noProof/>
          <w:sz w:val="18"/>
        </w:rPr>
        <w:t>2021</w:t>
      </w:r>
      <w:r w:rsidRPr="001C7906">
        <w:rPr>
          <w:noProof/>
          <w:sz w:val="18"/>
        </w:rPr>
        <w:t xml:space="preserve">, </w:t>
      </w:r>
      <w:r w:rsidRPr="001C7906">
        <w:rPr>
          <w:i/>
          <w:iCs/>
          <w:noProof/>
          <w:sz w:val="18"/>
        </w:rPr>
        <w:t>13</w:t>
      </w:r>
      <w:r w:rsidRPr="001C7906">
        <w:rPr>
          <w:noProof/>
          <w:sz w:val="18"/>
        </w:rPr>
        <w:t xml:space="preserve"> (22), 1–25. https://doi.org/10.3390/su132212701.</w:t>
      </w:r>
    </w:p>
    <w:p w14:paraId="1B8C60B8"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8.</w:t>
      </w:r>
      <w:r w:rsidRPr="001C7906">
        <w:rPr>
          <w:noProof/>
          <w:sz w:val="18"/>
        </w:rPr>
        <w:tab/>
        <w:t xml:space="preserve">Lavín, U.; Martinez-Harms, M. J.; Celis-Diez, J. L.; Francois, J. P.; Aguirre, Y.; Martínez-Harms, J. Modelling Pollination Maps in Agroecosystems of a Chilean Biodiversity Hotspot. </w:t>
      </w:r>
      <w:r w:rsidRPr="001C7906">
        <w:rPr>
          <w:i/>
          <w:iCs/>
          <w:noProof/>
          <w:sz w:val="18"/>
        </w:rPr>
        <w:t>Ecosyst. People</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20</w:t>
      </w:r>
      <w:r w:rsidRPr="001C7906">
        <w:rPr>
          <w:noProof/>
          <w:sz w:val="18"/>
        </w:rPr>
        <w:t xml:space="preserve"> (1). https://doi.org/10.1080/26395916.2024.2358471.</w:t>
      </w:r>
    </w:p>
    <w:p w14:paraId="736739C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9.</w:t>
      </w:r>
      <w:r w:rsidRPr="001C7906">
        <w:rPr>
          <w:noProof/>
          <w:sz w:val="18"/>
        </w:rPr>
        <w:tab/>
        <w:t xml:space="preserve">Latorre-Cárdenas, M. C.; González-Rodríguez, A.; Godínez-Gómez, O.; Arima, E. Y.; Young, K. R.; Denvir, A.; García-Oliva, F.; Ghilardi, A. Estimating Fragmentation and Connectivity Patterns of the Temperate Forest in an Avocado-Dominated Landscape to Propose Conservation Strategies. </w:t>
      </w:r>
      <w:r w:rsidRPr="001C7906">
        <w:rPr>
          <w:i/>
          <w:iCs/>
          <w:noProof/>
          <w:sz w:val="18"/>
        </w:rPr>
        <w:t>Land</w:t>
      </w:r>
      <w:r w:rsidRPr="001C7906">
        <w:rPr>
          <w:noProof/>
          <w:sz w:val="18"/>
        </w:rPr>
        <w:t xml:space="preserve"> </w:t>
      </w:r>
      <w:r w:rsidRPr="001C7906">
        <w:rPr>
          <w:b/>
          <w:bCs/>
          <w:noProof/>
          <w:sz w:val="18"/>
        </w:rPr>
        <w:t>2023</w:t>
      </w:r>
      <w:r w:rsidRPr="001C7906">
        <w:rPr>
          <w:noProof/>
          <w:sz w:val="18"/>
        </w:rPr>
        <w:t xml:space="preserve">, </w:t>
      </w:r>
      <w:r w:rsidRPr="001C7906">
        <w:rPr>
          <w:i/>
          <w:iCs/>
          <w:noProof/>
          <w:sz w:val="18"/>
        </w:rPr>
        <w:t>12</w:t>
      </w:r>
      <w:r w:rsidRPr="001C7906">
        <w:rPr>
          <w:noProof/>
          <w:sz w:val="18"/>
        </w:rPr>
        <w:t xml:space="preserve"> (3). https://doi.org/10.3390/land12030631.</w:t>
      </w:r>
    </w:p>
    <w:p w14:paraId="5A2147D6"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10.</w:t>
      </w:r>
      <w:r w:rsidRPr="001C7906">
        <w:rPr>
          <w:noProof/>
          <w:sz w:val="18"/>
        </w:rPr>
        <w:tab/>
        <w:t xml:space="preserve">Pérez-Solache, A.; Vaca-Sánchez, M. S.; Maldonado-López, Y.; De Faria, M. L.; Borges, M. A. Z.; Fagundes, M.; Oyama, K.; Méndez-Solórzano, M. I.; Aguilar-Peralta, J. S.; Hernández-Guzmán, R.; Cuevas-Reyes, P. Changes in Land Use of Temperate Forests Associated to Avocado Production in Mexico: Impacts on Soil Properties, Plant Traits and Insect-Plant Interactions. </w:t>
      </w:r>
      <w:r w:rsidRPr="001C7906">
        <w:rPr>
          <w:i/>
          <w:iCs/>
          <w:noProof/>
          <w:sz w:val="18"/>
        </w:rPr>
        <w:t>Agric. Syst.</w:t>
      </w:r>
      <w:r w:rsidRPr="001C7906">
        <w:rPr>
          <w:noProof/>
          <w:sz w:val="18"/>
        </w:rPr>
        <w:t xml:space="preserve"> </w:t>
      </w:r>
      <w:r w:rsidRPr="001C7906">
        <w:rPr>
          <w:b/>
          <w:bCs/>
          <w:noProof/>
          <w:sz w:val="18"/>
        </w:rPr>
        <w:t>2023</w:t>
      </w:r>
      <w:r w:rsidRPr="001C7906">
        <w:rPr>
          <w:noProof/>
          <w:sz w:val="18"/>
        </w:rPr>
        <w:t xml:space="preserve">, </w:t>
      </w:r>
      <w:r w:rsidRPr="001C7906">
        <w:rPr>
          <w:i/>
          <w:iCs/>
          <w:noProof/>
          <w:sz w:val="18"/>
        </w:rPr>
        <w:t>204</w:t>
      </w:r>
      <w:r w:rsidRPr="001C7906">
        <w:rPr>
          <w:noProof/>
          <w:sz w:val="18"/>
        </w:rPr>
        <w:t xml:space="preserve"> (November 2022). https://doi.org/10.1016/j.agsy.2022.103556.</w:t>
      </w:r>
    </w:p>
    <w:p w14:paraId="49CDB8FB" w14:textId="13BF6FDB"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11.</w:t>
      </w:r>
      <w:r w:rsidRPr="001C7906">
        <w:rPr>
          <w:noProof/>
          <w:sz w:val="18"/>
        </w:rPr>
        <w:tab/>
      </w:r>
      <w:r w:rsidR="00E509B6" w:rsidRPr="00E509B6">
        <w:rPr>
          <w:noProof/>
          <w:sz w:val="18"/>
        </w:rPr>
        <w:t xml:space="preserve">CAZALAC. </w:t>
      </w:r>
      <w:r w:rsidR="00E509B6" w:rsidRPr="00E509B6">
        <w:rPr>
          <w:noProof/>
          <w:sz w:val="18"/>
          <w:lang w:val="es-CL"/>
        </w:rPr>
        <w:t>Centro del Agua para Zonas Áridas y Semiáridas de América Latina y el Caribe</w:t>
      </w:r>
      <w:r w:rsidRPr="00E509B6">
        <w:rPr>
          <w:noProof/>
          <w:sz w:val="18"/>
          <w:lang w:val="es-CL"/>
        </w:rPr>
        <w:t xml:space="preserve">. </w:t>
      </w:r>
      <w:r w:rsidRPr="001C7906">
        <w:rPr>
          <w:i/>
          <w:iCs/>
          <w:noProof/>
          <w:sz w:val="18"/>
        </w:rPr>
        <w:t>Estado Del Arte Ambiental de Plantaciones de Persea Americana Mill En Chile</w:t>
      </w:r>
      <w:r w:rsidRPr="001C7906">
        <w:rPr>
          <w:noProof/>
          <w:sz w:val="18"/>
        </w:rPr>
        <w:t>; 2020. https://www.cazalac.org/wp-content/uploads/2023/06/Cazalac_Estudio_12-09.pdf.</w:t>
      </w:r>
    </w:p>
    <w:p w14:paraId="743E3FA9" w14:textId="7B4392C1"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12.</w:t>
      </w:r>
      <w:r w:rsidRPr="001C7906">
        <w:rPr>
          <w:noProof/>
          <w:sz w:val="18"/>
        </w:rPr>
        <w:tab/>
        <w:t xml:space="preserve">Redagrícola. </w:t>
      </w:r>
      <w:r w:rsidRPr="001C7906">
        <w:rPr>
          <w:i/>
          <w:iCs/>
          <w:noProof/>
          <w:sz w:val="18"/>
        </w:rPr>
        <w:t>Sustentabilidad del palto en Chile</w:t>
      </w:r>
      <w:r w:rsidRPr="001C7906">
        <w:rPr>
          <w:noProof/>
          <w:sz w:val="18"/>
        </w:rPr>
        <w:t>. https://redagricola.com/sustentabilidad-del-palto-en-chile/ (</w:t>
      </w:r>
      <w:r w:rsidR="00E509B6" w:rsidRPr="00E509B6">
        <w:rPr>
          <w:noProof/>
          <w:sz w:val="18"/>
        </w:rPr>
        <w:t>accessed on 04 January 2025</w:t>
      </w:r>
      <w:r w:rsidRPr="001C7906">
        <w:rPr>
          <w:noProof/>
          <w:sz w:val="18"/>
        </w:rPr>
        <w:t>).</w:t>
      </w:r>
    </w:p>
    <w:p w14:paraId="131D255E"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13.</w:t>
      </w:r>
      <w:r w:rsidRPr="001C7906">
        <w:rPr>
          <w:noProof/>
          <w:sz w:val="18"/>
        </w:rPr>
        <w:tab/>
        <w:t xml:space="preserve">Muhammad, R.; Zhang, W.; Abbas, Z.; Guo, F.; Gwiazdzinski, L. Spatiotemporal Change Analysis and Prediction of Future Land Use and Land Cover Changes Using QGIS MOLUSCE Plugin and Remote Sensing Big Data: A Case Study of Linyi, China. </w:t>
      </w:r>
      <w:r w:rsidRPr="001C7906">
        <w:rPr>
          <w:i/>
          <w:iCs/>
          <w:noProof/>
          <w:sz w:val="18"/>
        </w:rPr>
        <w:t>Land</w:t>
      </w:r>
      <w:r w:rsidRPr="001C7906">
        <w:rPr>
          <w:noProof/>
          <w:sz w:val="18"/>
        </w:rPr>
        <w:t xml:space="preserve"> </w:t>
      </w:r>
      <w:r w:rsidRPr="001C7906">
        <w:rPr>
          <w:b/>
          <w:bCs/>
          <w:noProof/>
          <w:sz w:val="18"/>
        </w:rPr>
        <w:t>2022</w:t>
      </w:r>
      <w:r w:rsidRPr="001C7906">
        <w:rPr>
          <w:noProof/>
          <w:sz w:val="18"/>
        </w:rPr>
        <w:t xml:space="preserve">, </w:t>
      </w:r>
      <w:r w:rsidRPr="001C7906">
        <w:rPr>
          <w:i/>
          <w:iCs/>
          <w:noProof/>
          <w:sz w:val="18"/>
        </w:rPr>
        <w:t>11</w:t>
      </w:r>
      <w:r w:rsidRPr="001C7906">
        <w:rPr>
          <w:noProof/>
          <w:sz w:val="18"/>
        </w:rPr>
        <w:t xml:space="preserve"> (3). https://doi.org/10.3390/land11030419.</w:t>
      </w:r>
    </w:p>
    <w:p w14:paraId="602F3B12"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14.</w:t>
      </w:r>
      <w:r w:rsidRPr="001C7906">
        <w:rPr>
          <w:noProof/>
          <w:sz w:val="18"/>
        </w:rPr>
        <w:tab/>
        <w:t xml:space="preserve">Feng, S.; Li, W.; Xu, J.; Liang, T.; Ma, X.; Wang, W.; Yu, H. Land Use/Land Cover Mapping Based on GEE for the Monitoring of Changes in Ecosystem Types in the Upper Yellow River Basin over the Tibetan Plateau. </w:t>
      </w:r>
      <w:r w:rsidRPr="001C7906">
        <w:rPr>
          <w:i/>
          <w:iCs/>
          <w:noProof/>
          <w:sz w:val="18"/>
        </w:rPr>
        <w:t>Remote Sens.</w:t>
      </w:r>
      <w:r w:rsidRPr="001C7906">
        <w:rPr>
          <w:noProof/>
          <w:sz w:val="18"/>
        </w:rPr>
        <w:t xml:space="preserve"> </w:t>
      </w:r>
      <w:r w:rsidRPr="001C7906">
        <w:rPr>
          <w:b/>
          <w:bCs/>
          <w:noProof/>
          <w:sz w:val="18"/>
        </w:rPr>
        <w:t>2022</w:t>
      </w:r>
      <w:r w:rsidRPr="001C7906">
        <w:rPr>
          <w:noProof/>
          <w:sz w:val="18"/>
        </w:rPr>
        <w:t xml:space="preserve">, </w:t>
      </w:r>
      <w:r w:rsidRPr="001C7906">
        <w:rPr>
          <w:i/>
          <w:iCs/>
          <w:noProof/>
          <w:sz w:val="18"/>
        </w:rPr>
        <w:t>14</w:t>
      </w:r>
      <w:r w:rsidRPr="001C7906">
        <w:rPr>
          <w:noProof/>
          <w:sz w:val="18"/>
        </w:rPr>
        <w:t xml:space="preserve"> (21), 1–25. https://doi.org/10.3390/rs14215361.</w:t>
      </w:r>
    </w:p>
    <w:p w14:paraId="0EFA1D06"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15.</w:t>
      </w:r>
      <w:r w:rsidRPr="001C7906">
        <w:rPr>
          <w:noProof/>
          <w:sz w:val="18"/>
        </w:rPr>
        <w:tab/>
        <w:t xml:space="preserve">Salazar, A. A.; Arellano, E. C.; Muñoz‐sáez, A.; Miranda, M. D.; da Silva, F. O.; Zielonka, N. B.; Crowther, L. P.; Silva‐ferreira, V.; Oliveira‐reboucas, P.; Dicks, L. V. Restoration and Conservation of Priority Areas of Caatinga’s Semi‐arid Forest Remnants Can Support Connectivity within an Agricultural Landscape. </w:t>
      </w:r>
      <w:r w:rsidRPr="001C7906">
        <w:rPr>
          <w:i/>
          <w:iCs/>
          <w:noProof/>
          <w:sz w:val="18"/>
        </w:rPr>
        <w:t>Land</w:t>
      </w:r>
      <w:r w:rsidRPr="001C7906">
        <w:rPr>
          <w:noProof/>
          <w:sz w:val="18"/>
        </w:rPr>
        <w:t xml:space="preserve"> </w:t>
      </w:r>
      <w:r w:rsidRPr="001C7906">
        <w:rPr>
          <w:b/>
          <w:bCs/>
          <w:noProof/>
          <w:sz w:val="18"/>
        </w:rPr>
        <w:t>2021</w:t>
      </w:r>
      <w:r w:rsidRPr="001C7906">
        <w:rPr>
          <w:noProof/>
          <w:sz w:val="18"/>
        </w:rPr>
        <w:t xml:space="preserve">, </w:t>
      </w:r>
      <w:r w:rsidRPr="001C7906">
        <w:rPr>
          <w:i/>
          <w:iCs/>
          <w:noProof/>
          <w:sz w:val="18"/>
        </w:rPr>
        <w:t>10</w:t>
      </w:r>
      <w:r w:rsidRPr="001C7906">
        <w:rPr>
          <w:noProof/>
          <w:sz w:val="18"/>
        </w:rPr>
        <w:t xml:space="preserve"> (6). https://doi.org/10.3390/land10060550.</w:t>
      </w:r>
    </w:p>
    <w:p w14:paraId="2C382FD8"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16.</w:t>
      </w:r>
      <w:r w:rsidRPr="001C7906">
        <w:rPr>
          <w:noProof/>
          <w:sz w:val="18"/>
        </w:rPr>
        <w:tab/>
        <w:t xml:space="preserve">Feizizadeh, B.; Omarzadeh, D.; Kazemi Garajeh, M.; Lakes, T.; Blaschke, T. Machine Learning Data-Driven Approaches for Land Use/Cover Mapping and Trend Analysis Using Google Earth Engine. </w:t>
      </w:r>
      <w:r w:rsidRPr="001C7906">
        <w:rPr>
          <w:i/>
          <w:iCs/>
          <w:noProof/>
          <w:sz w:val="18"/>
        </w:rPr>
        <w:t>J. Environ. Plan. Manag.</w:t>
      </w:r>
      <w:r w:rsidRPr="001C7906">
        <w:rPr>
          <w:noProof/>
          <w:sz w:val="18"/>
        </w:rPr>
        <w:t xml:space="preserve"> </w:t>
      </w:r>
      <w:r w:rsidRPr="001C7906">
        <w:rPr>
          <w:b/>
          <w:bCs/>
          <w:noProof/>
          <w:sz w:val="18"/>
        </w:rPr>
        <w:t>2023</w:t>
      </w:r>
      <w:r w:rsidRPr="001C7906">
        <w:rPr>
          <w:noProof/>
          <w:sz w:val="18"/>
        </w:rPr>
        <w:t xml:space="preserve">, </w:t>
      </w:r>
      <w:r w:rsidRPr="001C7906">
        <w:rPr>
          <w:i/>
          <w:iCs/>
          <w:noProof/>
          <w:sz w:val="18"/>
        </w:rPr>
        <w:t>66</w:t>
      </w:r>
      <w:r w:rsidRPr="001C7906">
        <w:rPr>
          <w:noProof/>
          <w:sz w:val="18"/>
        </w:rPr>
        <w:t xml:space="preserve"> (3), 665–697. https://doi.org/10.1080/09640568.2021.2001317.</w:t>
      </w:r>
    </w:p>
    <w:p w14:paraId="029041F2"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17.</w:t>
      </w:r>
      <w:r w:rsidRPr="001C7906">
        <w:rPr>
          <w:noProof/>
          <w:sz w:val="18"/>
        </w:rPr>
        <w:tab/>
        <w:t xml:space="preserve">Hussain, S.; Mubeen, M.; Nasim, W.; Mumtaz, F.; Abdo, H. G.; Mostafazadeh, R.; Fahad, S. Assessment of Future Prediction of Urban Growth and Climate Change in District Multan, Pakistan Using CA-Markov Method. </w:t>
      </w:r>
      <w:r w:rsidRPr="001C7906">
        <w:rPr>
          <w:i/>
          <w:iCs/>
          <w:noProof/>
          <w:sz w:val="18"/>
        </w:rPr>
        <w:t>Urban Clim.</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53</w:t>
      </w:r>
      <w:r w:rsidRPr="001C7906">
        <w:rPr>
          <w:noProof/>
          <w:sz w:val="18"/>
        </w:rPr>
        <w:t xml:space="preserve"> (August 2023), 101766. https://doi.org/10.1016/j.uclim.2023.101766.</w:t>
      </w:r>
    </w:p>
    <w:p w14:paraId="733E978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lastRenderedPageBreak/>
        <w:t>18.</w:t>
      </w:r>
      <w:r w:rsidRPr="001C7906">
        <w:rPr>
          <w:noProof/>
          <w:sz w:val="18"/>
        </w:rPr>
        <w:tab/>
        <w:t xml:space="preserve">Qacami, M.; Khattabi, A.; Lahssini, S.; Rifai, N.; Meliho, M. Land-Cover/Land-Use Change Dynamics Modeling Based on Land Change Modeler. </w:t>
      </w:r>
      <w:r w:rsidRPr="001C7906">
        <w:rPr>
          <w:i/>
          <w:iCs/>
          <w:noProof/>
          <w:sz w:val="18"/>
        </w:rPr>
        <w:t>Ann. Reg. Sci.</w:t>
      </w:r>
      <w:r w:rsidRPr="001C7906">
        <w:rPr>
          <w:noProof/>
          <w:sz w:val="18"/>
        </w:rPr>
        <w:t xml:space="preserve"> </w:t>
      </w:r>
      <w:r w:rsidRPr="001C7906">
        <w:rPr>
          <w:b/>
          <w:bCs/>
          <w:noProof/>
          <w:sz w:val="18"/>
        </w:rPr>
        <w:t>2023</w:t>
      </w:r>
      <w:r w:rsidRPr="001C7906">
        <w:rPr>
          <w:noProof/>
          <w:sz w:val="18"/>
        </w:rPr>
        <w:t xml:space="preserve">, </w:t>
      </w:r>
      <w:r w:rsidRPr="001C7906">
        <w:rPr>
          <w:i/>
          <w:iCs/>
          <w:noProof/>
          <w:sz w:val="18"/>
        </w:rPr>
        <w:t>70</w:t>
      </w:r>
      <w:r w:rsidRPr="001C7906">
        <w:rPr>
          <w:noProof/>
          <w:sz w:val="18"/>
        </w:rPr>
        <w:t xml:space="preserve"> (1), 237–258. https://doi.org/10.1007/s00168-022-01169-z.</w:t>
      </w:r>
    </w:p>
    <w:p w14:paraId="43484C92"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19.</w:t>
      </w:r>
      <w:r w:rsidRPr="001C7906">
        <w:rPr>
          <w:noProof/>
          <w:sz w:val="18"/>
        </w:rPr>
        <w:tab/>
        <w:t xml:space="preserve">Inglada, J.; Vincent, A.; Arias, M.; Tardy, B.; Morin, D.; Rodes, I. Operational High Resolution Land Cover Map Production at the Country Scale Using Satellite Image Time Series. </w:t>
      </w:r>
      <w:r w:rsidRPr="001C7906">
        <w:rPr>
          <w:i/>
          <w:iCs/>
          <w:noProof/>
          <w:sz w:val="18"/>
        </w:rPr>
        <w:t>Remote Sens.</w:t>
      </w:r>
      <w:r w:rsidRPr="001C7906">
        <w:rPr>
          <w:noProof/>
          <w:sz w:val="18"/>
        </w:rPr>
        <w:t xml:space="preserve"> </w:t>
      </w:r>
      <w:r w:rsidRPr="001C7906">
        <w:rPr>
          <w:b/>
          <w:bCs/>
          <w:noProof/>
          <w:sz w:val="18"/>
        </w:rPr>
        <w:t>2017</w:t>
      </w:r>
      <w:r w:rsidRPr="001C7906">
        <w:rPr>
          <w:noProof/>
          <w:sz w:val="18"/>
        </w:rPr>
        <w:t xml:space="preserve">, </w:t>
      </w:r>
      <w:r w:rsidRPr="001C7906">
        <w:rPr>
          <w:i/>
          <w:iCs/>
          <w:noProof/>
          <w:sz w:val="18"/>
        </w:rPr>
        <w:t>9</w:t>
      </w:r>
      <w:r w:rsidRPr="001C7906">
        <w:rPr>
          <w:noProof/>
          <w:sz w:val="18"/>
        </w:rPr>
        <w:t xml:space="preserve"> (1), 95. https://doi.org/10.3390/rs9010095.</w:t>
      </w:r>
    </w:p>
    <w:p w14:paraId="47AE59E0"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20.</w:t>
      </w:r>
      <w:r w:rsidRPr="001C7906">
        <w:rPr>
          <w:noProof/>
          <w:sz w:val="18"/>
        </w:rPr>
        <w:tab/>
        <w:t xml:space="preserve">Kadri, N.; Jebari, S.; Augusseau, X.; Mahdhi, N.; Lestrelin, G.; Berndtsson, R. Analysis of Four Decades of Land Use and Land Cover Change in Semiarid Tunisia Using Google Earth Engine. </w:t>
      </w:r>
      <w:r w:rsidRPr="001C7906">
        <w:rPr>
          <w:i/>
          <w:iCs/>
          <w:noProof/>
          <w:sz w:val="18"/>
        </w:rPr>
        <w:t>Remote Sens.</w:t>
      </w:r>
      <w:r w:rsidRPr="001C7906">
        <w:rPr>
          <w:noProof/>
          <w:sz w:val="18"/>
        </w:rPr>
        <w:t xml:space="preserve"> </w:t>
      </w:r>
      <w:r w:rsidRPr="001C7906">
        <w:rPr>
          <w:b/>
          <w:bCs/>
          <w:noProof/>
          <w:sz w:val="18"/>
        </w:rPr>
        <w:t>2023</w:t>
      </w:r>
      <w:r w:rsidRPr="001C7906">
        <w:rPr>
          <w:noProof/>
          <w:sz w:val="18"/>
        </w:rPr>
        <w:t xml:space="preserve">, </w:t>
      </w:r>
      <w:r w:rsidRPr="001C7906">
        <w:rPr>
          <w:i/>
          <w:iCs/>
          <w:noProof/>
          <w:sz w:val="18"/>
        </w:rPr>
        <w:t>15</w:t>
      </w:r>
      <w:r w:rsidRPr="001C7906">
        <w:rPr>
          <w:noProof/>
          <w:sz w:val="18"/>
        </w:rPr>
        <w:t xml:space="preserve"> (13). https://doi.org/10.3390/rs15133257.</w:t>
      </w:r>
    </w:p>
    <w:p w14:paraId="06BAC23E"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21.</w:t>
      </w:r>
      <w:r w:rsidRPr="001C7906">
        <w:rPr>
          <w:noProof/>
          <w:sz w:val="18"/>
        </w:rPr>
        <w:tab/>
        <w:t xml:space="preserve">Lasaponara, R.; Abate, N.; Fattore, C.; Aromando, A.; Cardettini, G.; Di Fonzo, M. On the Use of Sentinel-2 NDVI Time Series and Google Earth Engine to Detect Land-Use/Land-Cover Changes in Fire-Affected Areas. </w:t>
      </w:r>
      <w:r w:rsidRPr="001C7906">
        <w:rPr>
          <w:i/>
          <w:iCs/>
          <w:noProof/>
          <w:sz w:val="18"/>
        </w:rPr>
        <w:t>Remote Sens.</w:t>
      </w:r>
      <w:r w:rsidRPr="001C7906">
        <w:rPr>
          <w:noProof/>
          <w:sz w:val="18"/>
        </w:rPr>
        <w:t xml:space="preserve"> </w:t>
      </w:r>
      <w:r w:rsidRPr="001C7906">
        <w:rPr>
          <w:b/>
          <w:bCs/>
          <w:noProof/>
          <w:sz w:val="18"/>
        </w:rPr>
        <w:t>2022</w:t>
      </w:r>
      <w:r w:rsidRPr="001C7906">
        <w:rPr>
          <w:noProof/>
          <w:sz w:val="18"/>
        </w:rPr>
        <w:t xml:space="preserve">, </w:t>
      </w:r>
      <w:r w:rsidRPr="001C7906">
        <w:rPr>
          <w:i/>
          <w:iCs/>
          <w:noProof/>
          <w:sz w:val="18"/>
        </w:rPr>
        <w:t>14</w:t>
      </w:r>
      <w:r w:rsidRPr="001C7906">
        <w:rPr>
          <w:noProof/>
          <w:sz w:val="18"/>
        </w:rPr>
        <w:t xml:space="preserve"> (19). https://doi.org/10.3390/rs14194723.</w:t>
      </w:r>
    </w:p>
    <w:p w14:paraId="45BA6C2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22.</w:t>
      </w:r>
      <w:r w:rsidRPr="001C7906">
        <w:rPr>
          <w:noProof/>
          <w:sz w:val="18"/>
        </w:rPr>
        <w:tab/>
        <w:t xml:space="preserve">Gorelick, N.; Hancher, M.; Dixon, M.; Ilyushchenko, S.; Thau, D.; Moore, R. Google Earth Engine: Planetary-Scale Geospatial Analysis for Everyone. </w:t>
      </w:r>
      <w:r w:rsidRPr="001C7906">
        <w:rPr>
          <w:i/>
          <w:iCs/>
          <w:noProof/>
          <w:sz w:val="18"/>
        </w:rPr>
        <w:t>Remote Sens. Environ.</w:t>
      </w:r>
      <w:r w:rsidRPr="001C7906">
        <w:rPr>
          <w:noProof/>
          <w:sz w:val="18"/>
        </w:rPr>
        <w:t xml:space="preserve"> </w:t>
      </w:r>
      <w:r w:rsidRPr="001C7906">
        <w:rPr>
          <w:b/>
          <w:bCs/>
          <w:noProof/>
          <w:sz w:val="18"/>
        </w:rPr>
        <w:t>2017</w:t>
      </w:r>
      <w:r w:rsidRPr="001C7906">
        <w:rPr>
          <w:noProof/>
          <w:sz w:val="18"/>
        </w:rPr>
        <w:t xml:space="preserve">, </w:t>
      </w:r>
      <w:r w:rsidRPr="001C7906">
        <w:rPr>
          <w:i/>
          <w:iCs/>
          <w:noProof/>
          <w:sz w:val="18"/>
        </w:rPr>
        <w:t>202</w:t>
      </w:r>
      <w:r w:rsidRPr="001C7906">
        <w:rPr>
          <w:noProof/>
          <w:sz w:val="18"/>
        </w:rPr>
        <w:t>, 18–27. https://doi.org/10.1016/j.rse.2017.06.031.</w:t>
      </w:r>
    </w:p>
    <w:p w14:paraId="1BD43E1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23.</w:t>
      </w:r>
      <w:r w:rsidRPr="001C7906">
        <w:rPr>
          <w:noProof/>
          <w:sz w:val="18"/>
        </w:rPr>
        <w:tab/>
        <w:t xml:space="preserve">Duran-Llacer, I.; Munizaga, J.; Arumí, J. L.; Ruybal, C.; Aguayo, M.; Sáez-Carrillo, K.; Arriagada, L.; Rojas, O. Lessons to Be Learned: Groundwater Depletion in Chile’s Ligua and Petorca Watersheds through an Interdisciplinary Approach. </w:t>
      </w:r>
      <w:r w:rsidRPr="001C7906">
        <w:rPr>
          <w:i/>
          <w:iCs/>
          <w:noProof/>
          <w:sz w:val="18"/>
        </w:rPr>
        <w:t>Water (Switzerland)</w:t>
      </w:r>
      <w:r w:rsidRPr="001C7906">
        <w:rPr>
          <w:noProof/>
          <w:sz w:val="18"/>
        </w:rPr>
        <w:t xml:space="preserve"> </w:t>
      </w:r>
      <w:r w:rsidRPr="001C7906">
        <w:rPr>
          <w:b/>
          <w:bCs/>
          <w:noProof/>
          <w:sz w:val="18"/>
        </w:rPr>
        <w:t>2020</w:t>
      </w:r>
      <w:r w:rsidRPr="001C7906">
        <w:rPr>
          <w:noProof/>
          <w:sz w:val="18"/>
        </w:rPr>
        <w:t xml:space="preserve">, </w:t>
      </w:r>
      <w:r w:rsidRPr="001C7906">
        <w:rPr>
          <w:i/>
          <w:iCs/>
          <w:noProof/>
          <w:sz w:val="18"/>
        </w:rPr>
        <w:t>12</w:t>
      </w:r>
      <w:r w:rsidRPr="001C7906">
        <w:rPr>
          <w:noProof/>
          <w:sz w:val="18"/>
        </w:rPr>
        <w:t xml:space="preserve"> (9). https://doi.org/10.3390/w12092446.</w:t>
      </w:r>
    </w:p>
    <w:p w14:paraId="385F6A26"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24.</w:t>
      </w:r>
      <w:r w:rsidRPr="001C7906">
        <w:rPr>
          <w:noProof/>
          <w:sz w:val="18"/>
        </w:rPr>
        <w:tab/>
        <w:t xml:space="preserve">del Pozo, A.; Catenacci-Aguilera, G.; Acosta-Gallo, B. Consequences of Land Use Changes on Native Forest and Agricultural Areas in Central-Southern Chile during the Last Fifty Years. </w:t>
      </w:r>
      <w:r w:rsidRPr="001C7906">
        <w:rPr>
          <w:i/>
          <w:iCs/>
          <w:noProof/>
          <w:sz w:val="18"/>
        </w:rPr>
        <w:t>Land</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13</w:t>
      </w:r>
      <w:r w:rsidRPr="001C7906">
        <w:rPr>
          <w:noProof/>
          <w:sz w:val="18"/>
        </w:rPr>
        <w:t xml:space="preserve"> (5). https://doi.org/10.3390/land13050610.</w:t>
      </w:r>
    </w:p>
    <w:p w14:paraId="3F781390" w14:textId="5F06F39E"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25.</w:t>
      </w:r>
      <w:r w:rsidRPr="001C7906">
        <w:rPr>
          <w:noProof/>
          <w:sz w:val="18"/>
        </w:rPr>
        <w:tab/>
        <w:t xml:space="preserve">Martin-Gallego, P.; Marston, C. G.; Altamirano, A.; Pauchard, A.; Aplin, P. Mapping Alien and Native Forest Dynamics in Chile Using Earth Observation Time Series Analysis. </w:t>
      </w:r>
      <w:r w:rsidRPr="001C7906">
        <w:rPr>
          <w:i/>
          <w:iCs/>
          <w:noProof/>
          <w:sz w:val="18"/>
        </w:rPr>
        <w:t>For. Ecol. Manage.</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560</w:t>
      </w:r>
      <w:r w:rsidRPr="001C7906">
        <w:rPr>
          <w:noProof/>
          <w:sz w:val="18"/>
        </w:rPr>
        <w:t>, 121847. https://doi.org/10.1016/j.foreco.2024.121847.</w:t>
      </w:r>
    </w:p>
    <w:p w14:paraId="7C935A65"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26.</w:t>
      </w:r>
      <w:r w:rsidRPr="001C7906">
        <w:rPr>
          <w:noProof/>
          <w:sz w:val="18"/>
        </w:rPr>
        <w:tab/>
        <w:t xml:space="preserve">Miranda, A.; Altamirano, A.; Cayuela, L.; Lara, A.; González, M. Native Forest Loss in the Chilean Biodiversity Hotspot: Revealing the Evidence. </w:t>
      </w:r>
      <w:r w:rsidRPr="001C7906">
        <w:rPr>
          <w:i/>
          <w:iCs/>
          <w:noProof/>
          <w:sz w:val="18"/>
        </w:rPr>
        <w:t>Reg. Environ. Chang.</w:t>
      </w:r>
      <w:r w:rsidRPr="001C7906">
        <w:rPr>
          <w:noProof/>
          <w:sz w:val="18"/>
        </w:rPr>
        <w:t xml:space="preserve"> </w:t>
      </w:r>
      <w:r w:rsidRPr="001C7906">
        <w:rPr>
          <w:b/>
          <w:bCs/>
          <w:noProof/>
          <w:sz w:val="18"/>
        </w:rPr>
        <w:t>2017</w:t>
      </w:r>
      <w:r w:rsidRPr="001C7906">
        <w:rPr>
          <w:noProof/>
          <w:sz w:val="18"/>
        </w:rPr>
        <w:t xml:space="preserve">, </w:t>
      </w:r>
      <w:r w:rsidRPr="001C7906">
        <w:rPr>
          <w:i/>
          <w:iCs/>
          <w:noProof/>
          <w:sz w:val="18"/>
        </w:rPr>
        <w:t>17</w:t>
      </w:r>
      <w:r w:rsidRPr="001C7906">
        <w:rPr>
          <w:noProof/>
          <w:sz w:val="18"/>
        </w:rPr>
        <w:t xml:space="preserve"> (1), 285–297. https://doi.org/10.1007/s10113-016-1010-7.</w:t>
      </w:r>
    </w:p>
    <w:p w14:paraId="3BFFC1CA"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27.</w:t>
      </w:r>
      <w:r w:rsidRPr="001C7906">
        <w:rPr>
          <w:noProof/>
          <w:sz w:val="18"/>
        </w:rPr>
        <w:tab/>
        <w:t xml:space="preserve">Martínez-Retureta, R.; Aguayo, M.; Abreu, N. J.; Urrutia, R.; Echeverría, C.; Lagos, O.; Rodríguez-López, L.; Duran-Llacer, I.; Barra, R. O. Influence of Climate and Land Cover/Use Change on Water Balance: An Approach to Individual and Combined Effects. </w:t>
      </w:r>
      <w:r w:rsidRPr="001C7906">
        <w:rPr>
          <w:i/>
          <w:iCs/>
          <w:noProof/>
          <w:sz w:val="18"/>
        </w:rPr>
        <w:t>Water (Switzerland)</w:t>
      </w:r>
      <w:r w:rsidRPr="001C7906">
        <w:rPr>
          <w:noProof/>
          <w:sz w:val="18"/>
        </w:rPr>
        <w:t xml:space="preserve"> </w:t>
      </w:r>
      <w:r w:rsidRPr="001C7906">
        <w:rPr>
          <w:b/>
          <w:bCs/>
          <w:noProof/>
          <w:sz w:val="18"/>
        </w:rPr>
        <w:t>2022</w:t>
      </w:r>
      <w:r w:rsidRPr="001C7906">
        <w:rPr>
          <w:noProof/>
          <w:sz w:val="18"/>
        </w:rPr>
        <w:t xml:space="preserve">, </w:t>
      </w:r>
      <w:r w:rsidRPr="001C7906">
        <w:rPr>
          <w:i/>
          <w:iCs/>
          <w:noProof/>
          <w:sz w:val="18"/>
        </w:rPr>
        <w:t>14</w:t>
      </w:r>
      <w:r w:rsidRPr="001C7906">
        <w:rPr>
          <w:noProof/>
          <w:sz w:val="18"/>
        </w:rPr>
        <w:t xml:space="preserve"> (15). https://doi.org/10.3390/w14152304.</w:t>
      </w:r>
    </w:p>
    <w:p w14:paraId="5DBA27D7"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28.</w:t>
      </w:r>
      <w:r w:rsidRPr="001C7906">
        <w:rPr>
          <w:noProof/>
          <w:sz w:val="18"/>
        </w:rPr>
        <w:tab/>
        <w:t xml:space="preserve">Martínez-Retureta, R.; Aguayo, M.; Abreu, N. J.; Stehr, A.; Duran-Llacer, I.; Rodríguez-López, L.; Sauvage, S.; Sánchez-Pérez, J. M. Estimation of the Climate Change Impact on the Hydrological Balance in Basins of South-Central Chile. </w:t>
      </w:r>
      <w:r w:rsidRPr="001C7906">
        <w:rPr>
          <w:i/>
          <w:iCs/>
          <w:noProof/>
          <w:sz w:val="18"/>
        </w:rPr>
        <w:t>Water (Switzerland)</w:t>
      </w:r>
      <w:r w:rsidRPr="001C7906">
        <w:rPr>
          <w:noProof/>
          <w:sz w:val="18"/>
        </w:rPr>
        <w:t xml:space="preserve"> </w:t>
      </w:r>
      <w:r w:rsidRPr="001C7906">
        <w:rPr>
          <w:b/>
          <w:bCs/>
          <w:noProof/>
          <w:sz w:val="18"/>
        </w:rPr>
        <w:t>2021</w:t>
      </w:r>
      <w:r w:rsidRPr="001C7906">
        <w:rPr>
          <w:noProof/>
          <w:sz w:val="18"/>
        </w:rPr>
        <w:t xml:space="preserve">, </w:t>
      </w:r>
      <w:r w:rsidRPr="001C7906">
        <w:rPr>
          <w:i/>
          <w:iCs/>
          <w:noProof/>
          <w:sz w:val="18"/>
        </w:rPr>
        <w:t>13</w:t>
      </w:r>
      <w:r w:rsidRPr="001C7906">
        <w:rPr>
          <w:noProof/>
          <w:sz w:val="18"/>
        </w:rPr>
        <w:t xml:space="preserve"> (6). https://doi.org/10.3390/w13060794.</w:t>
      </w:r>
    </w:p>
    <w:p w14:paraId="49974B8E"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29.</w:t>
      </w:r>
      <w:r w:rsidRPr="001C7906">
        <w:rPr>
          <w:noProof/>
          <w:sz w:val="18"/>
        </w:rPr>
        <w:tab/>
        <w:t xml:space="preserve">Bellisario, A.; Janke, J. Assessing the Impacts of a Multi-Year Drought on Water Resources and Agriculture in the Aconcagua River Basin of Chile. </w:t>
      </w:r>
      <w:r w:rsidRPr="001C7906">
        <w:rPr>
          <w:i/>
          <w:iCs/>
          <w:noProof/>
          <w:sz w:val="18"/>
        </w:rPr>
        <w:t>Investig. Geográficas una mirada desde el Sur</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67</w:t>
      </w:r>
      <w:r w:rsidRPr="001C7906">
        <w:rPr>
          <w:noProof/>
          <w:sz w:val="18"/>
        </w:rPr>
        <w:t>, 72–94. https://doi.org/10.5354/0719-5370.2024.75159.</w:t>
      </w:r>
    </w:p>
    <w:p w14:paraId="4C3A685E"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30.</w:t>
      </w:r>
      <w:r w:rsidRPr="001C7906">
        <w:rPr>
          <w:noProof/>
          <w:sz w:val="18"/>
        </w:rPr>
        <w:tab/>
        <w:t xml:space="preserve">Panez-Pinto, A.; Mansilla-Quiñones, P.; Moreira-Muñoz, A. Agua, Tierra y Fractura Sociometabólica Del Agronegocio. </w:t>
      </w:r>
      <w:r w:rsidRPr="001C7906">
        <w:rPr>
          <w:i/>
          <w:iCs/>
          <w:noProof/>
          <w:sz w:val="18"/>
        </w:rPr>
        <w:t>Bitacora</w:t>
      </w:r>
      <w:r w:rsidRPr="001C7906">
        <w:rPr>
          <w:noProof/>
          <w:sz w:val="18"/>
        </w:rPr>
        <w:t xml:space="preserve"> </w:t>
      </w:r>
      <w:r w:rsidRPr="001C7906">
        <w:rPr>
          <w:b/>
          <w:bCs/>
          <w:noProof/>
          <w:sz w:val="18"/>
        </w:rPr>
        <w:t>2018</w:t>
      </w:r>
      <w:r w:rsidRPr="001C7906">
        <w:rPr>
          <w:noProof/>
          <w:sz w:val="18"/>
        </w:rPr>
        <w:t xml:space="preserve">, </w:t>
      </w:r>
      <w:r w:rsidRPr="001C7906">
        <w:rPr>
          <w:i/>
          <w:iCs/>
          <w:noProof/>
          <w:sz w:val="18"/>
        </w:rPr>
        <w:t>28</w:t>
      </w:r>
      <w:r w:rsidRPr="001C7906">
        <w:rPr>
          <w:noProof/>
          <w:sz w:val="18"/>
        </w:rPr>
        <w:t xml:space="preserve"> (3), 153–160.</w:t>
      </w:r>
    </w:p>
    <w:p w14:paraId="77C2B98F"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31.</w:t>
      </w:r>
      <w:r w:rsidRPr="001C7906">
        <w:rPr>
          <w:noProof/>
          <w:sz w:val="18"/>
        </w:rPr>
        <w:tab/>
        <w:t xml:space="preserve">Roose, I.; Panez, A. Social Innovations as A Response to Dispossession: Community Water Management in View of Socio-Metabolic Rift in Chile. </w:t>
      </w:r>
      <w:r w:rsidRPr="001C7906">
        <w:rPr>
          <w:i/>
          <w:iCs/>
          <w:noProof/>
          <w:sz w:val="18"/>
        </w:rPr>
        <w:t>Water (Switzerland)</w:t>
      </w:r>
      <w:r w:rsidRPr="001C7906">
        <w:rPr>
          <w:noProof/>
          <w:sz w:val="18"/>
        </w:rPr>
        <w:t xml:space="preserve"> </w:t>
      </w:r>
      <w:r w:rsidRPr="001C7906">
        <w:rPr>
          <w:b/>
          <w:bCs/>
          <w:noProof/>
          <w:sz w:val="18"/>
        </w:rPr>
        <w:t>2020</w:t>
      </w:r>
      <w:r w:rsidRPr="001C7906">
        <w:rPr>
          <w:noProof/>
          <w:sz w:val="18"/>
        </w:rPr>
        <w:t xml:space="preserve">, </w:t>
      </w:r>
      <w:r w:rsidRPr="001C7906">
        <w:rPr>
          <w:i/>
          <w:iCs/>
          <w:noProof/>
          <w:sz w:val="18"/>
        </w:rPr>
        <w:t>12</w:t>
      </w:r>
      <w:r w:rsidRPr="001C7906">
        <w:rPr>
          <w:noProof/>
          <w:sz w:val="18"/>
        </w:rPr>
        <w:t xml:space="preserve"> (2). https://doi.org/10.3390/w12020566.</w:t>
      </w:r>
    </w:p>
    <w:p w14:paraId="045593DF"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32.</w:t>
      </w:r>
      <w:r w:rsidRPr="001C7906">
        <w:rPr>
          <w:noProof/>
          <w:sz w:val="18"/>
        </w:rPr>
        <w:tab/>
        <w:t xml:space="preserve">Benavidez-Silva, C.; Jensen, M.; Pliscoff, P. Future Scenarios for Land Use in Chile: Identifying Drivers of Change and Impacts over Protected Area System. </w:t>
      </w:r>
      <w:r w:rsidRPr="001C7906">
        <w:rPr>
          <w:i/>
          <w:iCs/>
          <w:noProof/>
          <w:sz w:val="18"/>
        </w:rPr>
        <w:t>Land</w:t>
      </w:r>
      <w:r w:rsidRPr="001C7906">
        <w:rPr>
          <w:noProof/>
          <w:sz w:val="18"/>
        </w:rPr>
        <w:t xml:space="preserve"> </w:t>
      </w:r>
      <w:r w:rsidRPr="001C7906">
        <w:rPr>
          <w:b/>
          <w:bCs/>
          <w:noProof/>
          <w:sz w:val="18"/>
        </w:rPr>
        <w:t>2021</w:t>
      </w:r>
      <w:r w:rsidRPr="001C7906">
        <w:rPr>
          <w:noProof/>
          <w:sz w:val="18"/>
        </w:rPr>
        <w:t xml:space="preserve">, </w:t>
      </w:r>
      <w:r w:rsidRPr="001C7906">
        <w:rPr>
          <w:i/>
          <w:iCs/>
          <w:noProof/>
          <w:sz w:val="18"/>
        </w:rPr>
        <w:t>10</w:t>
      </w:r>
      <w:r w:rsidRPr="001C7906">
        <w:rPr>
          <w:noProof/>
          <w:sz w:val="18"/>
        </w:rPr>
        <w:t xml:space="preserve"> (4). https://doi.org/10.3390/land10040408.</w:t>
      </w:r>
    </w:p>
    <w:p w14:paraId="62167B4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33.</w:t>
      </w:r>
      <w:r w:rsidRPr="001C7906">
        <w:rPr>
          <w:noProof/>
          <w:sz w:val="18"/>
        </w:rPr>
        <w:tab/>
        <w:t xml:space="preserve">Jiang, C.; Du, X.; Cai, J.; Li, H.; Chen, Q. Study on the Evolution and Prediction of Land Use and Landscape Patterns in the Jianmen Shu Road Heritage Area. </w:t>
      </w:r>
      <w:r w:rsidRPr="001C7906">
        <w:rPr>
          <w:i/>
          <w:iCs/>
          <w:noProof/>
          <w:sz w:val="18"/>
        </w:rPr>
        <w:t>Land</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13</w:t>
      </w:r>
      <w:r w:rsidRPr="001C7906">
        <w:rPr>
          <w:noProof/>
          <w:sz w:val="18"/>
        </w:rPr>
        <w:t xml:space="preserve"> (12). https://doi.org/10.3390/land13122165.</w:t>
      </w:r>
    </w:p>
    <w:p w14:paraId="1384EFA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34.</w:t>
      </w:r>
      <w:r w:rsidRPr="001C7906">
        <w:rPr>
          <w:noProof/>
          <w:sz w:val="18"/>
        </w:rPr>
        <w:tab/>
        <w:t xml:space="preserve">Hernández, A.; Miranda, M.; Arellano, E. C.; Saura, S.; Ovalle, C. Landscape Dynamics and Their Effect on the Functional Connectivityof a Mediterranean Landscape in Chile. </w:t>
      </w:r>
      <w:r w:rsidRPr="001C7906">
        <w:rPr>
          <w:i/>
          <w:iCs/>
          <w:noProof/>
          <w:sz w:val="18"/>
        </w:rPr>
        <w:t>Ecol. Indic.</w:t>
      </w:r>
      <w:r w:rsidRPr="001C7906">
        <w:rPr>
          <w:noProof/>
          <w:sz w:val="18"/>
        </w:rPr>
        <w:t xml:space="preserve"> </w:t>
      </w:r>
      <w:r w:rsidRPr="001C7906">
        <w:rPr>
          <w:b/>
          <w:bCs/>
          <w:noProof/>
          <w:sz w:val="18"/>
        </w:rPr>
        <w:t>2015</w:t>
      </w:r>
      <w:r w:rsidRPr="001C7906">
        <w:rPr>
          <w:noProof/>
          <w:sz w:val="18"/>
        </w:rPr>
        <w:t xml:space="preserve">, </w:t>
      </w:r>
      <w:r w:rsidRPr="001C7906">
        <w:rPr>
          <w:i/>
          <w:iCs/>
          <w:noProof/>
          <w:sz w:val="18"/>
        </w:rPr>
        <w:t>48</w:t>
      </w:r>
      <w:r w:rsidRPr="001C7906">
        <w:rPr>
          <w:noProof/>
          <w:sz w:val="18"/>
        </w:rPr>
        <w:t xml:space="preserve"> (1), 198–206. https://doi.org/10.1016/j.ecolind.2014.08.010.</w:t>
      </w:r>
    </w:p>
    <w:p w14:paraId="6DEB63E3" w14:textId="5668B6D6"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35.</w:t>
      </w:r>
      <w:r w:rsidRPr="001C7906">
        <w:rPr>
          <w:noProof/>
          <w:sz w:val="18"/>
        </w:rPr>
        <w:tab/>
      </w:r>
      <w:r w:rsidR="002E3D6C" w:rsidRPr="002E3D6C">
        <w:rPr>
          <w:noProof/>
          <w:sz w:val="18"/>
        </w:rPr>
        <w:t>CONAF. Corporación Forestal Nacional</w:t>
      </w:r>
      <w:r w:rsidRPr="001C7906">
        <w:rPr>
          <w:noProof/>
          <w:sz w:val="18"/>
        </w:rPr>
        <w:t xml:space="preserve">. </w:t>
      </w:r>
      <w:r w:rsidRPr="001C7906">
        <w:rPr>
          <w:i/>
          <w:iCs/>
          <w:noProof/>
          <w:sz w:val="18"/>
        </w:rPr>
        <w:t>ACTUALIZACIÓN DEL CATASTRO DE LOS RECURSOS VEGETACIONALES DE LA REGIÓN DE VALPARAÍSO AÑO 2019</w:t>
      </w:r>
      <w:r w:rsidRPr="001C7906">
        <w:rPr>
          <w:noProof/>
          <w:sz w:val="18"/>
        </w:rPr>
        <w:t>; 2019.</w:t>
      </w:r>
    </w:p>
    <w:p w14:paraId="7A63E376" w14:textId="70F7A975"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36.</w:t>
      </w:r>
      <w:r w:rsidRPr="001C7906">
        <w:rPr>
          <w:noProof/>
          <w:sz w:val="18"/>
        </w:rPr>
        <w:tab/>
        <w:t xml:space="preserve">MapBiomas. </w:t>
      </w:r>
      <w:r w:rsidRPr="001C7906">
        <w:rPr>
          <w:i/>
          <w:iCs/>
          <w:noProof/>
          <w:sz w:val="18"/>
        </w:rPr>
        <w:t>Colección 1 [2024] de la Serie Anual de Mapas de Cobertura y Uso del Suelo de Chile</w:t>
      </w:r>
      <w:r w:rsidRPr="001C7906">
        <w:rPr>
          <w:noProof/>
          <w:sz w:val="18"/>
        </w:rPr>
        <w:t>. https://chile.mapbiomas.org/ (</w:t>
      </w:r>
      <w:r w:rsidR="00276584" w:rsidRPr="00276584">
        <w:rPr>
          <w:noProof/>
          <w:sz w:val="18"/>
        </w:rPr>
        <w:t>accessed on 12 August 2024</w:t>
      </w:r>
      <w:r w:rsidRPr="001C7906">
        <w:rPr>
          <w:noProof/>
          <w:sz w:val="18"/>
        </w:rPr>
        <w:t>).</w:t>
      </w:r>
    </w:p>
    <w:p w14:paraId="651A2A90"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lastRenderedPageBreak/>
        <w:t>37.</w:t>
      </w:r>
      <w:r w:rsidRPr="001C7906">
        <w:rPr>
          <w:noProof/>
          <w:sz w:val="18"/>
        </w:rPr>
        <w:tab/>
        <w:t xml:space="preserve">Galleguillos, M.; Ceballos-Comisso, A.; Gimeno, F.; Zambrano-Bigiarini, M. </w:t>
      </w:r>
      <w:r w:rsidRPr="001C7906">
        <w:rPr>
          <w:i/>
          <w:iCs/>
          <w:noProof/>
          <w:sz w:val="18"/>
        </w:rPr>
        <w:t>CLDynamicLandCover [Data set]. Zenodo</w:t>
      </w:r>
      <w:r w:rsidRPr="001C7906">
        <w:rPr>
          <w:noProof/>
          <w:sz w:val="18"/>
        </w:rPr>
        <w:t>. https://doi.org/10.5281/zenodo.13153631.</w:t>
      </w:r>
    </w:p>
    <w:p w14:paraId="37DFCA87"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38.</w:t>
      </w:r>
      <w:r w:rsidRPr="001C7906">
        <w:rPr>
          <w:noProof/>
          <w:sz w:val="18"/>
        </w:rPr>
        <w:tab/>
        <w:t xml:space="preserve">Boisier, J. P.; Alvarez-garreton, C.; Marinao, R.; Galleguillos, M. Increasing Water Stress in Chile Evidenced by Novel Datasets of Water Availability , Land Use and Water Use. </w:t>
      </w:r>
      <w:r w:rsidRPr="001C7906">
        <w:rPr>
          <w:b/>
          <w:bCs/>
          <w:noProof/>
          <w:sz w:val="18"/>
        </w:rPr>
        <w:t>2024</w:t>
      </w:r>
      <w:r w:rsidRPr="001C7906">
        <w:rPr>
          <w:noProof/>
          <w:sz w:val="18"/>
        </w:rPr>
        <w:t>, No. September, 1–50. https://doi.org/10.5194/egusphere-2024-2695.</w:t>
      </w:r>
    </w:p>
    <w:p w14:paraId="1F696C52"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39.</w:t>
      </w:r>
      <w:r w:rsidRPr="001C7906">
        <w:rPr>
          <w:noProof/>
          <w:sz w:val="18"/>
        </w:rPr>
        <w:tab/>
        <w:t xml:space="preserve">Taucare, M.; Viguier, B.; Figueroa, R.; Daniele, L. The Alarming State of Central Chile’s Groundwater Resources: A Paradigmatic Case of a Lasting Overexploitation. </w:t>
      </w:r>
      <w:r w:rsidRPr="001C7906">
        <w:rPr>
          <w:i/>
          <w:iCs/>
          <w:noProof/>
          <w:sz w:val="18"/>
        </w:rPr>
        <w:t>Sci. Total Environ.</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906</w:t>
      </w:r>
      <w:r w:rsidRPr="001C7906">
        <w:rPr>
          <w:noProof/>
          <w:sz w:val="18"/>
        </w:rPr>
        <w:t>, 167723. https://doi.org/10.1016/j.scitotenv.2023.167723.</w:t>
      </w:r>
    </w:p>
    <w:p w14:paraId="2A6D4003"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40.</w:t>
      </w:r>
      <w:r w:rsidRPr="001C7906">
        <w:rPr>
          <w:noProof/>
          <w:sz w:val="18"/>
        </w:rPr>
        <w:tab/>
        <w:t xml:space="preserve">Webb, M. J.; Winter, J. M.; Spera, S. A.; Chipman, J. W.; Osterberg, E. C. Water, Agriculture, and Climate Dynamics in Central Chile’s Aconcagua River Basin. </w:t>
      </w:r>
      <w:r w:rsidRPr="001C7906">
        <w:rPr>
          <w:i/>
          <w:iCs/>
          <w:noProof/>
          <w:sz w:val="18"/>
        </w:rPr>
        <w:t>Phys. Geogr.</w:t>
      </w:r>
      <w:r w:rsidRPr="001C7906">
        <w:rPr>
          <w:noProof/>
          <w:sz w:val="18"/>
        </w:rPr>
        <w:t xml:space="preserve"> </w:t>
      </w:r>
      <w:r w:rsidRPr="001C7906">
        <w:rPr>
          <w:b/>
          <w:bCs/>
          <w:noProof/>
          <w:sz w:val="18"/>
        </w:rPr>
        <w:t>2020</w:t>
      </w:r>
      <w:r w:rsidRPr="001C7906">
        <w:rPr>
          <w:noProof/>
          <w:sz w:val="18"/>
        </w:rPr>
        <w:t>, 1–21. https://doi.org/10.1080/02723646.2020.1790719.</w:t>
      </w:r>
    </w:p>
    <w:p w14:paraId="3C3D6BB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41.</w:t>
      </w:r>
      <w:r w:rsidRPr="001C7906">
        <w:rPr>
          <w:noProof/>
          <w:sz w:val="18"/>
        </w:rPr>
        <w:tab/>
        <w:t xml:space="preserve">Aliaga-Alvarado, M.; Gómez-Escalonilla, V.; Martínez-Santos, P. Identification of Non-Conventional Groundwater Resources by Means of Machine Learning in the Aconcagua Basin, Chile. </w:t>
      </w:r>
      <w:r w:rsidRPr="001C7906">
        <w:rPr>
          <w:i/>
          <w:iCs/>
          <w:noProof/>
          <w:sz w:val="18"/>
        </w:rPr>
        <w:t>J. Hydrol. Reg. Stud.</w:t>
      </w:r>
      <w:r w:rsidRPr="001C7906">
        <w:rPr>
          <w:noProof/>
          <w:sz w:val="18"/>
        </w:rPr>
        <w:t xml:space="preserve"> </w:t>
      </w:r>
      <w:r w:rsidRPr="001C7906">
        <w:rPr>
          <w:b/>
          <w:bCs/>
          <w:noProof/>
          <w:sz w:val="18"/>
        </w:rPr>
        <w:t>2023</w:t>
      </w:r>
      <w:r w:rsidRPr="001C7906">
        <w:rPr>
          <w:noProof/>
          <w:sz w:val="18"/>
        </w:rPr>
        <w:t xml:space="preserve">, </w:t>
      </w:r>
      <w:r w:rsidRPr="001C7906">
        <w:rPr>
          <w:i/>
          <w:iCs/>
          <w:noProof/>
          <w:sz w:val="18"/>
        </w:rPr>
        <w:t>49</w:t>
      </w:r>
      <w:r w:rsidRPr="001C7906">
        <w:rPr>
          <w:noProof/>
          <w:sz w:val="18"/>
        </w:rPr>
        <w:t>. https://doi.org/10.1016/j.ejrh.2023.101502.</w:t>
      </w:r>
    </w:p>
    <w:p w14:paraId="1B5AF16D" w14:textId="734404FE"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42.</w:t>
      </w:r>
      <w:r w:rsidRPr="001C7906">
        <w:rPr>
          <w:noProof/>
          <w:sz w:val="18"/>
        </w:rPr>
        <w:tab/>
      </w:r>
      <w:r w:rsidR="002179EB" w:rsidRPr="002179EB">
        <w:rPr>
          <w:noProof/>
          <w:sz w:val="18"/>
        </w:rPr>
        <w:t xml:space="preserve">DGA. </w:t>
      </w:r>
      <w:r w:rsidR="002179EB" w:rsidRPr="002179EB">
        <w:rPr>
          <w:noProof/>
          <w:sz w:val="18"/>
          <w:lang w:val="es-CL"/>
        </w:rPr>
        <w:t>Dirección General de Aguas</w:t>
      </w:r>
      <w:r w:rsidRPr="002179EB">
        <w:rPr>
          <w:noProof/>
          <w:sz w:val="18"/>
          <w:lang w:val="es-CL"/>
        </w:rPr>
        <w:t>.</w:t>
      </w:r>
      <w:r w:rsidR="002179EB" w:rsidRPr="002179EB">
        <w:rPr>
          <w:noProof/>
          <w:sz w:val="18"/>
          <w:lang w:val="es-CL"/>
        </w:rPr>
        <w:t xml:space="preserve"> </w:t>
      </w:r>
      <w:r w:rsidRPr="002179EB">
        <w:rPr>
          <w:noProof/>
          <w:sz w:val="18"/>
          <w:lang w:val="es-CL"/>
        </w:rPr>
        <w:t xml:space="preserve">Proyecto Actualización de La Modelación Hidrogeológica Integrada Del Aconcagua No 446. </w:t>
      </w:r>
      <w:r w:rsidRPr="001C7906">
        <w:rPr>
          <w:noProof/>
          <w:sz w:val="18"/>
        </w:rPr>
        <w:t xml:space="preserve">Dirección General de Aguas División de Estudios y Planificación, Realizado Por Wsp Consulting Chile. S.I.T. No 446. </w:t>
      </w:r>
      <w:r w:rsidRPr="001C7906">
        <w:rPr>
          <w:b/>
          <w:bCs/>
          <w:noProof/>
          <w:sz w:val="18"/>
        </w:rPr>
        <w:t>2019</w:t>
      </w:r>
      <w:r w:rsidRPr="001C7906">
        <w:rPr>
          <w:noProof/>
          <w:sz w:val="18"/>
        </w:rPr>
        <w:t>.</w:t>
      </w:r>
    </w:p>
    <w:p w14:paraId="0AECAC2E"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43.</w:t>
      </w:r>
      <w:r w:rsidRPr="001C7906">
        <w:rPr>
          <w:noProof/>
          <w:sz w:val="18"/>
        </w:rPr>
        <w:tab/>
        <w:t xml:space="preserve">Köppen, W. Klassifikation Der Klimate Nach Temperatur, Niederschlag Und Jahreslauf. </w:t>
      </w:r>
      <w:r w:rsidRPr="001C7906">
        <w:rPr>
          <w:i/>
          <w:iCs/>
          <w:noProof/>
          <w:sz w:val="18"/>
        </w:rPr>
        <w:t>Petermanns Geogr. Mitt.</w:t>
      </w:r>
      <w:r w:rsidRPr="001C7906">
        <w:rPr>
          <w:noProof/>
          <w:sz w:val="18"/>
        </w:rPr>
        <w:t xml:space="preserve"> </w:t>
      </w:r>
      <w:r w:rsidRPr="001C7906">
        <w:rPr>
          <w:b/>
          <w:bCs/>
          <w:noProof/>
          <w:sz w:val="18"/>
        </w:rPr>
        <w:t>1918</w:t>
      </w:r>
      <w:r w:rsidRPr="001C7906">
        <w:rPr>
          <w:noProof/>
          <w:sz w:val="18"/>
        </w:rPr>
        <w:t xml:space="preserve">, </w:t>
      </w:r>
      <w:r w:rsidRPr="001C7906">
        <w:rPr>
          <w:i/>
          <w:iCs/>
          <w:noProof/>
          <w:sz w:val="18"/>
        </w:rPr>
        <w:t>64</w:t>
      </w:r>
      <w:r w:rsidRPr="001C7906">
        <w:rPr>
          <w:noProof/>
          <w:sz w:val="18"/>
        </w:rPr>
        <w:t>, 193–203.</w:t>
      </w:r>
    </w:p>
    <w:p w14:paraId="3496226D"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44.</w:t>
      </w:r>
      <w:r w:rsidRPr="001C7906">
        <w:rPr>
          <w:noProof/>
          <w:sz w:val="18"/>
        </w:rPr>
        <w:tab/>
        <w:t xml:space="preserve">Duran-Llacer, I.; Zambrano, F.; Rodríguez-López, L.; Martínez-Retureta, R.; Arumí, J. L. Analysis of Drought in Agriculture and Natural Vegetation Areas in Central Chile. </w:t>
      </w:r>
      <w:r w:rsidRPr="001C7906">
        <w:rPr>
          <w:i/>
          <w:iCs/>
          <w:noProof/>
          <w:sz w:val="18"/>
        </w:rPr>
        <w:t>Int. Geosci. Remote Sens. Symp.</w:t>
      </w:r>
      <w:r w:rsidRPr="001C7906">
        <w:rPr>
          <w:noProof/>
          <w:sz w:val="18"/>
        </w:rPr>
        <w:t xml:space="preserve"> </w:t>
      </w:r>
      <w:r w:rsidRPr="001C7906">
        <w:rPr>
          <w:b/>
          <w:bCs/>
          <w:noProof/>
          <w:sz w:val="18"/>
        </w:rPr>
        <w:t>2024</w:t>
      </w:r>
      <w:r w:rsidRPr="001C7906">
        <w:rPr>
          <w:noProof/>
          <w:sz w:val="18"/>
        </w:rPr>
        <w:t>, 3643–3646. https://doi.org/10.1109/IGARSS53475.2024.10642727.</w:t>
      </w:r>
    </w:p>
    <w:p w14:paraId="7EB36E8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45.</w:t>
      </w:r>
      <w:r w:rsidRPr="001C7906">
        <w:rPr>
          <w:noProof/>
          <w:sz w:val="18"/>
        </w:rPr>
        <w:tab/>
        <w:t xml:space="preserve">Crespo, S. A.; Lavergne, C.; Fernandoy, F.; Muñoz, A. A.; Cara, L.; Olfos-Vargas, S. Where Does the Chilean Aconcagua River Come from? Use of Natural Tracers for Water Genesis Characterization in Glacial and Periglacial Environments. </w:t>
      </w:r>
      <w:r w:rsidRPr="001C7906">
        <w:rPr>
          <w:i/>
          <w:iCs/>
          <w:noProof/>
          <w:sz w:val="18"/>
        </w:rPr>
        <w:t>Water (Switzerland)</w:t>
      </w:r>
      <w:r w:rsidRPr="001C7906">
        <w:rPr>
          <w:noProof/>
          <w:sz w:val="18"/>
        </w:rPr>
        <w:t xml:space="preserve"> </w:t>
      </w:r>
      <w:r w:rsidRPr="001C7906">
        <w:rPr>
          <w:b/>
          <w:bCs/>
          <w:noProof/>
          <w:sz w:val="18"/>
        </w:rPr>
        <w:t>2020</w:t>
      </w:r>
      <w:r w:rsidRPr="001C7906">
        <w:rPr>
          <w:noProof/>
          <w:sz w:val="18"/>
        </w:rPr>
        <w:t xml:space="preserve">, </w:t>
      </w:r>
      <w:r w:rsidRPr="001C7906">
        <w:rPr>
          <w:i/>
          <w:iCs/>
          <w:noProof/>
          <w:sz w:val="18"/>
        </w:rPr>
        <w:t>12</w:t>
      </w:r>
      <w:r w:rsidRPr="001C7906">
        <w:rPr>
          <w:noProof/>
          <w:sz w:val="18"/>
        </w:rPr>
        <w:t xml:space="preserve"> (9). https://doi.org/10.3390/w12092630.</w:t>
      </w:r>
    </w:p>
    <w:p w14:paraId="44A46DCA" w14:textId="7DD9D535"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46.</w:t>
      </w:r>
      <w:r w:rsidRPr="001C7906">
        <w:rPr>
          <w:noProof/>
          <w:sz w:val="18"/>
        </w:rPr>
        <w:tab/>
      </w:r>
      <w:r w:rsidR="00FB58D3" w:rsidRPr="00FB58D3">
        <w:rPr>
          <w:noProof/>
          <w:sz w:val="18"/>
        </w:rPr>
        <w:t>DGA. Dirección General de Aguas</w:t>
      </w:r>
      <w:r w:rsidRPr="001C7906">
        <w:rPr>
          <w:noProof/>
          <w:sz w:val="18"/>
        </w:rPr>
        <w:t xml:space="preserve">. Plan Estratégico de Gestión Hídrica En La Cuenca de Aconcagua. Dirección General de Aguas, División de Estudios y Planificación, Realizado Por UTP Hídrica-Eridanus. S.I.T. No 464. </w:t>
      </w:r>
      <w:r w:rsidRPr="001C7906">
        <w:rPr>
          <w:b/>
          <w:bCs/>
          <w:noProof/>
          <w:sz w:val="18"/>
        </w:rPr>
        <w:t>2020</w:t>
      </w:r>
      <w:r w:rsidRPr="001C7906">
        <w:rPr>
          <w:noProof/>
          <w:sz w:val="18"/>
        </w:rPr>
        <w:t>.</w:t>
      </w:r>
    </w:p>
    <w:p w14:paraId="7314A723"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47.</w:t>
      </w:r>
      <w:r w:rsidRPr="001C7906">
        <w:rPr>
          <w:noProof/>
          <w:sz w:val="18"/>
        </w:rPr>
        <w:tab/>
        <w:t xml:space="preserve">Janke, J. R.; Ng, S.; Bellisario, A. An Inventory and Estimate of Water Stored in Firn Fields, Glaciers, Debris-Covered Glaciers, and Rock Glaciers in the Aconcagua River Basin, Chile. </w:t>
      </w:r>
      <w:r w:rsidRPr="001C7906">
        <w:rPr>
          <w:i/>
          <w:iCs/>
          <w:noProof/>
          <w:sz w:val="18"/>
        </w:rPr>
        <w:t>Geomorphology</w:t>
      </w:r>
      <w:r w:rsidRPr="001C7906">
        <w:rPr>
          <w:noProof/>
          <w:sz w:val="18"/>
        </w:rPr>
        <w:t xml:space="preserve"> </w:t>
      </w:r>
      <w:r w:rsidRPr="001C7906">
        <w:rPr>
          <w:b/>
          <w:bCs/>
          <w:noProof/>
          <w:sz w:val="18"/>
        </w:rPr>
        <w:t>2017</w:t>
      </w:r>
      <w:r w:rsidRPr="001C7906">
        <w:rPr>
          <w:noProof/>
          <w:sz w:val="18"/>
        </w:rPr>
        <w:t xml:space="preserve">, </w:t>
      </w:r>
      <w:r w:rsidRPr="001C7906">
        <w:rPr>
          <w:i/>
          <w:iCs/>
          <w:noProof/>
          <w:sz w:val="18"/>
        </w:rPr>
        <w:t>296</w:t>
      </w:r>
      <w:r w:rsidRPr="001C7906">
        <w:rPr>
          <w:noProof/>
          <w:sz w:val="18"/>
        </w:rPr>
        <w:t>, 142–152. https://doi.org/10.1016/j.geomorph.2017.09.002.</w:t>
      </w:r>
    </w:p>
    <w:p w14:paraId="7A5CD1DD"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48.</w:t>
      </w:r>
      <w:r w:rsidRPr="001C7906">
        <w:rPr>
          <w:noProof/>
          <w:sz w:val="18"/>
        </w:rPr>
        <w:tab/>
        <w:t xml:space="preserve">Zhao, Y.; Feng, D.; Yu, L.; Wang, X.; Chen, Y.; Bai, Y.; Hernández, H. J.; Galleguillos, M.; Estades, C.; Biging, G. S.; Radke, J. D.; Gong, P. Detailed Dynamic Land Cover Mapping of Chile: Accuracy Improvement by Integrating Multi-Temporal Data. </w:t>
      </w:r>
      <w:r w:rsidRPr="001C7906">
        <w:rPr>
          <w:i/>
          <w:iCs/>
          <w:noProof/>
          <w:sz w:val="18"/>
        </w:rPr>
        <w:t>Remote Sens. Environ.</w:t>
      </w:r>
      <w:r w:rsidRPr="001C7906">
        <w:rPr>
          <w:noProof/>
          <w:sz w:val="18"/>
        </w:rPr>
        <w:t xml:space="preserve"> </w:t>
      </w:r>
      <w:r w:rsidRPr="001C7906">
        <w:rPr>
          <w:b/>
          <w:bCs/>
          <w:noProof/>
          <w:sz w:val="18"/>
        </w:rPr>
        <w:t>2016</w:t>
      </w:r>
      <w:r w:rsidRPr="001C7906">
        <w:rPr>
          <w:noProof/>
          <w:sz w:val="18"/>
        </w:rPr>
        <w:t xml:space="preserve">, </w:t>
      </w:r>
      <w:r w:rsidRPr="001C7906">
        <w:rPr>
          <w:i/>
          <w:iCs/>
          <w:noProof/>
          <w:sz w:val="18"/>
        </w:rPr>
        <w:t>183</w:t>
      </w:r>
      <w:r w:rsidRPr="001C7906">
        <w:rPr>
          <w:noProof/>
          <w:sz w:val="18"/>
        </w:rPr>
        <w:t>, 170–185. https://doi.org/10.1016/j.rse.2016.05.016.</w:t>
      </w:r>
    </w:p>
    <w:p w14:paraId="55EBF7B5"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49.</w:t>
      </w:r>
      <w:r w:rsidRPr="001C7906">
        <w:rPr>
          <w:noProof/>
          <w:sz w:val="18"/>
        </w:rPr>
        <w:tab/>
        <w:t xml:space="preserve">Rouse, J. .; Haas, R. .; Scheel, J. .; Eering, D. W. Monitoring Vegetation Systems in the Great Plains with ERTS. </w:t>
      </w:r>
      <w:r w:rsidRPr="001C7906">
        <w:rPr>
          <w:i/>
          <w:iCs/>
          <w:noProof/>
          <w:sz w:val="18"/>
        </w:rPr>
        <w:t>Proceedings, 3rd Earth Resour. Technol. Satell. Symp.</w:t>
      </w:r>
      <w:r w:rsidRPr="001C7906">
        <w:rPr>
          <w:noProof/>
          <w:sz w:val="18"/>
        </w:rPr>
        <w:t xml:space="preserve"> </w:t>
      </w:r>
      <w:r w:rsidRPr="001C7906">
        <w:rPr>
          <w:b/>
          <w:bCs/>
          <w:noProof/>
          <w:sz w:val="18"/>
        </w:rPr>
        <w:t>1976</w:t>
      </w:r>
      <w:r w:rsidRPr="001C7906">
        <w:rPr>
          <w:noProof/>
          <w:sz w:val="18"/>
        </w:rPr>
        <w:t xml:space="preserve">, </w:t>
      </w:r>
      <w:r w:rsidRPr="001C7906">
        <w:rPr>
          <w:i/>
          <w:iCs/>
          <w:noProof/>
          <w:sz w:val="18"/>
        </w:rPr>
        <w:t>1</w:t>
      </w:r>
      <w:r w:rsidRPr="001C7906">
        <w:rPr>
          <w:noProof/>
          <w:sz w:val="18"/>
        </w:rPr>
        <w:t>, 48–62.</w:t>
      </w:r>
    </w:p>
    <w:p w14:paraId="588AAE4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50.</w:t>
      </w:r>
      <w:r w:rsidRPr="001C7906">
        <w:rPr>
          <w:noProof/>
          <w:sz w:val="18"/>
        </w:rPr>
        <w:tab/>
        <w:t xml:space="preserve">Xu, H. Modification of Normalised Difference Water Index (NDWI) to Enhance Open Water Features in Remotely Sensed Imagery. </w:t>
      </w:r>
      <w:r w:rsidRPr="001C7906">
        <w:rPr>
          <w:i/>
          <w:iCs/>
          <w:noProof/>
          <w:sz w:val="18"/>
        </w:rPr>
        <w:t>Int. J. Remote Sens.</w:t>
      </w:r>
      <w:r w:rsidRPr="001C7906">
        <w:rPr>
          <w:noProof/>
          <w:sz w:val="18"/>
        </w:rPr>
        <w:t xml:space="preserve"> </w:t>
      </w:r>
      <w:r w:rsidRPr="001C7906">
        <w:rPr>
          <w:b/>
          <w:bCs/>
          <w:noProof/>
          <w:sz w:val="18"/>
        </w:rPr>
        <w:t>2006</w:t>
      </w:r>
      <w:r w:rsidRPr="001C7906">
        <w:rPr>
          <w:noProof/>
          <w:sz w:val="18"/>
        </w:rPr>
        <w:t xml:space="preserve">, </w:t>
      </w:r>
      <w:r w:rsidRPr="001C7906">
        <w:rPr>
          <w:i/>
          <w:iCs/>
          <w:noProof/>
          <w:sz w:val="18"/>
        </w:rPr>
        <w:t>27</w:t>
      </w:r>
      <w:r w:rsidRPr="001C7906">
        <w:rPr>
          <w:noProof/>
          <w:sz w:val="18"/>
        </w:rPr>
        <w:t xml:space="preserve"> (14), 3025–3033. https://doi.org/10.1080/01431160600589179.</w:t>
      </w:r>
    </w:p>
    <w:p w14:paraId="5B4D87C1" w14:textId="1F943525"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51.</w:t>
      </w:r>
      <w:r w:rsidRPr="001C7906">
        <w:rPr>
          <w:noProof/>
          <w:sz w:val="18"/>
        </w:rPr>
        <w:tab/>
        <w:t xml:space="preserve">NASA-JPL. </w:t>
      </w:r>
      <w:r w:rsidRPr="001C7906">
        <w:rPr>
          <w:i/>
          <w:iCs/>
          <w:noProof/>
          <w:sz w:val="18"/>
        </w:rPr>
        <w:t>NASADEM: NASA NASADEM Digital Elevation 30m. NASADEM Merged DEM Global 1 arc second V001. DAAC de procesos terrestres del EOSDIS de la NASA</w:t>
      </w:r>
      <w:r w:rsidRPr="001C7906">
        <w:rPr>
          <w:noProof/>
          <w:sz w:val="18"/>
        </w:rPr>
        <w:t>. https://doi.org/10.5067/MEaSUREs/NASADEM/NASADEM_HGT.001</w:t>
      </w:r>
      <w:r w:rsidR="002179EB">
        <w:rPr>
          <w:noProof/>
          <w:sz w:val="18"/>
        </w:rPr>
        <w:t xml:space="preserve">, </w:t>
      </w:r>
      <w:r w:rsidR="002179EB" w:rsidRPr="002179EB">
        <w:rPr>
          <w:noProof/>
          <w:sz w:val="18"/>
        </w:rPr>
        <w:t>accessed on 12 August 2024</w:t>
      </w:r>
      <w:r w:rsidR="002179EB">
        <w:rPr>
          <w:noProof/>
          <w:sz w:val="18"/>
        </w:rPr>
        <w:t>.</w:t>
      </w:r>
    </w:p>
    <w:p w14:paraId="485DD167"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52.</w:t>
      </w:r>
      <w:r w:rsidRPr="001C7906">
        <w:rPr>
          <w:noProof/>
          <w:sz w:val="18"/>
        </w:rPr>
        <w:tab/>
        <w:t xml:space="preserve">Breiman, L. RFRSF: Employee Turnover Prediction Based on Random Forests and Survival Analysis. </w:t>
      </w:r>
      <w:r w:rsidRPr="001C7906">
        <w:rPr>
          <w:i/>
          <w:iCs/>
          <w:noProof/>
          <w:sz w:val="18"/>
        </w:rPr>
        <w:t>Mach. Learn.</w:t>
      </w:r>
      <w:r w:rsidRPr="001C7906">
        <w:rPr>
          <w:noProof/>
          <w:sz w:val="18"/>
        </w:rPr>
        <w:t xml:space="preserve"> </w:t>
      </w:r>
      <w:r w:rsidRPr="001C7906">
        <w:rPr>
          <w:b/>
          <w:bCs/>
          <w:noProof/>
          <w:sz w:val="18"/>
        </w:rPr>
        <w:t>2001</w:t>
      </w:r>
      <w:r w:rsidRPr="001C7906">
        <w:rPr>
          <w:noProof/>
          <w:sz w:val="18"/>
        </w:rPr>
        <w:t xml:space="preserve">, </w:t>
      </w:r>
      <w:r w:rsidRPr="001C7906">
        <w:rPr>
          <w:i/>
          <w:iCs/>
          <w:noProof/>
          <w:sz w:val="18"/>
        </w:rPr>
        <w:t>45</w:t>
      </w:r>
      <w:r w:rsidRPr="001C7906">
        <w:rPr>
          <w:noProof/>
          <w:sz w:val="18"/>
        </w:rPr>
        <w:t>, 5–32. https://doi.org/10.1007/978-3-030-62008-0_35.</w:t>
      </w:r>
    </w:p>
    <w:p w14:paraId="5237318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53.</w:t>
      </w:r>
      <w:r w:rsidRPr="001C7906">
        <w:rPr>
          <w:noProof/>
          <w:sz w:val="18"/>
        </w:rPr>
        <w:tab/>
        <w:t xml:space="preserve">Story, M.; Congalton, R. G. Accuracy Assessment: A User’s Perspective. </w:t>
      </w:r>
      <w:r w:rsidRPr="001C7906">
        <w:rPr>
          <w:i/>
          <w:iCs/>
          <w:noProof/>
          <w:sz w:val="18"/>
        </w:rPr>
        <w:t>Remote Sens. Br.</w:t>
      </w:r>
      <w:r w:rsidRPr="001C7906">
        <w:rPr>
          <w:noProof/>
          <w:sz w:val="18"/>
        </w:rPr>
        <w:t xml:space="preserve"> </w:t>
      </w:r>
      <w:r w:rsidRPr="001C7906">
        <w:rPr>
          <w:b/>
          <w:bCs/>
          <w:noProof/>
          <w:sz w:val="18"/>
        </w:rPr>
        <w:t>1986</w:t>
      </w:r>
      <w:r w:rsidRPr="001C7906">
        <w:rPr>
          <w:noProof/>
          <w:sz w:val="18"/>
        </w:rPr>
        <w:t xml:space="preserve">, </w:t>
      </w:r>
      <w:r w:rsidRPr="001C7906">
        <w:rPr>
          <w:i/>
          <w:iCs/>
          <w:noProof/>
          <w:sz w:val="18"/>
        </w:rPr>
        <w:t>52</w:t>
      </w:r>
      <w:r w:rsidRPr="001C7906">
        <w:rPr>
          <w:noProof/>
          <w:sz w:val="18"/>
        </w:rPr>
        <w:t xml:space="preserve"> (3), 397–399.</w:t>
      </w:r>
    </w:p>
    <w:p w14:paraId="2A743BC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54.</w:t>
      </w:r>
      <w:r w:rsidRPr="001C7906">
        <w:rPr>
          <w:noProof/>
          <w:sz w:val="18"/>
        </w:rPr>
        <w:tab/>
        <w:t xml:space="preserve">Cohen, J. A Coefficient of Agreement for Nominal Scales. </w:t>
      </w:r>
      <w:r w:rsidRPr="001C7906">
        <w:rPr>
          <w:i/>
          <w:iCs/>
          <w:noProof/>
          <w:sz w:val="18"/>
        </w:rPr>
        <w:t>Educ. Psychol. Meas.</w:t>
      </w:r>
      <w:r w:rsidRPr="001C7906">
        <w:rPr>
          <w:noProof/>
          <w:sz w:val="18"/>
        </w:rPr>
        <w:t xml:space="preserve"> </w:t>
      </w:r>
      <w:r w:rsidRPr="001C7906">
        <w:rPr>
          <w:b/>
          <w:bCs/>
          <w:noProof/>
          <w:sz w:val="18"/>
        </w:rPr>
        <w:t>1960</w:t>
      </w:r>
      <w:r w:rsidRPr="001C7906">
        <w:rPr>
          <w:noProof/>
          <w:sz w:val="18"/>
        </w:rPr>
        <w:t xml:space="preserve">, </w:t>
      </w:r>
      <w:r w:rsidRPr="001C7906">
        <w:rPr>
          <w:i/>
          <w:iCs/>
          <w:noProof/>
          <w:sz w:val="18"/>
        </w:rPr>
        <w:t>20</w:t>
      </w:r>
      <w:r w:rsidRPr="001C7906">
        <w:rPr>
          <w:noProof/>
          <w:sz w:val="18"/>
        </w:rPr>
        <w:t xml:space="preserve"> (1), 37–46. https://doi.org/10.1177/001316446002000104.</w:t>
      </w:r>
    </w:p>
    <w:p w14:paraId="4826D195"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55.</w:t>
      </w:r>
      <w:r w:rsidRPr="001C7906">
        <w:rPr>
          <w:noProof/>
          <w:sz w:val="18"/>
        </w:rPr>
        <w:tab/>
        <w:t xml:space="preserve">Nowosad, J. Motif: An Open-Source R Tool for Pattern-Based Spatial Analysis. </w:t>
      </w:r>
      <w:r w:rsidRPr="001C7906">
        <w:rPr>
          <w:i/>
          <w:iCs/>
          <w:noProof/>
          <w:sz w:val="18"/>
        </w:rPr>
        <w:t>Landsc. Ecol.</w:t>
      </w:r>
      <w:r w:rsidRPr="001C7906">
        <w:rPr>
          <w:noProof/>
          <w:sz w:val="18"/>
        </w:rPr>
        <w:t xml:space="preserve"> </w:t>
      </w:r>
      <w:r w:rsidRPr="001C7906">
        <w:rPr>
          <w:b/>
          <w:bCs/>
          <w:noProof/>
          <w:sz w:val="18"/>
        </w:rPr>
        <w:t>2021</w:t>
      </w:r>
      <w:r w:rsidRPr="001C7906">
        <w:rPr>
          <w:noProof/>
          <w:sz w:val="18"/>
        </w:rPr>
        <w:t xml:space="preserve">, </w:t>
      </w:r>
      <w:r w:rsidRPr="001C7906">
        <w:rPr>
          <w:i/>
          <w:iCs/>
          <w:noProof/>
          <w:sz w:val="18"/>
        </w:rPr>
        <w:t>36</w:t>
      </w:r>
      <w:r w:rsidRPr="001C7906">
        <w:rPr>
          <w:noProof/>
          <w:sz w:val="18"/>
        </w:rPr>
        <w:t xml:space="preserve"> (1), 29–43. </w:t>
      </w:r>
      <w:r w:rsidRPr="001C7906">
        <w:rPr>
          <w:noProof/>
          <w:sz w:val="18"/>
        </w:rPr>
        <w:lastRenderedPageBreak/>
        <w:t>https://doi.org/10.1007/s10980-020-01135-0.</w:t>
      </w:r>
    </w:p>
    <w:p w14:paraId="14431E1E" w14:textId="2171950C"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56.</w:t>
      </w:r>
      <w:r w:rsidRPr="001C7906">
        <w:rPr>
          <w:noProof/>
          <w:sz w:val="18"/>
        </w:rPr>
        <w:tab/>
        <w:t xml:space="preserve">Nowosad, J. </w:t>
      </w:r>
      <w:r w:rsidRPr="001C7906">
        <w:rPr>
          <w:i/>
          <w:iCs/>
          <w:noProof/>
          <w:sz w:val="18"/>
        </w:rPr>
        <w:t>Motif. 06.4. Motif: an open-source R tool for pattern-based spatial analysis</w:t>
      </w:r>
      <w:r w:rsidRPr="001C7906">
        <w:rPr>
          <w:noProof/>
          <w:sz w:val="18"/>
        </w:rPr>
        <w:t>. https://jakubnowosad.com/motif/index.html (</w:t>
      </w:r>
      <w:r w:rsidR="00CA7D4E" w:rsidRPr="00CA7D4E">
        <w:rPr>
          <w:noProof/>
          <w:sz w:val="18"/>
        </w:rPr>
        <w:t>accessed 2024-12-23</w:t>
      </w:r>
      <w:r w:rsidRPr="001C7906">
        <w:rPr>
          <w:noProof/>
          <w:sz w:val="18"/>
        </w:rPr>
        <w:t>).</w:t>
      </w:r>
    </w:p>
    <w:p w14:paraId="6DE72855"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57.</w:t>
      </w:r>
      <w:r w:rsidRPr="001C7906">
        <w:rPr>
          <w:noProof/>
          <w:sz w:val="18"/>
        </w:rPr>
        <w:tab/>
        <w:t xml:space="preserve">Hesselbarth, M. H. K.; Sciaini, M.; With, K. A.; Wiegand, K.; Nowosad, J. Landscapemetrics: An Open-Source R Tool to Calculate Landscape Metrics. </w:t>
      </w:r>
      <w:r w:rsidRPr="001C7906">
        <w:rPr>
          <w:i/>
          <w:iCs/>
          <w:noProof/>
          <w:sz w:val="18"/>
        </w:rPr>
        <w:t>Ecography (Cop.).</w:t>
      </w:r>
      <w:r w:rsidRPr="001C7906">
        <w:rPr>
          <w:noProof/>
          <w:sz w:val="18"/>
        </w:rPr>
        <w:t xml:space="preserve"> </w:t>
      </w:r>
      <w:r w:rsidRPr="001C7906">
        <w:rPr>
          <w:b/>
          <w:bCs/>
          <w:noProof/>
          <w:sz w:val="18"/>
        </w:rPr>
        <w:t>2019</w:t>
      </w:r>
      <w:r w:rsidRPr="001C7906">
        <w:rPr>
          <w:noProof/>
          <w:sz w:val="18"/>
        </w:rPr>
        <w:t xml:space="preserve">, </w:t>
      </w:r>
      <w:r w:rsidRPr="001C7906">
        <w:rPr>
          <w:i/>
          <w:iCs/>
          <w:noProof/>
          <w:sz w:val="18"/>
        </w:rPr>
        <w:t>42</w:t>
      </w:r>
      <w:r w:rsidRPr="001C7906">
        <w:rPr>
          <w:noProof/>
          <w:sz w:val="18"/>
        </w:rPr>
        <w:t xml:space="preserve"> (10), 1648–1657. https://doi.org/10.1111/ecog.04617.</w:t>
      </w:r>
    </w:p>
    <w:p w14:paraId="58033100" w14:textId="60EBBE64" w:rsidR="001C7906" w:rsidRPr="0058033F" w:rsidRDefault="001C7906" w:rsidP="001C7906">
      <w:pPr>
        <w:widowControl w:val="0"/>
        <w:autoSpaceDE w:val="0"/>
        <w:autoSpaceDN w:val="0"/>
        <w:adjustRightInd w:val="0"/>
        <w:spacing w:line="240" w:lineRule="auto"/>
        <w:ind w:left="640" w:hanging="640"/>
        <w:rPr>
          <w:noProof/>
          <w:sz w:val="18"/>
          <w:lang w:val="es-CL"/>
        </w:rPr>
      </w:pPr>
      <w:r w:rsidRPr="001C7906">
        <w:rPr>
          <w:noProof/>
          <w:sz w:val="18"/>
        </w:rPr>
        <w:t>58.</w:t>
      </w:r>
      <w:r w:rsidRPr="001C7906">
        <w:rPr>
          <w:noProof/>
          <w:sz w:val="18"/>
        </w:rPr>
        <w:tab/>
        <w:t>Oficina de Estudios y Políticas Agrarias</w:t>
      </w:r>
      <w:r w:rsidR="00D06FBA">
        <w:rPr>
          <w:noProof/>
          <w:sz w:val="18"/>
        </w:rPr>
        <w:t xml:space="preserve">. </w:t>
      </w:r>
      <w:r w:rsidR="00D06FBA" w:rsidRPr="0058033F">
        <w:rPr>
          <w:noProof/>
          <w:sz w:val="18"/>
          <w:lang w:val="es-CL"/>
        </w:rPr>
        <w:t>ODEPA</w:t>
      </w:r>
      <w:r w:rsidRPr="0058033F">
        <w:rPr>
          <w:noProof/>
          <w:sz w:val="18"/>
          <w:lang w:val="es-CL"/>
        </w:rPr>
        <w:t xml:space="preserve">. </w:t>
      </w:r>
      <w:r w:rsidRPr="0058033F">
        <w:rPr>
          <w:i/>
          <w:iCs/>
          <w:noProof/>
          <w:sz w:val="18"/>
          <w:lang w:val="es-CL"/>
        </w:rPr>
        <w:t>Agricultura Chilena</w:t>
      </w:r>
      <w:r w:rsidRPr="0058033F">
        <w:rPr>
          <w:rFonts w:ascii="Times New Roman" w:hAnsi="Times New Roman"/>
          <w:i/>
          <w:iCs/>
          <w:noProof/>
          <w:sz w:val="18"/>
          <w:lang w:val="es-CL"/>
        </w:rPr>
        <w:t> </w:t>
      </w:r>
      <w:r w:rsidRPr="0058033F">
        <w:rPr>
          <w:i/>
          <w:iCs/>
          <w:noProof/>
          <w:sz w:val="18"/>
          <w:lang w:val="es-CL"/>
        </w:rPr>
        <w:t>: Reflexiones y Desafíos Al 2030</w:t>
      </w:r>
      <w:r w:rsidRPr="0058033F">
        <w:rPr>
          <w:noProof/>
          <w:sz w:val="18"/>
          <w:lang w:val="es-CL"/>
        </w:rPr>
        <w:t>; ODEPA, 2017.</w:t>
      </w:r>
    </w:p>
    <w:p w14:paraId="0D7BAB0A"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59.</w:t>
      </w:r>
      <w:r w:rsidRPr="001C7906">
        <w:rPr>
          <w:noProof/>
          <w:sz w:val="18"/>
        </w:rPr>
        <w:tab/>
        <w:t xml:space="preserve">Teklay, A.; Dile, Y. T.; Asfaw, D. H.; Bayabil, H. K.; Sisay, K. Impacts of Climate and Land Use Change on Hydrological Response in Gumara Watershed, Ethiopia. </w:t>
      </w:r>
      <w:r w:rsidRPr="001C7906">
        <w:rPr>
          <w:i/>
          <w:iCs/>
          <w:noProof/>
          <w:sz w:val="18"/>
        </w:rPr>
        <w:t>Ecohydrol. Hydrobiol.</w:t>
      </w:r>
      <w:r w:rsidRPr="001C7906">
        <w:rPr>
          <w:noProof/>
          <w:sz w:val="18"/>
        </w:rPr>
        <w:t xml:space="preserve"> </w:t>
      </w:r>
      <w:r w:rsidRPr="001C7906">
        <w:rPr>
          <w:b/>
          <w:bCs/>
          <w:noProof/>
          <w:sz w:val="18"/>
        </w:rPr>
        <w:t>2021</w:t>
      </w:r>
      <w:r w:rsidRPr="001C7906">
        <w:rPr>
          <w:noProof/>
          <w:sz w:val="18"/>
        </w:rPr>
        <w:t xml:space="preserve">, </w:t>
      </w:r>
      <w:r w:rsidRPr="001C7906">
        <w:rPr>
          <w:i/>
          <w:iCs/>
          <w:noProof/>
          <w:sz w:val="18"/>
        </w:rPr>
        <w:t>21</w:t>
      </w:r>
      <w:r w:rsidRPr="001C7906">
        <w:rPr>
          <w:noProof/>
          <w:sz w:val="18"/>
        </w:rPr>
        <w:t xml:space="preserve"> (2), 315–332. https://doi.org/10.1016/j.ecohyd.2020.12.001.</w:t>
      </w:r>
    </w:p>
    <w:p w14:paraId="5C5D508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60.</w:t>
      </w:r>
      <w:r w:rsidRPr="001C7906">
        <w:rPr>
          <w:noProof/>
          <w:sz w:val="18"/>
        </w:rPr>
        <w:tab/>
        <w:t xml:space="preserve">Leubert, F.; Pliscoff, P. </w:t>
      </w:r>
      <w:r w:rsidRPr="001C7906">
        <w:rPr>
          <w:i/>
          <w:iCs/>
          <w:noProof/>
          <w:sz w:val="18"/>
        </w:rPr>
        <w:t>Sinopsis Bioclimática y Vegetacional de Chile</w:t>
      </w:r>
      <w:r w:rsidRPr="001C7906">
        <w:rPr>
          <w:noProof/>
          <w:sz w:val="18"/>
        </w:rPr>
        <w:t>, 2a ed.; Universitaria: Santiago, Chile, 2018.</w:t>
      </w:r>
    </w:p>
    <w:p w14:paraId="02E77090"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61.</w:t>
      </w:r>
      <w:r w:rsidRPr="001C7906">
        <w:rPr>
          <w:noProof/>
          <w:sz w:val="18"/>
        </w:rPr>
        <w:tab/>
        <w:t xml:space="preserve">Zambrano, F.; Vrieling, A.; Meza, F.; Duran-Llacer, I.; Fernández, F.; Venegas-González, A.; Raab, N.; Craven, D. Shifts in Water Supply and Demand Drive Land Cover Change across Chile. </w:t>
      </w:r>
      <w:r w:rsidRPr="001C7906">
        <w:rPr>
          <w:i/>
          <w:iCs/>
          <w:noProof/>
          <w:sz w:val="18"/>
        </w:rPr>
        <w:t>Eartharxiv Repos.</w:t>
      </w:r>
      <w:r w:rsidRPr="001C7906">
        <w:rPr>
          <w:noProof/>
          <w:sz w:val="18"/>
        </w:rPr>
        <w:t xml:space="preserve"> </w:t>
      </w:r>
      <w:r w:rsidRPr="001C7906">
        <w:rPr>
          <w:b/>
          <w:bCs/>
          <w:noProof/>
          <w:sz w:val="18"/>
        </w:rPr>
        <w:t>2025</w:t>
      </w:r>
      <w:r w:rsidRPr="001C7906">
        <w:rPr>
          <w:noProof/>
          <w:sz w:val="18"/>
        </w:rPr>
        <w:t>. https://doi.org/https://doi.org/10.31223/X5CD80.</w:t>
      </w:r>
    </w:p>
    <w:p w14:paraId="03D6012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62.</w:t>
      </w:r>
      <w:r w:rsidRPr="001C7906">
        <w:rPr>
          <w:noProof/>
          <w:sz w:val="18"/>
        </w:rPr>
        <w:tab/>
        <w:t xml:space="preserve">Garreaud, R.; Alvarez-Garreton, C.; Barichivich, J.; Boisier, J. P.; Christie, D.; Galleguillos, M.; Lequesne, C.; Mcphee, J.; Zambrano-5 Bigiarini, M. The 2010-2015 Mega Drought in Central Chile: Impacts on Regional Hydroclimate and Vegetation. </w:t>
      </w:r>
      <w:r w:rsidRPr="001C7906">
        <w:rPr>
          <w:i/>
          <w:iCs/>
          <w:noProof/>
          <w:sz w:val="18"/>
        </w:rPr>
        <w:t>Hydrol. Earth Syst. Sci. Discuss</w:t>
      </w:r>
      <w:r w:rsidRPr="001C7906">
        <w:rPr>
          <w:noProof/>
          <w:sz w:val="18"/>
        </w:rPr>
        <w:t xml:space="preserve"> </w:t>
      </w:r>
      <w:r w:rsidRPr="001C7906">
        <w:rPr>
          <w:b/>
          <w:bCs/>
          <w:noProof/>
          <w:sz w:val="18"/>
        </w:rPr>
        <w:t>2017</w:t>
      </w:r>
      <w:r w:rsidRPr="001C7906">
        <w:rPr>
          <w:noProof/>
          <w:sz w:val="18"/>
        </w:rPr>
        <w:t>. https://doi.org/10.5194/hess-2017-191.</w:t>
      </w:r>
    </w:p>
    <w:p w14:paraId="43F721E4"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63.</w:t>
      </w:r>
      <w:r w:rsidRPr="001C7906">
        <w:rPr>
          <w:noProof/>
          <w:sz w:val="18"/>
        </w:rPr>
        <w:tab/>
        <w:t xml:space="preserve">Aldunce, P.; Haverbeck, F.; Sapiains, R.; Quilaqueo, A.; Castro, C. P. Public Perception of Drought and Extreme Rainfall Impacts in a Changing Climate: Aconcagua Valley and Chañaral, Chile. </w:t>
      </w:r>
      <w:r w:rsidRPr="001C7906">
        <w:rPr>
          <w:i/>
          <w:iCs/>
          <w:noProof/>
          <w:sz w:val="18"/>
        </w:rPr>
        <w:t>Sustain.</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16</w:t>
      </w:r>
      <w:r w:rsidRPr="001C7906">
        <w:rPr>
          <w:noProof/>
          <w:sz w:val="18"/>
        </w:rPr>
        <w:t xml:space="preserve"> (18), 1–20. https://doi.org/10.3390/su16187916.</w:t>
      </w:r>
    </w:p>
    <w:p w14:paraId="7ADC07C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64.</w:t>
      </w:r>
      <w:r w:rsidRPr="001C7906">
        <w:rPr>
          <w:noProof/>
          <w:sz w:val="18"/>
        </w:rPr>
        <w:tab/>
        <w:t xml:space="preserve">Moreno-Ortega, G.; Pliego, C.; Sarmiento, D.; Barceló, A.; Martínez-Ferri, E. Yield and Fruit Quality of Avocado Trees under Different Regimes of Water Supply in the Subtropical Coast of Spain. </w:t>
      </w:r>
      <w:r w:rsidRPr="001C7906">
        <w:rPr>
          <w:i/>
          <w:iCs/>
          <w:noProof/>
          <w:sz w:val="18"/>
        </w:rPr>
        <w:t>Agric. Water Manag.</w:t>
      </w:r>
      <w:r w:rsidRPr="001C7906">
        <w:rPr>
          <w:noProof/>
          <w:sz w:val="18"/>
        </w:rPr>
        <w:t xml:space="preserve"> </w:t>
      </w:r>
      <w:r w:rsidRPr="001C7906">
        <w:rPr>
          <w:b/>
          <w:bCs/>
          <w:noProof/>
          <w:sz w:val="18"/>
        </w:rPr>
        <w:t>2019</w:t>
      </w:r>
      <w:r w:rsidRPr="001C7906">
        <w:rPr>
          <w:noProof/>
          <w:sz w:val="18"/>
        </w:rPr>
        <w:t xml:space="preserve">, </w:t>
      </w:r>
      <w:r w:rsidRPr="001C7906">
        <w:rPr>
          <w:i/>
          <w:iCs/>
          <w:noProof/>
          <w:sz w:val="18"/>
        </w:rPr>
        <w:t>221</w:t>
      </w:r>
      <w:r w:rsidRPr="001C7906">
        <w:rPr>
          <w:noProof/>
          <w:sz w:val="18"/>
        </w:rPr>
        <w:t xml:space="preserve"> (December 2018), 192–201. https://doi.org/10.1016/j.agwat.2019.05.001.</w:t>
      </w:r>
    </w:p>
    <w:p w14:paraId="6624282D"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65.</w:t>
      </w:r>
      <w:r w:rsidRPr="001C7906">
        <w:rPr>
          <w:noProof/>
          <w:sz w:val="18"/>
        </w:rPr>
        <w:tab/>
        <w:t xml:space="preserve">Bolados García, P.; Henríquez Olguín, F.; Ceruti Mahn, C.; Sánchez Cuevas, A. La Eco-Geo-Política Del Agua: Una Propuesta Desde Los Territorios En Las Luchas Por La Recuperación Del Agua En La Provincia de Petorca (Zona Central de Chile). </w:t>
      </w:r>
      <w:r w:rsidRPr="001C7906">
        <w:rPr>
          <w:i/>
          <w:iCs/>
          <w:noProof/>
          <w:sz w:val="18"/>
        </w:rPr>
        <w:t>Rupturas</w:t>
      </w:r>
      <w:r w:rsidRPr="001C7906">
        <w:rPr>
          <w:noProof/>
          <w:sz w:val="18"/>
        </w:rPr>
        <w:t xml:space="preserve"> </w:t>
      </w:r>
      <w:r w:rsidRPr="001C7906">
        <w:rPr>
          <w:b/>
          <w:bCs/>
          <w:noProof/>
          <w:sz w:val="18"/>
        </w:rPr>
        <w:t>2018</w:t>
      </w:r>
      <w:r w:rsidRPr="001C7906">
        <w:rPr>
          <w:noProof/>
          <w:sz w:val="18"/>
        </w:rPr>
        <w:t xml:space="preserve">, </w:t>
      </w:r>
      <w:r w:rsidRPr="001C7906">
        <w:rPr>
          <w:i/>
          <w:iCs/>
          <w:noProof/>
          <w:sz w:val="18"/>
        </w:rPr>
        <w:t>8</w:t>
      </w:r>
      <w:r w:rsidRPr="001C7906">
        <w:rPr>
          <w:noProof/>
          <w:sz w:val="18"/>
        </w:rPr>
        <w:t xml:space="preserve"> (1), 167–199.</w:t>
      </w:r>
    </w:p>
    <w:p w14:paraId="142624F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66.</w:t>
      </w:r>
      <w:r w:rsidRPr="001C7906">
        <w:rPr>
          <w:noProof/>
          <w:sz w:val="18"/>
        </w:rPr>
        <w:tab/>
        <w:t xml:space="preserve">Panez-Pinto, A.; Faúndez-Vergara, R.; Mansilla-Quiñones, C. Politización de La Crisis Hídrica En Chile: Análisis Del Conflicto Por El Agua En La Provincia de Petorca. </w:t>
      </w:r>
      <w:r w:rsidRPr="001C7906">
        <w:rPr>
          <w:i/>
          <w:iCs/>
          <w:noProof/>
          <w:sz w:val="18"/>
        </w:rPr>
        <w:t>Agua y Territ.</w:t>
      </w:r>
      <w:r w:rsidRPr="001C7906">
        <w:rPr>
          <w:noProof/>
          <w:sz w:val="18"/>
        </w:rPr>
        <w:t xml:space="preserve"> </w:t>
      </w:r>
      <w:r w:rsidRPr="001C7906">
        <w:rPr>
          <w:b/>
          <w:bCs/>
          <w:noProof/>
          <w:sz w:val="18"/>
        </w:rPr>
        <w:t>2017</w:t>
      </w:r>
      <w:r w:rsidRPr="001C7906">
        <w:rPr>
          <w:noProof/>
          <w:sz w:val="18"/>
        </w:rPr>
        <w:t>, No. 10, 131. https://doi.org/10.17561/at.10.3614.</w:t>
      </w:r>
    </w:p>
    <w:p w14:paraId="16659AD6"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67.</w:t>
      </w:r>
      <w:r w:rsidRPr="001C7906">
        <w:rPr>
          <w:noProof/>
          <w:sz w:val="18"/>
        </w:rPr>
        <w:tab/>
        <w:t xml:space="preserve">Álamos, N.; Alvarez-Garreton, C.; Muñoz, A.; González-Reyes, Á. The Influence of Human Activities on Streamflow Reductions during the Megadrought in Central Chile. </w:t>
      </w:r>
      <w:r w:rsidRPr="001C7906">
        <w:rPr>
          <w:i/>
          <w:iCs/>
          <w:noProof/>
          <w:sz w:val="18"/>
        </w:rPr>
        <w:t>Hydrol. Earth Syst. Sci.</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28</w:t>
      </w:r>
      <w:r w:rsidRPr="001C7906">
        <w:rPr>
          <w:noProof/>
          <w:sz w:val="18"/>
        </w:rPr>
        <w:t xml:space="preserve"> (11), 2483–2503. https://doi.org/10.5194/hess-28-2483-2024.</w:t>
      </w:r>
    </w:p>
    <w:p w14:paraId="52F1BB90"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68.</w:t>
      </w:r>
      <w:r w:rsidRPr="001C7906">
        <w:rPr>
          <w:noProof/>
          <w:sz w:val="18"/>
        </w:rPr>
        <w:tab/>
        <w:t xml:space="preserve">Prieto, M.; Calderón-Seguel, M.; Fragkou, M. C.; Fuster, R. The (Not-so-Free) Chilean Water Model. The Case of the Antofagasta Region, Atacama Desert, Chile. </w:t>
      </w:r>
      <w:r w:rsidRPr="001C7906">
        <w:rPr>
          <w:i/>
          <w:iCs/>
          <w:noProof/>
          <w:sz w:val="18"/>
        </w:rPr>
        <w:t>Extr. Ind. Soc.</w:t>
      </w:r>
      <w:r w:rsidRPr="001C7906">
        <w:rPr>
          <w:noProof/>
          <w:sz w:val="18"/>
        </w:rPr>
        <w:t xml:space="preserve"> </w:t>
      </w:r>
      <w:r w:rsidRPr="001C7906">
        <w:rPr>
          <w:b/>
          <w:bCs/>
          <w:noProof/>
          <w:sz w:val="18"/>
        </w:rPr>
        <w:t>2022</w:t>
      </w:r>
      <w:r w:rsidRPr="001C7906">
        <w:rPr>
          <w:noProof/>
          <w:sz w:val="18"/>
        </w:rPr>
        <w:t xml:space="preserve">, </w:t>
      </w:r>
      <w:r w:rsidRPr="001C7906">
        <w:rPr>
          <w:i/>
          <w:iCs/>
          <w:noProof/>
          <w:sz w:val="18"/>
        </w:rPr>
        <w:t>11</w:t>
      </w:r>
      <w:r w:rsidRPr="001C7906">
        <w:rPr>
          <w:noProof/>
          <w:sz w:val="18"/>
        </w:rPr>
        <w:t xml:space="preserve"> (May). https://doi.org/10.1016/j.exis.2022.101081.</w:t>
      </w:r>
    </w:p>
    <w:p w14:paraId="1EB56984"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69.</w:t>
      </w:r>
      <w:r w:rsidRPr="001C7906">
        <w:rPr>
          <w:noProof/>
          <w:sz w:val="18"/>
        </w:rPr>
        <w:tab/>
        <w:t xml:space="preserve">Suarez, A. Critical Overview of the Expansion of Hass Avocado Plantations in Salamina, Northern Caldas, Colombia. </w:t>
      </w:r>
      <w:r w:rsidRPr="001C7906">
        <w:rPr>
          <w:i/>
          <w:iCs/>
          <w:noProof/>
          <w:sz w:val="18"/>
        </w:rPr>
        <w:t>J. Land Use Sci.</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19</w:t>
      </w:r>
      <w:r w:rsidRPr="001C7906">
        <w:rPr>
          <w:noProof/>
          <w:sz w:val="18"/>
        </w:rPr>
        <w:t xml:space="preserve"> (1), 230–238. https://doi.org/10.1080/1747423X.2024.2387922.</w:t>
      </w:r>
    </w:p>
    <w:p w14:paraId="309DBD81"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70.</w:t>
      </w:r>
      <w:r w:rsidRPr="001C7906">
        <w:rPr>
          <w:noProof/>
          <w:sz w:val="18"/>
        </w:rPr>
        <w:tab/>
        <w:t xml:space="preserve">Denvir, A.; García-Oliva, F.; Arima, E. Y.; Latorre-Cárdenas, M. C.; González-Rodríguez, A.; Young, K. R.; De La Cruz, L. I. L. Sustainability Implications of Carbon Dynamics on the Avocado Frontier. </w:t>
      </w:r>
      <w:r w:rsidRPr="001C7906">
        <w:rPr>
          <w:i/>
          <w:iCs/>
          <w:noProof/>
          <w:sz w:val="18"/>
        </w:rPr>
        <w:t>Agric. Ecosyst. Environ.</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359</w:t>
      </w:r>
      <w:r w:rsidRPr="001C7906">
        <w:rPr>
          <w:noProof/>
          <w:sz w:val="18"/>
        </w:rPr>
        <w:t xml:space="preserve"> (September 2023). https://doi.org/10.1016/j.agee.2023.108746.</w:t>
      </w:r>
    </w:p>
    <w:p w14:paraId="2E7BBB75"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71.</w:t>
      </w:r>
      <w:r w:rsidRPr="001C7906">
        <w:rPr>
          <w:noProof/>
          <w:sz w:val="18"/>
        </w:rPr>
        <w:tab/>
        <w:t xml:space="preserve">Torres, A. </w:t>
      </w:r>
      <w:r w:rsidRPr="001C7906">
        <w:rPr>
          <w:i/>
          <w:iCs/>
          <w:noProof/>
          <w:sz w:val="18"/>
        </w:rPr>
        <w:t>Manual Del Cultivo Del Palto</w:t>
      </w:r>
      <w:r w:rsidRPr="001C7906">
        <w:rPr>
          <w:noProof/>
          <w:sz w:val="18"/>
        </w:rPr>
        <w:t>, Boletín IN.; Andrea Torres, INIA, Eds.; INIA: Santiago, Chile, 2017.</w:t>
      </w:r>
    </w:p>
    <w:p w14:paraId="5BD336D1"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72.</w:t>
      </w:r>
      <w:r w:rsidRPr="001C7906">
        <w:rPr>
          <w:noProof/>
          <w:sz w:val="18"/>
        </w:rPr>
        <w:tab/>
        <w:t xml:space="preserve">Díaz‑Siefer, P.; Fontúrbel, F. E.; Berasaluce, M.; Huenchuleo, C.; Lal, R.; Mondaca, P.; Juan L. Celis‑Diez. The Market–Society–Policy Nexus in Sustainable Agriculture. </w:t>
      </w:r>
      <w:r w:rsidRPr="001C7906">
        <w:rPr>
          <w:i/>
          <w:iCs/>
          <w:noProof/>
          <w:sz w:val="18"/>
        </w:rPr>
        <w:t>Environ. Dev. Sustain.</w:t>
      </w:r>
      <w:r w:rsidRPr="001C7906">
        <w:rPr>
          <w:noProof/>
          <w:sz w:val="18"/>
        </w:rPr>
        <w:t xml:space="preserve"> </w:t>
      </w:r>
      <w:r w:rsidRPr="001C7906">
        <w:rPr>
          <w:b/>
          <w:bCs/>
          <w:noProof/>
          <w:sz w:val="18"/>
        </w:rPr>
        <w:t>2022</w:t>
      </w:r>
      <w:r w:rsidRPr="001C7906">
        <w:rPr>
          <w:noProof/>
          <w:sz w:val="18"/>
        </w:rPr>
        <w:t xml:space="preserve">, </w:t>
      </w:r>
      <w:r w:rsidRPr="001C7906">
        <w:rPr>
          <w:i/>
          <w:iCs/>
          <w:noProof/>
          <w:sz w:val="18"/>
        </w:rPr>
        <w:t>26</w:t>
      </w:r>
      <w:r w:rsidRPr="001C7906">
        <w:rPr>
          <w:noProof/>
          <w:sz w:val="18"/>
        </w:rPr>
        <w:t>, 29981–30000. https://doi.org/10.1007/s10668-022-02691-y.</w:t>
      </w:r>
    </w:p>
    <w:p w14:paraId="50EADC6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73.</w:t>
      </w:r>
      <w:r w:rsidRPr="001C7906">
        <w:rPr>
          <w:noProof/>
          <w:sz w:val="18"/>
        </w:rPr>
        <w:tab/>
        <w:t xml:space="preserve">Ramírez, M. I.; Špirić, J.; Orozco-Meléndez, F.; Merlo-Reyes, A. Sustainability of the Community Model of Avocado Production in the Monarch Butterfly Biosphere Reserve, Michoacán, México. </w:t>
      </w:r>
      <w:r w:rsidRPr="001C7906">
        <w:rPr>
          <w:i/>
          <w:iCs/>
          <w:noProof/>
          <w:sz w:val="18"/>
        </w:rPr>
        <w:t>GeoJournal</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89</w:t>
      </w:r>
      <w:r w:rsidRPr="001C7906">
        <w:rPr>
          <w:noProof/>
          <w:sz w:val="18"/>
        </w:rPr>
        <w:t xml:space="preserve"> (5), 1–15. https://doi.org/10.1007/s10708-024-11195-3.</w:t>
      </w:r>
    </w:p>
    <w:p w14:paraId="5D16F5A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lastRenderedPageBreak/>
        <w:t>74.</w:t>
      </w:r>
      <w:r w:rsidRPr="001C7906">
        <w:rPr>
          <w:noProof/>
          <w:sz w:val="18"/>
        </w:rPr>
        <w:tab/>
        <w:t xml:space="preserve">Duran-Llacer, I.; Rodríguez-López, L.; Arumí, J. L.; Martínez-Retureta, R.; Urrutia, R. </w:t>
      </w:r>
      <w:r w:rsidRPr="001C7906">
        <w:rPr>
          <w:i/>
          <w:iCs/>
          <w:noProof/>
          <w:sz w:val="18"/>
        </w:rPr>
        <w:t>Ecosistemas Dependientes de Las Aguas Subterráneas En Ambientes Semiáridos</w:t>
      </w:r>
      <w:r w:rsidRPr="001C7906">
        <w:rPr>
          <w:noProof/>
          <w:sz w:val="18"/>
        </w:rPr>
        <w:t>, SERIE COMU.; CRHIAM, Ed.; CHRIAM: Concepción, Chile, 2024.</w:t>
      </w:r>
    </w:p>
    <w:p w14:paraId="54DBAA8A"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75.</w:t>
      </w:r>
      <w:r w:rsidRPr="001C7906">
        <w:rPr>
          <w:noProof/>
          <w:sz w:val="18"/>
        </w:rPr>
        <w:tab/>
        <w:t xml:space="preserve">Abd-Elaty, I.; Ramadan, E. M.; Elbagory, I. A.; Nosair, A. M.; Kuriqi, A.; Garrote, L.; Ahmed, A. A. Optimizing Irrigation Systems for Water Efficiency and Groundwater Sustainability in the Coastal Nile Delta. </w:t>
      </w:r>
      <w:r w:rsidRPr="001C7906">
        <w:rPr>
          <w:i/>
          <w:iCs/>
          <w:noProof/>
          <w:sz w:val="18"/>
        </w:rPr>
        <w:t>Agric. Water Manag.</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304</w:t>
      </w:r>
      <w:r w:rsidRPr="001C7906">
        <w:rPr>
          <w:noProof/>
          <w:sz w:val="18"/>
        </w:rPr>
        <w:t xml:space="preserve"> (May), 109064. https://doi.org/10.1016/j.agwat.2024.109064.</w:t>
      </w:r>
    </w:p>
    <w:p w14:paraId="0A2A4EEC"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76.</w:t>
      </w:r>
      <w:r w:rsidRPr="001C7906">
        <w:rPr>
          <w:noProof/>
          <w:sz w:val="18"/>
        </w:rPr>
        <w:tab/>
        <w:t xml:space="preserve">Xing, Y.; Wang, X. Precision Agriculture and Water Conservation Strategies for Sustainable Crop Production in Arid Regions. </w:t>
      </w:r>
      <w:r w:rsidRPr="001C7906">
        <w:rPr>
          <w:i/>
          <w:iCs/>
          <w:noProof/>
          <w:sz w:val="18"/>
        </w:rPr>
        <w:t>Plants</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13</w:t>
      </w:r>
      <w:r w:rsidRPr="001C7906">
        <w:rPr>
          <w:noProof/>
          <w:sz w:val="18"/>
        </w:rPr>
        <w:t xml:space="preserve"> (22). https://doi.org/10.3390/plants13223184.</w:t>
      </w:r>
    </w:p>
    <w:p w14:paraId="14225E99"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77.</w:t>
      </w:r>
      <w:r w:rsidRPr="001C7906">
        <w:rPr>
          <w:noProof/>
          <w:sz w:val="18"/>
        </w:rPr>
        <w:tab/>
        <w:t xml:space="preserve">Edvan, R. L.; Mota, R. R. M.; Dias-Silva, T. P.; do Nascimento, R. R.; de Sousa, S. V.; da Silva, A. L.; Araújo, M. J. de; Araújo, J. S. Resilience of Cactus Pear Genotypes in a Tropical Semi-Arid Region Subject to Climatic Cultivation Restriction. </w:t>
      </w:r>
      <w:r w:rsidRPr="001C7906">
        <w:rPr>
          <w:i/>
          <w:iCs/>
          <w:noProof/>
          <w:sz w:val="18"/>
        </w:rPr>
        <w:t>Sci. Rep.</w:t>
      </w:r>
      <w:r w:rsidRPr="001C7906">
        <w:rPr>
          <w:noProof/>
          <w:sz w:val="18"/>
        </w:rPr>
        <w:t xml:space="preserve"> </w:t>
      </w:r>
      <w:r w:rsidRPr="001C7906">
        <w:rPr>
          <w:b/>
          <w:bCs/>
          <w:noProof/>
          <w:sz w:val="18"/>
        </w:rPr>
        <w:t>2020</w:t>
      </w:r>
      <w:r w:rsidRPr="001C7906">
        <w:rPr>
          <w:noProof/>
          <w:sz w:val="18"/>
        </w:rPr>
        <w:t xml:space="preserve">, </w:t>
      </w:r>
      <w:r w:rsidRPr="001C7906">
        <w:rPr>
          <w:i/>
          <w:iCs/>
          <w:noProof/>
          <w:sz w:val="18"/>
        </w:rPr>
        <w:t>10</w:t>
      </w:r>
      <w:r w:rsidRPr="001C7906">
        <w:rPr>
          <w:noProof/>
          <w:sz w:val="18"/>
        </w:rPr>
        <w:t xml:space="preserve"> (1), 1–10. https://doi.org/10.1038/s41598-020-66972-0.</w:t>
      </w:r>
    </w:p>
    <w:p w14:paraId="0593C32A" w14:textId="77777777" w:rsidR="001C7906" w:rsidRPr="001C7906" w:rsidRDefault="001C7906" w:rsidP="001C7906">
      <w:pPr>
        <w:widowControl w:val="0"/>
        <w:autoSpaceDE w:val="0"/>
        <w:autoSpaceDN w:val="0"/>
        <w:adjustRightInd w:val="0"/>
        <w:spacing w:line="240" w:lineRule="auto"/>
        <w:ind w:left="640" w:hanging="640"/>
        <w:rPr>
          <w:noProof/>
          <w:sz w:val="18"/>
        </w:rPr>
      </w:pPr>
      <w:r w:rsidRPr="001C7906">
        <w:rPr>
          <w:noProof/>
          <w:sz w:val="18"/>
        </w:rPr>
        <w:t>78.</w:t>
      </w:r>
      <w:r w:rsidRPr="001C7906">
        <w:rPr>
          <w:noProof/>
          <w:sz w:val="18"/>
        </w:rPr>
        <w:tab/>
        <w:t xml:space="preserve">Loukili, E. H.; Merzouki, M.; Taibi, M.; Elbouzidi, A.; Hammouti, B.; Kumar Yadav, K.; Khalid, M.; Addi, M.; Ramdani, M.; Kumar, P.; Ryeol Choi, J. Phytochemical, Biological, and Nutritional Properties of the Prickly Pear, Opuntia Dillenii: A Review. </w:t>
      </w:r>
      <w:r w:rsidRPr="001C7906">
        <w:rPr>
          <w:i/>
          <w:iCs/>
          <w:noProof/>
          <w:sz w:val="18"/>
        </w:rPr>
        <w:t>Saudi Pharm. J.</w:t>
      </w:r>
      <w:r w:rsidRPr="001C7906">
        <w:rPr>
          <w:noProof/>
          <w:sz w:val="18"/>
        </w:rPr>
        <w:t xml:space="preserve"> </w:t>
      </w:r>
      <w:r w:rsidRPr="001C7906">
        <w:rPr>
          <w:b/>
          <w:bCs/>
          <w:noProof/>
          <w:sz w:val="18"/>
        </w:rPr>
        <w:t>2024</w:t>
      </w:r>
      <w:r w:rsidRPr="001C7906">
        <w:rPr>
          <w:noProof/>
          <w:sz w:val="18"/>
        </w:rPr>
        <w:t xml:space="preserve">, </w:t>
      </w:r>
      <w:r w:rsidRPr="001C7906">
        <w:rPr>
          <w:i/>
          <w:iCs/>
          <w:noProof/>
          <w:sz w:val="18"/>
        </w:rPr>
        <w:t>32</w:t>
      </w:r>
      <w:r w:rsidRPr="001C7906">
        <w:rPr>
          <w:noProof/>
          <w:sz w:val="18"/>
        </w:rPr>
        <w:t xml:space="preserve"> (10), 102167. https://doi.org/10.1016/j.jsps.2024.102167.</w:t>
      </w:r>
    </w:p>
    <w:p w14:paraId="047724CE" w14:textId="1C2BDF56" w:rsidR="00017A3E" w:rsidRPr="00242122" w:rsidRDefault="00017A3E" w:rsidP="00C74E13">
      <w:pPr>
        <w:pStyle w:val="MDPI21heading1"/>
        <w:spacing w:before="0" w:after="0" w:line="240" w:lineRule="auto"/>
        <w:ind w:left="0"/>
        <w:jc w:val="both"/>
      </w:pPr>
      <w:r w:rsidRPr="00C74E13">
        <w:rPr>
          <w:sz w:val="18"/>
          <w:szCs w:val="18"/>
        </w:rPr>
        <w:fldChar w:fldCharType="end"/>
      </w:r>
    </w:p>
    <w:p w14:paraId="0BD31B6F" w14:textId="77777777" w:rsidR="005344F3" w:rsidRPr="00E65348" w:rsidRDefault="00E65348" w:rsidP="00242122">
      <w:pPr>
        <w:pStyle w:val="MDPI63notes"/>
      </w:pPr>
      <w:r w:rsidRPr="00E65348">
        <w:rPr>
          <w:b/>
        </w:rPr>
        <w:t>Disclaimer/Publisher’s Note:</w:t>
      </w:r>
      <w:r w:rsidRPr="00E65348">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5344F3" w:rsidRPr="00E65348" w:rsidSect="00242122">
      <w:headerReference w:type="even" r:id="rId42"/>
      <w:headerReference w:type="default" r:id="rId43"/>
      <w:headerReference w:type="first" r:id="rId44"/>
      <w:footerReference w:type="first" r:id="rId45"/>
      <w:type w:val="continuous"/>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FD98" w14:textId="77777777" w:rsidR="00D84596" w:rsidRDefault="00D84596">
      <w:pPr>
        <w:spacing w:line="240" w:lineRule="auto"/>
      </w:pPr>
      <w:r>
        <w:separator/>
      </w:r>
    </w:p>
  </w:endnote>
  <w:endnote w:type="continuationSeparator" w:id="0">
    <w:p w14:paraId="1BE06BFC" w14:textId="77777777" w:rsidR="00D84596" w:rsidRDefault="00D845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19E1" w14:textId="77777777" w:rsidR="00517D96" w:rsidRPr="00B32899" w:rsidRDefault="00517D96" w:rsidP="00307DBD">
    <w:pPr>
      <w:pBdr>
        <w:top w:val="single" w:sz="4" w:space="0" w:color="000000"/>
      </w:pBdr>
      <w:adjustRightInd w:val="0"/>
      <w:snapToGrid w:val="0"/>
      <w:spacing w:before="480" w:line="100" w:lineRule="exact"/>
      <w:rPr>
        <w:i/>
        <w:sz w:val="16"/>
        <w:szCs w:val="16"/>
        <w:lang w:val="fr-CH"/>
      </w:rPr>
    </w:pPr>
  </w:p>
  <w:p w14:paraId="3E07A12F" w14:textId="77777777" w:rsidR="006F167E" w:rsidRPr="00B32899" w:rsidRDefault="006F167E" w:rsidP="00531A28">
    <w:pPr>
      <w:tabs>
        <w:tab w:val="right" w:pos="10466"/>
      </w:tabs>
      <w:spacing w:line="240" w:lineRule="auto"/>
      <w:rPr>
        <w:sz w:val="16"/>
        <w:szCs w:val="16"/>
        <w:lang w:val="fr-CH"/>
      </w:rPr>
    </w:pPr>
    <w:r w:rsidRPr="00B32899">
      <w:rPr>
        <w:i/>
        <w:sz w:val="16"/>
        <w:szCs w:val="16"/>
        <w:lang w:val="fr-CH"/>
      </w:rPr>
      <w:t>Land</w:t>
    </w:r>
    <w:r w:rsidRPr="00B32899">
      <w:rPr>
        <w:sz w:val="16"/>
        <w:szCs w:val="16"/>
        <w:lang w:val="fr-CH"/>
      </w:rPr>
      <w:t xml:space="preserve"> </w:t>
    </w:r>
    <w:r w:rsidR="00242122" w:rsidRPr="00B32899">
      <w:rPr>
        <w:b/>
        <w:sz w:val="16"/>
        <w:szCs w:val="16"/>
        <w:lang w:val="fr-CH"/>
      </w:rPr>
      <w:t>2025</w:t>
    </w:r>
    <w:r w:rsidR="00934062" w:rsidRPr="00B32899">
      <w:rPr>
        <w:sz w:val="16"/>
        <w:szCs w:val="16"/>
        <w:lang w:val="fr-CH"/>
      </w:rPr>
      <w:t>,</w:t>
    </w:r>
    <w:r w:rsidR="00242122" w:rsidRPr="00B32899">
      <w:rPr>
        <w:i/>
        <w:sz w:val="16"/>
        <w:szCs w:val="16"/>
        <w:lang w:val="fr-CH"/>
      </w:rPr>
      <w:t xml:space="preserve"> 14</w:t>
    </w:r>
    <w:r w:rsidR="00934062" w:rsidRPr="00B32899">
      <w:rPr>
        <w:sz w:val="16"/>
        <w:szCs w:val="16"/>
        <w:lang w:val="fr-CH"/>
      </w:rPr>
      <w:t xml:space="preserve">, </w:t>
    </w:r>
    <w:r w:rsidR="009C3138" w:rsidRPr="00B32899">
      <w:rPr>
        <w:sz w:val="16"/>
        <w:szCs w:val="16"/>
        <w:lang w:val="fr-CH"/>
      </w:rPr>
      <w:t>x</w:t>
    </w:r>
    <w:r w:rsidR="00531A28" w:rsidRPr="00B32899">
      <w:rPr>
        <w:sz w:val="16"/>
        <w:szCs w:val="16"/>
        <w:lang w:val="fr-CH"/>
      </w:rPr>
      <w:tab/>
    </w:r>
    <w:r w:rsidR="00242122" w:rsidRPr="00B32899">
      <w:rPr>
        <w:sz w:val="16"/>
        <w:szCs w:val="16"/>
        <w:lang w:val="fr-CH"/>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7A70" w14:textId="77777777" w:rsidR="00D84596" w:rsidRDefault="00D84596">
      <w:pPr>
        <w:spacing w:line="240" w:lineRule="auto"/>
      </w:pPr>
      <w:r>
        <w:separator/>
      </w:r>
    </w:p>
  </w:footnote>
  <w:footnote w:type="continuationSeparator" w:id="0">
    <w:p w14:paraId="6B1ADA36" w14:textId="77777777" w:rsidR="00D84596" w:rsidRDefault="00D845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E73A" w14:textId="77777777" w:rsidR="006F167E" w:rsidRDefault="006F167E" w:rsidP="006F167E">
    <w:pPr>
      <w:pStyle w:val="Encabezad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2FC2" w14:textId="77777777" w:rsidR="00517D96" w:rsidRPr="00242122" w:rsidRDefault="006F167E" w:rsidP="00531A28">
    <w:pPr>
      <w:tabs>
        <w:tab w:val="right" w:pos="10466"/>
      </w:tabs>
      <w:adjustRightInd w:val="0"/>
      <w:snapToGrid w:val="0"/>
      <w:spacing w:line="240" w:lineRule="auto"/>
      <w:rPr>
        <w:sz w:val="16"/>
      </w:rPr>
    </w:pPr>
    <w:r>
      <w:rPr>
        <w:i/>
        <w:sz w:val="16"/>
      </w:rPr>
      <w:t xml:space="preserve">Land </w:t>
    </w:r>
    <w:r w:rsidR="00242122">
      <w:rPr>
        <w:b/>
        <w:sz w:val="16"/>
      </w:rPr>
      <w:t>2025</w:t>
    </w:r>
    <w:r w:rsidR="00934062" w:rsidRPr="00934062">
      <w:rPr>
        <w:sz w:val="16"/>
      </w:rPr>
      <w:t>,</w:t>
    </w:r>
    <w:r w:rsidR="00242122">
      <w:rPr>
        <w:i/>
        <w:sz w:val="16"/>
      </w:rPr>
      <w:t xml:space="preserve"> 14</w:t>
    </w:r>
    <w:r w:rsidR="009C3138">
      <w:rPr>
        <w:sz w:val="16"/>
      </w:rPr>
      <w:t xml:space="preserve">, x </w:t>
    </w:r>
    <w:r w:rsidR="00242122">
      <w:rPr>
        <w:sz w:val="16"/>
      </w:rPr>
      <w:t>FOR PEER REVIEW</w:t>
    </w:r>
    <w:r w:rsidR="00242122">
      <w:rPr>
        <w:sz w:val="16"/>
      </w:rPr>
      <w:ptab w:relativeTo="margin" w:alignment="right" w:leader="none"/>
    </w:r>
    <w:r w:rsidR="00242122">
      <w:rPr>
        <w:sz w:val="16"/>
      </w:rPr>
      <w:fldChar w:fldCharType="begin"/>
    </w:r>
    <w:r w:rsidR="00242122">
      <w:rPr>
        <w:sz w:val="16"/>
      </w:rPr>
      <w:instrText xml:space="preserve"> PAGE   \* MERGEFORMAT </w:instrText>
    </w:r>
    <w:r w:rsidR="00242122">
      <w:rPr>
        <w:sz w:val="16"/>
      </w:rPr>
      <w:fldChar w:fldCharType="separate"/>
    </w:r>
    <w:r w:rsidR="00242122">
      <w:rPr>
        <w:sz w:val="16"/>
      </w:rPr>
      <w:t>2</w:t>
    </w:r>
    <w:r w:rsidR="00242122">
      <w:rPr>
        <w:sz w:val="16"/>
      </w:rPr>
      <w:fldChar w:fldCharType="end"/>
    </w:r>
    <w:r w:rsidR="00242122">
      <w:rPr>
        <w:sz w:val="16"/>
      </w:rPr>
      <w:t xml:space="preserve"> of </w:t>
    </w:r>
    <w:r w:rsidR="00242122">
      <w:rPr>
        <w:sz w:val="16"/>
      </w:rPr>
      <w:fldChar w:fldCharType="begin"/>
    </w:r>
    <w:r w:rsidR="00242122">
      <w:rPr>
        <w:sz w:val="16"/>
      </w:rPr>
      <w:instrText xml:space="preserve"> NUMPAGES   \* MERGEFORMAT </w:instrText>
    </w:r>
    <w:r w:rsidR="00242122">
      <w:rPr>
        <w:sz w:val="16"/>
      </w:rPr>
      <w:fldChar w:fldCharType="separate"/>
    </w:r>
    <w:r w:rsidR="00242122">
      <w:rPr>
        <w:sz w:val="16"/>
      </w:rPr>
      <w:t>8</w:t>
    </w:r>
    <w:r w:rsidR="00242122">
      <w:rPr>
        <w:sz w:val="16"/>
      </w:rPr>
      <w:fldChar w:fldCharType="end"/>
    </w:r>
  </w:p>
  <w:p w14:paraId="4F30D475" w14:textId="77777777" w:rsidR="006F167E" w:rsidRPr="00F429D9" w:rsidRDefault="006F167E" w:rsidP="00307DBD">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517D96" w:rsidRPr="00531A28" w14:paraId="7EC85081" w14:textId="77777777" w:rsidTr="00085A69">
      <w:trPr>
        <w:trHeight w:val="686"/>
      </w:trPr>
      <w:tc>
        <w:tcPr>
          <w:tcW w:w="3679" w:type="dxa"/>
          <w:shd w:val="clear" w:color="auto" w:fill="auto"/>
          <w:vAlign w:val="center"/>
        </w:tcPr>
        <w:p w14:paraId="5CE63703" w14:textId="77777777" w:rsidR="00517D96" w:rsidRPr="00D61D1F" w:rsidRDefault="00DB5F04" w:rsidP="00531A28">
          <w:pPr>
            <w:pStyle w:val="Encabezado"/>
            <w:pBdr>
              <w:bottom w:val="none" w:sz="0" w:space="0" w:color="auto"/>
            </w:pBdr>
            <w:jc w:val="left"/>
            <w:rPr>
              <w:rFonts w:eastAsia="DengXian"/>
              <w:b/>
              <w:bCs/>
            </w:rPr>
          </w:pPr>
          <w:r>
            <w:rPr>
              <w:rFonts w:eastAsia="DengXian"/>
              <w:b/>
              <w:bCs/>
              <w:noProof/>
            </w:rPr>
            <w:drawing>
              <wp:inline distT="0" distB="0" distL="0" distR="0" wp14:anchorId="54FC8DE4" wp14:editId="77DC46F5">
                <wp:extent cx="930930" cy="432000"/>
                <wp:effectExtent l="0" t="0" r="2540" b="6350"/>
                <wp:docPr id="1575369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69444" name=""/>
                        <pic:cNvPicPr/>
                      </pic:nvPicPr>
                      <pic:blipFill>
                        <a:blip r:embed="rId1"/>
                        <a:stretch>
                          <a:fillRect/>
                        </a:stretch>
                      </pic:blipFill>
                      <pic:spPr>
                        <a:xfrm>
                          <a:off x="0" y="0"/>
                          <a:ext cx="930930" cy="432000"/>
                        </a:xfrm>
                        <a:prstGeom prst="rect">
                          <a:avLst/>
                        </a:prstGeom>
                      </pic:spPr>
                    </pic:pic>
                  </a:graphicData>
                </a:graphic>
              </wp:inline>
            </w:drawing>
          </w:r>
        </w:p>
      </w:tc>
      <w:tc>
        <w:tcPr>
          <w:tcW w:w="4535" w:type="dxa"/>
          <w:shd w:val="clear" w:color="auto" w:fill="auto"/>
          <w:vAlign w:val="center"/>
        </w:tcPr>
        <w:p w14:paraId="06D94C34" w14:textId="77777777" w:rsidR="00517D96" w:rsidRPr="00D61D1F" w:rsidRDefault="00517D96" w:rsidP="00531A28">
          <w:pPr>
            <w:pStyle w:val="Encabezado"/>
            <w:pBdr>
              <w:bottom w:val="none" w:sz="0" w:space="0" w:color="auto"/>
            </w:pBdr>
            <w:rPr>
              <w:rFonts w:eastAsia="DengXian"/>
              <w:b/>
              <w:bCs/>
            </w:rPr>
          </w:pPr>
        </w:p>
      </w:tc>
      <w:tc>
        <w:tcPr>
          <w:tcW w:w="2273" w:type="dxa"/>
          <w:shd w:val="clear" w:color="auto" w:fill="auto"/>
          <w:vAlign w:val="center"/>
        </w:tcPr>
        <w:p w14:paraId="594D1FC3" w14:textId="77777777" w:rsidR="00517D96" w:rsidRPr="00D61D1F" w:rsidRDefault="00085A69" w:rsidP="00085A69">
          <w:pPr>
            <w:pStyle w:val="Encabezado"/>
            <w:pBdr>
              <w:bottom w:val="none" w:sz="0" w:space="0" w:color="auto"/>
            </w:pBdr>
            <w:jc w:val="right"/>
            <w:rPr>
              <w:rFonts w:eastAsia="DengXian"/>
              <w:b/>
              <w:bCs/>
            </w:rPr>
          </w:pPr>
          <w:r>
            <w:rPr>
              <w:rFonts w:eastAsia="DengXian"/>
              <w:b/>
              <w:bCs/>
              <w:noProof/>
            </w:rPr>
            <w:drawing>
              <wp:inline distT="0" distB="0" distL="0" distR="0" wp14:anchorId="589B0AC1" wp14:editId="4EF881BA">
                <wp:extent cx="540000" cy="360000"/>
                <wp:effectExtent l="0" t="0" r="0" b="2540"/>
                <wp:docPr id="316414408" name="Picture 1"/>
                <wp:cNvGraphicFramePr/>
                <a:graphic xmlns:a="http://schemas.openxmlformats.org/drawingml/2006/main">
                  <a:graphicData uri="http://schemas.openxmlformats.org/drawingml/2006/picture">
                    <pic:pic xmlns:pic="http://schemas.openxmlformats.org/drawingml/2006/picture">
                      <pic:nvPicPr>
                        <pic:cNvPr id="316414408" name=""/>
                        <pic:cNvPicPr/>
                      </pic:nvPicPr>
                      <pic:blipFill>
                        <a:blip r:embed="rId2"/>
                        <a:stretch>
                          <a:fillRect/>
                        </a:stretch>
                      </pic:blipFill>
                      <pic:spPr>
                        <a:xfrm>
                          <a:off x="0" y="0"/>
                          <a:ext cx="540000" cy="360000"/>
                        </a:xfrm>
                        <a:prstGeom prst="rect">
                          <a:avLst/>
                        </a:prstGeom>
                      </pic:spPr>
                    </pic:pic>
                  </a:graphicData>
                </a:graphic>
              </wp:inline>
            </w:drawing>
          </w:r>
        </w:p>
      </w:tc>
    </w:tr>
  </w:tbl>
  <w:p w14:paraId="65C56ECE" w14:textId="77777777" w:rsidR="006F167E" w:rsidRPr="00517D96" w:rsidRDefault="006F167E" w:rsidP="00242122">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7892EB42"/>
    <w:lvl w:ilvl="0" w:tplc="B16CF708">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A3CD5"/>
    <w:multiLevelType w:val="hybridMultilevel"/>
    <w:tmpl w:val="B2482216"/>
    <w:lvl w:ilvl="0" w:tplc="E93E769C">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6" w15:restartNumberingAfterBreak="0">
    <w:nsid w:val="315D039D"/>
    <w:multiLevelType w:val="hybridMultilevel"/>
    <w:tmpl w:val="50BC9FDC"/>
    <w:lvl w:ilvl="0" w:tplc="AC5CED12">
      <w:start w:val="1"/>
      <w:numFmt w:val="decimal"/>
      <w:lvlText w:val="%1."/>
      <w:lvlJc w:val="left"/>
      <w:pPr>
        <w:ind w:left="2968" w:hanging="360"/>
      </w:pPr>
      <w:rPr>
        <w:rFonts w:hint="default"/>
      </w:rPr>
    </w:lvl>
    <w:lvl w:ilvl="1" w:tplc="340A0019" w:tentative="1">
      <w:start w:val="1"/>
      <w:numFmt w:val="lowerLetter"/>
      <w:lvlText w:val="%2."/>
      <w:lvlJc w:val="left"/>
      <w:pPr>
        <w:ind w:left="3688" w:hanging="360"/>
      </w:pPr>
    </w:lvl>
    <w:lvl w:ilvl="2" w:tplc="340A001B" w:tentative="1">
      <w:start w:val="1"/>
      <w:numFmt w:val="lowerRoman"/>
      <w:lvlText w:val="%3."/>
      <w:lvlJc w:val="right"/>
      <w:pPr>
        <w:ind w:left="4408" w:hanging="180"/>
      </w:pPr>
    </w:lvl>
    <w:lvl w:ilvl="3" w:tplc="340A000F" w:tentative="1">
      <w:start w:val="1"/>
      <w:numFmt w:val="decimal"/>
      <w:lvlText w:val="%4."/>
      <w:lvlJc w:val="left"/>
      <w:pPr>
        <w:ind w:left="5128" w:hanging="360"/>
      </w:pPr>
    </w:lvl>
    <w:lvl w:ilvl="4" w:tplc="340A0019" w:tentative="1">
      <w:start w:val="1"/>
      <w:numFmt w:val="lowerLetter"/>
      <w:lvlText w:val="%5."/>
      <w:lvlJc w:val="left"/>
      <w:pPr>
        <w:ind w:left="5848" w:hanging="360"/>
      </w:pPr>
    </w:lvl>
    <w:lvl w:ilvl="5" w:tplc="340A001B" w:tentative="1">
      <w:start w:val="1"/>
      <w:numFmt w:val="lowerRoman"/>
      <w:lvlText w:val="%6."/>
      <w:lvlJc w:val="right"/>
      <w:pPr>
        <w:ind w:left="6568" w:hanging="180"/>
      </w:pPr>
    </w:lvl>
    <w:lvl w:ilvl="6" w:tplc="340A000F" w:tentative="1">
      <w:start w:val="1"/>
      <w:numFmt w:val="decimal"/>
      <w:lvlText w:val="%7."/>
      <w:lvlJc w:val="left"/>
      <w:pPr>
        <w:ind w:left="7288" w:hanging="360"/>
      </w:pPr>
    </w:lvl>
    <w:lvl w:ilvl="7" w:tplc="340A0019" w:tentative="1">
      <w:start w:val="1"/>
      <w:numFmt w:val="lowerLetter"/>
      <w:lvlText w:val="%8."/>
      <w:lvlJc w:val="left"/>
      <w:pPr>
        <w:ind w:left="8008" w:hanging="360"/>
      </w:pPr>
    </w:lvl>
    <w:lvl w:ilvl="8" w:tplc="340A001B" w:tentative="1">
      <w:start w:val="1"/>
      <w:numFmt w:val="lowerRoman"/>
      <w:lvlText w:val="%9."/>
      <w:lvlJc w:val="right"/>
      <w:pPr>
        <w:ind w:left="8728"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8720162"/>
    <w:multiLevelType w:val="hybridMultilevel"/>
    <w:tmpl w:val="A59249A6"/>
    <w:lvl w:ilvl="0" w:tplc="3CB08F5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F7329"/>
    <w:multiLevelType w:val="hybridMultilevel"/>
    <w:tmpl w:val="8C16C276"/>
    <w:lvl w:ilvl="0" w:tplc="54AEEA8C">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56D201C9"/>
    <w:multiLevelType w:val="hybridMultilevel"/>
    <w:tmpl w:val="49CC6AAE"/>
    <w:lvl w:ilvl="0" w:tplc="340A000D">
      <w:start w:val="1"/>
      <w:numFmt w:val="bullet"/>
      <w:lvlText w:val=""/>
      <w:lvlJc w:val="left"/>
      <w:pPr>
        <w:ind w:left="2912" w:hanging="360"/>
      </w:pPr>
      <w:rPr>
        <w:rFonts w:ascii="Wingdings" w:hAnsi="Wingdings" w:hint="default"/>
      </w:rPr>
    </w:lvl>
    <w:lvl w:ilvl="1" w:tplc="340A0003" w:tentative="1">
      <w:start w:val="1"/>
      <w:numFmt w:val="bullet"/>
      <w:lvlText w:val="o"/>
      <w:lvlJc w:val="left"/>
      <w:pPr>
        <w:ind w:left="3632" w:hanging="360"/>
      </w:pPr>
      <w:rPr>
        <w:rFonts w:ascii="Courier New" w:hAnsi="Courier New" w:cs="Courier New" w:hint="default"/>
      </w:rPr>
    </w:lvl>
    <w:lvl w:ilvl="2" w:tplc="340A0005" w:tentative="1">
      <w:start w:val="1"/>
      <w:numFmt w:val="bullet"/>
      <w:lvlText w:val=""/>
      <w:lvlJc w:val="left"/>
      <w:pPr>
        <w:ind w:left="4352" w:hanging="360"/>
      </w:pPr>
      <w:rPr>
        <w:rFonts w:ascii="Wingdings" w:hAnsi="Wingdings" w:hint="default"/>
      </w:rPr>
    </w:lvl>
    <w:lvl w:ilvl="3" w:tplc="340A0001" w:tentative="1">
      <w:start w:val="1"/>
      <w:numFmt w:val="bullet"/>
      <w:lvlText w:val=""/>
      <w:lvlJc w:val="left"/>
      <w:pPr>
        <w:ind w:left="5072" w:hanging="360"/>
      </w:pPr>
      <w:rPr>
        <w:rFonts w:ascii="Symbol" w:hAnsi="Symbol" w:hint="default"/>
      </w:rPr>
    </w:lvl>
    <w:lvl w:ilvl="4" w:tplc="340A0003" w:tentative="1">
      <w:start w:val="1"/>
      <w:numFmt w:val="bullet"/>
      <w:lvlText w:val="o"/>
      <w:lvlJc w:val="left"/>
      <w:pPr>
        <w:ind w:left="5792" w:hanging="360"/>
      </w:pPr>
      <w:rPr>
        <w:rFonts w:ascii="Courier New" w:hAnsi="Courier New" w:cs="Courier New" w:hint="default"/>
      </w:rPr>
    </w:lvl>
    <w:lvl w:ilvl="5" w:tplc="340A0005" w:tentative="1">
      <w:start w:val="1"/>
      <w:numFmt w:val="bullet"/>
      <w:lvlText w:val=""/>
      <w:lvlJc w:val="left"/>
      <w:pPr>
        <w:ind w:left="6512" w:hanging="360"/>
      </w:pPr>
      <w:rPr>
        <w:rFonts w:ascii="Wingdings" w:hAnsi="Wingdings" w:hint="default"/>
      </w:rPr>
    </w:lvl>
    <w:lvl w:ilvl="6" w:tplc="340A0001" w:tentative="1">
      <w:start w:val="1"/>
      <w:numFmt w:val="bullet"/>
      <w:lvlText w:val=""/>
      <w:lvlJc w:val="left"/>
      <w:pPr>
        <w:ind w:left="7232" w:hanging="360"/>
      </w:pPr>
      <w:rPr>
        <w:rFonts w:ascii="Symbol" w:hAnsi="Symbol" w:hint="default"/>
      </w:rPr>
    </w:lvl>
    <w:lvl w:ilvl="7" w:tplc="340A0003" w:tentative="1">
      <w:start w:val="1"/>
      <w:numFmt w:val="bullet"/>
      <w:lvlText w:val="o"/>
      <w:lvlJc w:val="left"/>
      <w:pPr>
        <w:ind w:left="7952" w:hanging="360"/>
      </w:pPr>
      <w:rPr>
        <w:rFonts w:ascii="Courier New" w:hAnsi="Courier New" w:cs="Courier New" w:hint="default"/>
      </w:rPr>
    </w:lvl>
    <w:lvl w:ilvl="8" w:tplc="340A0005" w:tentative="1">
      <w:start w:val="1"/>
      <w:numFmt w:val="bullet"/>
      <w:lvlText w:val=""/>
      <w:lvlJc w:val="left"/>
      <w:pPr>
        <w:ind w:left="8672" w:hanging="360"/>
      </w:pPr>
      <w:rPr>
        <w:rFonts w:ascii="Wingdings" w:hAnsi="Wingdings" w:hint="default"/>
      </w:r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712183">
    <w:abstractNumId w:val="3"/>
  </w:num>
  <w:num w:numId="2" w16cid:durableId="1760567173">
    <w:abstractNumId w:val="7"/>
  </w:num>
  <w:num w:numId="3" w16cid:durableId="137261604">
    <w:abstractNumId w:val="2"/>
  </w:num>
  <w:num w:numId="4" w16cid:durableId="11717504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6606501">
    <w:abstractNumId w:val="4"/>
  </w:num>
  <w:num w:numId="6" w16cid:durableId="1806389369">
    <w:abstractNumId w:val="11"/>
  </w:num>
  <w:num w:numId="7" w16cid:durableId="456023373">
    <w:abstractNumId w:val="1"/>
  </w:num>
  <w:num w:numId="8" w16cid:durableId="1921520561">
    <w:abstractNumId w:val="11"/>
  </w:num>
  <w:num w:numId="9" w16cid:durableId="888760380">
    <w:abstractNumId w:val="1"/>
  </w:num>
  <w:num w:numId="10" w16cid:durableId="305545791">
    <w:abstractNumId w:val="11"/>
  </w:num>
  <w:num w:numId="11" w16cid:durableId="2001497881">
    <w:abstractNumId w:val="1"/>
  </w:num>
  <w:num w:numId="12" w16cid:durableId="1244101067">
    <w:abstractNumId w:val="13"/>
  </w:num>
  <w:num w:numId="13" w16cid:durableId="1417359616">
    <w:abstractNumId w:val="11"/>
  </w:num>
  <w:num w:numId="14" w16cid:durableId="585000988">
    <w:abstractNumId w:val="1"/>
  </w:num>
  <w:num w:numId="15" w16cid:durableId="1672565191">
    <w:abstractNumId w:val="0"/>
  </w:num>
  <w:num w:numId="16" w16cid:durableId="92945873">
    <w:abstractNumId w:val="10"/>
  </w:num>
  <w:num w:numId="17" w16cid:durableId="193003771">
    <w:abstractNumId w:val="0"/>
  </w:num>
  <w:num w:numId="18" w16cid:durableId="934020768">
    <w:abstractNumId w:val="11"/>
  </w:num>
  <w:num w:numId="19" w16cid:durableId="86118899">
    <w:abstractNumId w:val="1"/>
  </w:num>
  <w:num w:numId="20" w16cid:durableId="1732576646">
    <w:abstractNumId w:val="0"/>
  </w:num>
  <w:num w:numId="21" w16cid:durableId="703099906">
    <w:abstractNumId w:val="8"/>
  </w:num>
  <w:num w:numId="22" w16cid:durableId="1705599598">
    <w:abstractNumId w:val="5"/>
  </w:num>
  <w:num w:numId="23" w16cid:durableId="586426367">
    <w:abstractNumId w:val="9"/>
  </w:num>
  <w:num w:numId="24" w16cid:durableId="1784568900">
    <w:abstractNumId w:val="6"/>
  </w:num>
  <w:num w:numId="25" w16cid:durableId="108822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E3"/>
    <w:rsid w:val="00001260"/>
    <w:rsid w:val="00004096"/>
    <w:rsid w:val="000166E2"/>
    <w:rsid w:val="00017A3E"/>
    <w:rsid w:val="000205A1"/>
    <w:rsid w:val="000300DB"/>
    <w:rsid w:val="0003432F"/>
    <w:rsid w:val="00035F3C"/>
    <w:rsid w:val="00036D1D"/>
    <w:rsid w:val="00040E2B"/>
    <w:rsid w:val="00042640"/>
    <w:rsid w:val="00055084"/>
    <w:rsid w:val="00061464"/>
    <w:rsid w:val="0006560A"/>
    <w:rsid w:val="000665F6"/>
    <w:rsid w:val="000712F2"/>
    <w:rsid w:val="00081D1C"/>
    <w:rsid w:val="00085A69"/>
    <w:rsid w:val="00091AB1"/>
    <w:rsid w:val="00092A04"/>
    <w:rsid w:val="00093C27"/>
    <w:rsid w:val="00093E06"/>
    <w:rsid w:val="000955B3"/>
    <w:rsid w:val="00095BDA"/>
    <w:rsid w:val="00095E6A"/>
    <w:rsid w:val="000A2FAB"/>
    <w:rsid w:val="000A54FD"/>
    <w:rsid w:val="000B0F47"/>
    <w:rsid w:val="000B3B50"/>
    <w:rsid w:val="000C1077"/>
    <w:rsid w:val="000C200D"/>
    <w:rsid w:val="000D2A73"/>
    <w:rsid w:val="000D4FB2"/>
    <w:rsid w:val="000D7C82"/>
    <w:rsid w:val="000E5CEA"/>
    <w:rsid w:val="000F7A8A"/>
    <w:rsid w:val="00114763"/>
    <w:rsid w:val="00126A0A"/>
    <w:rsid w:val="00144D21"/>
    <w:rsid w:val="00151807"/>
    <w:rsid w:val="0015349C"/>
    <w:rsid w:val="00155C7C"/>
    <w:rsid w:val="0016343D"/>
    <w:rsid w:val="00166249"/>
    <w:rsid w:val="001668E5"/>
    <w:rsid w:val="00166D3C"/>
    <w:rsid w:val="00171199"/>
    <w:rsid w:val="0017708A"/>
    <w:rsid w:val="0019710A"/>
    <w:rsid w:val="001A4846"/>
    <w:rsid w:val="001B2654"/>
    <w:rsid w:val="001B6D9B"/>
    <w:rsid w:val="001B7486"/>
    <w:rsid w:val="001B7F6F"/>
    <w:rsid w:val="001C7906"/>
    <w:rsid w:val="001D4CE9"/>
    <w:rsid w:val="001D4F53"/>
    <w:rsid w:val="001D6243"/>
    <w:rsid w:val="001E02B4"/>
    <w:rsid w:val="001E2113"/>
    <w:rsid w:val="001E2AEB"/>
    <w:rsid w:val="001F2B37"/>
    <w:rsid w:val="001F537D"/>
    <w:rsid w:val="00211F9C"/>
    <w:rsid w:val="00215E92"/>
    <w:rsid w:val="002179EB"/>
    <w:rsid w:val="0022251F"/>
    <w:rsid w:val="002229AE"/>
    <w:rsid w:val="0022379D"/>
    <w:rsid w:val="0022520C"/>
    <w:rsid w:val="00232636"/>
    <w:rsid w:val="00232F3D"/>
    <w:rsid w:val="002372C8"/>
    <w:rsid w:val="00240429"/>
    <w:rsid w:val="00241710"/>
    <w:rsid w:val="00242122"/>
    <w:rsid w:val="00261300"/>
    <w:rsid w:val="00261A9D"/>
    <w:rsid w:val="00261CDE"/>
    <w:rsid w:val="00262546"/>
    <w:rsid w:val="0027081A"/>
    <w:rsid w:val="002741A6"/>
    <w:rsid w:val="00276584"/>
    <w:rsid w:val="00282BA1"/>
    <w:rsid w:val="00285003"/>
    <w:rsid w:val="00285509"/>
    <w:rsid w:val="00287C40"/>
    <w:rsid w:val="00293DC0"/>
    <w:rsid w:val="002A675D"/>
    <w:rsid w:val="002A7920"/>
    <w:rsid w:val="002C1CBF"/>
    <w:rsid w:val="002D7B00"/>
    <w:rsid w:val="002E1C1B"/>
    <w:rsid w:val="002E3D6C"/>
    <w:rsid w:val="002F0BAE"/>
    <w:rsid w:val="002F441B"/>
    <w:rsid w:val="002F7CA0"/>
    <w:rsid w:val="00307A89"/>
    <w:rsid w:val="00307DBD"/>
    <w:rsid w:val="00312275"/>
    <w:rsid w:val="003152C1"/>
    <w:rsid w:val="00317DAC"/>
    <w:rsid w:val="00322BA9"/>
    <w:rsid w:val="00326141"/>
    <w:rsid w:val="003268D7"/>
    <w:rsid w:val="003327CA"/>
    <w:rsid w:val="00344D30"/>
    <w:rsid w:val="00345ED6"/>
    <w:rsid w:val="00347E08"/>
    <w:rsid w:val="003513EB"/>
    <w:rsid w:val="0035261F"/>
    <w:rsid w:val="00352FE1"/>
    <w:rsid w:val="003549EA"/>
    <w:rsid w:val="003552F9"/>
    <w:rsid w:val="0036231D"/>
    <w:rsid w:val="0036342A"/>
    <w:rsid w:val="00366BDC"/>
    <w:rsid w:val="0037222D"/>
    <w:rsid w:val="003732DA"/>
    <w:rsid w:val="0038713D"/>
    <w:rsid w:val="003876CF"/>
    <w:rsid w:val="00391B5D"/>
    <w:rsid w:val="0039243C"/>
    <w:rsid w:val="003A2C94"/>
    <w:rsid w:val="003B2C7D"/>
    <w:rsid w:val="003B334A"/>
    <w:rsid w:val="003C6A0E"/>
    <w:rsid w:val="003D5A97"/>
    <w:rsid w:val="003D74C0"/>
    <w:rsid w:val="003E10C0"/>
    <w:rsid w:val="003E6AC0"/>
    <w:rsid w:val="003E7690"/>
    <w:rsid w:val="003E7BFC"/>
    <w:rsid w:val="004013C3"/>
    <w:rsid w:val="00401D30"/>
    <w:rsid w:val="00406AF9"/>
    <w:rsid w:val="00406F6B"/>
    <w:rsid w:val="00416DF0"/>
    <w:rsid w:val="00417C26"/>
    <w:rsid w:val="00432A0F"/>
    <w:rsid w:val="00447018"/>
    <w:rsid w:val="00451E81"/>
    <w:rsid w:val="0045242D"/>
    <w:rsid w:val="004545F0"/>
    <w:rsid w:val="00454F7E"/>
    <w:rsid w:val="004571FC"/>
    <w:rsid w:val="00457D68"/>
    <w:rsid w:val="00460AD2"/>
    <w:rsid w:val="0046260E"/>
    <w:rsid w:val="004646E1"/>
    <w:rsid w:val="0047210E"/>
    <w:rsid w:val="0047387D"/>
    <w:rsid w:val="00476140"/>
    <w:rsid w:val="00480C00"/>
    <w:rsid w:val="00483573"/>
    <w:rsid w:val="00487211"/>
    <w:rsid w:val="00490E0B"/>
    <w:rsid w:val="004940C1"/>
    <w:rsid w:val="004971A8"/>
    <w:rsid w:val="004A3FB8"/>
    <w:rsid w:val="004B02F5"/>
    <w:rsid w:val="004B1B0D"/>
    <w:rsid w:val="004B3668"/>
    <w:rsid w:val="004C655A"/>
    <w:rsid w:val="004C666B"/>
    <w:rsid w:val="004D0DC0"/>
    <w:rsid w:val="004D5291"/>
    <w:rsid w:val="004D72E4"/>
    <w:rsid w:val="004E10E8"/>
    <w:rsid w:val="004E18D1"/>
    <w:rsid w:val="004E2CB3"/>
    <w:rsid w:val="004E36A4"/>
    <w:rsid w:val="004E7DDE"/>
    <w:rsid w:val="004F0B24"/>
    <w:rsid w:val="004F275B"/>
    <w:rsid w:val="00500CCD"/>
    <w:rsid w:val="00502890"/>
    <w:rsid w:val="00517972"/>
    <w:rsid w:val="00517D96"/>
    <w:rsid w:val="00525B5A"/>
    <w:rsid w:val="005273D1"/>
    <w:rsid w:val="0053054B"/>
    <w:rsid w:val="00531A28"/>
    <w:rsid w:val="00533C42"/>
    <w:rsid w:val="0053429A"/>
    <w:rsid w:val="005344F3"/>
    <w:rsid w:val="00542A8F"/>
    <w:rsid w:val="005510A8"/>
    <w:rsid w:val="005526D8"/>
    <w:rsid w:val="0056112C"/>
    <w:rsid w:val="00562886"/>
    <w:rsid w:val="00563FFE"/>
    <w:rsid w:val="00575B76"/>
    <w:rsid w:val="0058033F"/>
    <w:rsid w:val="005851E5"/>
    <w:rsid w:val="005A043F"/>
    <w:rsid w:val="005A2726"/>
    <w:rsid w:val="005B0BA5"/>
    <w:rsid w:val="005B2648"/>
    <w:rsid w:val="005B4812"/>
    <w:rsid w:val="005B5D15"/>
    <w:rsid w:val="005C053E"/>
    <w:rsid w:val="005C61B4"/>
    <w:rsid w:val="005C7C28"/>
    <w:rsid w:val="005D2C3A"/>
    <w:rsid w:val="005D3DDB"/>
    <w:rsid w:val="005E189F"/>
    <w:rsid w:val="005E1C32"/>
    <w:rsid w:val="005E1C44"/>
    <w:rsid w:val="005E5221"/>
    <w:rsid w:val="005F0862"/>
    <w:rsid w:val="005F573B"/>
    <w:rsid w:val="005F7452"/>
    <w:rsid w:val="006059F2"/>
    <w:rsid w:val="00606C4E"/>
    <w:rsid w:val="00621163"/>
    <w:rsid w:val="00630160"/>
    <w:rsid w:val="00633D4D"/>
    <w:rsid w:val="006348D9"/>
    <w:rsid w:val="00636065"/>
    <w:rsid w:val="00636950"/>
    <w:rsid w:val="00637074"/>
    <w:rsid w:val="006505FC"/>
    <w:rsid w:val="00653C7A"/>
    <w:rsid w:val="00654DC6"/>
    <w:rsid w:val="006578F2"/>
    <w:rsid w:val="0066690B"/>
    <w:rsid w:val="00672CAD"/>
    <w:rsid w:val="00673B82"/>
    <w:rsid w:val="00674C0F"/>
    <w:rsid w:val="006850F6"/>
    <w:rsid w:val="00692393"/>
    <w:rsid w:val="0069775F"/>
    <w:rsid w:val="006A2F2E"/>
    <w:rsid w:val="006B209C"/>
    <w:rsid w:val="006B2C36"/>
    <w:rsid w:val="006B481F"/>
    <w:rsid w:val="006B5C7F"/>
    <w:rsid w:val="006C1DF5"/>
    <w:rsid w:val="006C2194"/>
    <w:rsid w:val="006C43EB"/>
    <w:rsid w:val="006D0747"/>
    <w:rsid w:val="006D4B7A"/>
    <w:rsid w:val="006D536A"/>
    <w:rsid w:val="006E47C4"/>
    <w:rsid w:val="006F167E"/>
    <w:rsid w:val="006F32F4"/>
    <w:rsid w:val="006F4700"/>
    <w:rsid w:val="006F6880"/>
    <w:rsid w:val="007045F1"/>
    <w:rsid w:val="00711485"/>
    <w:rsid w:val="00711FA3"/>
    <w:rsid w:val="007210D0"/>
    <w:rsid w:val="00724555"/>
    <w:rsid w:val="0072458A"/>
    <w:rsid w:val="00725C48"/>
    <w:rsid w:val="007316C9"/>
    <w:rsid w:val="00731E18"/>
    <w:rsid w:val="00733708"/>
    <w:rsid w:val="00741F7B"/>
    <w:rsid w:val="007427C9"/>
    <w:rsid w:val="00746551"/>
    <w:rsid w:val="00747817"/>
    <w:rsid w:val="007502E6"/>
    <w:rsid w:val="00751949"/>
    <w:rsid w:val="00751CE8"/>
    <w:rsid w:val="0075319F"/>
    <w:rsid w:val="00757DE4"/>
    <w:rsid w:val="00762FFC"/>
    <w:rsid w:val="00765BCD"/>
    <w:rsid w:val="00766615"/>
    <w:rsid w:val="00766F14"/>
    <w:rsid w:val="00767A57"/>
    <w:rsid w:val="00777FED"/>
    <w:rsid w:val="00783C23"/>
    <w:rsid w:val="00794CAD"/>
    <w:rsid w:val="007954D9"/>
    <w:rsid w:val="00795BB3"/>
    <w:rsid w:val="007B0DB0"/>
    <w:rsid w:val="007B17FA"/>
    <w:rsid w:val="007B61C3"/>
    <w:rsid w:val="007C1965"/>
    <w:rsid w:val="007C61C8"/>
    <w:rsid w:val="007C64CA"/>
    <w:rsid w:val="007C6A59"/>
    <w:rsid w:val="007C7776"/>
    <w:rsid w:val="007D0D67"/>
    <w:rsid w:val="007D7BA8"/>
    <w:rsid w:val="007E0297"/>
    <w:rsid w:val="007E2BB7"/>
    <w:rsid w:val="008021D0"/>
    <w:rsid w:val="00803E4D"/>
    <w:rsid w:val="00805271"/>
    <w:rsid w:val="00805F34"/>
    <w:rsid w:val="008074C1"/>
    <w:rsid w:val="008109D8"/>
    <w:rsid w:val="00831FF6"/>
    <w:rsid w:val="008377CB"/>
    <w:rsid w:val="00842D2A"/>
    <w:rsid w:val="00846782"/>
    <w:rsid w:val="0084794A"/>
    <w:rsid w:val="0085349E"/>
    <w:rsid w:val="008564E4"/>
    <w:rsid w:val="00861F98"/>
    <w:rsid w:val="00862843"/>
    <w:rsid w:val="00862A9D"/>
    <w:rsid w:val="00865172"/>
    <w:rsid w:val="00866F87"/>
    <w:rsid w:val="0086717F"/>
    <w:rsid w:val="0086722A"/>
    <w:rsid w:val="00867269"/>
    <w:rsid w:val="00867DEC"/>
    <w:rsid w:val="00883505"/>
    <w:rsid w:val="00883F4F"/>
    <w:rsid w:val="00885556"/>
    <w:rsid w:val="00890EA3"/>
    <w:rsid w:val="008931FE"/>
    <w:rsid w:val="00897A60"/>
    <w:rsid w:val="00897EEA"/>
    <w:rsid w:val="008A69A1"/>
    <w:rsid w:val="008B66A0"/>
    <w:rsid w:val="008D1918"/>
    <w:rsid w:val="008D3E6E"/>
    <w:rsid w:val="008E0FB6"/>
    <w:rsid w:val="008E1C70"/>
    <w:rsid w:val="008F01D1"/>
    <w:rsid w:val="00900459"/>
    <w:rsid w:val="0090103D"/>
    <w:rsid w:val="00902F60"/>
    <w:rsid w:val="009138CF"/>
    <w:rsid w:val="00914730"/>
    <w:rsid w:val="00917BBD"/>
    <w:rsid w:val="00920C55"/>
    <w:rsid w:val="009237D4"/>
    <w:rsid w:val="00923809"/>
    <w:rsid w:val="00924D51"/>
    <w:rsid w:val="009303C6"/>
    <w:rsid w:val="00934062"/>
    <w:rsid w:val="00934860"/>
    <w:rsid w:val="00934931"/>
    <w:rsid w:val="00941D0B"/>
    <w:rsid w:val="00945B43"/>
    <w:rsid w:val="00947453"/>
    <w:rsid w:val="00953C65"/>
    <w:rsid w:val="009548DB"/>
    <w:rsid w:val="00955C19"/>
    <w:rsid w:val="0095699A"/>
    <w:rsid w:val="00957055"/>
    <w:rsid w:val="009604F2"/>
    <w:rsid w:val="009653A4"/>
    <w:rsid w:val="00970BF2"/>
    <w:rsid w:val="0097258E"/>
    <w:rsid w:val="00974630"/>
    <w:rsid w:val="00976765"/>
    <w:rsid w:val="00976E62"/>
    <w:rsid w:val="009778E3"/>
    <w:rsid w:val="009A41D6"/>
    <w:rsid w:val="009B40E2"/>
    <w:rsid w:val="009B5A79"/>
    <w:rsid w:val="009B6B1B"/>
    <w:rsid w:val="009B79C0"/>
    <w:rsid w:val="009C07F4"/>
    <w:rsid w:val="009C3138"/>
    <w:rsid w:val="009C3EE2"/>
    <w:rsid w:val="009C696B"/>
    <w:rsid w:val="009C74A3"/>
    <w:rsid w:val="009D34DC"/>
    <w:rsid w:val="009E1B37"/>
    <w:rsid w:val="009E26F0"/>
    <w:rsid w:val="009E615A"/>
    <w:rsid w:val="009E7D6B"/>
    <w:rsid w:val="009F18D1"/>
    <w:rsid w:val="009F4D56"/>
    <w:rsid w:val="009F5A7A"/>
    <w:rsid w:val="009F5BB9"/>
    <w:rsid w:val="009F70E6"/>
    <w:rsid w:val="009F7CA3"/>
    <w:rsid w:val="00A01425"/>
    <w:rsid w:val="00A02192"/>
    <w:rsid w:val="00A05A01"/>
    <w:rsid w:val="00A06EF7"/>
    <w:rsid w:val="00A115F4"/>
    <w:rsid w:val="00A24FC5"/>
    <w:rsid w:val="00A33418"/>
    <w:rsid w:val="00A53F69"/>
    <w:rsid w:val="00A56E95"/>
    <w:rsid w:val="00A57679"/>
    <w:rsid w:val="00A66826"/>
    <w:rsid w:val="00A8019D"/>
    <w:rsid w:val="00A87768"/>
    <w:rsid w:val="00A913A9"/>
    <w:rsid w:val="00A94108"/>
    <w:rsid w:val="00A9414E"/>
    <w:rsid w:val="00A96E51"/>
    <w:rsid w:val="00AA4315"/>
    <w:rsid w:val="00AA4B45"/>
    <w:rsid w:val="00AA75F4"/>
    <w:rsid w:val="00AB1082"/>
    <w:rsid w:val="00AB6377"/>
    <w:rsid w:val="00AC30CE"/>
    <w:rsid w:val="00AC4065"/>
    <w:rsid w:val="00AD40FB"/>
    <w:rsid w:val="00AD4C2E"/>
    <w:rsid w:val="00AD6E3F"/>
    <w:rsid w:val="00AD76A0"/>
    <w:rsid w:val="00AE1FC0"/>
    <w:rsid w:val="00AF6BAE"/>
    <w:rsid w:val="00AF6D07"/>
    <w:rsid w:val="00B0059F"/>
    <w:rsid w:val="00B00CC1"/>
    <w:rsid w:val="00B054E3"/>
    <w:rsid w:val="00B10A0B"/>
    <w:rsid w:val="00B17581"/>
    <w:rsid w:val="00B177CF"/>
    <w:rsid w:val="00B26158"/>
    <w:rsid w:val="00B2687A"/>
    <w:rsid w:val="00B27375"/>
    <w:rsid w:val="00B32899"/>
    <w:rsid w:val="00B35475"/>
    <w:rsid w:val="00B355BB"/>
    <w:rsid w:val="00B36B43"/>
    <w:rsid w:val="00B37441"/>
    <w:rsid w:val="00B4234F"/>
    <w:rsid w:val="00B55708"/>
    <w:rsid w:val="00B60466"/>
    <w:rsid w:val="00B6059B"/>
    <w:rsid w:val="00B66A89"/>
    <w:rsid w:val="00B72E10"/>
    <w:rsid w:val="00B7755C"/>
    <w:rsid w:val="00B806E0"/>
    <w:rsid w:val="00B94389"/>
    <w:rsid w:val="00BA10F3"/>
    <w:rsid w:val="00BA5BA6"/>
    <w:rsid w:val="00BB355A"/>
    <w:rsid w:val="00BB5859"/>
    <w:rsid w:val="00BC3B90"/>
    <w:rsid w:val="00BC3C93"/>
    <w:rsid w:val="00BC5034"/>
    <w:rsid w:val="00BD26F2"/>
    <w:rsid w:val="00BE3C45"/>
    <w:rsid w:val="00BE63BF"/>
    <w:rsid w:val="00BE7D11"/>
    <w:rsid w:val="00BF2C04"/>
    <w:rsid w:val="00BF2CC2"/>
    <w:rsid w:val="00C022DB"/>
    <w:rsid w:val="00C139AB"/>
    <w:rsid w:val="00C16ABB"/>
    <w:rsid w:val="00C170E2"/>
    <w:rsid w:val="00C1710C"/>
    <w:rsid w:val="00C27D81"/>
    <w:rsid w:val="00C3297D"/>
    <w:rsid w:val="00C32B2A"/>
    <w:rsid w:val="00C341C2"/>
    <w:rsid w:val="00C35902"/>
    <w:rsid w:val="00C4684D"/>
    <w:rsid w:val="00C51360"/>
    <w:rsid w:val="00C554C6"/>
    <w:rsid w:val="00C64CBB"/>
    <w:rsid w:val="00C65B3D"/>
    <w:rsid w:val="00C74E13"/>
    <w:rsid w:val="00C7668C"/>
    <w:rsid w:val="00C802A0"/>
    <w:rsid w:val="00C835FC"/>
    <w:rsid w:val="00C842DF"/>
    <w:rsid w:val="00C847AD"/>
    <w:rsid w:val="00C8485F"/>
    <w:rsid w:val="00CA27FF"/>
    <w:rsid w:val="00CA7D4E"/>
    <w:rsid w:val="00CB28A0"/>
    <w:rsid w:val="00CB42CB"/>
    <w:rsid w:val="00CB58A7"/>
    <w:rsid w:val="00CB5A43"/>
    <w:rsid w:val="00CB7C12"/>
    <w:rsid w:val="00CC30BC"/>
    <w:rsid w:val="00CE3756"/>
    <w:rsid w:val="00CE3DE8"/>
    <w:rsid w:val="00CE7D9C"/>
    <w:rsid w:val="00CF0B43"/>
    <w:rsid w:val="00CF0C7C"/>
    <w:rsid w:val="00CF2388"/>
    <w:rsid w:val="00CF37DC"/>
    <w:rsid w:val="00CF5FD2"/>
    <w:rsid w:val="00D027D2"/>
    <w:rsid w:val="00D03ED1"/>
    <w:rsid w:val="00D068DD"/>
    <w:rsid w:val="00D06FBA"/>
    <w:rsid w:val="00D170B1"/>
    <w:rsid w:val="00D21ED7"/>
    <w:rsid w:val="00D22A06"/>
    <w:rsid w:val="00D230EA"/>
    <w:rsid w:val="00D25C8B"/>
    <w:rsid w:val="00D27FA5"/>
    <w:rsid w:val="00D302CE"/>
    <w:rsid w:val="00D326F5"/>
    <w:rsid w:val="00D41605"/>
    <w:rsid w:val="00D45B34"/>
    <w:rsid w:val="00D53E28"/>
    <w:rsid w:val="00D609BC"/>
    <w:rsid w:val="00D61D1F"/>
    <w:rsid w:val="00D66369"/>
    <w:rsid w:val="00D67711"/>
    <w:rsid w:val="00D82FBD"/>
    <w:rsid w:val="00D84596"/>
    <w:rsid w:val="00D86EDF"/>
    <w:rsid w:val="00D91F4F"/>
    <w:rsid w:val="00D974E2"/>
    <w:rsid w:val="00DA193B"/>
    <w:rsid w:val="00DA3C0E"/>
    <w:rsid w:val="00DB02BE"/>
    <w:rsid w:val="00DB1FAE"/>
    <w:rsid w:val="00DB5344"/>
    <w:rsid w:val="00DB5F04"/>
    <w:rsid w:val="00DC6A06"/>
    <w:rsid w:val="00DD16BA"/>
    <w:rsid w:val="00DD2F00"/>
    <w:rsid w:val="00DD620A"/>
    <w:rsid w:val="00DD7FA1"/>
    <w:rsid w:val="00DD7FCF"/>
    <w:rsid w:val="00DE39BD"/>
    <w:rsid w:val="00DE5CC5"/>
    <w:rsid w:val="00DE60AB"/>
    <w:rsid w:val="00DE6FD5"/>
    <w:rsid w:val="00DF2DD9"/>
    <w:rsid w:val="00DF3733"/>
    <w:rsid w:val="00DF6E3B"/>
    <w:rsid w:val="00E0080D"/>
    <w:rsid w:val="00E14399"/>
    <w:rsid w:val="00E1584F"/>
    <w:rsid w:val="00E20909"/>
    <w:rsid w:val="00E216CC"/>
    <w:rsid w:val="00E23CA0"/>
    <w:rsid w:val="00E31E78"/>
    <w:rsid w:val="00E35489"/>
    <w:rsid w:val="00E373BE"/>
    <w:rsid w:val="00E403CB"/>
    <w:rsid w:val="00E40559"/>
    <w:rsid w:val="00E45693"/>
    <w:rsid w:val="00E509B6"/>
    <w:rsid w:val="00E54727"/>
    <w:rsid w:val="00E54EFF"/>
    <w:rsid w:val="00E56FC7"/>
    <w:rsid w:val="00E57C27"/>
    <w:rsid w:val="00E619DF"/>
    <w:rsid w:val="00E63D71"/>
    <w:rsid w:val="00E65348"/>
    <w:rsid w:val="00E664F2"/>
    <w:rsid w:val="00E73B4F"/>
    <w:rsid w:val="00E74056"/>
    <w:rsid w:val="00E75FCB"/>
    <w:rsid w:val="00E84C01"/>
    <w:rsid w:val="00E9133A"/>
    <w:rsid w:val="00E95F7A"/>
    <w:rsid w:val="00EB174F"/>
    <w:rsid w:val="00EB5D8E"/>
    <w:rsid w:val="00EC24A2"/>
    <w:rsid w:val="00EC633B"/>
    <w:rsid w:val="00ED12A2"/>
    <w:rsid w:val="00ED2C09"/>
    <w:rsid w:val="00ED3E98"/>
    <w:rsid w:val="00ED707B"/>
    <w:rsid w:val="00EE0A8F"/>
    <w:rsid w:val="00EE21AE"/>
    <w:rsid w:val="00EE2B88"/>
    <w:rsid w:val="00EE37B1"/>
    <w:rsid w:val="00EE4A6E"/>
    <w:rsid w:val="00EE56E8"/>
    <w:rsid w:val="00EE7371"/>
    <w:rsid w:val="00EF47F7"/>
    <w:rsid w:val="00EF5E4B"/>
    <w:rsid w:val="00EF6EFA"/>
    <w:rsid w:val="00F054F1"/>
    <w:rsid w:val="00F15AD6"/>
    <w:rsid w:val="00F22178"/>
    <w:rsid w:val="00F22203"/>
    <w:rsid w:val="00F304BB"/>
    <w:rsid w:val="00F34335"/>
    <w:rsid w:val="00F36DE4"/>
    <w:rsid w:val="00F454F0"/>
    <w:rsid w:val="00F46865"/>
    <w:rsid w:val="00F54A58"/>
    <w:rsid w:val="00F552D0"/>
    <w:rsid w:val="00F621EA"/>
    <w:rsid w:val="00F66CB5"/>
    <w:rsid w:val="00F764A7"/>
    <w:rsid w:val="00F767C5"/>
    <w:rsid w:val="00F82E0C"/>
    <w:rsid w:val="00F84EF8"/>
    <w:rsid w:val="00F90BCE"/>
    <w:rsid w:val="00FA28E0"/>
    <w:rsid w:val="00FB0696"/>
    <w:rsid w:val="00FB0FFA"/>
    <w:rsid w:val="00FB1E63"/>
    <w:rsid w:val="00FB3A34"/>
    <w:rsid w:val="00FB58D3"/>
    <w:rsid w:val="00FD040A"/>
    <w:rsid w:val="00FD1B74"/>
    <w:rsid w:val="00FD1FC0"/>
    <w:rsid w:val="00FD3B2B"/>
    <w:rsid w:val="00FD4C56"/>
    <w:rsid w:val="00FE0999"/>
    <w:rsid w:val="00FE5202"/>
    <w:rsid w:val="00FF12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4799D7"/>
  <w15:chartTrackingRefBased/>
  <w15:docId w15:val="{0D38AB9D-9A5F-4C67-A741-CFC85A6C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F2E"/>
    <w:pPr>
      <w:spacing w:line="280" w:lineRule="atLeast"/>
      <w:jc w:val="both"/>
    </w:pPr>
    <w:rPr>
      <w:rFonts w:ascii="Palatino Linotype" w:hAnsi="Palatino Linotype"/>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next w:val="Normal"/>
    <w:qFormat/>
    <w:rsid w:val="005344F3"/>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5344F3"/>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5344F3"/>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5344F3"/>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5344F3"/>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5344F3"/>
    <w:pPr>
      <w:adjustRightInd w:val="0"/>
      <w:snapToGrid w:val="0"/>
      <w:spacing w:before="24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5344F3"/>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5344F3"/>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anormal"/>
    <w:uiPriority w:val="99"/>
    <w:rsid w:val="00C7668C"/>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5344F3"/>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5344F3"/>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link w:val="Encabezado"/>
    <w:rsid w:val="005344F3"/>
    <w:rPr>
      <w:rFonts w:ascii="Palatino Linotype" w:hAnsi="Palatino Linotype"/>
      <w:noProof/>
      <w:color w:val="000000"/>
      <w:szCs w:val="18"/>
    </w:rPr>
  </w:style>
  <w:style w:type="paragraph" w:customStyle="1" w:styleId="MDPI32textnoindent">
    <w:name w:val="MDPI_3.2_text_no_indent"/>
    <w:basedOn w:val="MDPI31text"/>
    <w:qFormat/>
    <w:rsid w:val="005344F3"/>
    <w:pPr>
      <w:ind w:firstLine="0"/>
    </w:pPr>
  </w:style>
  <w:style w:type="paragraph" w:customStyle="1" w:styleId="MDPI31text">
    <w:name w:val="MDPI_3.1_text"/>
    <w:qFormat/>
    <w:rsid w:val="00805F34"/>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5344F3"/>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5344F3"/>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5344F3"/>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6578F2"/>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6578F2"/>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5344F3"/>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5344F3"/>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5344F3"/>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9C696B"/>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5344F3"/>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344F3"/>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5344F3"/>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5344F3"/>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5344F3"/>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5344F3"/>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300DB"/>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odeglobo">
    <w:name w:val="Balloon Text"/>
    <w:basedOn w:val="Normal"/>
    <w:link w:val="TextodegloboCar"/>
    <w:uiPriority w:val="99"/>
    <w:rsid w:val="005344F3"/>
    <w:rPr>
      <w:rFonts w:cs="Tahoma"/>
      <w:szCs w:val="18"/>
    </w:rPr>
  </w:style>
  <w:style w:type="character" w:customStyle="1" w:styleId="TextodegloboCar">
    <w:name w:val="Texto de globo Car"/>
    <w:link w:val="Textodeglobo"/>
    <w:uiPriority w:val="99"/>
    <w:rsid w:val="005344F3"/>
    <w:rPr>
      <w:rFonts w:ascii="Palatino Linotype" w:hAnsi="Palatino Linotype" w:cs="Tahoma"/>
      <w:noProof/>
      <w:color w:val="000000"/>
      <w:szCs w:val="18"/>
    </w:rPr>
  </w:style>
  <w:style w:type="character" w:styleId="Nmerodelnea">
    <w:name w:val="line number"/>
    <w:uiPriority w:val="99"/>
    <w:rsid w:val="00D609BC"/>
    <w:rPr>
      <w:rFonts w:ascii="Palatino Linotype" w:hAnsi="Palatino Linotype"/>
      <w:sz w:val="16"/>
    </w:rPr>
  </w:style>
  <w:style w:type="table" w:customStyle="1" w:styleId="MDPI41threelinetable">
    <w:name w:val="MDPI_4.1_three_line_table"/>
    <w:basedOn w:val="Tablanormal"/>
    <w:uiPriority w:val="99"/>
    <w:rsid w:val="005344F3"/>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vnculo">
    <w:name w:val="Hyperlink"/>
    <w:uiPriority w:val="99"/>
    <w:rsid w:val="005344F3"/>
    <w:rPr>
      <w:color w:val="0000FF"/>
      <w:u w:val="single"/>
    </w:rPr>
  </w:style>
  <w:style w:type="character" w:styleId="Mencinsinresolver">
    <w:name w:val="Unresolved Mention"/>
    <w:uiPriority w:val="99"/>
    <w:semiHidden/>
    <w:unhideWhenUsed/>
    <w:rsid w:val="00DD7FCF"/>
    <w:rPr>
      <w:color w:val="605E5C"/>
      <w:shd w:val="clear" w:color="auto" w:fill="E1DFDD"/>
    </w:rPr>
  </w:style>
  <w:style w:type="paragraph" w:styleId="Piedepgina">
    <w:name w:val="footer"/>
    <w:basedOn w:val="Normal"/>
    <w:link w:val="PiedepginaCar"/>
    <w:uiPriority w:val="99"/>
    <w:rsid w:val="005344F3"/>
    <w:pPr>
      <w:tabs>
        <w:tab w:val="center" w:pos="4153"/>
        <w:tab w:val="right" w:pos="8306"/>
      </w:tabs>
      <w:snapToGrid w:val="0"/>
      <w:spacing w:line="240" w:lineRule="atLeast"/>
    </w:pPr>
    <w:rPr>
      <w:szCs w:val="18"/>
    </w:rPr>
  </w:style>
  <w:style w:type="character" w:customStyle="1" w:styleId="PiedepginaCar">
    <w:name w:val="Pie de página Car"/>
    <w:link w:val="Piedepgina"/>
    <w:uiPriority w:val="99"/>
    <w:rsid w:val="005344F3"/>
    <w:rPr>
      <w:rFonts w:ascii="Palatino Linotype" w:hAnsi="Palatino Linotype"/>
      <w:noProof/>
      <w:color w:val="000000"/>
      <w:szCs w:val="18"/>
    </w:rPr>
  </w:style>
  <w:style w:type="table" w:styleId="Tablanormal4">
    <w:name w:val="Plain Table 4"/>
    <w:basedOn w:val="Tablanormal"/>
    <w:uiPriority w:val="44"/>
    <w:rsid w:val="0093406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5344F3"/>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5344F3"/>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5344F3"/>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5344F3"/>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5344F3"/>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5344F3"/>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45242D"/>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5344F3"/>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5344F3"/>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EE56E8"/>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anormal"/>
    <w:uiPriority w:val="99"/>
    <w:rsid w:val="005344F3"/>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5344F3"/>
  </w:style>
  <w:style w:type="paragraph" w:styleId="Bibliografa">
    <w:name w:val="Bibliography"/>
    <w:basedOn w:val="Normal"/>
    <w:next w:val="Normal"/>
    <w:uiPriority w:val="37"/>
    <w:semiHidden/>
    <w:unhideWhenUsed/>
    <w:rsid w:val="005344F3"/>
  </w:style>
  <w:style w:type="paragraph" w:styleId="Textoindependiente">
    <w:name w:val="Body Text"/>
    <w:link w:val="TextoindependienteCar"/>
    <w:rsid w:val="005344F3"/>
    <w:pPr>
      <w:spacing w:after="120" w:line="340" w:lineRule="atLeast"/>
      <w:jc w:val="both"/>
    </w:pPr>
    <w:rPr>
      <w:rFonts w:ascii="Palatino Linotype" w:hAnsi="Palatino Linotype"/>
      <w:color w:val="000000"/>
      <w:sz w:val="24"/>
      <w:lang w:eastAsia="de-DE"/>
    </w:rPr>
  </w:style>
  <w:style w:type="character" w:customStyle="1" w:styleId="TextoindependienteCar">
    <w:name w:val="Texto independiente Car"/>
    <w:link w:val="Textoindependiente"/>
    <w:rsid w:val="005344F3"/>
    <w:rPr>
      <w:rFonts w:ascii="Palatino Linotype" w:hAnsi="Palatino Linotype"/>
      <w:color w:val="000000"/>
      <w:sz w:val="24"/>
      <w:lang w:eastAsia="de-DE"/>
    </w:rPr>
  </w:style>
  <w:style w:type="character" w:styleId="Refdecomentario">
    <w:name w:val="annotation reference"/>
    <w:rsid w:val="005344F3"/>
    <w:rPr>
      <w:sz w:val="21"/>
      <w:szCs w:val="21"/>
    </w:rPr>
  </w:style>
  <w:style w:type="paragraph" w:styleId="Textocomentario">
    <w:name w:val="annotation text"/>
    <w:basedOn w:val="Normal"/>
    <w:link w:val="TextocomentarioCar"/>
    <w:rsid w:val="005344F3"/>
  </w:style>
  <w:style w:type="character" w:customStyle="1" w:styleId="TextocomentarioCar">
    <w:name w:val="Texto comentario Car"/>
    <w:link w:val="Textocomentario"/>
    <w:rsid w:val="005344F3"/>
    <w:rPr>
      <w:rFonts w:ascii="Palatino Linotype" w:hAnsi="Palatino Linotype"/>
      <w:noProof/>
      <w:color w:val="000000"/>
    </w:rPr>
  </w:style>
  <w:style w:type="paragraph" w:styleId="Asuntodelcomentario">
    <w:name w:val="annotation subject"/>
    <w:basedOn w:val="Textocomentario"/>
    <w:next w:val="Textocomentario"/>
    <w:link w:val="AsuntodelcomentarioCar"/>
    <w:rsid w:val="005344F3"/>
    <w:rPr>
      <w:b/>
      <w:bCs/>
    </w:rPr>
  </w:style>
  <w:style w:type="character" w:customStyle="1" w:styleId="AsuntodelcomentarioCar">
    <w:name w:val="Asunto del comentario Car"/>
    <w:link w:val="Asuntodelcomentario"/>
    <w:rsid w:val="005344F3"/>
    <w:rPr>
      <w:rFonts w:ascii="Palatino Linotype" w:hAnsi="Palatino Linotype"/>
      <w:b/>
      <w:bCs/>
      <w:noProof/>
      <w:color w:val="000000"/>
    </w:rPr>
  </w:style>
  <w:style w:type="character" w:styleId="Refdenotaalfinal">
    <w:name w:val="endnote reference"/>
    <w:rsid w:val="005344F3"/>
    <w:rPr>
      <w:vertAlign w:val="superscript"/>
    </w:rPr>
  </w:style>
  <w:style w:type="paragraph" w:styleId="Textonotaalfinal">
    <w:name w:val="endnote text"/>
    <w:basedOn w:val="Normal"/>
    <w:link w:val="TextonotaalfinalCar"/>
    <w:semiHidden/>
    <w:unhideWhenUsed/>
    <w:rsid w:val="005344F3"/>
    <w:pPr>
      <w:spacing w:line="240" w:lineRule="auto"/>
    </w:pPr>
  </w:style>
  <w:style w:type="character" w:customStyle="1" w:styleId="TextonotaalfinalCar">
    <w:name w:val="Texto nota al final Car"/>
    <w:link w:val="Textonotaalfinal"/>
    <w:semiHidden/>
    <w:rsid w:val="005344F3"/>
    <w:rPr>
      <w:rFonts w:ascii="Palatino Linotype" w:hAnsi="Palatino Linotype"/>
      <w:noProof/>
      <w:color w:val="000000"/>
    </w:rPr>
  </w:style>
  <w:style w:type="character" w:styleId="Hipervnculovisitado">
    <w:name w:val="FollowedHyperlink"/>
    <w:rsid w:val="005344F3"/>
    <w:rPr>
      <w:color w:val="954F72"/>
      <w:u w:val="single"/>
    </w:rPr>
  </w:style>
  <w:style w:type="paragraph" w:styleId="Textonotapie">
    <w:name w:val="footnote text"/>
    <w:basedOn w:val="Normal"/>
    <w:link w:val="TextonotapieCar"/>
    <w:semiHidden/>
    <w:unhideWhenUsed/>
    <w:rsid w:val="005344F3"/>
    <w:pPr>
      <w:spacing w:line="240" w:lineRule="auto"/>
    </w:pPr>
  </w:style>
  <w:style w:type="character" w:customStyle="1" w:styleId="TextonotapieCar">
    <w:name w:val="Texto nota pie Car"/>
    <w:link w:val="Textonotapie"/>
    <w:semiHidden/>
    <w:rsid w:val="005344F3"/>
    <w:rPr>
      <w:rFonts w:ascii="Palatino Linotype" w:hAnsi="Palatino Linotype"/>
      <w:noProof/>
      <w:color w:val="000000"/>
    </w:rPr>
  </w:style>
  <w:style w:type="paragraph" w:styleId="NormalWeb">
    <w:name w:val="Normal (Web)"/>
    <w:basedOn w:val="Normal"/>
    <w:uiPriority w:val="99"/>
    <w:rsid w:val="005344F3"/>
    <w:rPr>
      <w:szCs w:val="24"/>
    </w:rPr>
  </w:style>
  <w:style w:type="paragraph" w:customStyle="1" w:styleId="MsoFootnoteText0">
    <w:name w:val="MsoFootnoteText"/>
    <w:basedOn w:val="NormalWeb"/>
    <w:qFormat/>
    <w:rsid w:val="005344F3"/>
    <w:rPr>
      <w:rFonts w:ascii="Times New Roman" w:hAnsi="Times New Roman"/>
    </w:rPr>
  </w:style>
  <w:style w:type="character" w:styleId="Nmerodepgina">
    <w:name w:val="page number"/>
    <w:rsid w:val="005344F3"/>
  </w:style>
  <w:style w:type="character" w:styleId="Textodelmarcadordeposicin">
    <w:name w:val="Placeholder Text"/>
    <w:uiPriority w:val="99"/>
    <w:semiHidden/>
    <w:rsid w:val="005344F3"/>
    <w:rPr>
      <w:color w:val="808080"/>
    </w:rPr>
  </w:style>
  <w:style w:type="paragraph" w:customStyle="1" w:styleId="MDPI71footnotes">
    <w:name w:val="MDPI_7.1_footnotes"/>
    <w:qFormat/>
    <w:rsid w:val="00606C4E"/>
    <w:pPr>
      <w:numPr>
        <w:numId w:val="21"/>
      </w:numPr>
      <w:adjustRightInd w:val="0"/>
      <w:snapToGrid w:val="0"/>
      <w:spacing w:line="280" w:lineRule="atLeast"/>
    </w:pPr>
    <w:rPr>
      <w:rFonts w:ascii="Palatino Linotype" w:eastAsiaTheme="minorEastAsia" w:hAnsi="Palatino Linotype"/>
      <w:noProof/>
      <w:color w:val="000000"/>
      <w:sz w:val="18"/>
    </w:rPr>
  </w:style>
  <w:style w:type="character" w:customStyle="1" w:styleId="rynqvb">
    <w:name w:val="rynqvb"/>
    <w:basedOn w:val="Fuentedeprrafopredeter"/>
    <w:rsid w:val="00FD3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beca.martinez@uct.cl" TargetMode="External"/><Relationship Id="rId18" Type="http://schemas.openxmlformats.org/officeDocument/2006/relationships/image" Target="media/image3.jpg"/><Relationship Id="rId26" Type="http://schemas.openxmlformats.org/officeDocument/2006/relationships/image" Target="media/image11.jpg"/><Relationship Id="rId39" Type="http://schemas.openxmlformats.org/officeDocument/2006/relationships/image" Target="media/image24.png"/><Relationship Id="rId21" Type="http://schemas.openxmlformats.org/officeDocument/2006/relationships/image" Target="media/image6.jpg"/><Relationship Id="rId34" Type="http://schemas.openxmlformats.org/officeDocument/2006/relationships/image" Target="media/image19.jp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dro.mondaca@usm.cl" TargetMode="External"/><Relationship Id="rId24" Type="http://schemas.openxmlformats.org/officeDocument/2006/relationships/image" Target="media/image9.jpg"/><Relationship Id="rId32" Type="http://schemas.openxmlformats.org/officeDocument/2006/relationships/image" Target="media/image17.jp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ongel.duran@umayor.cl" TargetMode="Externa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png"/><Relationship Id="rId10" Type="http://schemas.openxmlformats.org/officeDocument/2006/relationships/hyperlink" Target="mailto:ajsalazar@uc.cl" TargetMode="External"/><Relationship Id="rId19" Type="http://schemas.openxmlformats.org/officeDocument/2006/relationships/image" Target="media/image4.jpg"/><Relationship Id="rId31" Type="http://schemas.openxmlformats.org/officeDocument/2006/relationships/image" Target="media/image16.jp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fabian.llanos@umayor.cl" TargetMode="External"/><Relationship Id="rId14" Type="http://schemas.openxmlformats.org/officeDocument/2006/relationships/hyperlink" Target="mailto:frederic.frappart@inrae.fr" TargetMode="Externa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jpg"/><Relationship Id="rId43" Type="http://schemas.openxmlformats.org/officeDocument/2006/relationships/header" Target="header2.xml"/><Relationship Id="rId8" Type="http://schemas.openxmlformats.org/officeDocument/2006/relationships/hyperlink" Target="mailto:francisco.zambrano@umayor.cl" TargetMode="External"/><Relationship Id="rId3" Type="http://schemas.openxmlformats.org/officeDocument/2006/relationships/styles" Target="styles.xml"/><Relationship Id="rId12" Type="http://schemas.openxmlformats.org/officeDocument/2006/relationships/hyperlink" Target="mailto:lien.rodriguez@uss.cl" TargetMode="External"/><Relationship Id="rId17" Type="http://schemas.openxmlformats.org/officeDocument/2006/relationships/image" Target="media/image2.png"/><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image" Target="media/image23.png"/><Relationship Id="rId46" Type="http://schemas.openxmlformats.org/officeDocument/2006/relationships/fontTable" Target="fontTable.xml"/><Relationship Id="rId20" Type="http://schemas.openxmlformats.org/officeDocument/2006/relationships/image" Target="media/image5.jpg"/><Relationship Id="rId41" Type="http://schemas.openxmlformats.org/officeDocument/2006/relationships/image" Target="media/image26.png"/></Relationships>
</file>

<file path=word/_rels/header3.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and-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FBDFD5-EC29-49ED-8165-339A0D67ED80}">
  <we:reference id="wa104382081" version="1.55.1.0" store="es-CL" storeType="OMEX"/>
  <we:alternateReferences>
    <we:reference id="WA104382081" version="1.55.1.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11FD-EBEB-4766-8A18-346C73F42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land-template(1)</Template>
  <TotalTime>2894</TotalTime>
  <Pages>25</Pages>
  <Words>63927</Words>
  <Characters>351602</Characters>
  <Application>Microsoft Office Word</Application>
  <DocSecurity>0</DocSecurity>
  <Lines>2930</Lines>
  <Paragraphs>829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414700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User</dc:creator>
  <cp:keywords/>
  <dc:description/>
  <cp:lastModifiedBy>Iongel Durán Llacer</cp:lastModifiedBy>
  <cp:revision>313</cp:revision>
  <cp:lastPrinted>2025-02-24T04:52:00Z</cp:lastPrinted>
  <dcterms:created xsi:type="dcterms:W3CDTF">2025-02-20T01:21:00Z</dcterms:created>
  <dcterms:modified xsi:type="dcterms:W3CDTF">2025-03-21T03:31:00Z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http://csl.mendeley.com/styles/719605291/american-chemical-society-Iongel</vt:lpwstr>
  </property>
  <property fmtid="{D5CDD505-2E9C-101B-9397-08002B2CF9AE}" pid="5" name="Mendeley Recent Style Name 1_1">
    <vt:lpwstr>American Chemical Society - Iongel Duran Llacer</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Document_1">
    <vt:lpwstr>True</vt:lpwstr>
  </property>
  <property fmtid="{D5CDD505-2E9C-101B-9397-08002B2CF9AE}" pid="13" name="Mendeley Unique User Id_1">
    <vt:lpwstr>7f309f0f-3346-34de-87c4-1d015c642734</vt:lpwstr>
  </property>
  <property fmtid="{D5CDD505-2E9C-101B-9397-08002B2CF9AE}" pid="14" name="Mendeley Citation Style_1">
    <vt:lpwstr>http://csl.mendeley.com/styles/719605291/american-chemical-society-Iongel</vt:lpwstr>
  </property>
  <property fmtid="{D5CDD505-2E9C-101B-9397-08002B2CF9AE}" pid="15" name="Mendeley Recent Style Id 5_1">
    <vt:lpwstr>http://www.zotero.org/styles/american-sociological-association</vt:lpwstr>
  </property>
  <property fmtid="{D5CDD505-2E9C-101B-9397-08002B2CF9AE}" pid="16" name="Mendeley Recent Style Name 5_1">
    <vt:lpwstr>American Sociological Association</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17th edition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http://www.zotero.org/styles/science-of-the-total-environment</vt:lpwstr>
  </property>
  <property fmtid="{D5CDD505-2E9C-101B-9397-08002B2CF9AE}" pid="24" name="Mendeley Recent Style Name 9_1">
    <vt:lpwstr>Science of the Total Environment</vt:lpwstr>
  </property>
</Properties>
</file>