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0D41" w14:textId="77777777" w:rsidR="009B71F2" w:rsidRPr="000E1C77" w:rsidRDefault="009B71F2" w:rsidP="009B71F2">
      <w:pPr>
        <w:pStyle w:val="MDPI11articletype"/>
      </w:pPr>
      <w:r w:rsidRPr="000E1C77">
        <w:t>Article</w:t>
      </w:r>
    </w:p>
    <w:p w14:paraId="0EF541EB" w14:textId="77777777" w:rsidR="009B71F2" w:rsidRPr="000E1C77" w:rsidRDefault="009B71F2" w:rsidP="009B71F2">
      <w:pPr>
        <w:pStyle w:val="MDPI12title"/>
      </w:pPr>
      <w:r w:rsidRPr="000E1C77">
        <w:t>Correlational analysis with regards to the causes of chemical intoxication due to pesticides among farmers in Bogotá – Colombia: Cross-sectional observational study</w:t>
      </w:r>
    </w:p>
    <w:p w14:paraId="71EE9CE6" w14:textId="77777777" w:rsidR="009B71F2" w:rsidRPr="000E1C77" w:rsidRDefault="009B71F2" w:rsidP="009B71F2">
      <w:pPr>
        <w:pStyle w:val="MDPI13authornames"/>
        <w:rPr>
          <w:lang w:val="es-CO"/>
        </w:rPr>
      </w:pPr>
      <w:r w:rsidRPr="000E1C77">
        <w:rPr>
          <w:lang w:val="es-CO"/>
        </w:rPr>
        <w:t xml:space="preserve">Mayra Maldonado </w:t>
      </w:r>
      <w:r w:rsidRPr="000E1C77">
        <w:rPr>
          <w:vertAlign w:val="superscript"/>
          <w:lang w:val="es-CO"/>
        </w:rPr>
        <w:t>1,</w:t>
      </w:r>
      <w:r w:rsidRPr="000E1C77">
        <w:rPr>
          <w:szCs w:val="20"/>
          <w:vertAlign w:val="superscript"/>
          <w:lang w:val="es-CO"/>
        </w:rPr>
        <w:t>*</w:t>
      </w:r>
      <w:r w:rsidRPr="000E1C77">
        <w:rPr>
          <w:lang w:val="es-CO"/>
        </w:rPr>
        <w:t>, Katherine Montaña-Oviedo</w:t>
      </w:r>
      <w:r w:rsidRPr="000E1C77">
        <w:rPr>
          <w:vertAlign w:val="superscript"/>
          <w:lang w:val="es-CO"/>
        </w:rPr>
        <w:t>2</w:t>
      </w:r>
      <w:r w:rsidRPr="000E1C77">
        <w:rPr>
          <w:lang w:val="es-CO"/>
        </w:rPr>
        <w:t xml:space="preserve"> , Diana Ballén </w:t>
      </w:r>
      <w:r w:rsidRPr="000E1C77">
        <w:rPr>
          <w:b w:val="0"/>
          <w:bCs/>
          <w:vertAlign w:val="superscript"/>
          <w:lang w:val="es-CO"/>
        </w:rPr>
        <w:t>3</w:t>
      </w:r>
      <w:r w:rsidRPr="000E1C77">
        <w:rPr>
          <w:lang w:val="es-CO"/>
        </w:rPr>
        <w:t xml:space="preserve">, Juan Villegas </w:t>
      </w:r>
      <w:r w:rsidRPr="000E1C77">
        <w:rPr>
          <w:b w:val="0"/>
          <w:bCs/>
          <w:vertAlign w:val="superscript"/>
          <w:lang w:val="es-CO"/>
        </w:rPr>
        <w:t>4</w:t>
      </w:r>
      <w:r w:rsidRPr="000E1C77">
        <w:rPr>
          <w:lang w:val="es-CO"/>
        </w:rPr>
        <w:t xml:space="preserve"> and Alejandro Botero </w:t>
      </w:r>
      <w:r w:rsidRPr="000E1C77">
        <w:rPr>
          <w:b w:val="0"/>
          <w:bCs/>
          <w:vertAlign w:val="superscript"/>
          <w:lang w:val="es-CO"/>
        </w:rPr>
        <w:t>5</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9B71F2" w:rsidRPr="000E1C77" w14:paraId="0FEC0A0A" w14:textId="77777777" w:rsidTr="00552704">
        <w:tc>
          <w:tcPr>
            <w:tcW w:w="2410" w:type="dxa"/>
            <w:shd w:val="clear" w:color="auto" w:fill="auto"/>
          </w:tcPr>
          <w:p w14:paraId="6A061D29" w14:textId="77777777" w:rsidR="009B71F2" w:rsidRPr="000E1C77" w:rsidRDefault="009B71F2" w:rsidP="00552704">
            <w:pPr>
              <w:pStyle w:val="MDPI61Citation"/>
              <w:spacing w:after="120" w:line="240" w:lineRule="exact"/>
            </w:pPr>
            <w:r w:rsidRPr="000E1C77">
              <w:rPr>
                <w:b/>
              </w:rPr>
              <w:t xml:space="preserve">Citation: </w:t>
            </w:r>
            <w:r w:rsidRPr="000E1C77">
              <w:t>To be added by editorial staff during production.</w:t>
            </w:r>
          </w:p>
          <w:p w14:paraId="0799A69C" w14:textId="77777777" w:rsidR="009B71F2" w:rsidRPr="000E1C77" w:rsidRDefault="009B71F2" w:rsidP="00552704">
            <w:pPr>
              <w:pStyle w:val="MDPI15academiceditor"/>
              <w:spacing w:after="120"/>
            </w:pPr>
            <w:r w:rsidRPr="000E1C77">
              <w:t xml:space="preserve">Academic Editor: </w:t>
            </w:r>
            <w:proofErr w:type="spellStart"/>
            <w:r w:rsidRPr="000E1C77">
              <w:t>Firstname</w:t>
            </w:r>
            <w:proofErr w:type="spellEnd"/>
            <w:r w:rsidRPr="000E1C77">
              <w:t xml:space="preserve"> Lastname</w:t>
            </w:r>
          </w:p>
          <w:p w14:paraId="2C9953B0" w14:textId="77777777" w:rsidR="009B71F2" w:rsidRPr="000E1C77" w:rsidRDefault="009B71F2" w:rsidP="00552704">
            <w:pPr>
              <w:pStyle w:val="MDPI14history"/>
              <w:spacing w:before="120"/>
            </w:pPr>
            <w:r w:rsidRPr="000E1C77">
              <w:t>Received: date</w:t>
            </w:r>
          </w:p>
          <w:p w14:paraId="112C5671" w14:textId="77777777" w:rsidR="009B71F2" w:rsidRPr="000E1C77" w:rsidRDefault="009B71F2" w:rsidP="00552704">
            <w:pPr>
              <w:pStyle w:val="MDPI14history"/>
            </w:pPr>
            <w:r w:rsidRPr="000E1C77">
              <w:t>Revised: date</w:t>
            </w:r>
          </w:p>
          <w:p w14:paraId="6CFCD5CF" w14:textId="77777777" w:rsidR="009B71F2" w:rsidRPr="000E1C77" w:rsidRDefault="009B71F2" w:rsidP="00552704">
            <w:pPr>
              <w:pStyle w:val="MDPI14history"/>
            </w:pPr>
            <w:r w:rsidRPr="000E1C77">
              <w:t>Accepted: date</w:t>
            </w:r>
          </w:p>
          <w:p w14:paraId="3AA35F36" w14:textId="77777777" w:rsidR="009B71F2" w:rsidRPr="000E1C77" w:rsidRDefault="009B71F2" w:rsidP="00552704">
            <w:pPr>
              <w:pStyle w:val="MDPI14history"/>
              <w:spacing w:after="120"/>
            </w:pPr>
            <w:r w:rsidRPr="000E1C77">
              <w:t>Published: date</w:t>
            </w:r>
          </w:p>
          <w:p w14:paraId="28885B95" w14:textId="77777777" w:rsidR="009B71F2" w:rsidRPr="000E1C77" w:rsidRDefault="009B71F2" w:rsidP="00552704">
            <w:pPr>
              <w:adjustRightInd w:val="0"/>
              <w:snapToGrid w:val="0"/>
              <w:spacing w:before="120" w:line="240" w:lineRule="atLeast"/>
              <w:ind w:right="113"/>
              <w:jc w:val="left"/>
              <w:rPr>
                <w:rFonts w:eastAsia="DengXian"/>
                <w:bCs/>
                <w:sz w:val="14"/>
                <w:szCs w:val="14"/>
                <w:lang w:bidi="en-US"/>
              </w:rPr>
            </w:pPr>
            <w:r w:rsidRPr="000E1C77">
              <w:rPr>
                <w:rFonts w:eastAsia="DengXian"/>
                <w:noProof/>
              </w:rPr>
              <w:drawing>
                <wp:inline distT="0" distB="0" distL="0" distR="0" wp14:anchorId="3540C17F" wp14:editId="104C038D">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122E291D" w14:textId="77777777" w:rsidR="009B71F2" w:rsidRPr="000E1C77" w:rsidRDefault="009B71F2" w:rsidP="00552704">
            <w:pPr>
              <w:pStyle w:val="MDPI72Copyright"/>
              <w:rPr>
                <w:rFonts w:eastAsia="DengXian"/>
                <w:lang w:bidi="en-US"/>
              </w:rPr>
            </w:pPr>
            <w:r w:rsidRPr="000E1C77">
              <w:rPr>
                <w:rFonts w:eastAsia="DengXian"/>
                <w:b/>
                <w:lang w:bidi="en-US"/>
              </w:rPr>
              <w:t>Copyright:</w:t>
            </w:r>
            <w:r w:rsidRPr="000E1C77">
              <w:rPr>
                <w:rFonts w:eastAsia="DengXian"/>
                <w:lang w:bidi="en-US"/>
              </w:rPr>
              <w:t xml:space="preserve"> © 2024 by the authors. Submitted for possible open access publication under the terms and conditions of the Creative Commons Attribution (CC BY) license (https://creativecommons.org/licenses/by/4.0/).</w:t>
            </w:r>
          </w:p>
        </w:tc>
      </w:tr>
    </w:tbl>
    <w:p w14:paraId="6D49E690" w14:textId="77777777" w:rsidR="009B71F2" w:rsidRPr="000E1C77" w:rsidRDefault="009B71F2" w:rsidP="009B71F2">
      <w:pPr>
        <w:pStyle w:val="MDPI16affiliation"/>
        <w:rPr>
          <w:lang w:val="es-CO"/>
        </w:rPr>
      </w:pPr>
      <w:r w:rsidRPr="000E1C77">
        <w:rPr>
          <w:vertAlign w:val="superscript"/>
          <w:lang w:val="es-CO"/>
        </w:rPr>
        <w:t>1</w:t>
      </w:r>
      <w:r w:rsidRPr="000E1C77">
        <w:rPr>
          <w:lang w:val="es-CO"/>
        </w:rPr>
        <w:tab/>
        <w:t xml:space="preserve">Corporación Universitaria Minuto de Dios; </w:t>
      </w:r>
      <w:hyperlink r:id="rId8" w:tgtFrame="_blank" w:history="1">
        <w:r w:rsidRPr="000E1C77">
          <w:rPr>
            <w:rStyle w:val="Hipervnculo"/>
            <w:lang w:val="es-CO"/>
          </w:rPr>
          <w:t>ngmaldonadoladino@gmail.com</w:t>
        </w:r>
      </w:hyperlink>
    </w:p>
    <w:p w14:paraId="471F26B6" w14:textId="77777777" w:rsidR="009B71F2" w:rsidRPr="000E1C77" w:rsidRDefault="009B71F2" w:rsidP="009B71F2">
      <w:pPr>
        <w:pStyle w:val="MDPI16affiliation"/>
        <w:rPr>
          <w:lang w:val="es-CO"/>
        </w:rPr>
      </w:pPr>
      <w:r w:rsidRPr="000E1C77">
        <w:rPr>
          <w:vertAlign w:val="superscript"/>
          <w:lang w:val="es-CO"/>
        </w:rPr>
        <w:t>2</w:t>
      </w:r>
      <w:r w:rsidRPr="000E1C77">
        <w:rPr>
          <w:lang w:val="es-CO"/>
        </w:rPr>
        <w:tab/>
        <w:t xml:space="preserve">Fundación Universitaria San Mateo; </w:t>
      </w:r>
      <w:hyperlink r:id="rId9" w:history="1">
        <w:r w:rsidRPr="000E1C77">
          <w:rPr>
            <w:rStyle w:val="Hipervnculo"/>
            <w:lang w:val="es-CO"/>
          </w:rPr>
          <w:t>investigacion.sst@sanmateo.edu.co</w:t>
        </w:r>
      </w:hyperlink>
      <w:r w:rsidRPr="000E1C77">
        <w:rPr>
          <w:lang w:val="es-CO"/>
        </w:rPr>
        <w:t xml:space="preserve"> </w:t>
      </w:r>
    </w:p>
    <w:p w14:paraId="111CEC76" w14:textId="77777777" w:rsidR="009B71F2" w:rsidRPr="000E1C77" w:rsidRDefault="009B71F2" w:rsidP="009B71F2">
      <w:pPr>
        <w:pStyle w:val="MDPI16affiliation"/>
        <w:rPr>
          <w:lang w:val="es-CO"/>
        </w:rPr>
      </w:pPr>
      <w:r w:rsidRPr="000E1C77">
        <w:rPr>
          <w:vertAlign w:val="superscript"/>
          <w:lang w:val="es-CO"/>
        </w:rPr>
        <w:t>3</w:t>
      </w:r>
      <w:r w:rsidRPr="000E1C77">
        <w:rPr>
          <w:lang w:val="es-CO"/>
        </w:rPr>
        <w:tab/>
        <w:t xml:space="preserve">Corporación Universitaria Minuto de Dios; </w:t>
      </w:r>
      <w:hyperlink r:id="rId10" w:history="1">
        <w:r w:rsidRPr="000E1C77">
          <w:rPr>
            <w:rStyle w:val="Hipervnculo"/>
            <w:lang w:val="es-CO"/>
          </w:rPr>
          <w:t>dballen@uniminuto.edu</w:t>
        </w:r>
      </w:hyperlink>
      <w:r w:rsidRPr="000E1C77">
        <w:rPr>
          <w:lang w:val="es-CO"/>
        </w:rPr>
        <w:t xml:space="preserve"> </w:t>
      </w:r>
    </w:p>
    <w:p w14:paraId="1DA82444" w14:textId="77777777" w:rsidR="009B71F2" w:rsidRPr="000E1C77" w:rsidRDefault="009B71F2" w:rsidP="009B71F2">
      <w:pPr>
        <w:pStyle w:val="MDPI16affiliation"/>
        <w:rPr>
          <w:lang w:val="es-CO"/>
        </w:rPr>
      </w:pPr>
      <w:r w:rsidRPr="000E1C77">
        <w:rPr>
          <w:vertAlign w:val="superscript"/>
          <w:lang w:val="es-CO"/>
        </w:rPr>
        <w:t>4</w:t>
      </w:r>
      <w:r w:rsidRPr="000E1C77">
        <w:rPr>
          <w:lang w:val="es-CO"/>
        </w:rPr>
        <w:tab/>
        <w:t xml:space="preserve">Fundación Universitaria San Martín; </w:t>
      </w:r>
      <w:hyperlink r:id="rId11" w:history="1">
        <w:r w:rsidRPr="000E1C77">
          <w:rPr>
            <w:rStyle w:val="Hipervnculo"/>
            <w:lang w:val="es-CO"/>
          </w:rPr>
          <w:t>juan.villegas@sanmartin.edu.co</w:t>
        </w:r>
      </w:hyperlink>
      <w:r w:rsidRPr="000E1C77">
        <w:rPr>
          <w:lang w:val="es-CO"/>
        </w:rPr>
        <w:t xml:space="preserve"> </w:t>
      </w:r>
    </w:p>
    <w:p w14:paraId="5683FD6C" w14:textId="77777777" w:rsidR="009B71F2" w:rsidRPr="000E1C77" w:rsidRDefault="009B71F2" w:rsidP="009B71F2">
      <w:pPr>
        <w:pStyle w:val="MDPI16affiliation"/>
        <w:rPr>
          <w:lang w:val="es-CO"/>
        </w:rPr>
      </w:pPr>
      <w:r w:rsidRPr="000E1C77">
        <w:rPr>
          <w:vertAlign w:val="superscript"/>
          <w:lang w:val="es-CO"/>
        </w:rPr>
        <w:t>5</w:t>
      </w:r>
      <w:r w:rsidRPr="000E1C77">
        <w:rPr>
          <w:lang w:val="es-CO"/>
        </w:rPr>
        <w:tab/>
        <w:t xml:space="preserve">Universidad Santiago de Cali; </w:t>
      </w:r>
      <w:hyperlink r:id="rId12" w:history="1">
        <w:r w:rsidRPr="000E1C77">
          <w:rPr>
            <w:rStyle w:val="Hipervnculo"/>
            <w:lang w:val="es-CO"/>
          </w:rPr>
          <w:t>alejandroboterocarvajal@gmail.com</w:t>
        </w:r>
      </w:hyperlink>
      <w:r w:rsidRPr="000E1C77">
        <w:rPr>
          <w:lang w:val="es-CO"/>
        </w:rPr>
        <w:t xml:space="preserve"> </w:t>
      </w:r>
    </w:p>
    <w:p w14:paraId="209E0555" w14:textId="77777777" w:rsidR="009B71F2" w:rsidRPr="000E1C77" w:rsidRDefault="009B71F2" w:rsidP="009B71F2">
      <w:pPr>
        <w:pStyle w:val="MDPI16affiliation"/>
        <w:rPr>
          <w:lang w:val="es-CO"/>
        </w:rPr>
      </w:pPr>
      <w:r w:rsidRPr="000E1C77">
        <w:rPr>
          <w:b/>
          <w:lang w:val="es-CO"/>
        </w:rPr>
        <w:t>*</w:t>
      </w:r>
      <w:r w:rsidRPr="000E1C77">
        <w:rPr>
          <w:lang w:val="es-CO"/>
        </w:rPr>
        <w:tab/>
      </w:r>
      <w:proofErr w:type="spellStart"/>
      <w:r w:rsidRPr="000E1C77">
        <w:rPr>
          <w:lang w:val="es-CO"/>
        </w:rPr>
        <w:t>Correspondence</w:t>
      </w:r>
      <w:proofErr w:type="spellEnd"/>
      <w:r w:rsidRPr="000E1C77">
        <w:rPr>
          <w:lang w:val="es-CO"/>
        </w:rPr>
        <w:t>: alejandroboterocarvajal@gmail.com; Cali, Colombia</w:t>
      </w:r>
    </w:p>
    <w:p w14:paraId="693F5356" w14:textId="636B11C5" w:rsidR="009B71F2" w:rsidRPr="000E1C77" w:rsidRDefault="009B71F2" w:rsidP="007F7678">
      <w:pPr>
        <w:pStyle w:val="MDPI17abstract"/>
        <w:rPr>
          <w:szCs w:val="18"/>
        </w:rPr>
      </w:pPr>
      <w:r w:rsidRPr="000E1C77">
        <w:rPr>
          <w:b/>
          <w:szCs w:val="18"/>
        </w:rPr>
        <w:t xml:space="preserve">Abstract: </w:t>
      </w:r>
      <w:r w:rsidRPr="000E1C77">
        <w:rPr>
          <w:bCs/>
          <w:szCs w:val="18"/>
        </w:rPr>
        <w:t>Background</w:t>
      </w:r>
      <w:r w:rsidRPr="000E1C77">
        <w:rPr>
          <w:szCs w:val="18"/>
        </w:rPr>
        <w:t xml:space="preserve">: </w:t>
      </w:r>
      <w:r w:rsidR="007F7678" w:rsidRPr="007F7678">
        <w:rPr>
          <w:color w:val="000000" w:themeColor="text1"/>
          <w:szCs w:val="18"/>
        </w:rPr>
        <w:t>Farmers are continuously exposed to pesticides during crop production, which can lead to both acute and chronic poisoning. This exposure poses a significant global public health concern. In response, this study aims to achieve two primary objectives: (1) to identify the correlation between pesticide intoxication cases among farmers and their potential causes, and (2) to assess the relationship between risk-control measures, hygiene practices, and resulting health effects.</w:t>
      </w:r>
      <w:r w:rsidR="007F7678">
        <w:rPr>
          <w:color w:val="000000" w:themeColor="text1"/>
          <w:szCs w:val="18"/>
        </w:rPr>
        <w:t xml:space="preserve"> </w:t>
      </w:r>
      <w:r w:rsidR="007F7678" w:rsidRPr="007F7678">
        <w:rPr>
          <w:color w:val="000000" w:themeColor="text1"/>
          <w:szCs w:val="18"/>
        </w:rPr>
        <w:t>Methods: This study employed a cross-sectional mixed-methods observational design, sampling 112 farmers from Bogotá’s rural areas. Data were analyzed using logistic regression in R (version 4.2.1), examining eight associated variables.</w:t>
      </w:r>
      <w:r w:rsidR="007F7678">
        <w:rPr>
          <w:color w:val="000000" w:themeColor="text1"/>
          <w:szCs w:val="18"/>
        </w:rPr>
        <w:t xml:space="preserve"> </w:t>
      </w:r>
      <w:r w:rsidR="007F7678" w:rsidRPr="007F7678">
        <w:rPr>
          <w:color w:val="000000" w:themeColor="text1"/>
          <w:szCs w:val="18"/>
        </w:rPr>
        <w:t>Results: The use of personal protective equipment (PPE) ranged from approximately 62% to 92%. Additionally, 82% of participants reported changing their workwear, and 76% practiced bodily hygiene after exposure. Nevertheless, health complaints persisted—particularly affecting vision (46%), the respiratory system (38%), and the skin (32%). Notably, two out of every three farmers reported experiencing some form of systemic illness associated with pesticide exposure.</w:t>
      </w:r>
      <w:r w:rsidR="009B7744">
        <w:rPr>
          <w:color w:val="000000" w:themeColor="text1"/>
          <w:szCs w:val="18"/>
        </w:rPr>
        <w:t xml:space="preserve"> </w:t>
      </w:r>
      <w:r w:rsidR="007F7678" w:rsidRPr="007F7678">
        <w:rPr>
          <w:color w:val="000000" w:themeColor="text1"/>
          <w:szCs w:val="18"/>
        </w:rPr>
        <w:t>Conclusion: A strong association was observed between the use of facemasks and changing workwear, and the prevention of pesticide-related intoxication. These practices appear to be key in reducing chemical exposure during fumigation activities.</w:t>
      </w:r>
    </w:p>
    <w:p w14:paraId="3D6CF2B1" w14:textId="77777777" w:rsidR="009B71F2" w:rsidRPr="000E1C77" w:rsidRDefault="009B71F2" w:rsidP="009B71F2">
      <w:pPr>
        <w:pStyle w:val="MDPI18keywords"/>
        <w:rPr>
          <w:szCs w:val="18"/>
        </w:rPr>
      </w:pPr>
      <w:r w:rsidRPr="000E1C77">
        <w:rPr>
          <w:b/>
          <w:szCs w:val="18"/>
        </w:rPr>
        <w:t xml:space="preserve">Keywords: </w:t>
      </w:r>
      <w:r w:rsidRPr="000E1C77">
        <w:rPr>
          <w:bCs/>
          <w:szCs w:val="18"/>
        </w:rPr>
        <w:t>exposure; farmers; intoxication; pesticides; agrochemicals.</w:t>
      </w:r>
    </w:p>
    <w:p w14:paraId="17A75216" w14:textId="77777777" w:rsidR="009B71F2" w:rsidRPr="000E1C77" w:rsidRDefault="009B71F2" w:rsidP="009B71F2">
      <w:pPr>
        <w:pStyle w:val="MDPI19line"/>
      </w:pPr>
    </w:p>
    <w:p w14:paraId="0904CB0C" w14:textId="77777777" w:rsidR="009B71F2" w:rsidRPr="000E1C77" w:rsidRDefault="009B71F2" w:rsidP="009B71F2">
      <w:pPr>
        <w:pStyle w:val="MDPI21heading1"/>
        <w:rPr>
          <w:lang w:eastAsia="zh-CN"/>
        </w:rPr>
      </w:pPr>
      <w:r w:rsidRPr="000E1C77">
        <w:rPr>
          <w:lang w:eastAsia="zh-CN"/>
        </w:rPr>
        <w:t>1. Introduction</w:t>
      </w:r>
    </w:p>
    <w:p w14:paraId="582BA272" w14:textId="66351E5A" w:rsidR="009B71F2" w:rsidRPr="009B71F2" w:rsidRDefault="009B7744" w:rsidP="009B71F2">
      <w:pPr>
        <w:pStyle w:val="MDPI31text"/>
        <w:rPr>
          <w:szCs w:val="20"/>
        </w:rPr>
      </w:pPr>
      <w:r w:rsidRPr="009B7744">
        <w:rPr>
          <w:szCs w:val="20"/>
        </w:rPr>
        <w:t>In Colombia, the agricultural sector contributed 4.5% to the national GDP in 2019 and accounted for 16% of total employment [1,2]. Globally, agriculture holds significant economic and social importance, employing approximately 874 million people—equivalent to 27.4% of the global workforce. Despite its prominence, agriculture remains one of the most hazardous sectors in terms of occupational health. Agricultural workers are twice as likely to experience fatal work-related injuries compared to those in other industries. This elevated risk is largely due to the operation of heavy machinery and extensive exposure to agrochemical substances used for pest control [3]. The danger increases when pesticides are combined to broaden their range and efficacy; however, such practices can also contribute to the development of a variety of adverse health conditions [4].</w:t>
      </w:r>
    </w:p>
    <w:p w14:paraId="3535AC53" w14:textId="0B7C30D6" w:rsidR="009B71F2" w:rsidRPr="009B71F2" w:rsidRDefault="00BB21FE" w:rsidP="009B71F2">
      <w:pPr>
        <w:pStyle w:val="MDPI31text"/>
        <w:rPr>
          <w:szCs w:val="20"/>
        </w:rPr>
      </w:pPr>
      <w:r w:rsidRPr="00BB21FE">
        <w:rPr>
          <w:szCs w:val="20"/>
        </w:rPr>
        <w:t xml:space="preserve">According to the National Institute of Health of Colombia, an average of 5,890 pesticide poisoning cases were reported annually between 2017 and 2022, representing 17.2% of all intoxication cases nationwide during this period. Exposure to pesticides has been consistently associated with the onset of numerous health conditions, as </w:t>
      </w:r>
      <w:r w:rsidRPr="00BB21FE">
        <w:rPr>
          <w:szCs w:val="20"/>
        </w:rPr>
        <w:lastRenderedPageBreak/>
        <w:t>documented in a range of scientific studies. These include various types of cancer [4,5], congenital anomalies and developmental toxicity [6], reproductive disorders [7,8], neurodegenerative diseases such as Parkinson’s and Alzheimer’s [4,9], endocrine disruptions [10], and respiratory ailments [11], among others [4]. Given their high prevalence and significant health impact, pesticide-related poisonings are under special epidemiological surveillance in Colombia (Table 1). Notably, pesticides and agrochemicals currently rank as the third most common cause of intoxication in the country—exceeding incidents involving psychoactive substances and pharmaceuticals—and are believed to be the primary cause of occupational poisoning [12–15].</w:t>
      </w:r>
    </w:p>
    <w:p w14:paraId="6D1C6CAE" w14:textId="5D51FC75" w:rsidR="009B71F2" w:rsidRPr="009B71F2" w:rsidRDefault="00BB21FE" w:rsidP="009B71F2">
      <w:pPr>
        <w:pStyle w:val="MDPI31text"/>
        <w:rPr>
          <w:szCs w:val="20"/>
        </w:rPr>
      </w:pPr>
      <w:r w:rsidRPr="00BB21FE">
        <w:rPr>
          <w:szCs w:val="20"/>
        </w:rPr>
        <w:t xml:space="preserve">Agriculture remains a vital component of Bogotá’s economy, underscoring the need for continuous monitoring of pesticide-related poisoning within the city. The rural areas of Bogotá are organized into four main regions—Cerros </w:t>
      </w:r>
      <w:proofErr w:type="spellStart"/>
      <w:r w:rsidRPr="00BB21FE">
        <w:rPr>
          <w:szCs w:val="20"/>
        </w:rPr>
        <w:t>Orientales</w:t>
      </w:r>
      <w:proofErr w:type="spellEnd"/>
      <w:r w:rsidRPr="00BB21FE">
        <w:rPr>
          <w:szCs w:val="20"/>
        </w:rPr>
        <w:t xml:space="preserve">, Cuenca </w:t>
      </w:r>
      <w:proofErr w:type="spellStart"/>
      <w:r w:rsidRPr="00BB21FE">
        <w:rPr>
          <w:szCs w:val="20"/>
        </w:rPr>
        <w:t>Tunjuelo</w:t>
      </w:r>
      <w:proofErr w:type="spellEnd"/>
      <w:r w:rsidRPr="00BB21FE">
        <w:rPr>
          <w:szCs w:val="20"/>
        </w:rPr>
        <w:t xml:space="preserve">, </w:t>
      </w:r>
      <w:proofErr w:type="spellStart"/>
      <w:r w:rsidRPr="00BB21FE">
        <w:rPr>
          <w:szCs w:val="20"/>
        </w:rPr>
        <w:t>Sumapaz</w:t>
      </w:r>
      <w:proofErr w:type="spellEnd"/>
      <w:r w:rsidRPr="00BB21FE">
        <w:rPr>
          <w:szCs w:val="20"/>
        </w:rPr>
        <w:t xml:space="preserve">, and </w:t>
      </w:r>
      <w:proofErr w:type="spellStart"/>
      <w:r w:rsidRPr="00BB21FE">
        <w:rPr>
          <w:szCs w:val="20"/>
        </w:rPr>
        <w:t>Torca</w:t>
      </w:r>
      <w:proofErr w:type="spellEnd"/>
      <w:r w:rsidRPr="00BB21FE">
        <w:rPr>
          <w:szCs w:val="20"/>
        </w:rPr>
        <w:t xml:space="preserve">—which together comprise approximately 75% of the city's total land area and were home to an estimated 30,578 residents in 2022. Agriculture serves as the primary economic activity for these communities [16]. Public health initiatives aimed at reducing pesticide poisoning showed promising results between 2017 and 2020, with a marked decline in reported cases from 397 in 2017 to just 52 in 2020 [17]. Nevertheless, a resurgence in poisoning cases has been documented over the past three years, affecting Bogotá as a whole and Ciudad Bolívar in particular (Table 1). Located within the Cuenca </w:t>
      </w:r>
      <w:proofErr w:type="spellStart"/>
      <w:r w:rsidRPr="00BB21FE">
        <w:rPr>
          <w:szCs w:val="20"/>
        </w:rPr>
        <w:t>Tunjuelo</w:t>
      </w:r>
      <w:proofErr w:type="spellEnd"/>
      <w:r w:rsidRPr="00BB21FE">
        <w:rPr>
          <w:szCs w:val="20"/>
        </w:rPr>
        <w:t xml:space="preserve"> region, Ciudad Bolívar encompasses 5,923 hectares allocated to agricultural production, positioning it as the most agriculturally intensive area among the city’s rural zones [18].</w:t>
      </w:r>
    </w:p>
    <w:p w14:paraId="5507F835" w14:textId="71A2CA7F" w:rsidR="009B71F2" w:rsidRDefault="00BB21FE" w:rsidP="009B71F2">
      <w:pPr>
        <w:pStyle w:val="MDPI31text"/>
        <w:rPr>
          <w:szCs w:val="20"/>
        </w:rPr>
      </w:pPr>
      <w:r w:rsidRPr="00BB21FE">
        <w:rPr>
          <w:szCs w:val="20"/>
        </w:rPr>
        <w:t>Sustaining the reduction in pesticide-related poisoning—and ultimately aiming for zero cases—is especially critical in Ciudad Bolívar, given its significant contribution to both the rural and urban economies. Due to the occupational nature of most pesticide exposures, it is essential to examine this issue in relation to key sociodemographic and occupational variables, as well as to assess the potential health consequences associated with prolonged or repeated exposure.</w:t>
      </w:r>
      <w:r>
        <w:rPr>
          <w:szCs w:val="20"/>
        </w:rPr>
        <w:t xml:space="preserve"> </w:t>
      </w:r>
      <w:r w:rsidR="009B71F2" w:rsidRPr="009B71F2">
        <w:rPr>
          <w:szCs w:val="20"/>
        </w:rPr>
        <w:t>Give</w:t>
      </w:r>
      <w:r>
        <w:rPr>
          <w:szCs w:val="20"/>
        </w:rPr>
        <w:t xml:space="preserve">n </w:t>
      </w:r>
      <w:r w:rsidR="009B71F2" w:rsidRPr="009B71F2">
        <w:rPr>
          <w:szCs w:val="20"/>
        </w:rPr>
        <w:t>this context, this research project focuses on Ciudad Bolívar with the following objectives: (1) Analyze the correlation between pesticide poisoning cases and specific pesticide use; and (2) Evaluate the relationship between adherence to safety practices (e.g., use of protective equipment, hygiene habits) and identify potential risk factors contributing to intoxication among agricultural workers.</w:t>
      </w:r>
      <w:r w:rsidR="009B71F2">
        <w:rPr>
          <w:szCs w:val="20"/>
        </w:rPr>
        <w:t xml:space="preserve"> </w:t>
      </w:r>
    </w:p>
    <w:p w14:paraId="2C16FB7C" w14:textId="77777777" w:rsidR="009B71F2" w:rsidRPr="000E1C77" w:rsidRDefault="009B71F2" w:rsidP="009B71F2">
      <w:pPr>
        <w:pStyle w:val="MDPI31text"/>
        <w:rPr>
          <w:color w:val="000000" w:themeColor="text1"/>
          <w:szCs w:val="20"/>
        </w:rPr>
      </w:pPr>
    </w:p>
    <w:p w14:paraId="2DC9EBA3" w14:textId="77777777" w:rsidR="009B71F2" w:rsidRPr="000E1C77" w:rsidRDefault="009B71F2" w:rsidP="009B71F2">
      <w:pPr>
        <w:spacing w:line="240" w:lineRule="auto"/>
        <w:ind w:left="2550"/>
        <w:rPr>
          <w:sz w:val="18"/>
          <w:szCs w:val="18"/>
        </w:rPr>
      </w:pPr>
      <w:r w:rsidRPr="000E1C77">
        <w:rPr>
          <w:b/>
          <w:bCs/>
          <w:sz w:val="18"/>
          <w:szCs w:val="18"/>
        </w:rPr>
        <w:t xml:space="preserve">Table 1. </w:t>
      </w:r>
      <w:r w:rsidRPr="000E1C77">
        <w:rPr>
          <w:sz w:val="18"/>
          <w:szCs w:val="18"/>
        </w:rPr>
        <w:t>Cases of intoxications due to pesticides 2017-2020n in Colombia, Bogotá, and Ciudad Bolivar.</w:t>
      </w:r>
    </w:p>
    <w:tbl>
      <w:tblPr>
        <w:tblStyle w:val="Tablaconcuadrcula"/>
        <w:tblW w:w="0" w:type="auto"/>
        <w:tblInd w:w="25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09"/>
        <w:gridCol w:w="708"/>
        <w:gridCol w:w="709"/>
        <w:gridCol w:w="709"/>
        <w:gridCol w:w="709"/>
        <w:gridCol w:w="708"/>
      </w:tblGrid>
      <w:tr w:rsidR="009B71F2" w:rsidRPr="000E1C77" w14:paraId="46552B78" w14:textId="77777777" w:rsidTr="00552704">
        <w:tc>
          <w:tcPr>
            <w:tcW w:w="3119" w:type="dxa"/>
            <w:tcBorders>
              <w:top w:val="single" w:sz="4" w:space="0" w:color="auto"/>
              <w:bottom w:val="single" w:sz="4" w:space="0" w:color="auto"/>
            </w:tcBorders>
          </w:tcPr>
          <w:p w14:paraId="366192A6" w14:textId="77777777" w:rsidR="009B71F2" w:rsidRPr="000E1C77" w:rsidRDefault="009B71F2" w:rsidP="00552704">
            <w:pPr>
              <w:spacing w:line="200" w:lineRule="atLeast"/>
              <w:rPr>
                <w:b/>
                <w:bCs/>
                <w:color w:val="000000" w:themeColor="text1"/>
              </w:rPr>
            </w:pPr>
            <w:r w:rsidRPr="000E1C77">
              <w:rPr>
                <w:b/>
                <w:bCs/>
                <w:color w:val="000000" w:themeColor="text1"/>
              </w:rPr>
              <w:t>Area</w:t>
            </w:r>
          </w:p>
        </w:tc>
        <w:tc>
          <w:tcPr>
            <w:tcW w:w="709" w:type="dxa"/>
            <w:tcBorders>
              <w:top w:val="single" w:sz="4" w:space="0" w:color="auto"/>
              <w:bottom w:val="single" w:sz="4" w:space="0" w:color="auto"/>
            </w:tcBorders>
          </w:tcPr>
          <w:p w14:paraId="5843BA41" w14:textId="77777777" w:rsidR="009B71F2" w:rsidRPr="000E1C77" w:rsidRDefault="009B71F2" w:rsidP="00552704">
            <w:pPr>
              <w:spacing w:line="200" w:lineRule="atLeast"/>
              <w:rPr>
                <w:b/>
                <w:bCs/>
                <w:color w:val="000000" w:themeColor="text1"/>
              </w:rPr>
            </w:pPr>
            <w:r w:rsidRPr="000E1C77">
              <w:rPr>
                <w:b/>
                <w:bCs/>
                <w:color w:val="000000" w:themeColor="text1"/>
              </w:rPr>
              <w:t>2017</w:t>
            </w:r>
          </w:p>
        </w:tc>
        <w:tc>
          <w:tcPr>
            <w:tcW w:w="708" w:type="dxa"/>
            <w:tcBorders>
              <w:top w:val="single" w:sz="4" w:space="0" w:color="auto"/>
              <w:bottom w:val="single" w:sz="4" w:space="0" w:color="auto"/>
            </w:tcBorders>
          </w:tcPr>
          <w:p w14:paraId="394D222F" w14:textId="77777777" w:rsidR="009B71F2" w:rsidRPr="000E1C77" w:rsidRDefault="009B71F2" w:rsidP="00552704">
            <w:pPr>
              <w:spacing w:line="200" w:lineRule="atLeast"/>
              <w:rPr>
                <w:b/>
                <w:bCs/>
                <w:color w:val="000000" w:themeColor="text1"/>
              </w:rPr>
            </w:pPr>
            <w:r w:rsidRPr="000E1C77">
              <w:rPr>
                <w:b/>
                <w:bCs/>
                <w:color w:val="000000" w:themeColor="text1"/>
              </w:rPr>
              <w:t>2018</w:t>
            </w:r>
          </w:p>
        </w:tc>
        <w:tc>
          <w:tcPr>
            <w:tcW w:w="709" w:type="dxa"/>
            <w:tcBorders>
              <w:top w:val="single" w:sz="4" w:space="0" w:color="auto"/>
              <w:bottom w:val="single" w:sz="4" w:space="0" w:color="auto"/>
            </w:tcBorders>
          </w:tcPr>
          <w:p w14:paraId="5F25455B" w14:textId="77777777" w:rsidR="009B71F2" w:rsidRPr="000E1C77" w:rsidRDefault="009B71F2" w:rsidP="00552704">
            <w:pPr>
              <w:spacing w:line="200" w:lineRule="atLeast"/>
              <w:rPr>
                <w:b/>
                <w:bCs/>
                <w:color w:val="000000" w:themeColor="text1"/>
              </w:rPr>
            </w:pPr>
            <w:r w:rsidRPr="000E1C77">
              <w:rPr>
                <w:b/>
                <w:bCs/>
                <w:color w:val="000000" w:themeColor="text1"/>
              </w:rPr>
              <w:t>2019</w:t>
            </w:r>
          </w:p>
        </w:tc>
        <w:tc>
          <w:tcPr>
            <w:tcW w:w="709" w:type="dxa"/>
            <w:tcBorders>
              <w:top w:val="single" w:sz="4" w:space="0" w:color="auto"/>
              <w:bottom w:val="single" w:sz="4" w:space="0" w:color="auto"/>
            </w:tcBorders>
          </w:tcPr>
          <w:p w14:paraId="33E29D8F" w14:textId="77777777" w:rsidR="009B71F2" w:rsidRPr="000E1C77" w:rsidRDefault="009B71F2" w:rsidP="00552704">
            <w:pPr>
              <w:spacing w:line="200" w:lineRule="atLeast"/>
              <w:rPr>
                <w:b/>
                <w:bCs/>
                <w:color w:val="000000" w:themeColor="text1"/>
              </w:rPr>
            </w:pPr>
            <w:r w:rsidRPr="000E1C77">
              <w:rPr>
                <w:b/>
                <w:bCs/>
                <w:color w:val="000000" w:themeColor="text1"/>
              </w:rPr>
              <w:t>2020</w:t>
            </w:r>
          </w:p>
        </w:tc>
        <w:tc>
          <w:tcPr>
            <w:tcW w:w="709" w:type="dxa"/>
            <w:tcBorders>
              <w:top w:val="single" w:sz="4" w:space="0" w:color="auto"/>
              <w:bottom w:val="single" w:sz="4" w:space="0" w:color="auto"/>
            </w:tcBorders>
          </w:tcPr>
          <w:p w14:paraId="17C34733" w14:textId="77777777" w:rsidR="009B71F2" w:rsidRPr="000E1C77" w:rsidRDefault="009B71F2" w:rsidP="00552704">
            <w:pPr>
              <w:spacing w:line="200" w:lineRule="atLeast"/>
              <w:rPr>
                <w:b/>
                <w:bCs/>
                <w:color w:val="000000" w:themeColor="text1"/>
              </w:rPr>
            </w:pPr>
            <w:r w:rsidRPr="000E1C77">
              <w:rPr>
                <w:b/>
                <w:bCs/>
                <w:color w:val="000000" w:themeColor="text1"/>
              </w:rPr>
              <w:t>2021</w:t>
            </w:r>
          </w:p>
        </w:tc>
        <w:tc>
          <w:tcPr>
            <w:tcW w:w="708" w:type="dxa"/>
            <w:tcBorders>
              <w:top w:val="single" w:sz="4" w:space="0" w:color="auto"/>
              <w:bottom w:val="single" w:sz="4" w:space="0" w:color="auto"/>
            </w:tcBorders>
          </w:tcPr>
          <w:p w14:paraId="398F379C" w14:textId="77777777" w:rsidR="009B71F2" w:rsidRPr="000E1C77" w:rsidRDefault="009B71F2" w:rsidP="00552704">
            <w:pPr>
              <w:spacing w:line="200" w:lineRule="atLeast"/>
              <w:rPr>
                <w:b/>
                <w:bCs/>
                <w:color w:val="000000" w:themeColor="text1"/>
              </w:rPr>
            </w:pPr>
            <w:r w:rsidRPr="000E1C77">
              <w:rPr>
                <w:b/>
                <w:bCs/>
                <w:color w:val="000000" w:themeColor="text1"/>
              </w:rPr>
              <w:t>2022</w:t>
            </w:r>
          </w:p>
        </w:tc>
      </w:tr>
      <w:tr w:rsidR="009B71F2" w:rsidRPr="000E1C77" w14:paraId="45B2AAE7" w14:textId="77777777" w:rsidTr="00552704">
        <w:tc>
          <w:tcPr>
            <w:tcW w:w="3119" w:type="dxa"/>
            <w:tcBorders>
              <w:top w:val="single" w:sz="4" w:space="0" w:color="auto"/>
            </w:tcBorders>
          </w:tcPr>
          <w:p w14:paraId="4C718597" w14:textId="77777777" w:rsidR="009B71F2" w:rsidRPr="000E1C77" w:rsidRDefault="009B71F2" w:rsidP="00552704">
            <w:pPr>
              <w:spacing w:line="200" w:lineRule="atLeast"/>
              <w:rPr>
                <w:color w:val="000000" w:themeColor="text1"/>
                <w:vertAlign w:val="superscript"/>
                <w:lang w:val="es-CO"/>
              </w:rPr>
            </w:pPr>
            <w:r w:rsidRPr="000E1C77">
              <w:rPr>
                <w:color w:val="000000" w:themeColor="text1"/>
                <w:lang w:val="es-CO"/>
              </w:rPr>
              <w:t>Ciudad Bolívar, Bogotá D.C.</w:t>
            </w:r>
            <w:r w:rsidRPr="000E1C77">
              <w:rPr>
                <w:color w:val="000000" w:themeColor="text1"/>
                <w:vertAlign w:val="superscript"/>
                <w:lang w:val="es-CO"/>
              </w:rPr>
              <w:t>1</w:t>
            </w:r>
          </w:p>
        </w:tc>
        <w:tc>
          <w:tcPr>
            <w:tcW w:w="709" w:type="dxa"/>
            <w:tcBorders>
              <w:top w:val="single" w:sz="4" w:space="0" w:color="auto"/>
            </w:tcBorders>
          </w:tcPr>
          <w:p w14:paraId="3A1EDA62" w14:textId="77777777" w:rsidR="009B71F2" w:rsidRPr="000E1C77" w:rsidRDefault="009B71F2" w:rsidP="00552704">
            <w:pPr>
              <w:spacing w:line="200" w:lineRule="atLeast"/>
              <w:jc w:val="center"/>
              <w:rPr>
                <w:color w:val="000000" w:themeColor="text1"/>
              </w:rPr>
            </w:pPr>
            <w:r w:rsidRPr="000E1C77">
              <w:rPr>
                <w:color w:val="000000" w:themeColor="text1"/>
              </w:rPr>
              <w:t>52</w:t>
            </w:r>
          </w:p>
        </w:tc>
        <w:tc>
          <w:tcPr>
            <w:tcW w:w="708" w:type="dxa"/>
            <w:tcBorders>
              <w:top w:val="single" w:sz="4" w:space="0" w:color="auto"/>
            </w:tcBorders>
          </w:tcPr>
          <w:p w14:paraId="4CACA3FD" w14:textId="77777777" w:rsidR="009B71F2" w:rsidRPr="000E1C77" w:rsidRDefault="009B71F2" w:rsidP="00552704">
            <w:pPr>
              <w:spacing w:line="200" w:lineRule="atLeast"/>
              <w:jc w:val="center"/>
              <w:rPr>
                <w:color w:val="000000" w:themeColor="text1"/>
              </w:rPr>
            </w:pPr>
            <w:r w:rsidRPr="000E1C77">
              <w:rPr>
                <w:color w:val="000000" w:themeColor="text1"/>
              </w:rPr>
              <w:t>9</w:t>
            </w:r>
          </w:p>
        </w:tc>
        <w:tc>
          <w:tcPr>
            <w:tcW w:w="709" w:type="dxa"/>
            <w:tcBorders>
              <w:top w:val="single" w:sz="4" w:space="0" w:color="auto"/>
            </w:tcBorders>
          </w:tcPr>
          <w:p w14:paraId="161BF834" w14:textId="77777777" w:rsidR="009B71F2" w:rsidRPr="000E1C77" w:rsidRDefault="009B71F2" w:rsidP="00552704">
            <w:pPr>
              <w:spacing w:line="200" w:lineRule="atLeast"/>
              <w:jc w:val="center"/>
              <w:rPr>
                <w:color w:val="000000" w:themeColor="text1"/>
              </w:rPr>
            </w:pPr>
            <w:r w:rsidRPr="000E1C77">
              <w:rPr>
                <w:color w:val="000000" w:themeColor="text1"/>
              </w:rPr>
              <w:t>10</w:t>
            </w:r>
          </w:p>
        </w:tc>
        <w:tc>
          <w:tcPr>
            <w:tcW w:w="709" w:type="dxa"/>
            <w:tcBorders>
              <w:top w:val="single" w:sz="4" w:space="0" w:color="auto"/>
            </w:tcBorders>
          </w:tcPr>
          <w:p w14:paraId="4A0DADD2" w14:textId="77777777" w:rsidR="009B71F2" w:rsidRPr="000E1C77" w:rsidRDefault="009B71F2" w:rsidP="00552704">
            <w:pPr>
              <w:spacing w:line="200" w:lineRule="atLeast"/>
              <w:jc w:val="center"/>
              <w:rPr>
                <w:color w:val="000000" w:themeColor="text1"/>
              </w:rPr>
            </w:pPr>
            <w:r w:rsidRPr="000E1C77">
              <w:rPr>
                <w:color w:val="000000" w:themeColor="text1"/>
              </w:rPr>
              <w:t>7</w:t>
            </w:r>
          </w:p>
        </w:tc>
        <w:tc>
          <w:tcPr>
            <w:tcW w:w="709" w:type="dxa"/>
            <w:tcBorders>
              <w:top w:val="single" w:sz="4" w:space="0" w:color="auto"/>
            </w:tcBorders>
          </w:tcPr>
          <w:p w14:paraId="09D21D58" w14:textId="77777777" w:rsidR="009B71F2" w:rsidRPr="000E1C77" w:rsidRDefault="009B71F2" w:rsidP="00552704">
            <w:pPr>
              <w:spacing w:line="200" w:lineRule="atLeast"/>
              <w:jc w:val="center"/>
              <w:rPr>
                <w:color w:val="000000" w:themeColor="text1"/>
              </w:rPr>
            </w:pPr>
            <w:r w:rsidRPr="000E1C77">
              <w:rPr>
                <w:color w:val="000000" w:themeColor="text1"/>
              </w:rPr>
              <w:t>8</w:t>
            </w:r>
          </w:p>
        </w:tc>
        <w:tc>
          <w:tcPr>
            <w:tcW w:w="708" w:type="dxa"/>
            <w:tcBorders>
              <w:top w:val="single" w:sz="4" w:space="0" w:color="auto"/>
            </w:tcBorders>
          </w:tcPr>
          <w:p w14:paraId="5CBC7A74" w14:textId="77777777" w:rsidR="009B71F2" w:rsidRPr="000E1C77" w:rsidRDefault="009B71F2" w:rsidP="00552704">
            <w:pPr>
              <w:spacing w:line="200" w:lineRule="atLeast"/>
              <w:jc w:val="center"/>
              <w:rPr>
                <w:color w:val="000000" w:themeColor="text1"/>
              </w:rPr>
            </w:pPr>
            <w:r w:rsidRPr="000E1C77">
              <w:rPr>
                <w:color w:val="000000" w:themeColor="text1"/>
              </w:rPr>
              <w:t>9</w:t>
            </w:r>
          </w:p>
        </w:tc>
      </w:tr>
      <w:tr w:rsidR="009B71F2" w:rsidRPr="000E1C77" w14:paraId="3ACABFB8" w14:textId="77777777" w:rsidTr="00552704">
        <w:tc>
          <w:tcPr>
            <w:tcW w:w="3119" w:type="dxa"/>
          </w:tcPr>
          <w:p w14:paraId="725335EF" w14:textId="77777777" w:rsidR="009B71F2" w:rsidRPr="000E1C77" w:rsidRDefault="009B71F2" w:rsidP="00552704">
            <w:pPr>
              <w:spacing w:line="200" w:lineRule="atLeast"/>
              <w:rPr>
                <w:color w:val="000000" w:themeColor="text1"/>
                <w:vertAlign w:val="superscript"/>
              </w:rPr>
            </w:pPr>
            <w:r w:rsidRPr="000E1C77">
              <w:rPr>
                <w:color w:val="000000" w:themeColor="text1"/>
              </w:rPr>
              <w:t>Bogotá D.C.</w:t>
            </w:r>
            <w:r w:rsidRPr="000E1C77">
              <w:rPr>
                <w:color w:val="000000" w:themeColor="text1"/>
                <w:vertAlign w:val="superscript"/>
              </w:rPr>
              <w:t>1</w:t>
            </w:r>
          </w:p>
        </w:tc>
        <w:tc>
          <w:tcPr>
            <w:tcW w:w="709" w:type="dxa"/>
          </w:tcPr>
          <w:p w14:paraId="7D48FFBE" w14:textId="77777777" w:rsidR="009B71F2" w:rsidRPr="000E1C77" w:rsidRDefault="009B71F2" w:rsidP="00552704">
            <w:pPr>
              <w:spacing w:line="200" w:lineRule="atLeast"/>
              <w:jc w:val="center"/>
              <w:rPr>
                <w:color w:val="000000" w:themeColor="text1"/>
              </w:rPr>
            </w:pPr>
            <w:r w:rsidRPr="000E1C77">
              <w:rPr>
                <w:color w:val="000000" w:themeColor="text1"/>
              </w:rPr>
              <w:t>397</w:t>
            </w:r>
          </w:p>
        </w:tc>
        <w:tc>
          <w:tcPr>
            <w:tcW w:w="708" w:type="dxa"/>
          </w:tcPr>
          <w:p w14:paraId="748807D8" w14:textId="77777777" w:rsidR="009B71F2" w:rsidRPr="000E1C77" w:rsidRDefault="009B71F2" w:rsidP="00552704">
            <w:pPr>
              <w:spacing w:line="200" w:lineRule="atLeast"/>
              <w:jc w:val="center"/>
              <w:rPr>
                <w:color w:val="000000" w:themeColor="text1"/>
              </w:rPr>
            </w:pPr>
            <w:r w:rsidRPr="000E1C77">
              <w:rPr>
                <w:color w:val="000000" w:themeColor="text1"/>
              </w:rPr>
              <w:t>126</w:t>
            </w:r>
          </w:p>
        </w:tc>
        <w:tc>
          <w:tcPr>
            <w:tcW w:w="709" w:type="dxa"/>
          </w:tcPr>
          <w:p w14:paraId="21A1D1FF" w14:textId="77777777" w:rsidR="009B71F2" w:rsidRPr="000E1C77" w:rsidRDefault="009B71F2" w:rsidP="00552704">
            <w:pPr>
              <w:spacing w:line="200" w:lineRule="atLeast"/>
              <w:jc w:val="center"/>
              <w:rPr>
                <w:color w:val="000000" w:themeColor="text1"/>
              </w:rPr>
            </w:pPr>
            <w:r w:rsidRPr="000E1C77">
              <w:rPr>
                <w:color w:val="000000" w:themeColor="text1"/>
              </w:rPr>
              <w:t>109</w:t>
            </w:r>
          </w:p>
        </w:tc>
        <w:tc>
          <w:tcPr>
            <w:tcW w:w="709" w:type="dxa"/>
          </w:tcPr>
          <w:p w14:paraId="5801E619" w14:textId="77777777" w:rsidR="009B71F2" w:rsidRPr="000E1C77" w:rsidRDefault="009B71F2" w:rsidP="00552704">
            <w:pPr>
              <w:spacing w:line="200" w:lineRule="atLeast"/>
              <w:jc w:val="center"/>
              <w:rPr>
                <w:color w:val="000000" w:themeColor="text1"/>
              </w:rPr>
            </w:pPr>
            <w:r w:rsidRPr="000E1C77">
              <w:rPr>
                <w:color w:val="000000" w:themeColor="text1"/>
              </w:rPr>
              <w:t>52</w:t>
            </w:r>
          </w:p>
        </w:tc>
        <w:tc>
          <w:tcPr>
            <w:tcW w:w="709" w:type="dxa"/>
          </w:tcPr>
          <w:p w14:paraId="5BE52B57" w14:textId="77777777" w:rsidR="009B71F2" w:rsidRPr="000E1C77" w:rsidRDefault="009B71F2" w:rsidP="00552704">
            <w:pPr>
              <w:spacing w:line="200" w:lineRule="atLeast"/>
              <w:jc w:val="center"/>
              <w:rPr>
                <w:color w:val="000000" w:themeColor="text1"/>
              </w:rPr>
            </w:pPr>
            <w:r w:rsidRPr="000E1C77">
              <w:rPr>
                <w:color w:val="000000" w:themeColor="text1"/>
              </w:rPr>
              <w:t>56</w:t>
            </w:r>
          </w:p>
        </w:tc>
        <w:tc>
          <w:tcPr>
            <w:tcW w:w="708" w:type="dxa"/>
          </w:tcPr>
          <w:p w14:paraId="01BC95C8" w14:textId="77777777" w:rsidR="009B71F2" w:rsidRPr="000E1C77" w:rsidRDefault="009B71F2" w:rsidP="00552704">
            <w:pPr>
              <w:spacing w:line="200" w:lineRule="atLeast"/>
              <w:jc w:val="center"/>
              <w:rPr>
                <w:color w:val="000000" w:themeColor="text1"/>
              </w:rPr>
            </w:pPr>
            <w:r w:rsidRPr="000E1C77">
              <w:rPr>
                <w:color w:val="000000" w:themeColor="text1"/>
              </w:rPr>
              <w:t>84</w:t>
            </w:r>
          </w:p>
        </w:tc>
      </w:tr>
      <w:tr w:rsidR="009B71F2" w:rsidRPr="000E1C77" w14:paraId="046A386B" w14:textId="77777777" w:rsidTr="00552704">
        <w:tc>
          <w:tcPr>
            <w:tcW w:w="3119" w:type="dxa"/>
            <w:tcBorders>
              <w:bottom w:val="single" w:sz="4" w:space="0" w:color="auto"/>
            </w:tcBorders>
          </w:tcPr>
          <w:p w14:paraId="0F29DA2E" w14:textId="77777777" w:rsidR="009B71F2" w:rsidRPr="000E1C77" w:rsidRDefault="009B71F2" w:rsidP="00552704">
            <w:pPr>
              <w:spacing w:line="200" w:lineRule="atLeast"/>
              <w:rPr>
                <w:color w:val="000000" w:themeColor="text1"/>
                <w:vertAlign w:val="superscript"/>
              </w:rPr>
            </w:pPr>
            <w:r w:rsidRPr="000E1C77">
              <w:rPr>
                <w:color w:val="000000" w:themeColor="text1"/>
              </w:rPr>
              <w:t xml:space="preserve">Colombia </w:t>
            </w:r>
            <w:r w:rsidRPr="000E1C77">
              <w:rPr>
                <w:color w:val="000000" w:themeColor="text1"/>
                <w:vertAlign w:val="superscript"/>
              </w:rPr>
              <w:t>2</w:t>
            </w:r>
          </w:p>
        </w:tc>
        <w:tc>
          <w:tcPr>
            <w:tcW w:w="709" w:type="dxa"/>
            <w:tcBorders>
              <w:bottom w:val="single" w:sz="4" w:space="0" w:color="auto"/>
            </w:tcBorders>
          </w:tcPr>
          <w:p w14:paraId="53A3C324" w14:textId="77777777" w:rsidR="009B71F2" w:rsidRPr="000E1C77" w:rsidRDefault="009B71F2" w:rsidP="00552704">
            <w:pPr>
              <w:spacing w:line="200" w:lineRule="atLeast"/>
              <w:jc w:val="center"/>
              <w:rPr>
                <w:color w:val="000000" w:themeColor="text1"/>
              </w:rPr>
            </w:pPr>
            <w:r w:rsidRPr="000E1C77">
              <w:rPr>
                <w:color w:val="000000" w:themeColor="text1"/>
              </w:rPr>
              <w:t>8423</w:t>
            </w:r>
          </w:p>
        </w:tc>
        <w:tc>
          <w:tcPr>
            <w:tcW w:w="708" w:type="dxa"/>
            <w:tcBorders>
              <w:bottom w:val="single" w:sz="4" w:space="0" w:color="auto"/>
            </w:tcBorders>
          </w:tcPr>
          <w:p w14:paraId="4C823144" w14:textId="77777777" w:rsidR="009B71F2" w:rsidRPr="000E1C77" w:rsidRDefault="009B71F2" w:rsidP="00552704">
            <w:pPr>
              <w:spacing w:line="200" w:lineRule="atLeast"/>
              <w:jc w:val="center"/>
              <w:rPr>
                <w:color w:val="000000" w:themeColor="text1"/>
              </w:rPr>
            </w:pPr>
            <w:r w:rsidRPr="000E1C77">
              <w:rPr>
                <w:color w:val="000000" w:themeColor="text1"/>
              </w:rPr>
              <w:t>3558</w:t>
            </w:r>
          </w:p>
        </w:tc>
        <w:tc>
          <w:tcPr>
            <w:tcW w:w="709" w:type="dxa"/>
            <w:tcBorders>
              <w:bottom w:val="single" w:sz="4" w:space="0" w:color="auto"/>
            </w:tcBorders>
          </w:tcPr>
          <w:p w14:paraId="39A8DAD7" w14:textId="77777777" w:rsidR="009B71F2" w:rsidRPr="000E1C77" w:rsidRDefault="009B71F2" w:rsidP="00552704">
            <w:pPr>
              <w:spacing w:line="200" w:lineRule="atLeast"/>
              <w:jc w:val="center"/>
              <w:rPr>
                <w:color w:val="000000" w:themeColor="text1"/>
              </w:rPr>
            </w:pPr>
            <w:r w:rsidRPr="000E1C77">
              <w:rPr>
                <w:color w:val="000000" w:themeColor="text1"/>
              </w:rPr>
              <w:t>3930</w:t>
            </w:r>
          </w:p>
        </w:tc>
        <w:tc>
          <w:tcPr>
            <w:tcW w:w="709" w:type="dxa"/>
            <w:tcBorders>
              <w:bottom w:val="single" w:sz="4" w:space="0" w:color="auto"/>
            </w:tcBorders>
          </w:tcPr>
          <w:p w14:paraId="1DE03B7B" w14:textId="77777777" w:rsidR="009B71F2" w:rsidRPr="000E1C77" w:rsidRDefault="009B71F2" w:rsidP="00552704">
            <w:pPr>
              <w:spacing w:line="200" w:lineRule="atLeast"/>
              <w:jc w:val="center"/>
              <w:rPr>
                <w:color w:val="000000" w:themeColor="text1"/>
              </w:rPr>
            </w:pPr>
            <w:r w:rsidRPr="000E1C77">
              <w:rPr>
                <w:color w:val="000000" w:themeColor="text1"/>
              </w:rPr>
              <w:t>6712</w:t>
            </w:r>
          </w:p>
        </w:tc>
        <w:tc>
          <w:tcPr>
            <w:tcW w:w="709" w:type="dxa"/>
            <w:tcBorders>
              <w:bottom w:val="single" w:sz="4" w:space="0" w:color="auto"/>
            </w:tcBorders>
          </w:tcPr>
          <w:p w14:paraId="3E569B33" w14:textId="77777777" w:rsidR="009B71F2" w:rsidRPr="000E1C77" w:rsidRDefault="009B71F2" w:rsidP="00552704">
            <w:pPr>
              <w:spacing w:line="200" w:lineRule="atLeast"/>
              <w:jc w:val="center"/>
              <w:rPr>
                <w:color w:val="000000" w:themeColor="text1"/>
              </w:rPr>
            </w:pPr>
            <w:r w:rsidRPr="000E1C77">
              <w:rPr>
                <w:color w:val="000000" w:themeColor="text1"/>
              </w:rPr>
              <w:t>6159</w:t>
            </w:r>
          </w:p>
        </w:tc>
        <w:tc>
          <w:tcPr>
            <w:tcW w:w="708" w:type="dxa"/>
            <w:tcBorders>
              <w:bottom w:val="single" w:sz="4" w:space="0" w:color="auto"/>
            </w:tcBorders>
          </w:tcPr>
          <w:p w14:paraId="1B8CD23D" w14:textId="77777777" w:rsidR="009B71F2" w:rsidRPr="000E1C77" w:rsidRDefault="009B71F2" w:rsidP="00552704">
            <w:pPr>
              <w:spacing w:line="200" w:lineRule="atLeast"/>
              <w:jc w:val="center"/>
              <w:rPr>
                <w:color w:val="000000" w:themeColor="text1"/>
              </w:rPr>
            </w:pPr>
            <w:r w:rsidRPr="000E1C77">
              <w:rPr>
                <w:color w:val="000000" w:themeColor="text1"/>
              </w:rPr>
              <w:t>6555</w:t>
            </w:r>
          </w:p>
        </w:tc>
      </w:tr>
    </w:tbl>
    <w:p w14:paraId="7A031492" w14:textId="77777777" w:rsidR="009B71F2" w:rsidRPr="000E1C77" w:rsidRDefault="009B71F2" w:rsidP="009B71F2">
      <w:pPr>
        <w:spacing w:line="480" w:lineRule="auto"/>
        <w:ind w:left="2550"/>
        <w:rPr>
          <w:sz w:val="18"/>
          <w:szCs w:val="18"/>
          <w:lang w:val="es-CO"/>
        </w:rPr>
      </w:pPr>
      <w:proofErr w:type="spellStart"/>
      <w:r w:rsidRPr="000E1C77">
        <w:rPr>
          <w:i/>
          <w:iCs/>
          <w:color w:val="000000" w:themeColor="text1"/>
          <w:sz w:val="18"/>
          <w:szCs w:val="18"/>
          <w:lang w:val="es-CO"/>
        </w:rPr>
        <w:t>Source</w:t>
      </w:r>
      <w:proofErr w:type="spellEnd"/>
      <w:r w:rsidRPr="000E1C77">
        <w:rPr>
          <w:i/>
          <w:iCs/>
          <w:color w:val="000000" w:themeColor="text1"/>
          <w:sz w:val="18"/>
          <w:szCs w:val="18"/>
          <w:lang w:val="es-CO"/>
        </w:rPr>
        <w:t>:</w:t>
      </w:r>
      <w:r w:rsidRPr="000E1C77">
        <w:rPr>
          <w:color w:val="000000" w:themeColor="text1"/>
          <w:sz w:val="18"/>
          <w:szCs w:val="18"/>
          <w:lang w:val="es-CO"/>
        </w:rPr>
        <w:t xml:space="preserve"> </w:t>
      </w:r>
      <w:r w:rsidRPr="000E1C77">
        <w:rPr>
          <w:i/>
          <w:iCs/>
          <w:color w:val="000000" w:themeColor="text1"/>
          <w:sz w:val="18"/>
          <w:szCs w:val="18"/>
          <w:vertAlign w:val="superscript"/>
        </w:rPr>
        <w:fldChar w:fldCharType="begin"/>
      </w:r>
      <w:r w:rsidRPr="000E1C77">
        <w:rPr>
          <w:i/>
          <w:iCs/>
          <w:color w:val="000000" w:themeColor="text1"/>
          <w:sz w:val="18"/>
          <w:szCs w:val="18"/>
          <w:vertAlign w:val="superscript"/>
          <w:lang w:val="es-CO"/>
        </w:rPr>
        <w:instrText xml:space="preserve"> ADDIN ZOTERO_ITEM CSL_CITATION {"citationID":"9DH6DxHm","properties":{"formattedCitation":"(Instituto Nacional de Salud, 2017, 2018, 2019; Secretar\\uc0\\u237{}a Distrital de Salud de Bogot\\uc0\\u225{}, 2022)","plainCitation":"(Instituto Nacional de Salud, 2017, 2018, 2019; Secretaría Distrital de Salud de Bogotá, 2022)","dontUpdate":true,"noteIndex":0},"citationItems":[{"id":1738,"uris":["http://zotero.org/groups/2867034/items/HWRQ5UM2"],"itemData":{"id":1738,"type":"report","event-place":"Bogotá","publisher-place":"Bogotá","title":"Informe de evento intoxicaciones por sustancias químicas, Colombia, 2017","URL":"https://www.ins.gov.co/buscador-eventos/Informesdeevento/INTOXICACIONES%202017.pdf","author":[{"family":"Instituto Nacional de Salud","given":""}],"issued":{"date-parts":[["2017"]]}}},{"id":1740,"uris":["http://zotero.org/groups/2867034/items/5C52XUPI"],"itemData":{"id":1740,"type":"report","event-place":"Bogotá","publisher-place":"Bogotá","title":"Informe de evento intoxicaciones por sustancias químicas, Colombia, 2018","URL":"https://www.ins.gov.co/buscador-eventos/Informesdeevento/INTOXICACIONES_2018.pdf","author":[{"family":"Instituto Nacional de Salud","given":""}],"issued":{"date-parts":[["2018"]]}}},{"id":1739,"uris":["http://zotero.org/groups/2867034/items/369DHGWF"],"itemData":{"id":1739,"type":"report","event-place":"Bogotá","publisher-place":"Bogotá","title":"Informe de evento intoxicaciones por sustancias químicas, Colombia, 2019","URL":"https://www.ins.gov.co/buscador-eventos/Informesdeevento/INTOXICACIONES_2019.pdf","author":[{"family":"Instituto Nacional de Salud","given":""}],"issued":{"date-parts":[["2019"]]}}},{"id":1741,"uris":["http://zotero.org/groups/2867034/items/SZI6DA54"],"itemData":{"id":1741,"type":"webpage","container-title":"SaluData Observatorio de Bogotá","title":"Observatorio de Salud de Bogotá - SaluData","URL":"https://saludata.saludcapital.gov.co/osb/","author":[{"family":"Secretaría Distrital de Salud de Bogotá","given":""}],"issued":{"date-parts":[["2022"]]}}}],"schema":"https://github.com/citation-style-language/schema/raw/master/csl-citation.json"} </w:instrText>
      </w:r>
      <w:r w:rsidRPr="000E1C77">
        <w:rPr>
          <w:i/>
          <w:iCs/>
          <w:color w:val="000000" w:themeColor="text1"/>
          <w:sz w:val="18"/>
          <w:szCs w:val="18"/>
          <w:vertAlign w:val="superscript"/>
        </w:rPr>
        <w:fldChar w:fldCharType="separate"/>
      </w:r>
      <w:r w:rsidRPr="000E1C77">
        <w:rPr>
          <w:i/>
          <w:iCs/>
          <w:color w:val="000000" w:themeColor="text1"/>
          <w:sz w:val="18"/>
          <w:szCs w:val="18"/>
          <w:lang w:val="es-CO"/>
        </w:rPr>
        <w:t xml:space="preserve">Secretaría Distrital de Salud de Bogotá, 2022 </w:t>
      </w:r>
      <w:r w:rsidRPr="000E1C77">
        <w:rPr>
          <w:i/>
          <w:iCs/>
          <w:color w:val="000000" w:themeColor="text1"/>
          <w:sz w:val="18"/>
          <w:szCs w:val="18"/>
          <w:vertAlign w:val="superscript"/>
          <w:lang w:val="es-CO"/>
        </w:rPr>
        <w:t>1</w:t>
      </w:r>
      <w:r w:rsidRPr="000E1C77">
        <w:rPr>
          <w:i/>
          <w:iCs/>
          <w:color w:val="000000" w:themeColor="text1"/>
          <w:sz w:val="18"/>
          <w:szCs w:val="18"/>
          <w:lang w:val="es-CO"/>
        </w:rPr>
        <w:t xml:space="preserve">; Instituto Nacional de Salud </w:t>
      </w:r>
      <w:r w:rsidRPr="000E1C77">
        <w:rPr>
          <w:i/>
          <w:iCs/>
          <w:color w:val="000000" w:themeColor="text1"/>
          <w:sz w:val="18"/>
          <w:szCs w:val="18"/>
          <w:vertAlign w:val="superscript"/>
        </w:rPr>
        <w:fldChar w:fldCharType="end"/>
      </w:r>
      <w:r w:rsidRPr="000E1C77">
        <w:rPr>
          <w:i/>
          <w:iCs/>
          <w:color w:val="000000" w:themeColor="text1"/>
          <w:sz w:val="18"/>
          <w:szCs w:val="18"/>
          <w:vertAlign w:val="superscript"/>
          <w:lang w:val="es-CO"/>
        </w:rPr>
        <w:t xml:space="preserve"> 2,</w:t>
      </w:r>
    </w:p>
    <w:p w14:paraId="63390B9D" w14:textId="77777777" w:rsidR="009B71F2" w:rsidRPr="000E1C77" w:rsidRDefault="009B71F2" w:rsidP="009B71F2">
      <w:pPr>
        <w:pStyle w:val="MDPI31text"/>
        <w:rPr>
          <w:szCs w:val="20"/>
        </w:rPr>
      </w:pPr>
    </w:p>
    <w:p w14:paraId="1E7F7981" w14:textId="77777777" w:rsidR="009B71F2" w:rsidRPr="000E1C77" w:rsidRDefault="009B71F2" w:rsidP="009B71F2">
      <w:pPr>
        <w:pStyle w:val="MDPI21heading1"/>
      </w:pPr>
      <w:r w:rsidRPr="000E1C77">
        <w:rPr>
          <w:lang w:eastAsia="zh-CN"/>
        </w:rPr>
        <w:t xml:space="preserve">2. </w:t>
      </w:r>
      <w:r w:rsidRPr="000E1C77">
        <w:t>Materials and Methods</w:t>
      </w:r>
    </w:p>
    <w:p w14:paraId="1B64F9D2" w14:textId="77777777" w:rsidR="009B71F2" w:rsidRPr="000E1C77" w:rsidRDefault="009B71F2" w:rsidP="009B71F2">
      <w:pPr>
        <w:pStyle w:val="MDPI22heading2"/>
        <w:spacing w:before="240"/>
      </w:pPr>
      <w:r w:rsidRPr="000E1C77">
        <w:t>2.1. Study Areas</w:t>
      </w:r>
    </w:p>
    <w:p w14:paraId="0BD0AA5C" w14:textId="77777777" w:rsidR="009B71F2" w:rsidRPr="000E1C77" w:rsidRDefault="009B71F2" w:rsidP="009B71F2">
      <w:pPr>
        <w:pStyle w:val="MDPI31text"/>
        <w:rPr>
          <w:szCs w:val="20"/>
        </w:rPr>
      </w:pPr>
    </w:p>
    <w:p w14:paraId="0CC46CC6" w14:textId="555CC1B0" w:rsidR="009B71F2" w:rsidRPr="000E1C77" w:rsidRDefault="009B71F2" w:rsidP="009B71F2">
      <w:pPr>
        <w:pStyle w:val="MDPI31text"/>
      </w:pPr>
      <w:r w:rsidRPr="009B71F2">
        <w:rPr>
          <w:szCs w:val="20"/>
        </w:rPr>
        <w:t>The study is conducted in Ciudad Bolívar, a territorial subdivision of Bogotá that is 75% rural [18]. The locality comprises three rural zones—</w:t>
      </w:r>
      <w:proofErr w:type="spellStart"/>
      <w:r w:rsidRPr="009B71F2">
        <w:rPr>
          <w:szCs w:val="20"/>
        </w:rPr>
        <w:t>Mochuelo</w:t>
      </w:r>
      <w:proofErr w:type="spellEnd"/>
      <w:r w:rsidRPr="009B71F2">
        <w:rPr>
          <w:szCs w:val="20"/>
        </w:rPr>
        <w:t xml:space="preserve"> Alto, Quiba, and </w:t>
      </w:r>
      <w:proofErr w:type="spellStart"/>
      <w:r w:rsidRPr="009B71F2">
        <w:rPr>
          <w:szCs w:val="20"/>
        </w:rPr>
        <w:t>Pasquilla</w:t>
      </w:r>
      <w:proofErr w:type="spellEnd"/>
      <w:r w:rsidRPr="009B71F2">
        <w:rPr>
          <w:szCs w:val="20"/>
        </w:rPr>
        <w:t xml:space="preserve">—which were selected for this study due to their strong agricultural traditions and extensive farmland (Figure 1). Furthermore, the collaboration with community </w:t>
      </w:r>
      <w:r w:rsidRPr="009B71F2">
        <w:rPr>
          <w:szCs w:val="20"/>
        </w:rPr>
        <w:lastRenderedPageBreak/>
        <w:t>leaders, who provided valuable insights and facilitated access to other farmers, was instrumental in carrying out the research.</w:t>
      </w:r>
      <w:r w:rsidRPr="000E1C77">
        <w:rPr>
          <w:noProof/>
          <w:color w:val="000000" w:themeColor="text1"/>
          <w:lang w:eastAsia="es-CO"/>
        </w:rPr>
        <w:t xml:space="preserve">        </w:t>
      </w:r>
      <w:r w:rsidRPr="000E1C77">
        <w:rPr>
          <w:noProof/>
          <w:color w:val="000000" w:themeColor="text1"/>
          <w:lang w:eastAsia="es-CO"/>
        </w:rPr>
        <w:drawing>
          <wp:inline distT="0" distB="0" distL="0" distR="0" wp14:anchorId="4F30E69A" wp14:editId="220B8C7F">
            <wp:extent cx="2867025" cy="3639289"/>
            <wp:effectExtent l="0" t="0" r="0" b="0"/>
            <wp:docPr id="286" name="Imagen 28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n 286" descr="Map&#10;&#10;Description automatically generated"/>
                    <pic:cNvPicPr/>
                  </pic:nvPicPr>
                  <pic:blipFill>
                    <a:blip r:embed="rId13"/>
                    <a:stretch>
                      <a:fillRect/>
                    </a:stretch>
                  </pic:blipFill>
                  <pic:spPr>
                    <a:xfrm>
                      <a:off x="0" y="0"/>
                      <a:ext cx="2883658" cy="3660403"/>
                    </a:xfrm>
                    <a:prstGeom prst="rect">
                      <a:avLst/>
                    </a:prstGeom>
                  </pic:spPr>
                </pic:pic>
              </a:graphicData>
            </a:graphic>
          </wp:inline>
        </w:drawing>
      </w:r>
    </w:p>
    <w:p w14:paraId="668D9961" w14:textId="77777777" w:rsidR="009B71F2" w:rsidRPr="000E1C77" w:rsidRDefault="009B71F2" w:rsidP="009B71F2">
      <w:pPr>
        <w:pStyle w:val="Descripcin"/>
        <w:ind w:left="510" w:firstLine="510"/>
        <w:jc w:val="center"/>
        <w:rPr>
          <w:rFonts w:ascii="Palatino Linotype" w:hAnsi="Palatino Linotype"/>
          <w:i w:val="0"/>
          <w:iCs w:val="0"/>
          <w:color w:val="000000" w:themeColor="text1"/>
        </w:rPr>
      </w:pPr>
      <w:r w:rsidRPr="000E1C77">
        <w:rPr>
          <w:rFonts w:ascii="Palatino Linotype" w:hAnsi="Palatino Linotype"/>
          <w:b/>
          <w:bCs/>
          <w:i w:val="0"/>
          <w:iCs w:val="0"/>
          <w:color w:val="000000" w:themeColor="text1"/>
        </w:rPr>
        <w:t xml:space="preserve">Figure </w:t>
      </w:r>
      <w:r w:rsidRPr="000E1C77">
        <w:rPr>
          <w:rFonts w:ascii="Palatino Linotype" w:hAnsi="Palatino Linotype"/>
          <w:b/>
          <w:bCs/>
          <w:i w:val="0"/>
          <w:iCs w:val="0"/>
          <w:color w:val="000000" w:themeColor="text1"/>
        </w:rPr>
        <w:fldChar w:fldCharType="begin"/>
      </w:r>
      <w:r w:rsidRPr="000E1C77">
        <w:rPr>
          <w:rFonts w:ascii="Palatino Linotype" w:hAnsi="Palatino Linotype"/>
          <w:b/>
          <w:bCs/>
          <w:i w:val="0"/>
          <w:iCs w:val="0"/>
          <w:color w:val="000000" w:themeColor="text1"/>
        </w:rPr>
        <w:instrText xml:space="preserve"> SEQ Figure \* ARABIC </w:instrText>
      </w:r>
      <w:r w:rsidRPr="000E1C77">
        <w:rPr>
          <w:rFonts w:ascii="Palatino Linotype" w:hAnsi="Palatino Linotype"/>
          <w:b/>
          <w:bCs/>
          <w:i w:val="0"/>
          <w:iCs w:val="0"/>
          <w:color w:val="000000" w:themeColor="text1"/>
        </w:rPr>
        <w:fldChar w:fldCharType="separate"/>
      </w:r>
      <w:r w:rsidRPr="000E1C77">
        <w:rPr>
          <w:rFonts w:ascii="Palatino Linotype" w:hAnsi="Palatino Linotype"/>
          <w:b/>
          <w:bCs/>
          <w:i w:val="0"/>
          <w:iCs w:val="0"/>
          <w:noProof/>
          <w:color w:val="000000" w:themeColor="text1"/>
        </w:rPr>
        <w:t>1</w:t>
      </w:r>
      <w:r w:rsidRPr="000E1C77">
        <w:rPr>
          <w:rFonts w:ascii="Palatino Linotype" w:hAnsi="Palatino Linotype"/>
          <w:b/>
          <w:bCs/>
          <w:i w:val="0"/>
          <w:iCs w:val="0"/>
          <w:color w:val="000000" w:themeColor="text1"/>
        </w:rPr>
        <w:fldChar w:fldCharType="end"/>
      </w:r>
      <w:r w:rsidRPr="000E1C77">
        <w:rPr>
          <w:rFonts w:ascii="Palatino Linotype" w:hAnsi="Palatino Linotype"/>
          <w:b/>
          <w:bCs/>
          <w:i w:val="0"/>
          <w:iCs w:val="0"/>
          <w:color w:val="000000" w:themeColor="text1"/>
        </w:rPr>
        <w:t>.</w:t>
      </w:r>
      <w:r w:rsidRPr="000E1C77">
        <w:rPr>
          <w:rFonts w:ascii="Palatino Linotype" w:hAnsi="Palatino Linotype"/>
          <w:i w:val="0"/>
          <w:iCs w:val="0"/>
          <w:color w:val="000000" w:themeColor="text1"/>
        </w:rPr>
        <w:t xml:space="preserve"> Map of </w:t>
      </w:r>
      <w:proofErr w:type="spellStart"/>
      <w:r w:rsidRPr="000E1C77">
        <w:rPr>
          <w:rFonts w:ascii="Palatino Linotype" w:hAnsi="Palatino Linotype"/>
          <w:i w:val="0"/>
          <w:iCs w:val="0"/>
          <w:color w:val="000000" w:themeColor="text1"/>
        </w:rPr>
        <w:t>Mochuelo</w:t>
      </w:r>
      <w:proofErr w:type="spellEnd"/>
      <w:r w:rsidRPr="000E1C77">
        <w:rPr>
          <w:rFonts w:ascii="Palatino Linotype" w:hAnsi="Palatino Linotype"/>
          <w:i w:val="0"/>
          <w:iCs w:val="0"/>
          <w:color w:val="000000" w:themeColor="text1"/>
        </w:rPr>
        <w:t xml:space="preserve"> Alto, Quiba y </w:t>
      </w:r>
      <w:proofErr w:type="spellStart"/>
      <w:r w:rsidRPr="000E1C77">
        <w:rPr>
          <w:rFonts w:ascii="Palatino Linotype" w:hAnsi="Palatino Linotype"/>
          <w:i w:val="0"/>
          <w:iCs w:val="0"/>
          <w:color w:val="000000" w:themeColor="text1"/>
        </w:rPr>
        <w:t>Pasquilla</w:t>
      </w:r>
      <w:proofErr w:type="spellEnd"/>
      <w:r w:rsidRPr="000E1C77">
        <w:rPr>
          <w:rFonts w:ascii="Palatino Linotype" w:hAnsi="Palatino Linotype"/>
          <w:i w:val="0"/>
          <w:iCs w:val="0"/>
          <w:color w:val="000000" w:themeColor="text1"/>
        </w:rPr>
        <w:t xml:space="preserve"> in the locality of Ciudad Bolivar</w:t>
      </w:r>
    </w:p>
    <w:p w14:paraId="614219F1" w14:textId="77777777" w:rsidR="009B71F2" w:rsidRPr="000E1C77" w:rsidRDefault="009B71F2" w:rsidP="009B71F2">
      <w:pPr>
        <w:pStyle w:val="MDPI22heading2"/>
        <w:spacing w:before="240"/>
      </w:pPr>
      <w:r w:rsidRPr="000E1C77">
        <w:t>2.2. Research Desing</w:t>
      </w:r>
    </w:p>
    <w:p w14:paraId="16060F29" w14:textId="05DAAB8B" w:rsidR="009B71F2" w:rsidRPr="000E1C77" w:rsidRDefault="009B71F2" w:rsidP="009B71F2">
      <w:pPr>
        <w:pStyle w:val="MDPI31text"/>
        <w:rPr>
          <w:szCs w:val="20"/>
        </w:rPr>
      </w:pPr>
      <w:bookmarkStart w:id="0" w:name="page2"/>
      <w:bookmarkEnd w:id="0"/>
      <w:r w:rsidRPr="009B71F2">
        <w:rPr>
          <w:szCs w:val="20"/>
        </w:rPr>
        <w:t xml:space="preserve">The research design is based on a structured, closed-ended questionnaire consisting of 33 questions categorized as follows: (a) Sociodemographic and economic characteristics; (b) Agricultural practices, pesticide use and handling, safety practices, and hygiene habits during pesticide application; and (c) Health conditions related to pesticide exposure and intoxication. The questionnaire was developed based on validated instruments from previous research by Oropesa et al. and </w:t>
      </w:r>
      <w:proofErr w:type="spellStart"/>
      <w:r w:rsidRPr="009B71F2">
        <w:rPr>
          <w:szCs w:val="20"/>
        </w:rPr>
        <w:t>Barrón</w:t>
      </w:r>
      <w:proofErr w:type="spellEnd"/>
      <w:r w:rsidRPr="009B71F2">
        <w:rPr>
          <w:szCs w:val="20"/>
        </w:rPr>
        <w:t xml:space="preserve"> Cuenca et al. [19,20], which were adapted to align with the study’s objectives. During the questionnaire design process, special care was taken to ensure that the closed-ended questions in categories (a) and (b) did not overly constrain responses regarding farmers’ habits. In category (c), which pertains to health conditions and poisoning incidents, the study aimed to investigate the relationship between isolated poisoning events (acute incidents) and chronic systemic health conditions of potential occupational origin. This was assessed through open-ended questions designed to determine whether medical documentation was available to support the etiology of the reported poisoning event or systemic condition.</w:t>
      </w:r>
    </w:p>
    <w:p w14:paraId="73C86B6A" w14:textId="77777777" w:rsidR="009B71F2" w:rsidRPr="009B71F2" w:rsidRDefault="009B71F2" w:rsidP="009B71F2">
      <w:pPr>
        <w:pStyle w:val="MDPI22heading2"/>
        <w:ind w:firstLine="224"/>
        <w:rPr>
          <w:i w:val="0"/>
          <w:iCs/>
          <w:lang w:val="es-CO"/>
        </w:rPr>
      </w:pPr>
      <w:r w:rsidRPr="009B71F2">
        <w:rPr>
          <w:i w:val="0"/>
          <w:iCs/>
          <w:lang w:val="es-CO"/>
        </w:rPr>
        <w:t>Additionally, the questionnaire underwent a review and validation process involving community leaders, ensuring the relevance of the questions and refining critical study variables. The questionnaire was administered between August 1 and November 30, 2021, resulting in the collection of 112 responses from the designated study area. The sample was obtained using a snowball sampling method, covering over 10% of the population in contact with pesticides in the study region. As of the study date, the total population in the area was estimated at 1,048 individuals, including minors and women engaged in domestic activities.</w:t>
      </w:r>
    </w:p>
    <w:p w14:paraId="6ACDB652" w14:textId="77777777" w:rsidR="009B71F2" w:rsidRPr="009B71F2" w:rsidRDefault="009B71F2" w:rsidP="009B71F2">
      <w:pPr>
        <w:pStyle w:val="MDPI22heading2"/>
        <w:ind w:firstLine="224"/>
        <w:rPr>
          <w:i w:val="0"/>
          <w:iCs/>
          <w:lang w:val="es-CO"/>
        </w:rPr>
      </w:pPr>
      <w:r w:rsidRPr="009B71F2">
        <w:rPr>
          <w:i w:val="0"/>
          <w:iCs/>
          <w:lang w:val="es-CO"/>
        </w:rPr>
        <w:t xml:space="preserve">To ensure sample representativeness, an estimate of the working agricultural population was established. According to DANE [21], 74.7% of Colombia’s rural population is under 20 years of age. Consequently, approximately one-third of the total </w:t>
      </w:r>
      <w:r w:rsidRPr="009B71F2">
        <w:rPr>
          <w:i w:val="0"/>
          <w:iCs/>
          <w:lang w:val="es-CO"/>
        </w:rPr>
        <w:lastRenderedPageBreak/>
        <w:t>study area population (691 individuals classified as minors) was excluded, as the study focused exclusively on adults. Additionally, it was assumed that only one individual per household was actively engaged in agriculture, leading to an estimated workforce of 262 individuals. Further assessment during data collection revealed that not all working residents were involved in agriculture—some engaged in commercial services, livestock farming, or urban employment. As a result, the representativeness of the 112 surveyed farmers was deemed sufficient. Data saturation was achieved, as no additional eligible respondents could be identified beyond those who had already participated in the survey or were not engaged in agricultural work.</w:t>
      </w:r>
    </w:p>
    <w:p w14:paraId="70D84885" w14:textId="77777777" w:rsidR="009B71F2" w:rsidRDefault="009B71F2" w:rsidP="009B71F2">
      <w:pPr>
        <w:pStyle w:val="MDPI22heading2"/>
        <w:ind w:firstLine="224"/>
        <w:rPr>
          <w:i w:val="0"/>
          <w:iCs/>
          <w:lang w:val="es-CO"/>
        </w:rPr>
      </w:pPr>
      <w:r w:rsidRPr="009B71F2">
        <w:rPr>
          <w:i w:val="0"/>
          <w:iCs/>
          <w:lang w:val="es-CO"/>
        </w:rPr>
        <w:t>Before questionnaire implementation, brief interviews with two community leaders were conducted to gather insights on demographic distribution, agricultural practices, and cultural aspects of the study area. The questionnaire was administered across six visits, with the participation of three lead researchers and five data collection assistants—undergraduate interns in occupational health and safety—who received prior training for data collection. Data collection was carried out using the Kobo Collect application, an open-source platform designed for offline primary data collection in remote areas, compatible with Android devices. The collected data were systematically organized, downloaded, and subsequently analyzed using R software.</w:t>
      </w:r>
    </w:p>
    <w:p w14:paraId="62301C15" w14:textId="77777777" w:rsidR="009B71F2" w:rsidRPr="009B71F2" w:rsidRDefault="009B71F2" w:rsidP="009B71F2">
      <w:pPr>
        <w:pStyle w:val="MDPI22heading2"/>
        <w:ind w:firstLine="224"/>
        <w:rPr>
          <w:i w:val="0"/>
          <w:iCs/>
          <w:lang w:val="es-CO"/>
        </w:rPr>
      </w:pPr>
    </w:p>
    <w:p w14:paraId="100C53C7" w14:textId="77777777" w:rsidR="009B71F2" w:rsidRPr="000E1C77" w:rsidRDefault="009B71F2" w:rsidP="009B71F2">
      <w:pPr>
        <w:pStyle w:val="MDPI22heading2"/>
        <w:ind w:left="0"/>
      </w:pPr>
      <w:r w:rsidRPr="000E1C77">
        <w:tab/>
      </w:r>
      <w:r w:rsidRPr="000E1C77">
        <w:tab/>
      </w:r>
      <w:r w:rsidRPr="000E1C77">
        <w:tab/>
      </w:r>
      <w:r w:rsidRPr="000E1C77">
        <w:tab/>
      </w:r>
      <w:r w:rsidRPr="000E1C77">
        <w:tab/>
        <w:t>2.3. Statistical Analysis</w:t>
      </w:r>
    </w:p>
    <w:p w14:paraId="43F6A979" w14:textId="77777777" w:rsidR="009B71F2" w:rsidRPr="000E1C77" w:rsidRDefault="009B71F2" w:rsidP="009B71F2">
      <w:pPr>
        <w:pStyle w:val="MDPI31text"/>
      </w:pPr>
    </w:p>
    <w:p w14:paraId="388826AA" w14:textId="77777777" w:rsidR="009B71F2" w:rsidRDefault="009B71F2" w:rsidP="009B71F2">
      <w:pPr>
        <w:pStyle w:val="MDPI21heading1"/>
        <w:ind w:firstLine="224"/>
        <w:rPr>
          <w:b w:val="0"/>
        </w:rPr>
      </w:pPr>
      <w:r w:rsidRPr="009B71F2">
        <w:rPr>
          <w:b w:val="0"/>
        </w:rPr>
        <w:t>Statistical analysis was performed using R version 4.2.1 for Windows. A quantitative analysis was conducted via logistic regression to establish potential associations between pesticide poisoning (dependent variable) and seven independent variables: work shift, use of facemasks, gloves, and overalls, as well as hygiene practices, including changing work clothes and personal body hygiene.</w:t>
      </w:r>
    </w:p>
    <w:p w14:paraId="1BF0715D" w14:textId="69C15288" w:rsidR="009B71F2" w:rsidRPr="000E1C77" w:rsidRDefault="009B71F2" w:rsidP="009B71F2">
      <w:pPr>
        <w:pStyle w:val="MDPI21heading1"/>
      </w:pPr>
      <w:r w:rsidRPr="000E1C77">
        <w:t xml:space="preserve">3. </w:t>
      </w:r>
      <w:bookmarkStart w:id="1" w:name="OLE_LINK6"/>
      <w:r w:rsidRPr="000E1C77">
        <w:t>Results</w:t>
      </w:r>
    </w:p>
    <w:p w14:paraId="7239BA86" w14:textId="77777777" w:rsidR="009B71F2" w:rsidRPr="000E1C77" w:rsidRDefault="009B71F2" w:rsidP="009B71F2">
      <w:pPr>
        <w:pStyle w:val="MDPI31text"/>
      </w:pPr>
    </w:p>
    <w:p w14:paraId="5D623CEF" w14:textId="01FD57BE" w:rsidR="00F973C0" w:rsidRDefault="00B77E7E" w:rsidP="009B71F2">
      <w:pPr>
        <w:pStyle w:val="MDPI31text"/>
      </w:pPr>
      <w:r w:rsidRPr="00B77E7E">
        <w:t>The study population was drawn from the three designated areas under investigation. The final sample consisted of 112 individuals engaged in agriculture-related activities, of whom only 6% were women. Notably, half of the participants were over the age of 51, and the majority (63%) had completed only primary education. In terms of social security, 56% of respondents were affiliated with a healthcare service; however, just 13% had a pension plan, and only 9% were covered by occupational risk insurance (Table 2).</w:t>
      </w:r>
    </w:p>
    <w:p w14:paraId="0524E772" w14:textId="77777777" w:rsidR="00B77E7E" w:rsidRPr="000E1C77" w:rsidRDefault="00B77E7E" w:rsidP="009B71F2">
      <w:pPr>
        <w:pStyle w:val="MDPI31text"/>
        <w:rPr>
          <w:rFonts w:cstheme="minorBidi"/>
          <w:b/>
          <w:bCs/>
          <w:color w:val="000000" w:themeColor="text1"/>
          <w:sz w:val="18"/>
          <w:szCs w:val="18"/>
        </w:rPr>
      </w:pPr>
    </w:p>
    <w:p w14:paraId="5214D08F" w14:textId="77777777" w:rsidR="009B71F2" w:rsidRPr="000E1C77" w:rsidRDefault="009B71F2" w:rsidP="009B71F2">
      <w:pPr>
        <w:pStyle w:val="MDPI31text"/>
        <w:rPr>
          <w:rFonts w:cstheme="minorBidi"/>
          <w:b/>
          <w:bCs/>
          <w:color w:val="000000" w:themeColor="text1"/>
          <w:sz w:val="18"/>
          <w:szCs w:val="18"/>
        </w:rPr>
      </w:pPr>
      <w:r w:rsidRPr="000E1C77">
        <w:rPr>
          <w:rFonts w:cstheme="minorBidi"/>
          <w:b/>
          <w:bCs/>
          <w:color w:val="000000" w:themeColor="text1"/>
          <w:sz w:val="18"/>
          <w:szCs w:val="18"/>
        </w:rPr>
        <w:t>Table 2.</w:t>
      </w:r>
    </w:p>
    <w:tbl>
      <w:tblPr>
        <w:tblpPr w:leftFromText="141" w:rightFromText="141" w:vertAnchor="text" w:horzAnchor="page" w:tblpX="4816" w:tblpY="233"/>
        <w:tblW w:w="5247"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110"/>
        <w:gridCol w:w="440"/>
        <w:gridCol w:w="977"/>
      </w:tblGrid>
      <w:tr w:rsidR="009B71F2" w:rsidRPr="000E1C77" w14:paraId="565A1D46" w14:textId="77777777" w:rsidTr="00552704">
        <w:trPr>
          <w:trHeight w:val="56"/>
          <w:tblHeader/>
        </w:trPr>
        <w:tc>
          <w:tcPr>
            <w:tcW w:w="4110" w:type="dxa"/>
            <w:tcBorders>
              <w:bottom w:val="single" w:sz="4" w:space="0" w:color="auto"/>
            </w:tcBorders>
            <w:hideMark/>
          </w:tcPr>
          <w:p w14:paraId="0391D5D8" w14:textId="77777777" w:rsidR="009B71F2" w:rsidRPr="000E1C77" w:rsidRDefault="009B71F2" w:rsidP="00552704">
            <w:pPr>
              <w:pStyle w:val="Descripcin"/>
              <w:keepNext/>
              <w:spacing w:after="0"/>
              <w:rPr>
                <w:rFonts w:ascii="Palatino Linotype" w:hAnsi="Palatino Linotype"/>
                <w:b/>
                <w:bCs/>
                <w:i w:val="0"/>
                <w:iCs w:val="0"/>
                <w:color w:val="000000" w:themeColor="text1"/>
                <w:sz w:val="20"/>
                <w:szCs w:val="20"/>
                <w:lang w:val="en-US"/>
              </w:rPr>
            </w:pPr>
            <w:r w:rsidRPr="000E1C77">
              <w:rPr>
                <w:rFonts w:ascii="Palatino Linotype" w:hAnsi="Palatino Linotype"/>
                <w:b/>
                <w:bCs/>
                <w:i w:val="0"/>
                <w:iCs w:val="0"/>
                <w:color w:val="000000" w:themeColor="text1"/>
                <w:sz w:val="20"/>
                <w:szCs w:val="20"/>
                <w:lang w:val="en-US"/>
              </w:rPr>
              <w:t>Population sociodemographic data</w:t>
            </w:r>
          </w:p>
        </w:tc>
        <w:tc>
          <w:tcPr>
            <w:tcW w:w="160" w:type="dxa"/>
            <w:tcBorders>
              <w:bottom w:val="single" w:sz="4" w:space="0" w:color="auto"/>
            </w:tcBorders>
            <w:shd w:val="clear" w:color="auto" w:fill="auto"/>
            <w:noWrap/>
          </w:tcPr>
          <w:p w14:paraId="0CC5756C" w14:textId="77777777" w:rsidR="009B71F2" w:rsidRPr="000E1C77" w:rsidRDefault="009B71F2" w:rsidP="00552704">
            <w:pPr>
              <w:spacing w:line="240" w:lineRule="auto"/>
              <w:jc w:val="center"/>
              <w:rPr>
                <w:rFonts w:eastAsia="Times New Roman"/>
                <w:b/>
                <w:bCs/>
                <w:color w:val="000000" w:themeColor="text1"/>
                <w:lang w:eastAsia="es-CO"/>
              </w:rPr>
            </w:pPr>
            <w:r w:rsidRPr="000E1C77">
              <w:rPr>
                <w:rFonts w:eastAsia="Times New Roman"/>
                <w:b/>
                <w:bCs/>
                <w:color w:val="000000" w:themeColor="text1"/>
                <w:lang w:eastAsia="es-CO"/>
              </w:rPr>
              <w:t>N</w:t>
            </w:r>
          </w:p>
        </w:tc>
        <w:tc>
          <w:tcPr>
            <w:tcW w:w="977" w:type="dxa"/>
            <w:tcBorders>
              <w:bottom w:val="single" w:sz="4" w:space="0" w:color="auto"/>
            </w:tcBorders>
            <w:shd w:val="clear" w:color="auto" w:fill="auto"/>
            <w:noWrap/>
          </w:tcPr>
          <w:p w14:paraId="0E365B52" w14:textId="77777777" w:rsidR="009B71F2" w:rsidRPr="000E1C77" w:rsidRDefault="009B71F2" w:rsidP="00552704">
            <w:pPr>
              <w:spacing w:line="240" w:lineRule="auto"/>
              <w:jc w:val="center"/>
              <w:rPr>
                <w:rFonts w:eastAsia="Times New Roman"/>
                <w:b/>
                <w:bCs/>
                <w:color w:val="000000" w:themeColor="text1"/>
                <w:lang w:eastAsia="es-CO"/>
              </w:rPr>
            </w:pPr>
            <w:r w:rsidRPr="000E1C77">
              <w:rPr>
                <w:rFonts w:eastAsia="Times New Roman"/>
                <w:b/>
                <w:bCs/>
                <w:color w:val="000000" w:themeColor="text1"/>
                <w:lang w:eastAsia="es-CO"/>
              </w:rPr>
              <w:t>%</w:t>
            </w:r>
          </w:p>
        </w:tc>
      </w:tr>
      <w:tr w:rsidR="009B71F2" w:rsidRPr="000E1C77" w14:paraId="45E6A6FA" w14:textId="77777777" w:rsidTr="00552704">
        <w:trPr>
          <w:trHeight w:val="288"/>
        </w:trPr>
        <w:tc>
          <w:tcPr>
            <w:tcW w:w="4110" w:type="dxa"/>
            <w:tcBorders>
              <w:top w:val="single" w:sz="4" w:space="0" w:color="auto"/>
              <w:bottom w:val="nil"/>
            </w:tcBorders>
            <w:shd w:val="clear" w:color="auto" w:fill="auto"/>
            <w:noWrap/>
            <w:hideMark/>
          </w:tcPr>
          <w:p w14:paraId="5A21E104" w14:textId="77777777" w:rsidR="009B71F2" w:rsidRPr="000E1C77" w:rsidRDefault="009B71F2" w:rsidP="00552704">
            <w:pPr>
              <w:spacing w:line="240" w:lineRule="auto"/>
              <w:rPr>
                <w:rFonts w:eastAsia="Times New Roman"/>
                <w:b/>
                <w:bCs/>
                <w:color w:val="000000" w:themeColor="text1"/>
                <w:lang w:eastAsia="es-CO"/>
              </w:rPr>
            </w:pPr>
            <w:r w:rsidRPr="000E1C77">
              <w:rPr>
                <w:rFonts w:eastAsia="Times New Roman"/>
                <w:b/>
                <w:bCs/>
                <w:color w:val="000000" w:themeColor="text1"/>
                <w:lang w:eastAsia="es-CO"/>
              </w:rPr>
              <w:t>Sex</w:t>
            </w:r>
          </w:p>
        </w:tc>
        <w:tc>
          <w:tcPr>
            <w:tcW w:w="160" w:type="dxa"/>
            <w:tcBorders>
              <w:top w:val="single" w:sz="4" w:space="0" w:color="auto"/>
              <w:bottom w:val="nil"/>
            </w:tcBorders>
            <w:shd w:val="clear" w:color="auto" w:fill="auto"/>
            <w:noWrap/>
            <w:hideMark/>
          </w:tcPr>
          <w:p w14:paraId="60C24771"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 </w:t>
            </w:r>
          </w:p>
        </w:tc>
        <w:tc>
          <w:tcPr>
            <w:tcW w:w="977" w:type="dxa"/>
            <w:tcBorders>
              <w:top w:val="single" w:sz="4" w:space="0" w:color="auto"/>
              <w:bottom w:val="nil"/>
            </w:tcBorders>
            <w:shd w:val="clear" w:color="auto" w:fill="auto"/>
            <w:noWrap/>
            <w:hideMark/>
          </w:tcPr>
          <w:p w14:paraId="183BB6F6"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 </w:t>
            </w:r>
          </w:p>
        </w:tc>
      </w:tr>
      <w:tr w:rsidR="009B71F2" w:rsidRPr="000E1C77" w14:paraId="51099F5F" w14:textId="77777777" w:rsidTr="00552704">
        <w:trPr>
          <w:trHeight w:val="288"/>
        </w:trPr>
        <w:tc>
          <w:tcPr>
            <w:tcW w:w="4110" w:type="dxa"/>
            <w:tcBorders>
              <w:top w:val="nil"/>
            </w:tcBorders>
            <w:shd w:val="clear" w:color="auto" w:fill="auto"/>
            <w:noWrap/>
            <w:hideMark/>
          </w:tcPr>
          <w:p w14:paraId="3CA093B8"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Female</w:t>
            </w:r>
          </w:p>
        </w:tc>
        <w:tc>
          <w:tcPr>
            <w:tcW w:w="160" w:type="dxa"/>
            <w:tcBorders>
              <w:top w:val="nil"/>
            </w:tcBorders>
            <w:shd w:val="clear" w:color="auto" w:fill="auto"/>
            <w:noWrap/>
            <w:hideMark/>
          </w:tcPr>
          <w:p w14:paraId="774FDDF2"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7</w:t>
            </w:r>
          </w:p>
        </w:tc>
        <w:tc>
          <w:tcPr>
            <w:tcW w:w="977" w:type="dxa"/>
            <w:tcBorders>
              <w:top w:val="nil"/>
            </w:tcBorders>
            <w:shd w:val="clear" w:color="auto" w:fill="auto"/>
            <w:noWrap/>
            <w:hideMark/>
          </w:tcPr>
          <w:p w14:paraId="4E02808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6%</w:t>
            </w:r>
          </w:p>
        </w:tc>
      </w:tr>
      <w:tr w:rsidR="009B71F2" w:rsidRPr="000E1C77" w14:paraId="014670BD" w14:textId="77777777" w:rsidTr="00552704">
        <w:trPr>
          <w:trHeight w:val="288"/>
        </w:trPr>
        <w:tc>
          <w:tcPr>
            <w:tcW w:w="4110" w:type="dxa"/>
            <w:shd w:val="clear" w:color="auto" w:fill="auto"/>
            <w:noWrap/>
            <w:hideMark/>
          </w:tcPr>
          <w:p w14:paraId="7933E1AA"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Male</w:t>
            </w:r>
          </w:p>
        </w:tc>
        <w:tc>
          <w:tcPr>
            <w:tcW w:w="160" w:type="dxa"/>
            <w:shd w:val="clear" w:color="auto" w:fill="auto"/>
            <w:noWrap/>
            <w:hideMark/>
          </w:tcPr>
          <w:p w14:paraId="56653503"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105</w:t>
            </w:r>
          </w:p>
        </w:tc>
        <w:tc>
          <w:tcPr>
            <w:tcW w:w="977" w:type="dxa"/>
            <w:shd w:val="clear" w:color="auto" w:fill="auto"/>
            <w:noWrap/>
            <w:hideMark/>
          </w:tcPr>
          <w:p w14:paraId="03AF907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94%</w:t>
            </w:r>
          </w:p>
        </w:tc>
      </w:tr>
      <w:tr w:rsidR="009B71F2" w:rsidRPr="000E1C77" w14:paraId="382F414F" w14:textId="77777777" w:rsidTr="00552704">
        <w:trPr>
          <w:trHeight w:val="288"/>
        </w:trPr>
        <w:tc>
          <w:tcPr>
            <w:tcW w:w="4110" w:type="dxa"/>
            <w:shd w:val="clear" w:color="auto" w:fill="auto"/>
            <w:noWrap/>
            <w:hideMark/>
          </w:tcPr>
          <w:p w14:paraId="065FC307" w14:textId="77777777" w:rsidR="009B71F2" w:rsidRPr="000E1C77" w:rsidRDefault="009B71F2" w:rsidP="00552704">
            <w:pPr>
              <w:spacing w:line="240" w:lineRule="auto"/>
              <w:rPr>
                <w:rFonts w:eastAsia="Times New Roman"/>
                <w:b/>
                <w:bCs/>
                <w:color w:val="000000" w:themeColor="text1"/>
                <w:lang w:eastAsia="es-CO"/>
              </w:rPr>
            </w:pPr>
            <w:r w:rsidRPr="000E1C77">
              <w:rPr>
                <w:rFonts w:eastAsia="Times New Roman"/>
                <w:b/>
                <w:bCs/>
                <w:color w:val="000000" w:themeColor="text1"/>
                <w:lang w:eastAsia="es-CO"/>
              </w:rPr>
              <w:t>Age</w:t>
            </w:r>
          </w:p>
        </w:tc>
        <w:tc>
          <w:tcPr>
            <w:tcW w:w="160" w:type="dxa"/>
            <w:shd w:val="clear" w:color="auto" w:fill="auto"/>
            <w:noWrap/>
            <w:hideMark/>
          </w:tcPr>
          <w:p w14:paraId="22C99825"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c>
          <w:tcPr>
            <w:tcW w:w="977" w:type="dxa"/>
            <w:shd w:val="clear" w:color="auto" w:fill="auto"/>
            <w:noWrap/>
            <w:hideMark/>
          </w:tcPr>
          <w:p w14:paraId="2ADE960D"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r>
      <w:tr w:rsidR="009B71F2" w:rsidRPr="000E1C77" w14:paraId="247B6D23" w14:textId="77777777" w:rsidTr="00552704">
        <w:trPr>
          <w:trHeight w:val="288"/>
        </w:trPr>
        <w:tc>
          <w:tcPr>
            <w:tcW w:w="4110" w:type="dxa"/>
            <w:shd w:val="clear" w:color="auto" w:fill="auto"/>
            <w:noWrap/>
            <w:hideMark/>
          </w:tcPr>
          <w:p w14:paraId="07E947F6"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18-30</w:t>
            </w:r>
          </w:p>
        </w:tc>
        <w:tc>
          <w:tcPr>
            <w:tcW w:w="160" w:type="dxa"/>
            <w:shd w:val="clear" w:color="auto" w:fill="auto"/>
            <w:noWrap/>
            <w:hideMark/>
          </w:tcPr>
          <w:p w14:paraId="1B7A527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11</w:t>
            </w:r>
          </w:p>
        </w:tc>
        <w:tc>
          <w:tcPr>
            <w:tcW w:w="977" w:type="dxa"/>
            <w:shd w:val="clear" w:color="auto" w:fill="auto"/>
            <w:noWrap/>
            <w:hideMark/>
          </w:tcPr>
          <w:p w14:paraId="3EBAEF4F"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10%</w:t>
            </w:r>
          </w:p>
        </w:tc>
      </w:tr>
      <w:tr w:rsidR="009B71F2" w:rsidRPr="000E1C77" w14:paraId="037BAD09" w14:textId="77777777" w:rsidTr="00552704">
        <w:trPr>
          <w:trHeight w:val="288"/>
        </w:trPr>
        <w:tc>
          <w:tcPr>
            <w:tcW w:w="4110" w:type="dxa"/>
            <w:shd w:val="clear" w:color="auto" w:fill="auto"/>
            <w:noWrap/>
            <w:hideMark/>
          </w:tcPr>
          <w:p w14:paraId="2E169D79"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31-40</w:t>
            </w:r>
          </w:p>
        </w:tc>
        <w:tc>
          <w:tcPr>
            <w:tcW w:w="160" w:type="dxa"/>
            <w:shd w:val="clear" w:color="auto" w:fill="auto"/>
            <w:noWrap/>
            <w:hideMark/>
          </w:tcPr>
          <w:p w14:paraId="34A408E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19</w:t>
            </w:r>
          </w:p>
        </w:tc>
        <w:tc>
          <w:tcPr>
            <w:tcW w:w="977" w:type="dxa"/>
            <w:shd w:val="clear" w:color="auto" w:fill="auto"/>
            <w:noWrap/>
            <w:hideMark/>
          </w:tcPr>
          <w:p w14:paraId="13F6F0AC"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17%</w:t>
            </w:r>
          </w:p>
        </w:tc>
      </w:tr>
      <w:tr w:rsidR="009B71F2" w:rsidRPr="000E1C77" w14:paraId="132E88AA" w14:textId="77777777" w:rsidTr="00552704">
        <w:trPr>
          <w:trHeight w:val="288"/>
        </w:trPr>
        <w:tc>
          <w:tcPr>
            <w:tcW w:w="4110" w:type="dxa"/>
            <w:shd w:val="clear" w:color="auto" w:fill="auto"/>
            <w:noWrap/>
            <w:hideMark/>
          </w:tcPr>
          <w:p w14:paraId="3AA9EEBD"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41-50</w:t>
            </w:r>
          </w:p>
        </w:tc>
        <w:tc>
          <w:tcPr>
            <w:tcW w:w="160" w:type="dxa"/>
            <w:shd w:val="clear" w:color="auto" w:fill="auto"/>
            <w:noWrap/>
            <w:hideMark/>
          </w:tcPr>
          <w:p w14:paraId="2438928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26</w:t>
            </w:r>
          </w:p>
        </w:tc>
        <w:tc>
          <w:tcPr>
            <w:tcW w:w="977" w:type="dxa"/>
            <w:shd w:val="clear" w:color="auto" w:fill="auto"/>
            <w:noWrap/>
            <w:hideMark/>
          </w:tcPr>
          <w:p w14:paraId="295A95B8"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23%</w:t>
            </w:r>
          </w:p>
        </w:tc>
      </w:tr>
      <w:tr w:rsidR="009B71F2" w:rsidRPr="000E1C77" w14:paraId="3D9F05D9" w14:textId="77777777" w:rsidTr="00552704">
        <w:trPr>
          <w:trHeight w:val="288"/>
        </w:trPr>
        <w:tc>
          <w:tcPr>
            <w:tcW w:w="4110" w:type="dxa"/>
            <w:shd w:val="clear" w:color="auto" w:fill="auto"/>
            <w:noWrap/>
            <w:hideMark/>
          </w:tcPr>
          <w:p w14:paraId="7B3DACE8"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51-60</w:t>
            </w:r>
          </w:p>
        </w:tc>
        <w:tc>
          <w:tcPr>
            <w:tcW w:w="160" w:type="dxa"/>
            <w:shd w:val="clear" w:color="auto" w:fill="auto"/>
            <w:noWrap/>
            <w:hideMark/>
          </w:tcPr>
          <w:p w14:paraId="081F479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30</w:t>
            </w:r>
          </w:p>
        </w:tc>
        <w:tc>
          <w:tcPr>
            <w:tcW w:w="977" w:type="dxa"/>
            <w:shd w:val="clear" w:color="auto" w:fill="auto"/>
            <w:noWrap/>
            <w:hideMark/>
          </w:tcPr>
          <w:p w14:paraId="330ABA6F"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27%</w:t>
            </w:r>
          </w:p>
        </w:tc>
      </w:tr>
      <w:tr w:rsidR="009B71F2" w:rsidRPr="000E1C77" w14:paraId="58646307" w14:textId="77777777" w:rsidTr="00552704">
        <w:trPr>
          <w:trHeight w:val="288"/>
        </w:trPr>
        <w:tc>
          <w:tcPr>
            <w:tcW w:w="4110" w:type="dxa"/>
            <w:shd w:val="clear" w:color="auto" w:fill="auto"/>
            <w:noWrap/>
            <w:hideMark/>
          </w:tcPr>
          <w:p w14:paraId="18B0214A"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&gt;61</w:t>
            </w:r>
          </w:p>
        </w:tc>
        <w:tc>
          <w:tcPr>
            <w:tcW w:w="160" w:type="dxa"/>
            <w:shd w:val="clear" w:color="auto" w:fill="auto"/>
            <w:noWrap/>
            <w:hideMark/>
          </w:tcPr>
          <w:p w14:paraId="37F9C3FD"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26</w:t>
            </w:r>
          </w:p>
        </w:tc>
        <w:tc>
          <w:tcPr>
            <w:tcW w:w="977" w:type="dxa"/>
            <w:shd w:val="clear" w:color="auto" w:fill="auto"/>
            <w:noWrap/>
            <w:hideMark/>
          </w:tcPr>
          <w:p w14:paraId="03E08BEB"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23%</w:t>
            </w:r>
          </w:p>
        </w:tc>
      </w:tr>
      <w:tr w:rsidR="009B71F2" w:rsidRPr="000E1C77" w14:paraId="55587947" w14:textId="77777777" w:rsidTr="00552704">
        <w:trPr>
          <w:trHeight w:val="288"/>
        </w:trPr>
        <w:tc>
          <w:tcPr>
            <w:tcW w:w="4110" w:type="dxa"/>
            <w:shd w:val="clear" w:color="auto" w:fill="auto"/>
            <w:noWrap/>
            <w:hideMark/>
          </w:tcPr>
          <w:p w14:paraId="1E37E746" w14:textId="77777777" w:rsidR="009B71F2" w:rsidRPr="000E1C77" w:rsidRDefault="009B71F2" w:rsidP="00552704">
            <w:pPr>
              <w:spacing w:line="240" w:lineRule="auto"/>
              <w:rPr>
                <w:rFonts w:eastAsia="Times New Roman"/>
                <w:b/>
                <w:bCs/>
                <w:color w:val="000000" w:themeColor="text1"/>
                <w:lang w:eastAsia="es-CO"/>
              </w:rPr>
            </w:pPr>
            <w:r w:rsidRPr="000E1C77">
              <w:rPr>
                <w:rFonts w:eastAsia="Times New Roman"/>
                <w:b/>
                <w:bCs/>
                <w:color w:val="000000" w:themeColor="text1"/>
                <w:lang w:eastAsia="es-CO"/>
              </w:rPr>
              <w:t>Education level</w:t>
            </w:r>
          </w:p>
        </w:tc>
        <w:tc>
          <w:tcPr>
            <w:tcW w:w="160" w:type="dxa"/>
            <w:shd w:val="clear" w:color="auto" w:fill="auto"/>
            <w:noWrap/>
            <w:hideMark/>
          </w:tcPr>
          <w:p w14:paraId="61B03933"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c>
          <w:tcPr>
            <w:tcW w:w="977" w:type="dxa"/>
            <w:shd w:val="clear" w:color="auto" w:fill="auto"/>
            <w:noWrap/>
            <w:hideMark/>
          </w:tcPr>
          <w:p w14:paraId="408F5263"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r>
      <w:tr w:rsidR="009B71F2" w:rsidRPr="000E1C77" w14:paraId="28EBBE4C" w14:textId="77777777" w:rsidTr="00552704">
        <w:trPr>
          <w:trHeight w:val="288"/>
        </w:trPr>
        <w:tc>
          <w:tcPr>
            <w:tcW w:w="4110" w:type="dxa"/>
            <w:shd w:val="clear" w:color="auto" w:fill="auto"/>
            <w:noWrap/>
            <w:hideMark/>
          </w:tcPr>
          <w:p w14:paraId="3E31866A"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None</w:t>
            </w:r>
          </w:p>
        </w:tc>
        <w:tc>
          <w:tcPr>
            <w:tcW w:w="160" w:type="dxa"/>
            <w:shd w:val="clear" w:color="auto" w:fill="auto"/>
            <w:noWrap/>
            <w:hideMark/>
          </w:tcPr>
          <w:p w14:paraId="0CFE6063"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w:t>
            </w:r>
          </w:p>
        </w:tc>
        <w:tc>
          <w:tcPr>
            <w:tcW w:w="977" w:type="dxa"/>
            <w:shd w:val="clear" w:color="auto" w:fill="auto"/>
            <w:noWrap/>
            <w:hideMark/>
          </w:tcPr>
          <w:p w14:paraId="15C45B35"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2%</w:t>
            </w:r>
          </w:p>
        </w:tc>
      </w:tr>
      <w:tr w:rsidR="009B71F2" w:rsidRPr="000E1C77" w14:paraId="6188E678" w14:textId="77777777" w:rsidTr="00552704">
        <w:trPr>
          <w:trHeight w:val="288"/>
        </w:trPr>
        <w:tc>
          <w:tcPr>
            <w:tcW w:w="4110" w:type="dxa"/>
            <w:shd w:val="clear" w:color="auto" w:fill="auto"/>
            <w:noWrap/>
            <w:hideMark/>
          </w:tcPr>
          <w:p w14:paraId="76F02C5E"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lastRenderedPageBreak/>
              <w:t>Preschool</w:t>
            </w:r>
          </w:p>
        </w:tc>
        <w:tc>
          <w:tcPr>
            <w:tcW w:w="160" w:type="dxa"/>
            <w:shd w:val="clear" w:color="auto" w:fill="auto"/>
            <w:noWrap/>
            <w:hideMark/>
          </w:tcPr>
          <w:p w14:paraId="76E30C4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5</w:t>
            </w:r>
          </w:p>
        </w:tc>
        <w:tc>
          <w:tcPr>
            <w:tcW w:w="977" w:type="dxa"/>
            <w:shd w:val="clear" w:color="auto" w:fill="auto"/>
            <w:noWrap/>
            <w:hideMark/>
          </w:tcPr>
          <w:p w14:paraId="7F5B02D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4%</w:t>
            </w:r>
          </w:p>
        </w:tc>
      </w:tr>
      <w:tr w:rsidR="009B71F2" w:rsidRPr="000E1C77" w14:paraId="20074E19" w14:textId="77777777" w:rsidTr="00552704">
        <w:trPr>
          <w:trHeight w:val="288"/>
        </w:trPr>
        <w:tc>
          <w:tcPr>
            <w:tcW w:w="4110" w:type="dxa"/>
            <w:shd w:val="clear" w:color="auto" w:fill="auto"/>
            <w:noWrap/>
            <w:hideMark/>
          </w:tcPr>
          <w:p w14:paraId="5BFE66E1"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Basic school or lower</w:t>
            </w:r>
          </w:p>
        </w:tc>
        <w:tc>
          <w:tcPr>
            <w:tcW w:w="160" w:type="dxa"/>
            <w:shd w:val="clear" w:color="auto" w:fill="auto"/>
            <w:noWrap/>
            <w:hideMark/>
          </w:tcPr>
          <w:p w14:paraId="49BDA50C"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70</w:t>
            </w:r>
          </w:p>
        </w:tc>
        <w:tc>
          <w:tcPr>
            <w:tcW w:w="977" w:type="dxa"/>
            <w:shd w:val="clear" w:color="auto" w:fill="auto"/>
            <w:noWrap/>
            <w:hideMark/>
          </w:tcPr>
          <w:p w14:paraId="0B719900"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63%</w:t>
            </w:r>
          </w:p>
        </w:tc>
      </w:tr>
      <w:tr w:rsidR="009B71F2" w:rsidRPr="000E1C77" w14:paraId="61CEA8F9" w14:textId="77777777" w:rsidTr="00552704">
        <w:trPr>
          <w:trHeight w:val="288"/>
        </w:trPr>
        <w:tc>
          <w:tcPr>
            <w:tcW w:w="4110" w:type="dxa"/>
            <w:shd w:val="clear" w:color="auto" w:fill="auto"/>
            <w:noWrap/>
            <w:hideMark/>
          </w:tcPr>
          <w:p w14:paraId="534BD84B"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Middle school or lower</w:t>
            </w:r>
          </w:p>
        </w:tc>
        <w:tc>
          <w:tcPr>
            <w:tcW w:w="160" w:type="dxa"/>
            <w:shd w:val="clear" w:color="auto" w:fill="auto"/>
            <w:noWrap/>
            <w:hideMark/>
          </w:tcPr>
          <w:p w14:paraId="1FB58C7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13</w:t>
            </w:r>
          </w:p>
        </w:tc>
        <w:tc>
          <w:tcPr>
            <w:tcW w:w="977" w:type="dxa"/>
            <w:shd w:val="clear" w:color="auto" w:fill="auto"/>
            <w:noWrap/>
            <w:hideMark/>
          </w:tcPr>
          <w:p w14:paraId="12DA7532"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12%</w:t>
            </w:r>
          </w:p>
        </w:tc>
      </w:tr>
      <w:tr w:rsidR="009B71F2" w:rsidRPr="000E1C77" w14:paraId="53679BFD" w14:textId="77777777" w:rsidTr="00552704">
        <w:trPr>
          <w:trHeight w:val="288"/>
        </w:trPr>
        <w:tc>
          <w:tcPr>
            <w:tcW w:w="4110" w:type="dxa"/>
            <w:shd w:val="clear" w:color="auto" w:fill="auto"/>
            <w:noWrap/>
            <w:hideMark/>
          </w:tcPr>
          <w:p w14:paraId="50353FEF"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Completed school education</w:t>
            </w:r>
          </w:p>
        </w:tc>
        <w:tc>
          <w:tcPr>
            <w:tcW w:w="160" w:type="dxa"/>
            <w:shd w:val="clear" w:color="auto" w:fill="auto"/>
            <w:noWrap/>
            <w:hideMark/>
          </w:tcPr>
          <w:p w14:paraId="25E287BF"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18</w:t>
            </w:r>
          </w:p>
        </w:tc>
        <w:tc>
          <w:tcPr>
            <w:tcW w:w="977" w:type="dxa"/>
            <w:shd w:val="clear" w:color="auto" w:fill="auto"/>
            <w:noWrap/>
            <w:hideMark/>
          </w:tcPr>
          <w:p w14:paraId="7E7E6EA5"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16%</w:t>
            </w:r>
          </w:p>
        </w:tc>
      </w:tr>
      <w:tr w:rsidR="009B71F2" w:rsidRPr="000E1C77" w14:paraId="07F7B1A6" w14:textId="77777777" w:rsidTr="00552704">
        <w:trPr>
          <w:trHeight w:val="288"/>
        </w:trPr>
        <w:tc>
          <w:tcPr>
            <w:tcW w:w="4110" w:type="dxa"/>
            <w:shd w:val="clear" w:color="auto" w:fill="auto"/>
            <w:noWrap/>
            <w:hideMark/>
          </w:tcPr>
          <w:p w14:paraId="48D80FE7"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Higher education (technical or technological)</w:t>
            </w:r>
          </w:p>
        </w:tc>
        <w:tc>
          <w:tcPr>
            <w:tcW w:w="160" w:type="dxa"/>
            <w:shd w:val="clear" w:color="auto" w:fill="auto"/>
            <w:noWrap/>
            <w:hideMark/>
          </w:tcPr>
          <w:p w14:paraId="23E6E65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3</w:t>
            </w:r>
          </w:p>
        </w:tc>
        <w:tc>
          <w:tcPr>
            <w:tcW w:w="977" w:type="dxa"/>
            <w:shd w:val="clear" w:color="auto" w:fill="auto"/>
            <w:noWrap/>
            <w:hideMark/>
          </w:tcPr>
          <w:p w14:paraId="6C1F4DC7"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3%</w:t>
            </w:r>
          </w:p>
        </w:tc>
      </w:tr>
      <w:tr w:rsidR="009B71F2" w:rsidRPr="000E1C77" w14:paraId="7D1F4C13" w14:textId="77777777" w:rsidTr="00552704">
        <w:trPr>
          <w:trHeight w:val="288"/>
        </w:trPr>
        <w:tc>
          <w:tcPr>
            <w:tcW w:w="4110" w:type="dxa"/>
            <w:shd w:val="clear" w:color="auto" w:fill="auto"/>
            <w:noWrap/>
            <w:hideMark/>
          </w:tcPr>
          <w:p w14:paraId="4466E56D"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Postgraduate</w:t>
            </w:r>
          </w:p>
        </w:tc>
        <w:tc>
          <w:tcPr>
            <w:tcW w:w="160" w:type="dxa"/>
            <w:shd w:val="clear" w:color="auto" w:fill="auto"/>
            <w:noWrap/>
            <w:hideMark/>
          </w:tcPr>
          <w:p w14:paraId="3A7C6250"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w:t>
            </w:r>
          </w:p>
        </w:tc>
        <w:tc>
          <w:tcPr>
            <w:tcW w:w="977" w:type="dxa"/>
            <w:shd w:val="clear" w:color="auto" w:fill="auto"/>
            <w:noWrap/>
            <w:hideMark/>
          </w:tcPr>
          <w:p w14:paraId="50D45720"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w:t>
            </w:r>
          </w:p>
        </w:tc>
      </w:tr>
      <w:tr w:rsidR="009B71F2" w:rsidRPr="000E1C77" w14:paraId="3DD0A0F0" w14:textId="77777777" w:rsidTr="00552704">
        <w:trPr>
          <w:trHeight w:val="288"/>
        </w:trPr>
        <w:tc>
          <w:tcPr>
            <w:tcW w:w="4110" w:type="dxa"/>
            <w:shd w:val="clear" w:color="auto" w:fill="auto"/>
            <w:noWrap/>
            <w:hideMark/>
          </w:tcPr>
          <w:p w14:paraId="34B672DC" w14:textId="77777777" w:rsidR="009B71F2" w:rsidRPr="000E1C77" w:rsidRDefault="009B71F2" w:rsidP="00552704">
            <w:pPr>
              <w:spacing w:line="240" w:lineRule="auto"/>
              <w:rPr>
                <w:rFonts w:eastAsia="Times New Roman"/>
                <w:b/>
                <w:bCs/>
                <w:color w:val="000000" w:themeColor="text1"/>
                <w:lang w:eastAsia="es-CO"/>
              </w:rPr>
            </w:pPr>
            <w:r w:rsidRPr="000E1C77">
              <w:rPr>
                <w:rFonts w:eastAsia="Times New Roman"/>
                <w:b/>
                <w:bCs/>
                <w:color w:val="000000" w:themeColor="text1"/>
                <w:lang w:eastAsia="es-CO"/>
              </w:rPr>
              <w:t>Social Security</w:t>
            </w:r>
          </w:p>
        </w:tc>
        <w:tc>
          <w:tcPr>
            <w:tcW w:w="160" w:type="dxa"/>
            <w:shd w:val="clear" w:color="auto" w:fill="auto"/>
            <w:noWrap/>
            <w:hideMark/>
          </w:tcPr>
          <w:p w14:paraId="5661226F"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c>
          <w:tcPr>
            <w:tcW w:w="977" w:type="dxa"/>
            <w:shd w:val="clear" w:color="auto" w:fill="auto"/>
            <w:noWrap/>
            <w:hideMark/>
          </w:tcPr>
          <w:p w14:paraId="6772E539"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 </w:t>
            </w:r>
          </w:p>
        </w:tc>
      </w:tr>
      <w:tr w:rsidR="009B71F2" w:rsidRPr="000E1C77" w14:paraId="0AC99A16" w14:textId="77777777" w:rsidTr="00552704">
        <w:trPr>
          <w:trHeight w:val="288"/>
        </w:trPr>
        <w:tc>
          <w:tcPr>
            <w:tcW w:w="4110" w:type="dxa"/>
            <w:shd w:val="clear" w:color="auto" w:fill="auto"/>
            <w:noWrap/>
            <w:hideMark/>
          </w:tcPr>
          <w:p w14:paraId="07BAD9E1"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Health affiliation</w:t>
            </w:r>
          </w:p>
        </w:tc>
        <w:tc>
          <w:tcPr>
            <w:tcW w:w="160" w:type="dxa"/>
            <w:shd w:val="clear" w:color="auto" w:fill="auto"/>
            <w:noWrap/>
            <w:hideMark/>
          </w:tcPr>
          <w:p w14:paraId="2645332E"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63</w:t>
            </w:r>
          </w:p>
        </w:tc>
        <w:tc>
          <w:tcPr>
            <w:tcW w:w="977" w:type="dxa"/>
            <w:shd w:val="clear" w:color="auto" w:fill="auto"/>
            <w:noWrap/>
            <w:hideMark/>
          </w:tcPr>
          <w:p w14:paraId="47C92628"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56%</w:t>
            </w:r>
          </w:p>
        </w:tc>
      </w:tr>
      <w:tr w:rsidR="009B71F2" w:rsidRPr="000E1C77" w14:paraId="353E429D" w14:textId="77777777" w:rsidTr="00552704">
        <w:trPr>
          <w:trHeight w:val="288"/>
        </w:trPr>
        <w:tc>
          <w:tcPr>
            <w:tcW w:w="4110" w:type="dxa"/>
            <w:shd w:val="clear" w:color="auto" w:fill="auto"/>
            <w:noWrap/>
            <w:hideMark/>
          </w:tcPr>
          <w:p w14:paraId="7328F164"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Retirement plan affiliation</w:t>
            </w:r>
          </w:p>
        </w:tc>
        <w:tc>
          <w:tcPr>
            <w:tcW w:w="160" w:type="dxa"/>
            <w:shd w:val="clear" w:color="auto" w:fill="auto"/>
            <w:noWrap/>
            <w:hideMark/>
          </w:tcPr>
          <w:p w14:paraId="04C17A66"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15</w:t>
            </w:r>
          </w:p>
        </w:tc>
        <w:tc>
          <w:tcPr>
            <w:tcW w:w="977" w:type="dxa"/>
            <w:shd w:val="clear" w:color="auto" w:fill="auto"/>
            <w:noWrap/>
            <w:hideMark/>
          </w:tcPr>
          <w:p w14:paraId="0D815248"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13%</w:t>
            </w:r>
          </w:p>
        </w:tc>
      </w:tr>
      <w:tr w:rsidR="009B71F2" w:rsidRPr="000E1C77" w14:paraId="60269A3B" w14:textId="77777777" w:rsidTr="00552704">
        <w:trPr>
          <w:trHeight w:val="56"/>
        </w:trPr>
        <w:tc>
          <w:tcPr>
            <w:tcW w:w="4110" w:type="dxa"/>
            <w:shd w:val="clear" w:color="auto" w:fill="auto"/>
            <w:hideMark/>
          </w:tcPr>
          <w:p w14:paraId="308E4C31" w14:textId="77777777" w:rsidR="009B71F2" w:rsidRPr="000E1C77" w:rsidRDefault="009B71F2" w:rsidP="00552704">
            <w:pPr>
              <w:spacing w:line="240" w:lineRule="auto"/>
              <w:rPr>
                <w:rFonts w:eastAsia="Times New Roman"/>
                <w:color w:val="000000" w:themeColor="text1"/>
                <w:lang w:eastAsia="es-CO"/>
              </w:rPr>
            </w:pPr>
            <w:r w:rsidRPr="000E1C77">
              <w:rPr>
                <w:rFonts w:eastAsia="Times New Roman"/>
                <w:color w:val="000000" w:themeColor="text1"/>
                <w:lang w:eastAsia="es-CO"/>
              </w:rPr>
              <w:t>Occupational risk coverage</w:t>
            </w:r>
          </w:p>
        </w:tc>
        <w:tc>
          <w:tcPr>
            <w:tcW w:w="160" w:type="dxa"/>
            <w:shd w:val="clear" w:color="auto" w:fill="auto"/>
            <w:noWrap/>
            <w:hideMark/>
          </w:tcPr>
          <w:p w14:paraId="5E0DAE65"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10</w:t>
            </w:r>
          </w:p>
        </w:tc>
        <w:tc>
          <w:tcPr>
            <w:tcW w:w="977" w:type="dxa"/>
            <w:shd w:val="clear" w:color="auto" w:fill="auto"/>
            <w:noWrap/>
            <w:hideMark/>
          </w:tcPr>
          <w:p w14:paraId="4DE8342E" w14:textId="77777777" w:rsidR="009B71F2" w:rsidRPr="000E1C77" w:rsidRDefault="009B71F2" w:rsidP="00552704">
            <w:pPr>
              <w:spacing w:line="240" w:lineRule="auto"/>
              <w:jc w:val="center"/>
              <w:rPr>
                <w:rFonts w:eastAsia="Times New Roman"/>
                <w:color w:val="000000" w:themeColor="text1"/>
                <w:lang w:eastAsia="es-CO"/>
              </w:rPr>
            </w:pPr>
            <w:r w:rsidRPr="000E1C77">
              <w:rPr>
                <w:rFonts w:eastAsia="Times New Roman"/>
                <w:color w:val="000000" w:themeColor="text1"/>
                <w:lang w:eastAsia="es-CO"/>
              </w:rPr>
              <w:t>9%</w:t>
            </w:r>
          </w:p>
        </w:tc>
      </w:tr>
    </w:tbl>
    <w:p w14:paraId="43F7BB40" w14:textId="77777777" w:rsidR="009B71F2" w:rsidRPr="000E1C77" w:rsidRDefault="009B71F2" w:rsidP="009B71F2">
      <w:pPr>
        <w:pStyle w:val="MDPI21heading1"/>
      </w:pPr>
    </w:p>
    <w:p w14:paraId="11D75CB8" w14:textId="77777777" w:rsidR="009B71F2" w:rsidRPr="000E1C77" w:rsidRDefault="009B71F2" w:rsidP="009B71F2">
      <w:pPr>
        <w:pStyle w:val="MDPI21heading1"/>
      </w:pPr>
    </w:p>
    <w:p w14:paraId="0E0CC9DA" w14:textId="77777777" w:rsidR="009B71F2" w:rsidRPr="000E1C77" w:rsidRDefault="009B71F2" w:rsidP="009B71F2">
      <w:pPr>
        <w:pStyle w:val="MDPI21heading1"/>
      </w:pPr>
    </w:p>
    <w:p w14:paraId="1BA85CDB" w14:textId="77777777" w:rsidR="009B71F2" w:rsidRPr="000E1C77" w:rsidRDefault="009B71F2" w:rsidP="009B71F2">
      <w:pPr>
        <w:pStyle w:val="MDPI21heading1"/>
      </w:pPr>
    </w:p>
    <w:p w14:paraId="24FEFAED" w14:textId="77777777" w:rsidR="009B71F2" w:rsidRPr="000E1C77" w:rsidRDefault="009B71F2" w:rsidP="009B71F2">
      <w:pPr>
        <w:pStyle w:val="MDPI21heading1"/>
      </w:pPr>
    </w:p>
    <w:p w14:paraId="64ED26DE" w14:textId="77777777" w:rsidR="009B71F2" w:rsidRPr="000E1C77" w:rsidRDefault="009B71F2" w:rsidP="009B71F2">
      <w:pPr>
        <w:pStyle w:val="MDPI21heading1"/>
      </w:pPr>
    </w:p>
    <w:p w14:paraId="78F90B81" w14:textId="77777777" w:rsidR="009B71F2" w:rsidRPr="000E1C77" w:rsidRDefault="009B71F2" w:rsidP="009B71F2">
      <w:pPr>
        <w:pStyle w:val="MDPI21heading1"/>
      </w:pPr>
    </w:p>
    <w:p w14:paraId="3E2FCCD3" w14:textId="77777777" w:rsidR="009B71F2" w:rsidRPr="000E1C77" w:rsidRDefault="009B71F2" w:rsidP="009B71F2">
      <w:pPr>
        <w:pStyle w:val="MDPI31text"/>
        <w:ind w:left="0" w:firstLine="0"/>
      </w:pPr>
    </w:p>
    <w:p w14:paraId="7D319A68" w14:textId="38F6303E" w:rsidR="00F973C0" w:rsidRDefault="00F973C0" w:rsidP="00F973C0">
      <w:pPr>
        <w:pStyle w:val="MDPI31text"/>
      </w:pPr>
      <w:r>
        <w:t xml:space="preserve">Among the 112 participants, only 98 reported direct contact with pesticides. Within this subgroup, 22% did not engage in pesticide mixing activities. Most farmers adhered to recommended pesticide application guidelines, with 64% reading product labels and 67% ensuring the dosage did not exceed prescribed limits. </w:t>
      </w:r>
      <w:r w:rsidR="00B77E7E" w:rsidRPr="00B77E7E">
        <w:t xml:space="preserve">The use of personal protective equipment (PPE) was prevalent, with boots being the </w:t>
      </w:r>
      <w:r w:rsidR="00B77E7E" w:rsidRPr="00B77E7E">
        <w:t>most used</w:t>
      </w:r>
      <w:r w:rsidR="00B77E7E" w:rsidRPr="00B77E7E">
        <w:t xml:space="preserve"> item (92%), followed by gloves (79%). Facemasks were worn by 72% of participants, while 62% reported using overalls.</w:t>
      </w:r>
    </w:p>
    <w:p w14:paraId="56C648BD" w14:textId="77777777" w:rsidR="00F973C0" w:rsidRDefault="00F973C0" w:rsidP="00F973C0">
      <w:pPr>
        <w:pStyle w:val="MDPI31text"/>
      </w:pPr>
      <w:r>
        <w:t>Observational assessments revealed that facial protection was primarily limited to surgical or cloth facemasks, which offer inadequate protection against pesticide exposure. Most participants adhered to hygiene practices, with 82% changing their clothes and 76% performing regular body cleansing after pesticide application (Figure 2).</w:t>
      </w:r>
    </w:p>
    <w:p w14:paraId="517579C4" w14:textId="4C96F874" w:rsidR="009B71F2" w:rsidRPr="000E1C77" w:rsidRDefault="009B71F2" w:rsidP="00F973C0">
      <w:pPr>
        <w:pStyle w:val="MDPI31text"/>
        <w:rPr>
          <w:color w:val="000000" w:themeColor="text1"/>
          <w:szCs w:val="20"/>
        </w:rPr>
      </w:pPr>
      <w:r w:rsidRPr="000E1C77">
        <w:rPr>
          <w:noProof/>
        </w:rPr>
        <w:t xml:space="preserve"> </w:t>
      </w:r>
      <w:r w:rsidRPr="000E1C77">
        <w:rPr>
          <w:szCs w:val="20"/>
        </w:rPr>
        <w:t xml:space="preserve"> </w:t>
      </w:r>
      <w:r w:rsidRPr="000E1C77">
        <w:rPr>
          <w:noProof/>
          <w:snapToGrid/>
          <w:color w:val="000000" w:themeColor="text1"/>
          <w:szCs w:val="20"/>
        </w:rPr>
        <w:drawing>
          <wp:inline distT="0" distB="0" distL="0" distR="0" wp14:anchorId="3019A2DA" wp14:editId="6289604E">
            <wp:extent cx="5273773" cy="2716502"/>
            <wp:effectExtent l="0" t="0" r="0" b="1905"/>
            <wp:docPr id="19711795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79580" name="Imagen 1971179580"/>
                    <pic:cNvPicPr/>
                  </pic:nvPicPr>
                  <pic:blipFill>
                    <a:blip r:embed="rId14"/>
                    <a:stretch>
                      <a:fillRect/>
                    </a:stretch>
                  </pic:blipFill>
                  <pic:spPr>
                    <a:xfrm>
                      <a:off x="0" y="0"/>
                      <a:ext cx="5308710" cy="2734498"/>
                    </a:xfrm>
                    <a:prstGeom prst="rect">
                      <a:avLst/>
                    </a:prstGeom>
                  </pic:spPr>
                </pic:pic>
              </a:graphicData>
            </a:graphic>
          </wp:inline>
        </w:drawing>
      </w:r>
    </w:p>
    <w:p w14:paraId="22CD3397" w14:textId="77777777" w:rsidR="009B71F2" w:rsidRPr="000E1C77" w:rsidRDefault="009B71F2" w:rsidP="009B71F2">
      <w:pPr>
        <w:pStyle w:val="Descripcin"/>
        <w:keepNext/>
        <w:spacing w:after="0"/>
        <w:ind w:left="2040" w:firstLine="510"/>
        <w:jc w:val="center"/>
        <w:rPr>
          <w:rFonts w:ascii="Palatino Linotype" w:hAnsi="Palatino Linotype"/>
          <w:i w:val="0"/>
          <w:iCs w:val="0"/>
          <w:color w:val="000000" w:themeColor="text1"/>
          <w:lang w:val="en-US"/>
        </w:rPr>
      </w:pPr>
      <w:r w:rsidRPr="000E1C77">
        <w:rPr>
          <w:rFonts w:ascii="Palatino Linotype" w:hAnsi="Palatino Linotype"/>
          <w:b/>
          <w:bCs/>
          <w:i w:val="0"/>
          <w:iCs w:val="0"/>
          <w:color w:val="000000" w:themeColor="text1"/>
        </w:rPr>
        <w:t xml:space="preserve">Figure </w:t>
      </w:r>
      <w:r w:rsidRPr="000E1C77">
        <w:rPr>
          <w:rFonts w:ascii="Palatino Linotype" w:hAnsi="Palatino Linotype"/>
          <w:b/>
          <w:bCs/>
          <w:i w:val="0"/>
          <w:iCs w:val="0"/>
          <w:color w:val="000000" w:themeColor="text1"/>
        </w:rPr>
        <w:fldChar w:fldCharType="begin"/>
      </w:r>
      <w:r w:rsidRPr="000E1C77">
        <w:rPr>
          <w:rFonts w:ascii="Palatino Linotype" w:hAnsi="Palatino Linotype"/>
          <w:b/>
          <w:bCs/>
          <w:i w:val="0"/>
          <w:iCs w:val="0"/>
          <w:color w:val="000000" w:themeColor="text1"/>
        </w:rPr>
        <w:instrText xml:space="preserve"> SEQ Figure \* ARABIC </w:instrText>
      </w:r>
      <w:r w:rsidRPr="000E1C77">
        <w:rPr>
          <w:rFonts w:ascii="Palatino Linotype" w:hAnsi="Palatino Linotype"/>
          <w:b/>
          <w:bCs/>
          <w:i w:val="0"/>
          <w:iCs w:val="0"/>
          <w:color w:val="000000" w:themeColor="text1"/>
        </w:rPr>
        <w:fldChar w:fldCharType="separate"/>
      </w:r>
      <w:r w:rsidRPr="000E1C77">
        <w:rPr>
          <w:rFonts w:ascii="Palatino Linotype" w:hAnsi="Palatino Linotype"/>
          <w:b/>
          <w:bCs/>
          <w:i w:val="0"/>
          <w:iCs w:val="0"/>
          <w:noProof/>
          <w:color w:val="000000" w:themeColor="text1"/>
        </w:rPr>
        <w:t>2</w:t>
      </w:r>
      <w:r w:rsidRPr="000E1C77">
        <w:rPr>
          <w:rFonts w:ascii="Palatino Linotype" w:hAnsi="Palatino Linotype"/>
          <w:b/>
          <w:bCs/>
          <w:i w:val="0"/>
          <w:iCs w:val="0"/>
          <w:color w:val="000000" w:themeColor="text1"/>
        </w:rPr>
        <w:fldChar w:fldCharType="end"/>
      </w:r>
      <w:r w:rsidRPr="000E1C77">
        <w:rPr>
          <w:rFonts w:ascii="Palatino Linotype" w:hAnsi="Palatino Linotype"/>
          <w:b/>
          <w:bCs/>
          <w:i w:val="0"/>
          <w:iCs w:val="0"/>
          <w:color w:val="000000" w:themeColor="text1"/>
        </w:rPr>
        <w:t>.</w:t>
      </w:r>
      <w:r w:rsidRPr="000E1C77">
        <w:rPr>
          <w:rFonts w:ascii="Palatino Linotype" w:hAnsi="Palatino Linotype"/>
          <w:i w:val="0"/>
          <w:iCs w:val="0"/>
          <w:color w:val="000000" w:themeColor="text1"/>
        </w:rPr>
        <w:t xml:space="preserve"> </w:t>
      </w:r>
      <w:r w:rsidRPr="000E1C77">
        <w:rPr>
          <w:rFonts w:ascii="Palatino Linotype" w:hAnsi="Palatino Linotype"/>
          <w:i w:val="0"/>
          <w:iCs w:val="0"/>
          <w:color w:val="000000" w:themeColor="text1"/>
          <w:lang w:val="en-US"/>
        </w:rPr>
        <w:t>Use of pesticide *, hygiene habits **, and use of personal protective equipment (PPE) ***</w:t>
      </w:r>
    </w:p>
    <w:p w14:paraId="3540E419" w14:textId="77777777" w:rsidR="009B71F2" w:rsidRPr="000E1C77" w:rsidRDefault="009B71F2" w:rsidP="009B71F2">
      <w:pPr>
        <w:pStyle w:val="MDPI31text"/>
      </w:pPr>
    </w:p>
    <w:p w14:paraId="50265DF1" w14:textId="77777777" w:rsidR="00F973C0" w:rsidRDefault="00F973C0" w:rsidP="00F973C0">
      <w:pPr>
        <w:pStyle w:val="MDPI31text"/>
      </w:pPr>
      <w:r>
        <w:t>The participants reported various health conditions attributed to pesticide exposure, including visual impairments (46%), respiratory disorders (38%), dermatological conditions (32%), digestive issues (6%), and neurological symptoms (18%). Notably, two out of three farmers had experienced at least one health condition linked to their agricultural work.</w:t>
      </w:r>
    </w:p>
    <w:p w14:paraId="6AEEBAD8" w14:textId="77777777" w:rsidR="00F973C0" w:rsidRDefault="00F973C0" w:rsidP="00F973C0">
      <w:pPr>
        <w:pStyle w:val="MDPI31text"/>
      </w:pPr>
    </w:p>
    <w:p w14:paraId="3B47E8D2" w14:textId="6382D791" w:rsidR="009B71F2" w:rsidRDefault="00F973C0" w:rsidP="00F973C0">
      <w:pPr>
        <w:pStyle w:val="MDPI31text"/>
      </w:pPr>
      <w:r>
        <w:t xml:space="preserve">A descriptive analysis of pesticide intoxication indicated that one in five agricultural workers had experienced at least one poisoning event, defined as any clinically significant change following pesticide exposure [22]. For this study, an intoxication event was </w:t>
      </w:r>
      <w:r>
        <w:lastRenderedPageBreak/>
        <w:t>recorded when a participant received medical attention for acute pesticide exposure. A total of 21 cases were documented, with some individuals reporting multiple intoxication episodes over their work history.</w:t>
      </w:r>
    </w:p>
    <w:p w14:paraId="6980871F" w14:textId="77777777" w:rsidR="00F973C0" w:rsidRPr="000E1C77" w:rsidRDefault="00F973C0" w:rsidP="00F973C0">
      <w:pPr>
        <w:pStyle w:val="MDPI31text"/>
        <w:rPr>
          <w:color w:val="000000" w:themeColor="text1"/>
          <w:szCs w:val="20"/>
          <w:lang w:val="en"/>
        </w:rPr>
      </w:pPr>
    </w:p>
    <w:p w14:paraId="47290044" w14:textId="67E948AD" w:rsidR="009B71F2" w:rsidRDefault="00F973C0" w:rsidP="009B71F2">
      <w:pPr>
        <w:pStyle w:val="MDPI31text"/>
        <w:rPr>
          <w:color w:val="000000" w:themeColor="text1"/>
          <w:szCs w:val="20"/>
        </w:rPr>
      </w:pPr>
      <w:r w:rsidRPr="00F973C0">
        <w:rPr>
          <w:color w:val="000000" w:themeColor="text1"/>
          <w:szCs w:val="20"/>
        </w:rPr>
        <w:t>Logistic regression was performed using intoxication as the dependent variable and seven explanatory independent variables, as represented in Equation 1. Most independent variables were dichotomous (yes/no responses), selected based on exposure control factors such as PPE use, hygiene practices, and work shift duration. Exposure time emerged as a key factor, showing a proportional increase in intoxication risk.</w:t>
      </w:r>
    </w:p>
    <w:p w14:paraId="1A59D1A5" w14:textId="77777777" w:rsidR="00F973C0" w:rsidRPr="000E1C77" w:rsidRDefault="00F973C0" w:rsidP="009B71F2">
      <w:pPr>
        <w:pStyle w:val="MDPI31text"/>
        <w:rPr>
          <w:color w:val="000000" w:themeColor="text1"/>
          <w:szCs w:val="20"/>
        </w:rPr>
      </w:pPr>
    </w:p>
    <w:p w14:paraId="0AFC02C1" w14:textId="77777777" w:rsidR="009B71F2" w:rsidRPr="000E1C77" w:rsidRDefault="009B71F2" w:rsidP="009B71F2">
      <w:pPr>
        <w:spacing w:line="240" w:lineRule="auto"/>
        <w:ind w:left="2040" w:firstLine="510"/>
        <w:rPr>
          <w:i/>
          <w:iCs/>
          <w:color w:val="000000" w:themeColor="text1"/>
          <w:sz w:val="18"/>
          <w:szCs w:val="18"/>
        </w:rPr>
      </w:pPr>
      <w:r w:rsidRPr="000E1C77">
        <w:t xml:space="preserve"> </w:t>
      </w:r>
      <w:r w:rsidRPr="000E1C77">
        <w:rPr>
          <w:i/>
          <w:iCs/>
          <w:color w:val="000000" w:themeColor="text1"/>
          <w:sz w:val="18"/>
          <w:szCs w:val="18"/>
        </w:rPr>
        <w:t>Equation 1. Logistic regression based on the dependent variable of intoxication</w:t>
      </w:r>
    </w:p>
    <w:p w14:paraId="0102559F" w14:textId="77777777" w:rsidR="009B71F2" w:rsidRPr="000E1C77" w:rsidRDefault="009B71F2" w:rsidP="009B71F2">
      <w:pPr>
        <w:spacing w:line="240" w:lineRule="auto"/>
        <w:ind w:left="2040" w:firstLine="510"/>
        <w:rPr>
          <w:i/>
          <w:iCs/>
          <w:color w:val="000000" w:themeColor="text1"/>
          <w:sz w:val="18"/>
          <w:szCs w:val="18"/>
        </w:rPr>
      </w:pPr>
    </w:p>
    <w:p w14:paraId="519B6E61" w14:textId="77777777" w:rsidR="009B71F2" w:rsidRPr="000E1C77" w:rsidRDefault="009B71F2" w:rsidP="009B71F2">
      <w:pPr>
        <w:rPr>
          <w:rFonts w:eastAsiaTheme="minorEastAsia"/>
          <w:color w:val="000000" w:themeColor="text1"/>
        </w:rPr>
      </w:pPr>
      <m:oMathPara>
        <m:oMathParaPr>
          <m:jc m:val="center"/>
        </m:oMathParaPr>
        <m:oMath>
          <m:r>
            <w:rPr>
              <w:rFonts w:ascii="Cambria Math" w:hAnsi="Cambria Math"/>
              <w:color w:val="000000" w:themeColor="text1"/>
            </w:rPr>
            <m:t>IIntoxication=</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M</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G</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P</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O</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r>
            <w:rPr>
              <w:rFonts w:ascii="Cambria Math" w:hAnsi="Cambria Math"/>
              <w:color w:val="000000" w:themeColor="text1"/>
            </w:rPr>
            <m:t xml:space="preserve"> </m:t>
          </m:r>
        </m:oMath>
      </m:oMathPara>
    </w:p>
    <w:p w14:paraId="52E6733A" w14:textId="77777777" w:rsidR="009B71F2" w:rsidRPr="000E1C77" w:rsidRDefault="00000000" w:rsidP="009B71F2">
      <w:pPr>
        <w:ind w:left="2040" w:firstLine="510"/>
        <w:jc w:val="center"/>
        <w:rPr>
          <w:rFonts w:eastAsiaTheme="minorEastAsia"/>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t</m:t>
            </m:r>
          </m:sub>
        </m:sSub>
      </m:oMath>
      <w:r w:rsidR="009B71F2" w:rsidRPr="000E1C77">
        <w:rPr>
          <w:rFonts w:eastAsiaTheme="minorEastAsia"/>
          <w:color w:val="000000" w:themeColor="text1"/>
        </w:rPr>
        <w:t xml:space="preserve">: Work shift length;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M</m:t>
            </m:r>
          </m:sub>
        </m:sSub>
      </m:oMath>
      <w:r w:rsidR="009B71F2" w:rsidRPr="000E1C77">
        <w:rPr>
          <w:rFonts w:eastAsiaTheme="minorEastAsia"/>
          <w:color w:val="000000" w:themeColor="text1"/>
        </w:rPr>
        <w:t xml:space="preserve">: Facemask use;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G</m:t>
            </m:r>
          </m:sub>
        </m:sSub>
      </m:oMath>
      <w:r w:rsidR="009B71F2" w:rsidRPr="000E1C77">
        <w:rPr>
          <w:rFonts w:eastAsiaTheme="minorEastAsia"/>
          <w:color w:val="000000" w:themeColor="text1"/>
        </w:rPr>
        <w:t xml:space="preserve">: Gloves use;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P</m:t>
            </m:r>
          </m:sub>
        </m:sSub>
      </m:oMath>
      <w:r w:rsidR="009B71F2" w:rsidRPr="000E1C77">
        <w:rPr>
          <w:rFonts w:eastAsiaTheme="minorEastAsia"/>
          <w:color w:val="000000" w:themeColor="text1"/>
        </w:rPr>
        <w:t xml:space="preserve">: Eyes protection equipment use; </w:t>
      </w:r>
      <m:oMath>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O</m:t>
            </m:r>
          </m:sub>
        </m:sSub>
      </m:oMath>
      <w:r w:rsidR="009B71F2" w:rsidRPr="000E1C77">
        <w:rPr>
          <w:rFonts w:eastAsiaTheme="minorEastAsia"/>
          <w:color w:val="000000" w:themeColor="text1"/>
        </w:rPr>
        <w:t xml:space="preserve">: Use of the overall; </w:t>
      </w: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R</m:t>
            </m:r>
          </m:sub>
        </m:sSub>
      </m:oMath>
      <w:r w:rsidR="009B71F2" w:rsidRPr="000E1C77">
        <w:rPr>
          <w:rFonts w:eastAsiaTheme="minorEastAsia"/>
          <w:color w:val="000000" w:themeColor="text1"/>
        </w:rPr>
        <w:t xml:space="preserve">: Workwear change;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C</m:t>
            </m:r>
          </m:sub>
        </m:sSub>
      </m:oMath>
      <w:r w:rsidR="009B71F2" w:rsidRPr="000E1C77">
        <w:rPr>
          <w:rFonts w:eastAsiaTheme="minorEastAsia"/>
          <w:color w:val="000000" w:themeColor="text1"/>
        </w:rPr>
        <w:t>: Body cleaning</w:t>
      </w:r>
    </w:p>
    <w:p w14:paraId="6DDF6444" w14:textId="77777777" w:rsidR="009B71F2" w:rsidRPr="000E1C77" w:rsidRDefault="009B71F2" w:rsidP="009B71F2">
      <w:pPr>
        <w:ind w:left="2040" w:firstLine="510"/>
        <w:jc w:val="center"/>
        <w:rPr>
          <w:rFonts w:eastAsiaTheme="minorEastAsia"/>
          <w:color w:val="000000" w:themeColor="text1"/>
        </w:rPr>
      </w:pPr>
    </w:p>
    <w:p w14:paraId="2CDF391B" w14:textId="3736A4F2" w:rsidR="009B71F2" w:rsidRDefault="00F973C0" w:rsidP="009B71F2">
      <w:pPr>
        <w:pStyle w:val="MDPI31text"/>
        <w:rPr>
          <w:szCs w:val="20"/>
        </w:rPr>
      </w:pPr>
      <w:r w:rsidRPr="00F973C0">
        <w:rPr>
          <w:szCs w:val="20"/>
        </w:rPr>
        <w:t>Initially, regression analysis was conducted on an imbalanced dataset, where the number of non-intoxicated cases (77) was nearly four times higher than intoxicated cases [23]. This imbalance influenced the regression model, leading to a confusion matrix that improved the prediction of factors associated with intoxication</w:t>
      </w:r>
      <w:r>
        <w:rPr>
          <w:szCs w:val="20"/>
        </w:rPr>
        <w:t xml:space="preserve"> (Table 3)</w:t>
      </w:r>
      <w:r w:rsidRPr="00F973C0">
        <w:rPr>
          <w:szCs w:val="20"/>
        </w:rPr>
        <w:t>. The model achieved 79% accuracy in predicting intoxication events; however, statistical evidence for specific risk factors remained inconclusive. The coefficient estimates demonstrated an inverse relationship between intoxication and the use of protective measures, but with a low correlation (p = 0.2439) (Table 4).</w:t>
      </w:r>
    </w:p>
    <w:p w14:paraId="7BBBB337" w14:textId="77777777" w:rsidR="00F973C0" w:rsidRPr="000E1C77" w:rsidRDefault="00F973C0" w:rsidP="009B71F2">
      <w:pPr>
        <w:pStyle w:val="MDPI31text"/>
        <w:rPr>
          <w:szCs w:val="20"/>
        </w:rPr>
      </w:pPr>
    </w:p>
    <w:p w14:paraId="0A9E7EB4" w14:textId="77777777" w:rsidR="009B71F2" w:rsidRPr="000E1C77" w:rsidRDefault="009B71F2" w:rsidP="009B71F2">
      <w:pPr>
        <w:pStyle w:val="Descripcin"/>
        <w:keepNext/>
        <w:spacing w:after="0"/>
        <w:rPr>
          <w:rFonts w:ascii="Palatino Linotype" w:eastAsiaTheme="minorEastAsia" w:hAnsi="Palatino Linotype"/>
          <w:i w:val="0"/>
          <w:iCs w:val="0"/>
          <w:color w:val="000000" w:themeColor="text1"/>
          <w:lang w:val="es-CO"/>
        </w:rPr>
      </w:pPr>
      <w:r w:rsidRPr="000E1C77">
        <w:rPr>
          <w:rFonts w:ascii="Palatino Linotype" w:hAnsi="Palatino Linotype"/>
          <w:b/>
          <w:bCs/>
          <w:i w:val="0"/>
          <w:iCs w:val="0"/>
          <w:color w:val="000000" w:themeColor="text1"/>
          <w:lang w:val="en-US"/>
        </w:rPr>
        <w:t xml:space="preserve">                                  </w:t>
      </w:r>
      <w:r w:rsidRPr="000E1C77">
        <w:rPr>
          <w:rFonts w:ascii="Palatino Linotype" w:hAnsi="Palatino Linotype"/>
          <w:b/>
          <w:bCs/>
          <w:i w:val="0"/>
          <w:iCs w:val="0"/>
          <w:color w:val="000000" w:themeColor="text1"/>
          <w:lang w:val="es-CO"/>
        </w:rPr>
        <w:t xml:space="preserve">Table 3. </w:t>
      </w:r>
      <w:proofErr w:type="spellStart"/>
      <w:r w:rsidRPr="000E1C77">
        <w:rPr>
          <w:rFonts w:ascii="Palatino Linotype" w:hAnsi="Palatino Linotype"/>
          <w:i w:val="0"/>
          <w:iCs w:val="0"/>
          <w:color w:val="000000" w:themeColor="text1"/>
          <w:lang w:val="es-CO"/>
        </w:rPr>
        <w:t>Logistic</w:t>
      </w:r>
      <w:proofErr w:type="spellEnd"/>
      <w:r w:rsidRPr="000E1C77">
        <w:rPr>
          <w:rFonts w:ascii="Palatino Linotype" w:hAnsi="Palatino Linotype"/>
          <w:i w:val="0"/>
          <w:iCs w:val="0"/>
          <w:color w:val="000000" w:themeColor="text1"/>
          <w:lang w:val="es-CO"/>
        </w:rPr>
        <w:t xml:space="preserve"> </w:t>
      </w:r>
      <w:proofErr w:type="spellStart"/>
      <w:r w:rsidRPr="000E1C77">
        <w:rPr>
          <w:rFonts w:ascii="Palatino Linotype" w:hAnsi="Palatino Linotype"/>
          <w:i w:val="0"/>
          <w:iCs w:val="0"/>
          <w:color w:val="000000" w:themeColor="text1"/>
          <w:lang w:val="es-CO"/>
        </w:rPr>
        <w:t>correlation</w:t>
      </w:r>
      <w:proofErr w:type="spellEnd"/>
      <w:r w:rsidRPr="000E1C77">
        <w:rPr>
          <w:rFonts w:ascii="Palatino Linotype" w:hAnsi="Palatino Linotype"/>
          <w:i w:val="0"/>
          <w:iCs w:val="0"/>
          <w:color w:val="000000" w:themeColor="text1"/>
          <w:lang w:val="es-CO"/>
        </w:rPr>
        <w:t xml:space="preserve"> </w:t>
      </w:r>
      <w:proofErr w:type="spellStart"/>
      <w:r w:rsidRPr="000E1C77">
        <w:rPr>
          <w:rFonts w:ascii="Palatino Linotype" w:hAnsi="Palatino Linotype"/>
          <w:i w:val="0"/>
          <w:iCs w:val="0"/>
          <w:color w:val="000000" w:themeColor="text1"/>
          <w:lang w:val="es-CO"/>
        </w:rPr>
        <w:t>coefficients</w:t>
      </w:r>
      <w:proofErr w:type="spellEnd"/>
    </w:p>
    <w:tbl>
      <w:tblPr>
        <w:tblStyle w:val="Tablaconcuadrcula"/>
        <w:tblW w:w="0" w:type="auto"/>
        <w:tblInd w:w="30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1276"/>
      </w:tblGrid>
      <w:tr w:rsidR="009B71F2" w:rsidRPr="000E1C77" w14:paraId="2B6F8D96" w14:textId="77777777" w:rsidTr="00552704">
        <w:tc>
          <w:tcPr>
            <w:tcW w:w="1838" w:type="dxa"/>
            <w:tcBorders>
              <w:top w:val="single" w:sz="4" w:space="0" w:color="auto"/>
              <w:bottom w:val="single" w:sz="4" w:space="0" w:color="auto"/>
            </w:tcBorders>
            <w:vAlign w:val="center"/>
          </w:tcPr>
          <w:p w14:paraId="7D6F7436" w14:textId="77777777" w:rsidR="009B71F2" w:rsidRPr="000E1C77" w:rsidRDefault="009B71F2" w:rsidP="00552704">
            <w:pPr>
              <w:jc w:val="center"/>
              <w:rPr>
                <w:b/>
                <w:bCs/>
                <w:color w:val="000000" w:themeColor="text1"/>
                <w:sz w:val="22"/>
              </w:rPr>
            </w:pPr>
            <w:r w:rsidRPr="000E1C77">
              <w:rPr>
                <w:b/>
                <w:bCs/>
                <w:color w:val="000000" w:themeColor="text1"/>
              </w:rPr>
              <w:t>Analysis variables</w:t>
            </w:r>
          </w:p>
        </w:tc>
        <w:tc>
          <w:tcPr>
            <w:tcW w:w="1559" w:type="dxa"/>
            <w:tcBorders>
              <w:top w:val="single" w:sz="4" w:space="0" w:color="auto"/>
              <w:bottom w:val="single" w:sz="4" w:space="0" w:color="auto"/>
            </w:tcBorders>
            <w:vAlign w:val="center"/>
          </w:tcPr>
          <w:p w14:paraId="37CA3DFE" w14:textId="77777777" w:rsidR="009B71F2" w:rsidRPr="000E1C77" w:rsidRDefault="009B71F2" w:rsidP="00552704">
            <w:pPr>
              <w:jc w:val="center"/>
              <w:rPr>
                <w:b/>
                <w:bCs/>
                <w:color w:val="000000" w:themeColor="text1"/>
                <w:sz w:val="22"/>
              </w:rPr>
            </w:pPr>
            <w:r w:rsidRPr="000E1C77">
              <w:rPr>
                <w:b/>
                <w:bCs/>
                <w:color w:val="000000" w:themeColor="text1"/>
              </w:rPr>
              <w:t>Intercept coefficient</w:t>
            </w:r>
          </w:p>
        </w:tc>
        <w:tc>
          <w:tcPr>
            <w:tcW w:w="1276" w:type="dxa"/>
            <w:tcBorders>
              <w:top w:val="single" w:sz="4" w:space="0" w:color="auto"/>
              <w:bottom w:val="single" w:sz="4" w:space="0" w:color="auto"/>
            </w:tcBorders>
            <w:vAlign w:val="center"/>
          </w:tcPr>
          <w:p w14:paraId="64B91535" w14:textId="77777777" w:rsidR="009B71F2" w:rsidRPr="000E1C77" w:rsidRDefault="009B71F2" w:rsidP="00552704">
            <w:pPr>
              <w:jc w:val="center"/>
              <w:rPr>
                <w:b/>
                <w:bCs/>
                <w:color w:val="000000" w:themeColor="text1"/>
                <w:sz w:val="22"/>
              </w:rPr>
            </w:pPr>
            <w:r w:rsidRPr="000E1C77">
              <w:rPr>
                <w:b/>
                <w:bCs/>
                <w:color w:val="000000" w:themeColor="text1"/>
                <w:lang w:val="en"/>
              </w:rPr>
              <w:t>Standard deviation</w:t>
            </w:r>
          </w:p>
        </w:tc>
      </w:tr>
      <w:tr w:rsidR="009B71F2" w:rsidRPr="000E1C77" w14:paraId="4CA1443B" w14:textId="77777777" w:rsidTr="00552704">
        <w:tc>
          <w:tcPr>
            <w:tcW w:w="1838" w:type="dxa"/>
            <w:tcBorders>
              <w:top w:val="single" w:sz="4" w:space="0" w:color="auto"/>
            </w:tcBorders>
          </w:tcPr>
          <w:p w14:paraId="71978C94" w14:textId="77777777" w:rsidR="009B71F2" w:rsidRPr="000E1C77" w:rsidRDefault="009B71F2" w:rsidP="00552704">
            <w:pPr>
              <w:jc w:val="center"/>
              <w:rPr>
                <w:i/>
                <w:iCs/>
                <w:color w:val="000000" w:themeColor="text1"/>
                <w:sz w:val="22"/>
              </w:rPr>
            </w:pPr>
            <w:r w:rsidRPr="000E1C77">
              <w:rPr>
                <w:i/>
                <w:iCs/>
                <w:color w:val="000000" w:themeColor="text1"/>
              </w:rPr>
              <w:t>Intercept</w:t>
            </w:r>
          </w:p>
        </w:tc>
        <w:tc>
          <w:tcPr>
            <w:tcW w:w="1559" w:type="dxa"/>
            <w:tcBorders>
              <w:top w:val="single" w:sz="4" w:space="0" w:color="auto"/>
            </w:tcBorders>
          </w:tcPr>
          <w:p w14:paraId="5DF908D8" w14:textId="77777777" w:rsidR="009B71F2" w:rsidRPr="000E1C77" w:rsidRDefault="009B71F2" w:rsidP="00552704">
            <w:pPr>
              <w:jc w:val="center"/>
              <w:rPr>
                <w:color w:val="000000" w:themeColor="text1"/>
                <w:sz w:val="22"/>
              </w:rPr>
            </w:pPr>
            <w:r w:rsidRPr="000E1C77">
              <w:rPr>
                <w:color w:val="000000" w:themeColor="text1"/>
              </w:rPr>
              <w:t>-0.61241</w:t>
            </w:r>
          </w:p>
        </w:tc>
        <w:tc>
          <w:tcPr>
            <w:tcW w:w="1276" w:type="dxa"/>
            <w:tcBorders>
              <w:top w:val="single" w:sz="4" w:space="0" w:color="auto"/>
            </w:tcBorders>
          </w:tcPr>
          <w:p w14:paraId="35D522B5" w14:textId="77777777" w:rsidR="009B71F2" w:rsidRPr="000E1C77" w:rsidRDefault="009B71F2" w:rsidP="00552704">
            <w:pPr>
              <w:jc w:val="center"/>
              <w:rPr>
                <w:color w:val="000000" w:themeColor="text1"/>
                <w:sz w:val="22"/>
              </w:rPr>
            </w:pPr>
            <w:r w:rsidRPr="000E1C77">
              <w:rPr>
                <w:color w:val="000000" w:themeColor="text1"/>
              </w:rPr>
              <w:t>0.81380</w:t>
            </w:r>
          </w:p>
        </w:tc>
      </w:tr>
      <w:tr w:rsidR="009B71F2" w:rsidRPr="000E1C77" w14:paraId="48DF3F26" w14:textId="77777777" w:rsidTr="00552704">
        <w:tc>
          <w:tcPr>
            <w:tcW w:w="1838" w:type="dxa"/>
          </w:tcPr>
          <w:p w14:paraId="61C37A67" w14:textId="77777777" w:rsidR="009B71F2" w:rsidRPr="000E1C77" w:rsidRDefault="009B71F2" w:rsidP="00552704">
            <w:pPr>
              <w:rPr>
                <w:rFonts w:eastAsiaTheme="minorEastAsia"/>
                <w:color w:val="000000" w:themeColor="text1"/>
                <w:sz w:val="22"/>
              </w:rPr>
            </w:pPr>
            <w:r w:rsidRPr="000E1C77">
              <w:rPr>
                <w:rFonts w:eastAsiaTheme="minorEastAsia"/>
                <w:color w:val="000000" w:themeColor="text1"/>
              </w:rPr>
              <w:t>Work shift length</w:t>
            </w:r>
          </w:p>
        </w:tc>
        <w:tc>
          <w:tcPr>
            <w:tcW w:w="1559" w:type="dxa"/>
          </w:tcPr>
          <w:p w14:paraId="233B9BA2" w14:textId="77777777" w:rsidR="009B71F2" w:rsidRPr="000E1C77" w:rsidRDefault="009B71F2" w:rsidP="00552704">
            <w:pPr>
              <w:jc w:val="center"/>
              <w:rPr>
                <w:color w:val="000000" w:themeColor="text1"/>
                <w:sz w:val="22"/>
              </w:rPr>
            </w:pPr>
            <w:r w:rsidRPr="000E1C77">
              <w:rPr>
                <w:color w:val="000000" w:themeColor="text1"/>
              </w:rPr>
              <w:t>0.01148</w:t>
            </w:r>
          </w:p>
        </w:tc>
        <w:tc>
          <w:tcPr>
            <w:tcW w:w="1276" w:type="dxa"/>
          </w:tcPr>
          <w:p w14:paraId="40CE6401" w14:textId="77777777" w:rsidR="009B71F2" w:rsidRPr="000E1C77" w:rsidRDefault="009B71F2" w:rsidP="00552704">
            <w:pPr>
              <w:jc w:val="center"/>
              <w:rPr>
                <w:color w:val="000000" w:themeColor="text1"/>
                <w:sz w:val="22"/>
              </w:rPr>
            </w:pPr>
            <w:r w:rsidRPr="000E1C77">
              <w:rPr>
                <w:color w:val="000000" w:themeColor="text1"/>
              </w:rPr>
              <w:t>0.01669</w:t>
            </w:r>
          </w:p>
        </w:tc>
      </w:tr>
      <w:tr w:rsidR="009B71F2" w:rsidRPr="000E1C77" w14:paraId="337C9277" w14:textId="77777777" w:rsidTr="00552704">
        <w:tc>
          <w:tcPr>
            <w:tcW w:w="1838" w:type="dxa"/>
          </w:tcPr>
          <w:p w14:paraId="378664E7" w14:textId="77777777" w:rsidR="009B71F2" w:rsidRPr="000E1C77" w:rsidRDefault="009B71F2" w:rsidP="00552704">
            <w:pPr>
              <w:rPr>
                <w:color w:val="000000" w:themeColor="text1"/>
                <w:sz w:val="22"/>
              </w:rPr>
            </w:pPr>
            <w:r w:rsidRPr="000E1C77">
              <w:rPr>
                <w:rFonts w:eastAsiaTheme="minorEastAsia"/>
                <w:color w:val="000000" w:themeColor="text1"/>
              </w:rPr>
              <w:t>Facemask Use</w:t>
            </w:r>
          </w:p>
        </w:tc>
        <w:tc>
          <w:tcPr>
            <w:tcW w:w="1559" w:type="dxa"/>
          </w:tcPr>
          <w:p w14:paraId="39D9D26D" w14:textId="77777777" w:rsidR="009B71F2" w:rsidRPr="000E1C77" w:rsidRDefault="009B71F2" w:rsidP="00552704">
            <w:pPr>
              <w:jc w:val="center"/>
              <w:rPr>
                <w:color w:val="000000" w:themeColor="text1"/>
                <w:sz w:val="22"/>
              </w:rPr>
            </w:pPr>
            <w:r w:rsidRPr="000E1C77">
              <w:rPr>
                <w:color w:val="000000" w:themeColor="text1"/>
              </w:rPr>
              <w:t>-0.87131</w:t>
            </w:r>
          </w:p>
        </w:tc>
        <w:tc>
          <w:tcPr>
            <w:tcW w:w="1276" w:type="dxa"/>
          </w:tcPr>
          <w:p w14:paraId="746A77A3" w14:textId="77777777" w:rsidR="009B71F2" w:rsidRPr="000E1C77" w:rsidRDefault="009B71F2" w:rsidP="00552704">
            <w:pPr>
              <w:jc w:val="center"/>
              <w:rPr>
                <w:color w:val="000000" w:themeColor="text1"/>
                <w:sz w:val="22"/>
              </w:rPr>
            </w:pPr>
            <w:r w:rsidRPr="000E1C77">
              <w:rPr>
                <w:color w:val="000000" w:themeColor="text1"/>
              </w:rPr>
              <w:t>0.75120</w:t>
            </w:r>
          </w:p>
        </w:tc>
      </w:tr>
      <w:tr w:rsidR="009B71F2" w:rsidRPr="000E1C77" w14:paraId="05A65BF1" w14:textId="77777777" w:rsidTr="00552704">
        <w:tc>
          <w:tcPr>
            <w:tcW w:w="1838" w:type="dxa"/>
          </w:tcPr>
          <w:p w14:paraId="4D0BA86F" w14:textId="77777777" w:rsidR="009B71F2" w:rsidRPr="000E1C77" w:rsidRDefault="009B71F2" w:rsidP="00552704">
            <w:pPr>
              <w:rPr>
                <w:color w:val="000000" w:themeColor="text1"/>
                <w:sz w:val="22"/>
              </w:rPr>
            </w:pPr>
            <w:r w:rsidRPr="000E1C77">
              <w:rPr>
                <w:rFonts w:eastAsiaTheme="minorEastAsia"/>
                <w:color w:val="000000" w:themeColor="text1"/>
              </w:rPr>
              <w:t>Gloves Use</w:t>
            </w:r>
          </w:p>
        </w:tc>
        <w:tc>
          <w:tcPr>
            <w:tcW w:w="1559" w:type="dxa"/>
          </w:tcPr>
          <w:p w14:paraId="534995EC" w14:textId="77777777" w:rsidR="009B71F2" w:rsidRPr="000E1C77" w:rsidRDefault="009B71F2" w:rsidP="00552704">
            <w:pPr>
              <w:jc w:val="center"/>
              <w:rPr>
                <w:color w:val="000000" w:themeColor="text1"/>
                <w:sz w:val="22"/>
              </w:rPr>
            </w:pPr>
            <w:r w:rsidRPr="000E1C77">
              <w:rPr>
                <w:color w:val="000000" w:themeColor="text1"/>
              </w:rPr>
              <w:t>-0.71824</w:t>
            </w:r>
          </w:p>
        </w:tc>
        <w:tc>
          <w:tcPr>
            <w:tcW w:w="1276" w:type="dxa"/>
          </w:tcPr>
          <w:p w14:paraId="49095247" w14:textId="77777777" w:rsidR="009B71F2" w:rsidRPr="000E1C77" w:rsidRDefault="009B71F2" w:rsidP="00552704">
            <w:pPr>
              <w:jc w:val="center"/>
              <w:rPr>
                <w:color w:val="000000" w:themeColor="text1"/>
                <w:sz w:val="22"/>
              </w:rPr>
            </w:pPr>
            <w:r w:rsidRPr="000E1C77">
              <w:rPr>
                <w:color w:val="000000" w:themeColor="text1"/>
              </w:rPr>
              <w:t>0.84170</w:t>
            </w:r>
          </w:p>
        </w:tc>
      </w:tr>
      <w:tr w:rsidR="009B71F2" w:rsidRPr="000E1C77" w14:paraId="1D6AF4F5" w14:textId="77777777" w:rsidTr="00552704">
        <w:tc>
          <w:tcPr>
            <w:tcW w:w="1838" w:type="dxa"/>
          </w:tcPr>
          <w:p w14:paraId="5A21E07A" w14:textId="77777777" w:rsidR="009B71F2" w:rsidRPr="000E1C77" w:rsidRDefault="009B71F2" w:rsidP="00552704">
            <w:pPr>
              <w:rPr>
                <w:color w:val="000000" w:themeColor="text1"/>
                <w:sz w:val="22"/>
              </w:rPr>
            </w:pPr>
            <w:r w:rsidRPr="000E1C77">
              <w:rPr>
                <w:color w:val="000000" w:themeColor="text1"/>
              </w:rPr>
              <w:t>Eyes protection equipment use</w:t>
            </w:r>
          </w:p>
        </w:tc>
        <w:tc>
          <w:tcPr>
            <w:tcW w:w="1559" w:type="dxa"/>
          </w:tcPr>
          <w:p w14:paraId="60AD7D70" w14:textId="77777777" w:rsidR="009B71F2" w:rsidRPr="000E1C77" w:rsidRDefault="009B71F2" w:rsidP="00552704">
            <w:pPr>
              <w:jc w:val="center"/>
              <w:rPr>
                <w:color w:val="000000" w:themeColor="text1"/>
                <w:sz w:val="22"/>
              </w:rPr>
            </w:pPr>
            <w:r w:rsidRPr="000E1C77">
              <w:rPr>
                <w:color w:val="000000" w:themeColor="text1"/>
              </w:rPr>
              <w:t>0.45962</w:t>
            </w:r>
          </w:p>
        </w:tc>
        <w:tc>
          <w:tcPr>
            <w:tcW w:w="1276" w:type="dxa"/>
          </w:tcPr>
          <w:p w14:paraId="7AB218B6" w14:textId="77777777" w:rsidR="009B71F2" w:rsidRPr="000E1C77" w:rsidRDefault="009B71F2" w:rsidP="00552704">
            <w:pPr>
              <w:jc w:val="center"/>
              <w:rPr>
                <w:color w:val="000000" w:themeColor="text1"/>
                <w:sz w:val="22"/>
              </w:rPr>
            </w:pPr>
            <w:r w:rsidRPr="000E1C77">
              <w:rPr>
                <w:color w:val="000000" w:themeColor="text1"/>
              </w:rPr>
              <w:t>0.72405</w:t>
            </w:r>
          </w:p>
        </w:tc>
      </w:tr>
      <w:tr w:rsidR="009B71F2" w:rsidRPr="000E1C77" w14:paraId="17B7C499" w14:textId="77777777" w:rsidTr="00552704">
        <w:tc>
          <w:tcPr>
            <w:tcW w:w="1838" w:type="dxa"/>
          </w:tcPr>
          <w:p w14:paraId="2B4411A1" w14:textId="77777777" w:rsidR="009B71F2" w:rsidRPr="000E1C77" w:rsidRDefault="009B71F2" w:rsidP="00552704">
            <w:pPr>
              <w:rPr>
                <w:color w:val="000000" w:themeColor="text1"/>
                <w:sz w:val="22"/>
              </w:rPr>
            </w:pPr>
            <w:r w:rsidRPr="000E1C77">
              <w:rPr>
                <w:color w:val="000000" w:themeColor="text1"/>
              </w:rPr>
              <w:t>Overall use</w:t>
            </w:r>
          </w:p>
        </w:tc>
        <w:tc>
          <w:tcPr>
            <w:tcW w:w="1559" w:type="dxa"/>
          </w:tcPr>
          <w:p w14:paraId="6D6510EC" w14:textId="77777777" w:rsidR="009B71F2" w:rsidRPr="000E1C77" w:rsidRDefault="009B71F2" w:rsidP="00552704">
            <w:pPr>
              <w:jc w:val="center"/>
              <w:rPr>
                <w:color w:val="000000" w:themeColor="text1"/>
                <w:sz w:val="22"/>
              </w:rPr>
            </w:pPr>
            <w:r w:rsidRPr="000E1C77">
              <w:rPr>
                <w:color w:val="000000" w:themeColor="text1"/>
              </w:rPr>
              <w:t>0.40397</w:t>
            </w:r>
          </w:p>
        </w:tc>
        <w:tc>
          <w:tcPr>
            <w:tcW w:w="1276" w:type="dxa"/>
          </w:tcPr>
          <w:p w14:paraId="594719DB" w14:textId="77777777" w:rsidR="009B71F2" w:rsidRPr="000E1C77" w:rsidRDefault="009B71F2" w:rsidP="00552704">
            <w:pPr>
              <w:jc w:val="center"/>
              <w:rPr>
                <w:color w:val="000000" w:themeColor="text1"/>
                <w:sz w:val="22"/>
              </w:rPr>
            </w:pPr>
            <w:r w:rsidRPr="000E1C77">
              <w:rPr>
                <w:color w:val="000000" w:themeColor="text1"/>
              </w:rPr>
              <w:t>0.67586</w:t>
            </w:r>
          </w:p>
        </w:tc>
      </w:tr>
      <w:tr w:rsidR="009B71F2" w:rsidRPr="000E1C77" w14:paraId="2EB36882" w14:textId="77777777" w:rsidTr="00552704">
        <w:tc>
          <w:tcPr>
            <w:tcW w:w="1838" w:type="dxa"/>
          </w:tcPr>
          <w:p w14:paraId="7FFDD37B" w14:textId="77777777" w:rsidR="009B71F2" w:rsidRPr="000E1C77" w:rsidRDefault="009B71F2" w:rsidP="00552704">
            <w:pPr>
              <w:rPr>
                <w:color w:val="000000" w:themeColor="text1"/>
                <w:sz w:val="22"/>
              </w:rPr>
            </w:pPr>
            <w:r w:rsidRPr="000E1C77">
              <w:rPr>
                <w:color w:val="000000" w:themeColor="text1"/>
              </w:rPr>
              <w:t>Workwear change</w:t>
            </w:r>
          </w:p>
        </w:tc>
        <w:tc>
          <w:tcPr>
            <w:tcW w:w="1559" w:type="dxa"/>
          </w:tcPr>
          <w:p w14:paraId="47A714D6" w14:textId="77777777" w:rsidR="009B71F2" w:rsidRPr="000E1C77" w:rsidRDefault="009B71F2" w:rsidP="00552704">
            <w:pPr>
              <w:jc w:val="center"/>
              <w:rPr>
                <w:color w:val="000000" w:themeColor="text1"/>
                <w:sz w:val="22"/>
              </w:rPr>
            </w:pPr>
            <w:r w:rsidRPr="000E1C77">
              <w:rPr>
                <w:color w:val="000000" w:themeColor="text1"/>
              </w:rPr>
              <w:t>-0.89795</w:t>
            </w:r>
          </w:p>
        </w:tc>
        <w:tc>
          <w:tcPr>
            <w:tcW w:w="1276" w:type="dxa"/>
          </w:tcPr>
          <w:p w14:paraId="6FD73905" w14:textId="77777777" w:rsidR="009B71F2" w:rsidRPr="000E1C77" w:rsidRDefault="009B71F2" w:rsidP="00552704">
            <w:pPr>
              <w:jc w:val="center"/>
              <w:rPr>
                <w:color w:val="000000" w:themeColor="text1"/>
                <w:sz w:val="22"/>
              </w:rPr>
            </w:pPr>
            <w:r w:rsidRPr="000E1C77">
              <w:rPr>
                <w:color w:val="000000" w:themeColor="text1"/>
              </w:rPr>
              <w:t>0.85914</w:t>
            </w:r>
          </w:p>
        </w:tc>
      </w:tr>
      <w:tr w:rsidR="009B71F2" w:rsidRPr="000E1C77" w14:paraId="3D1F5C3C" w14:textId="77777777" w:rsidTr="00552704">
        <w:tc>
          <w:tcPr>
            <w:tcW w:w="1838" w:type="dxa"/>
            <w:tcBorders>
              <w:bottom w:val="single" w:sz="4" w:space="0" w:color="auto"/>
            </w:tcBorders>
          </w:tcPr>
          <w:p w14:paraId="33BD0816" w14:textId="77777777" w:rsidR="009B71F2" w:rsidRPr="000E1C77" w:rsidRDefault="009B71F2" w:rsidP="00552704">
            <w:pPr>
              <w:rPr>
                <w:color w:val="000000" w:themeColor="text1"/>
                <w:sz w:val="22"/>
              </w:rPr>
            </w:pPr>
            <w:r w:rsidRPr="000E1C77">
              <w:rPr>
                <w:color w:val="000000" w:themeColor="text1"/>
              </w:rPr>
              <w:t>Body cleaning</w:t>
            </w:r>
          </w:p>
        </w:tc>
        <w:tc>
          <w:tcPr>
            <w:tcW w:w="1559" w:type="dxa"/>
            <w:tcBorders>
              <w:bottom w:val="single" w:sz="4" w:space="0" w:color="auto"/>
            </w:tcBorders>
          </w:tcPr>
          <w:p w14:paraId="75EC0B0E" w14:textId="77777777" w:rsidR="009B71F2" w:rsidRPr="000E1C77" w:rsidRDefault="009B71F2" w:rsidP="00552704">
            <w:pPr>
              <w:jc w:val="center"/>
              <w:rPr>
                <w:color w:val="000000" w:themeColor="text1"/>
                <w:sz w:val="22"/>
              </w:rPr>
            </w:pPr>
            <w:r w:rsidRPr="000E1C77">
              <w:rPr>
                <w:color w:val="000000" w:themeColor="text1"/>
              </w:rPr>
              <w:t>0.55204</w:t>
            </w:r>
          </w:p>
        </w:tc>
        <w:tc>
          <w:tcPr>
            <w:tcW w:w="1276" w:type="dxa"/>
            <w:tcBorders>
              <w:bottom w:val="single" w:sz="4" w:space="0" w:color="auto"/>
            </w:tcBorders>
          </w:tcPr>
          <w:p w14:paraId="7B711AD5" w14:textId="77777777" w:rsidR="009B71F2" w:rsidRPr="000E1C77" w:rsidRDefault="009B71F2" w:rsidP="00552704">
            <w:pPr>
              <w:jc w:val="center"/>
              <w:rPr>
                <w:color w:val="000000" w:themeColor="text1"/>
                <w:sz w:val="22"/>
              </w:rPr>
            </w:pPr>
            <w:r w:rsidRPr="000E1C77">
              <w:rPr>
                <w:color w:val="000000" w:themeColor="text1"/>
              </w:rPr>
              <w:t>0.84614</w:t>
            </w:r>
          </w:p>
        </w:tc>
      </w:tr>
    </w:tbl>
    <w:p w14:paraId="77223133" w14:textId="77777777" w:rsidR="009B71F2" w:rsidRPr="000E1C77" w:rsidRDefault="009B71F2" w:rsidP="009B71F2">
      <w:pPr>
        <w:pStyle w:val="Descripcin"/>
        <w:keepNext/>
        <w:spacing w:after="0"/>
        <w:rPr>
          <w:i w:val="0"/>
          <w:iCs w:val="0"/>
          <w:color w:val="000000" w:themeColor="text1"/>
          <w:lang w:val="en-US"/>
        </w:rPr>
      </w:pPr>
    </w:p>
    <w:p w14:paraId="75C675B3" w14:textId="77777777" w:rsidR="009B71F2" w:rsidRPr="000E1C77" w:rsidRDefault="009B71F2" w:rsidP="009B71F2">
      <w:pPr>
        <w:pStyle w:val="Descripcin"/>
        <w:keepNext/>
        <w:spacing w:after="0"/>
        <w:rPr>
          <w:rFonts w:ascii="Palatino Linotype" w:hAnsi="Palatino Linotype"/>
          <w:i w:val="0"/>
          <w:iCs w:val="0"/>
          <w:color w:val="000000" w:themeColor="text1"/>
          <w:lang w:val="en-US"/>
        </w:rPr>
      </w:pPr>
      <w:r w:rsidRPr="000E1C77">
        <w:rPr>
          <w:b/>
          <w:bCs/>
          <w:i w:val="0"/>
          <w:iCs w:val="0"/>
          <w:color w:val="000000" w:themeColor="text1"/>
          <w:lang w:val="en-US"/>
        </w:rPr>
        <w:t xml:space="preserve">                                    </w:t>
      </w:r>
      <w:r w:rsidRPr="000E1C77">
        <w:rPr>
          <w:rFonts w:ascii="Palatino Linotype" w:hAnsi="Palatino Linotype"/>
          <w:b/>
          <w:bCs/>
          <w:i w:val="0"/>
          <w:iCs w:val="0"/>
          <w:color w:val="000000" w:themeColor="text1"/>
          <w:lang w:val="en-US"/>
        </w:rPr>
        <w:t xml:space="preserve">Table 4. </w:t>
      </w:r>
      <w:r w:rsidRPr="000E1C77">
        <w:rPr>
          <w:rFonts w:ascii="Palatino Linotype" w:hAnsi="Palatino Linotype"/>
          <w:i w:val="0"/>
          <w:iCs w:val="0"/>
          <w:color w:val="000000" w:themeColor="text1"/>
          <w:lang w:val="en-US"/>
        </w:rPr>
        <w:t>Data structure versus logistic regression</w:t>
      </w:r>
    </w:p>
    <w:p w14:paraId="599E3DC0" w14:textId="77777777" w:rsidR="009B71F2" w:rsidRPr="000E1C77" w:rsidRDefault="009B71F2" w:rsidP="009B71F2"/>
    <w:tbl>
      <w:tblPr>
        <w:tblStyle w:val="Tablaconcuadrcula"/>
        <w:tblW w:w="5959" w:type="dxa"/>
        <w:jc w:val="center"/>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132"/>
        <w:gridCol w:w="3827"/>
      </w:tblGrid>
      <w:tr w:rsidR="009B71F2" w:rsidRPr="000E1C77" w14:paraId="098C65D1" w14:textId="77777777" w:rsidTr="00552704">
        <w:trPr>
          <w:jc w:val="center"/>
        </w:trPr>
        <w:tc>
          <w:tcPr>
            <w:tcW w:w="2132" w:type="dxa"/>
            <w:tcBorders>
              <w:bottom w:val="single" w:sz="4" w:space="0" w:color="auto"/>
            </w:tcBorders>
          </w:tcPr>
          <w:p w14:paraId="26B3D3FB" w14:textId="77777777" w:rsidR="009B71F2" w:rsidRPr="000E1C77" w:rsidRDefault="009B71F2" w:rsidP="00552704">
            <w:pPr>
              <w:jc w:val="center"/>
              <w:rPr>
                <w:b/>
                <w:bCs/>
                <w:color w:val="000000" w:themeColor="text1"/>
                <w:sz w:val="22"/>
              </w:rPr>
            </w:pPr>
            <w:r w:rsidRPr="000E1C77">
              <w:rPr>
                <w:b/>
                <w:bCs/>
                <w:color w:val="000000" w:themeColor="text1"/>
                <w:lang w:val="en"/>
              </w:rPr>
              <w:t>Data against intoxication events</w:t>
            </w:r>
          </w:p>
        </w:tc>
        <w:tc>
          <w:tcPr>
            <w:tcW w:w="3827" w:type="dxa"/>
            <w:tcBorders>
              <w:bottom w:val="single" w:sz="4" w:space="0" w:color="auto"/>
            </w:tcBorders>
          </w:tcPr>
          <w:p w14:paraId="5BD806DE" w14:textId="77777777" w:rsidR="009B71F2" w:rsidRPr="000E1C77" w:rsidRDefault="009B71F2" w:rsidP="00552704">
            <w:pPr>
              <w:jc w:val="center"/>
              <w:rPr>
                <w:b/>
                <w:bCs/>
                <w:color w:val="000000" w:themeColor="text1"/>
              </w:rPr>
            </w:pPr>
            <w:r w:rsidRPr="000E1C77">
              <w:rPr>
                <w:b/>
                <w:bCs/>
                <w:color w:val="000000" w:themeColor="text1"/>
                <w:lang w:val="en"/>
              </w:rPr>
              <w:t>Confusion matrix (frequencies and percentage of prediction)</w:t>
            </w:r>
          </w:p>
        </w:tc>
      </w:tr>
      <w:tr w:rsidR="009B71F2" w:rsidRPr="000E1C77" w14:paraId="0BAA7411" w14:textId="77777777" w:rsidTr="00552704">
        <w:trPr>
          <w:trHeight w:val="1283"/>
          <w:jc w:val="center"/>
        </w:trPr>
        <w:tc>
          <w:tcPr>
            <w:tcW w:w="2132" w:type="dxa"/>
            <w:tcBorders>
              <w:bottom w:val="single" w:sz="4" w:space="0" w:color="auto"/>
            </w:tcBorders>
          </w:tcPr>
          <w:p w14:paraId="6A2ABD5E" w14:textId="77777777" w:rsidR="009B71F2" w:rsidRPr="000E1C77" w:rsidRDefault="009B71F2" w:rsidP="00552704">
            <w:pPr>
              <w:jc w:val="center"/>
              <w:rPr>
                <w:color w:val="000000" w:themeColor="text1"/>
                <w:sz w:val="22"/>
              </w:rPr>
            </w:pPr>
          </w:p>
          <w:p w14:paraId="04AFB311" w14:textId="77777777" w:rsidR="009B71F2" w:rsidRPr="000E1C77" w:rsidRDefault="009B71F2" w:rsidP="00552704">
            <w:pPr>
              <w:jc w:val="center"/>
              <w:rPr>
                <w:color w:val="000000" w:themeColor="text1"/>
                <w:sz w:val="22"/>
              </w:rPr>
            </w:pPr>
          </w:p>
          <w:tbl>
            <w:tblPr>
              <w:tblStyle w:val="Tablaconcuadrcula"/>
              <w:tblW w:w="0" w:type="auto"/>
              <w:jc w:val="center"/>
              <w:tblLook w:val="04A0" w:firstRow="1" w:lastRow="0" w:firstColumn="1" w:lastColumn="0" w:noHBand="0" w:noVBand="1"/>
            </w:tblPr>
            <w:tblGrid>
              <w:gridCol w:w="745"/>
              <w:gridCol w:w="708"/>
            </w:tblGrid>
            <w:tr w:rsidR="009B71F2" w:rsidRPr="000E1C77" w14:paraId="0D64E71C" w14:textId="77777777" w:rsidTr="00552704">
              <w:trPr>
                <w:jc w:val="center"/>
              </w:trPr>
              <w:tc>
                <w:tcPr>
                  <w:tcW w:w="745" w:type="dxa"/>
                  <w:vAlign w:val="center"/>
                </w:tcPr>
                <w:p w14:paraId="63754693" w14:textId="77777777" w:rsidR="009B71F2" w:rsidRPr="000E1C77" w:rsidRDefault="009B71F2" w:rsidP="00552704">
                  <w:pPr>
                    <w:jc w:val="center"/>
                    <w:rPr>
                      <w:color w:val="000000" w:themeColor="text1"/>
                      <w:sz w:val="22"/>
                    </w:rPr>
                  </w:pPr>
                  <w:r w:rsidRPr="000E1C77">
                    <w:rPr>
                      <w:color w:val="000000" w:themeColor="text1"/>
                    </w:rPr>
                    <w:t>0</w:t>
                  </w:r>
                </w:p>
              </w:tc>
              <w:tc>
                <w:tcPr>
                  <w:tcW w:w="708" w:type="dxa"/>
                  <w:vAlign w:val="center"/>
                </w:tcPr>
                <w:p w14:paraId="25216679" w14:textId="77777777" w:rsidR="009B71F2" w:rsidRPr="000E1C77" w:rsidRDefault="009B71F2" w:rsidP="00552704">
                  <w:pPr>
                    <w:jc w:val="center"/>
                    <w:rPr>
                      <w:color w:val="000000" w:themeColor="text1"/>
                      <w:sz w:val="22"/>
                    </w:rPr>
                  </w:pPr>
                  <w:r w:rsidRPr="000E1C77">
                    <w:rPr>
                      <w:color w:val="000000" w:themeColor="text1"/>
                    </w:rPr>
                    <w:t>1</w:t>
                  </w:r>
                </w:p>
              </w:tc>
            </w:tr>
            <w:tr w:rsidR="009B71F2" w:rsidRPr="000E1C77" w14:paraId="34ECBEB4" w14:textId="77777777" w:rsidTr="00552704">
              <w:trPr>
                <w:jc w:val="center"/>
              </w:trPr>
              <w:tc>
                <w:tcPr>
                  <w:tcW w:w="745" w:type="dxa"/>
                  <w:vAlign w:val="center"/>
                </w:tcPr>
                <w:p w14:paraId="7302C4A8" w14:textId="77777777" w:rsidR="009B71F2" w:rsidRPr="000E1C77" w:rsidRDefault="009B71F2" w:rsidP="00552704">
                  <w:pPr>
                    <w:jc w:val="center"/>
                    <w:rPr>
                      <w:color w:val="000000" w:themeColor="text1"/>
                      <w:sz w:val="22"/>
                    </w:rPr>
                  </w:pPr>
                  <w:r w:rsidRPr="000E1C77">
                    <w:rPr>
                      <w:color w:val="000000" w:themeColor="text1"/>
                    </w:rPr>
                    <w:t>77</w:t>
                  </w:r>
                </w:p>
              </w:tc>
              <w:tc>
                <w:tcPr>
                  <w:tcW w:w="708" w:type="dxa"/>
                  <w:vAlign w:val="center"/>
                </w:tcPr>
                <w:p w14:paraId="4C3F56AB" w14:textId="77777777" w:rsidR="009B71F2" w:rsidRPr="000E1C77" w:rsidRDefault="009B71F2" w:rsidP="00552704">
                  <w:pPr>
                    <w:jc w:val="center"/>
                    <w:rPr>
                      <w:color w:val="000000" w:themeColor="text1"/>
                      <w:sz w:val="22"/>
                    </w:rPr>
                  </w:pPr>
                  <w:r w:rsidRPr="000E1C77">
                    <w:rPr>
                      <w:color w:val="000000" w:themeColor="text1"/>
                    </w:rPr>
                    <w:t>21</w:t>
                  </w:r>
                </w:p>
              </w:tc>
            </w:tr>
          </w:tbl>
          <w:p w14:paraId="795CDE66" w14:textId="77777777" w:rsidR="009B71F2" w:rsidRPr="000E1C77" w:rsidRDefault="009B71F2" w:rsidP="00552704">
            <w:pPr>
              <w:jc w:val="center"/>
              <w:rPr>
                <w:color w:val="000000" w:themeColor="text1"/>
                <w:sz w:val="22"/>
              </w:rPr>
            </w:pPr>
          </w:p>
          <w:p w14:paraId="7ACCD52E" w14:textId="77777777" w:rsidR="009B71F2" w:rsidRPr="000E1C77" w:rsidRDefault="009B71F2" w:rsidP="00552704">
            <w:pPr>
              <w:jc w:val="center"/>
              <w:rPr>
                <w:color w:val="000000" w:themeColor="text1"/>
                <w:sz w:val="22"/>
              </w:rPr>
            </w:pPr>
          </w:p>
        </w:tc>
        <w:tc>
          <w:tcPr>
            <w:tcW w:w="3827" w:type="dxa"/>
            <w:tcBorders>
              <w:bottom w:val="single" w:sz="4" w:space="0" w:color="auto"/>
            </w:tcBorders>
          </w:tcPr>
          <w:p w14:paraId="1F1B35BB" w14:textId="77777777" w:rsidR="009B71F2" w:rsidRPr="000E1C77" w:rsidRDefault="009B71F2" w:rsidP="00552704">
            <w:pPr>
              <w:jc w:val="center"/>
              <w:rPr>
                <w:color w:val="000000" w:themeColor="text1"/>
                <w:sz w:val="2"/>
                <w:szCs w:val="2"/>
              </w:rPr>
            </w:pPr>
          </w:p>
          <w:tbl>
            <w:tblPr>
              <w:tblStyle w:val="Tablaconcuadrcula"/>
              <w:tblW w:w="0" w:type="auto"/>
              <w:jc w:val="center"/>
              <w:tblLook w:val="04A0" w:firstRow="1" w:lastRow="0" w:firstColumn="1" w:lastColumn="0" w:noHBand="0" w:noVBand="1"/>
            </w:tblPr>
            <w:tblGrid>
              <w:gridCol w:w="1542"/>
              <w:gridCol w:w="901"/>
              <w:gridCol w:w="931"/>
            </w:tblGrid>
            <w:tr w:rsidR="009B71F2" w:rsidRPr="000E1C77" w14:paraId="17C11DA5" w14:textId="77777777" w:rsidTr="00552704">
              <w:trPr>
                <w:trHeight w:val="528"/>
                <w:jc w:val="center"/>
              </w:trPr>
              <w:tc>
                <w:tcPr>
                  <w:tcW w:w="1542" w:type="dxa"/>
                  <w:tcBorders>
                    <w:tl2br w:val="single" w:sz="4" w:space="0" w:color="auto"/>
                  </w:tcBorders>
                  <w:vAlign w:val="center"/>
                </w:tcPr>
                <w:p w14:paraId="71E90FB0" w14:textId="77777777" w:rsidR="009B71F2" w:rsidRPr="000E1C77" w:rsidRDefault="009B71F2" w:rsidP="00552704">
                  <w:pPr>
                    <w:jc w:val="center"/>
                    <w:rPr>
                      <w:i/>
                      <w:iCs/>
                      <w:color w:val="000000" w:themeColor="text1"/>
                    </w:rPr>
                  </w:pPr>
                  <w:r w:rsidRPr="000E1C77">
                    <w:rPr>
                      <w:i/>
                      <w:iCs/>
                      <w:color w:val="000000" w:themeColor="text1"/>
                    </w:rPr>
                    <w:t xml:space="preserve">   Observation</w:t>
                  </w:r>
                </w:p>
                <w:p w14:paraId="150BBB17" w14:textId="77777777" w:rsidR="009B71F2" w:rsidRPr="000E1C77" w:rsidRDefault="009B71F2" w:rsidP="00552704">
                  <w:pPr>
                    <w:jc w:val="center"/>
                    <w:rPr>
                      <w:i/>
                      <w:iCs/>
                      <w:color w:val="000000" w:themeColor="text1"/>
                      <w:sz w:val="22"/>
                    </w:rPr>
                  </w:pPr>
                </w:p>
                <w:p w14:paraId="7E152743" w14:textId="77777777" w:rsidR="009B71F2" w:rsidRPr="000E1C77" w:rsidRDefault="009B71F2" w:rsidP="00552704">
                  <w:pPr>
                    <w:rPr>
                      <w:i/>
                      <w:iCs/>
                      <w:color w:val="000000" w:themeColor="text1"/>
                      <w:sz w:val="22"/>
                    </w:rPr>
                  </w:pPr>
                  <w:r w:rsidRPr="000E1C77">
                    <w:rPr>
                      <w:i/>
                      <w:iCs/>
                      <w:color w:val="000000" w:themeColor="text1"/>
                    </w:rPr>
                    <w:t>Prediction</w:t>
                  </w:r>
                </w:p>
              </w:tc>
              <w:tc>
                <w:tcPr>
                  <w:tcW w:w="901" w:type="dxa"/>
                  <w:vAlign w:val="center"/>
                </w:tcPr>
                <w:p w14:paraId="0C90213D" w14:textId="77777777" w:rsidR="009B71F2" w:rsidRPr="000E1C77" w:rsidRDefault="009B71F2" w:rsidP="00552704">
                  <w:pPr>
                    <w:jc w:val="center"/>
                    <w:rPr>
                      <w:color w:val="000000" w:themeColor="text1"/>
                      <w:sz w:val="22"/>
                    </w:rPr>
                  </w:pPr>
                  <w:r w:rsidRPr="000E1C77">
                    <w:rPr>
                      <w:color w:val="000000" w:themeColor="text1"/>
                    </w:rPr>
                    <w:t>0</w:t>
                  </w:r>
                </w:p>
              </w:tc>
              <w:tc>
                <w:tcPr>
                  <w:tcW w:w="931" w:type="dxa"/>
                  <w:vAlign w:val="center"/>
                </w:tcPr>
                <w:p w14:paraId="1057EA38" w14:textId="77777777" w:rsidR="009B71F2" w:rsidRPr="000E1C77" w:rsidRDefault="009B71F2" w:rsidP="00552704">
                  <w:pPr>
                    <w:jc w:val="center"/>
                    <w:rPr>
                      <w:color w:val="000000" w:themeColor="text1"/>
                      <w:sz w:val="22"/>
                    </w:rPr>
                  </w:pPr>
                  <w:r w:rsidRPr="000E1C77">
                    <w:rPr>
                      <w:color w:val="000000" w:themeColor="text1"/>
                    </w:rPr>
                    <w:t>1</w:t>
                  </w:r>
                </w:p>
              </w:tc>
            </w:tr>
            <w:tr w:rsidR="009B71F2" w:rsidRPr="000E1C77" w14:paraId="5BA8C8F6" w14:textId="77777777" w:rsidTr="00552704">
              <w:trPr>
                <w:trHeight w:val="549"/>
                <w:jc w:val="center"/>
              </w:trPr>
              <w:tc>
                <w:tcPr>
                  <w:tcW w:w="1542" w:type="dxa"/>
                  <w:vAlign w:val="center"/>
                </w:tcPr>
                <w:p w14:paraId="669AF85D" w14:textId="77777777" w:rsidR="009B71F2" w:rsidRPr="000E1C77" w:rsidRDefault="009B71F2" w:rsidP="00552704">
                  <w:pPr>
                    <w:jc w:val="center"/>
                    <w:rPr>
                      <w:color w:val="000000" w:themeColor="text1"/>
                      <w:sz w:val="22"/>
                    </w:rPr>
                  </w:pPr>
                  <w:r w:rsidRPr="000E1C77">
                    <w:rPr>
                      <w:color w:val="000000" w:themeColor="text1"/>
                    </w:rPr>
                    <w:t>No</w:t>
                  </w:r>
                </w:p>
              </w:tc>
              <w:tc>
                <w:tcPr>
                  <w:tcW w:w="901" w:type="dxa"/>
                  <w:vAlign w:val="center"/>
                </w:tcPr>
                <w:p w14:paraId="6236F52E" w14:textId="77777777" w:rsidR="009B71F2" w:rsidRPr="000E1C77" w:rsidRDefault="009B71F2" w:rsidP="00552704">
                  <w:pPr>
                    <w:jc w:val="center"/>
                    <w:rPr>
                      <w:color w:val="000000" w:themeColor="text1"/>
                      <w:sz w:val="22"/>
                    </w:rPr>
                  </w:pPr>
                  <w:r w:rsidRPr="000E1C77">
                    <w:rPr>
                      <w:color w:val="000000" w:themeColor="text1"/>
                    </w:rPr>
                    <w:t>74 (78,7%)</w:t>
                  </w:r>
                </w:p>
              </w:tc>
              <w:tc>
                <w:tcPr>
                  <w:tcW w:w="931" w:type="dxa"/>
                  <w:vAlign w:val="center"/>
                </w:tcPr>
                <w:p w14:paraId="7168C70A" w14:textId="77777777" w:rsidR="009B71F2" w:rsidRPr="000E1C77" w:rsidRDefault="009B71F2" w:rsidP="00552704">
                  <w:pPr>
                    <w:jc w:val="center"/>
                    <w:rPr>
                      <w:color w:val="000000" w:themeColor="text1"/>
                      <w:sz w:val="22"/>
                    </w:rPr>
                  </w:pPr>
                  <w:r w:rsidRPr="000E1C77">
                    <w:rPr>
                      <w:color w:val="000000" w:themeColor="text1"/>
                    </w:rPr>
                    <w:t>20 (21,3%)</w:t>
                  </w:r>
                </w:p>
              </w:tc>
            </w:tr>
            <w:tr w:rsidR="009B71F2" w:rsidRPr="000E1C77" w14:paraId="2843F349" w14:textId="77777777" w:rsidTr="00552704">
              <w:trPr>
                <w:trHeight w:val="268"/>
                <w:jc w:val="center"/>
              </w:trPr>
              <w:tc>
                <w:tcPr>
                  <w:tcW w:w="1542" w:type="dxa"/>
                  <w:vAlign w:val="center"/>
                </w:tcPr>
                <w:p w14:paraId="753268A5" w14:textId="77777777" w:rsidR="009B71F2" w:rsidRPr="000E1C77" w:rsidRDefault="009B71F2" w:rsidP="00552704">
                  <w:pPr>
                    <w:jc w:val="center"/>
                    <w:rPr>
                      <w:color w:val="000000" w:themeColor="text1"/>
                      <w:sz w:val="22"/>
                    </w:rPr>
                  </w:pPr>
                  <w:r w:rsidRPr="000E1C77">
                    <w:rPr>
                      <w:color w:val="000000" w:themeColor="text1"/>
                    </w:rPr>
                    <w:t>Yes</w:t>
                  </w:r>
                </w:p>
              </w:tc>
              <w:tc>
                <w:tcPr>
                  <w:tcW w:w="901" w:type="dxa"/>
                  <w:vAlign w:val="center"/>
                </w:tcPr>
                <w:p w14:paraId="29E575A2" w14:textId="77777777" w:rsidR="009B71F2" w:rsidRPr="000E1C77" w:rsidRDefault="009B71F2" w:rsidP="00552704">
                  <w:pPr>
                    <w:jc w:val="center"/>
                    <w:rPr>
                      <w:color w:val="000000" w:themeColor="text1"/>
                      <w:sz w:val="22"/>
                    </w:rPr>
                  </w:pPr>
                  <w:r w:rsidRPr="000E1C77">
                    <w:rPr>
                      <w:color w:val="000000" w:themeColor="text1"/>
                    </w:rPr>
                    <w:t>3</w:t>
                  </w:r>
                </w:p>
                <w:p w14:paraId="62DE8CB5" w14:textId="77777777" w:rsidR="009B71F2" w:rsidRPr="000E1C77" w:rsidRDefault="009B71F2" w:rsidP="00552704">
                  <w:pPr>
                    <w:jc w:val="center"/>
                    <w:rPr>
                      <w:color w:val="000000" w:themeColor="text1"/>
                      <w:sz w:val="22"/>
                    </w:rPr>
                  </w:pPr>
                  <w:r w:rsidRPr="000E1C77">
                    <w:rPr>
                      <w:color w:val="000000" w:themeColor="text1"/>
                    </w:rPr>
                    <w:lastRenderedPageBreak/>
                    <w:t>(75%)</w:t>
                  </w:r>
                </w:p>
              </w:tc>
              <w:tc>
                <w:tcPr>
                  <w:tcW w:w="931" w:type="dxa"/>
                  <w:vAlign w:val="center"/>
                </w:tcPr>
                <w:p w14:paraId="0EC8F930" w14:textId="77777777" w:rsidR="009B71F2" w:rsidRPr="000E1C77" w:rsidRDefault="009B71F2" w:rsidP="00552704">
                  <w:pPr>
                    <w:jc w:val="center"/>
                    <w:rPr>
                      <w:color w:val="000000" w:themeColor="text1"/>
                      <w:sz w:val="22"/>
                    </w:rPr>
                  </w:pPr>
                  <w:r w:rsidRPr="000E1C77">
                    <w:rPr>
                      <w:color w:val="000000" w:themeColor="text1"/>
                    </w:rPr>
                    <w:lastRenderedPageBreak/>
                    <w:t>1</w:t>
                  </w:r>
                </w:p>
                <w:p w14:paraId="4F0C5C76" w14:textId="77777777" w:rsidR="009B71F2" w:rsidRPr="000E1C77" w:rsidRDefault="009B71F2" w:rsidP="00552704">
                  <w:pPr>
                    <w:jc w:val="center"/>
                    <w:rPr>
                      <w:color w:val="000000" w:themeColor="text1"/>
                      <w:sz w:val="22"/>
                    </w:rPr>
                  </w:pPr>
                  <w:r w:rsidRPr="000E1C77">
                    <w:rPr>
                      <w:color w:val="000000" w:themeColor="text1"/>
                    </w:rPr>
                    <w:lastRenderedPageBreak/>
                    <w:t>(25%)</w:t>
                  </w:r>
                </w:p>
              </w:tc>
            </w:tr>
          </w:tbl>
          <w:p w14:paraId="51D8F7E2" w14:textId="77777777" w:rsidR="009B71F2" w:rsidRPr="000E1C77" w:rsidRDefault="009B71F2" w:rsidP="00552704">
            <w:pPr>
              <w:jc w:val="center"/>
              <w:rPr>
                <w:color w:val="000000" w:themeColor="text1"/>
                <w:sz w:val="22"/>
              </w:rPr>
            </w:pPr>
          </w:p>
        </w:tc>
      </w:tr>
    </w:tbl>
    <w:p w14:paraId="25337749" w14:textId="77777777" w:rsidR="009B71F2" w:rsidRPr="000E1C77" w:rsidRDefault="009B71F2" w:rsidP="009B71F2">
      <w:pPr>
        <w:jc w:val="center"/>
        <w:rPr>
          <w:color w:val="000000" w:themeColor="text1"/>
          <w:sz w:val="18"/>
          <w:szCs w:val="18"/>
        </w:rPr>
      </w:pPr>
      <w:r w:rsidRPr="000E1C77">
        <w:rPr>
          <w:color w:val="000000" w:themeColor="text1"/>
          <w:sz w:val="18"/>
          <w:szCs w:val="18"/>
        </w:rPr>
        <w:lastRenderedPageBreak/>
        <w:t>p-value: 0.24397138; r</w:t>
      </w:r>
      <w:r w:rsidRPr="000E1C77">
        <w:rPr>
          <w:color w:val="000000" w:themeColor="text1"/>
          <w:sz w:val="18"/>
          <w:szCs w:val="18"/>
          <w:vertAlign w:val="superscript"/>
        </w:rPr>
        <w:t>2</w:t>
      </w:r>
      <w:r w:rsidRPr="000E1C77">
        <w:rPr>
          <w:color w:val="000000" w:themeColor="text1"/>
          <w:sz w:val="18"/>
          <w:szCs w:val="18"/>
        </w:rPr>
        <w:t>: 0.7653061</w:t>
      </w:r>
    </w:p>
    <w:p w14:paraId="4273ED75" w14:textId="77777777" w:rsidR="009B71F2" w:rsidRPr="000E1C77" w:rsidRDefault="009B71F2" w:rsidP="009B71F2">
      <w:pPr>
        <w:spacing w:line="240" w:lineRule="auto"/>
        <w:jc w:val="left"/>
        <w:rPr>
          <w:sz w:val="18"/>
          <w:szCs w:val="18"/>
        </w:rPr>
      </w:pPr>
      <w:r w:rsidRPr="000E1C77">
        <w:rPr>
          <w:noProof/>
        </w:rPr>
        <w:drawing>
          <wp:anchor distT="0" distB="0" distL="114300" distR="114300" simplePos="0" relativeHeight="251659264" behindDoc="1" locked="0" layoutInCell="1" allowOverlap="1" wp14:anchorId="4B408BBE" wp14:editId="063DD816">
            <wp:simplePos x="0" y="0"/>
            <wp:positionH relativeFrom="column">
              <wp:posOffset>3562350</wp:posOffset>
            </wp:positionH>
            <wp:positionV relativeFrom="paragraph">
              <wp:posOffset>280035</wp:posOffset>
            </wp:positionV>
            <wp:extent cx="2608580" cy="1770380"/>
            <wp:effectExtent l="0" t="0" r="1270" b="1270"/>
            <wp:wrapTight wrapText="bothSides">
              <wp:wrapPolygon edited="0">
                <wp:start x="0" y="0"/>
                <wp:lineTo x="0" y="21383"/>
                <wp:lineTo x="21453" y="21383"/>
                <wp:lineTo x="21453" y="0"/>
                <wp:lineTo x="0" y="0"/>
              </wp:wrapPolygon>
            </wp:wrapTight>
            <wp:docPr id="10" name="Gráfico 10">
              <a:extLst xmlns:a="http://schemas.openxmlformats.org/drawingml/2006/main">
                <a:ext uri="{FF2B5EF4-FFF2-40B4-BE49-F238E27FC236}">
                  <a16:creationId xmlns:a16="http://schemas.microsoft.com/office/drawing/2014/main" id="{9442D658-BE3E-F1DE-CCF0-D61A3C9CAD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0E1C77">
        <w:rPr>
          <w:noProof/>
        </w:rPr>
        <w:drawing>
          <wp:anchor distT="0" distB="0" distL="114300" distR="114300" simplePos="0" relativeHeight="251660288" behindDoc="1" locked="0" layoutInCell="1" allowOverlap="1" wp14:anchorId="0D97723A" wp14:editId="0605D152">
            <wp:simplePos x="0" y="0"/>
            <wp:positionH relativeFrom="margin">
              <wp:posOffset>781050</wp:posOffset>
            </wp:positionH>
            <wp:positionV relativeFrom="paragraph">
              <wp:posOffset>232410</wp:posOffset>
            </wp:positionV>
            <wp:extent cx="2857500" cy="1779905"/>
            <wp:effectExtent l="0" t="0" r="0" b="0"/>
            <wp:wrapTight wrapText="bothSides">
              <wp:wrapPolygon edited="0">
                <wp:start x="0" y="0"/>
                <wp:lineTo x="0" y="21269"/>
                <wp:lineTo x="21456" y="21269"/>
                <wp:lineTo x="21456" y="0"/>
                <wp:lineTo x="0" y="0"/>
              </wp:wrapPolygon>
            </wp:wrapTight>
            <wp:docPr id="1" name="Gráfico 1">
              <a:extLst xmlns:a="http://schemas.openxmlformats.org/drawingml/2006/main">
                <a:ext uri="{FF2B5EF4-FFF2-40B4-BE49-F238E27FC236}">
                  <a16:creationId xmlns:a16="http://schemas.microsoft.com/office/drawing/2014/main" id="{885524A7-7976-C61E-21FA-2272295ADF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74697559" w14:textId="77777777" w:rsidR="009B71F2" w:rsidRPr="000E1C77" w:rsidRDefault="009B71F2" w:rsidP="009B71F2">
      <w:pPr>
        <w:pStyle w:val="MDPI31text"/>
        <w:rPr>
          <w:sz w:val="18"/>
          <w:szCs w:val="18"/>
        </w:rPr>
      </w:pPr>
      <w:r w:rsidRPr="000E1C77">
        <w:rPr>
          <w:b/>
          <w:bCs/>
          <w:sz w:val="18"/>
          <w:szCs w:val="18"/>
        </w:rPr>
        <w:t>Figure 3.</w:t>
      </w:r>
      <w:r w:rsidRPr="000E1C77">
        <w:rPr>
          <w:sz w:val="18"/>
          <w:szCs w:val="18"/>
        </w:rPr>
        <w:t xml:space="preserve"> Confusion matrix plot</w:t>
      </w:r>
    </w:p>
    <w:p w14:paraId="0CC7BAFD" w14:textId="77777777" w:rsidR="009B71F2" w:rsidRPr="000E1C77" w:rsidRDefault="009B71F2" w:rsidP="009B71F2">
      <w:pPr>
        <w:spacing w:line="240" w:lineRule="auto"/>
        <w:jc w:val="left"/>
        <w:rPr>
          <w:rFonts w:eastAsia="Times New Roman"/>
          <w:snapToGrid w:val="0"/>
          <w:sz w:val="18"/>
          <w:szCs w:val="18"/>
          <w:lang w:eastAsia="de-DE" w:bidi="en-US"/>
        </w:rPr>
      </w:pPr>
    </w:p>
    <w:p w14:paraId="46485419" w14:textId="2E47A8F0" w:rsidR="009B71F2" w:rsidRDefault="00F973C0" w:rsidP="009B71F2">
      <w:pPr>
        <w:pStyle w:val="MDPI31text"/>
        <w:rPr>
          <w:szCs w:val="20"/>
        </w:rPr>
      </w:pPr>
      <w:r w:rsidRPr="00F973C0">
        <w:rPr>
          <w:szCs w:val="20"/>
        </w:rPr>
        <w:t xml:space="preserve">To improve correlation, the dataset was balanced in R software, resulting in an enhanced model with an 82% prediction accuracy for intoxication. Among the explanatory variables, facemask </w:t>
      </w:r>
      <w:r w:rsidR="00B77E7E" w:rsidRPr="00F973C0">
        <w:rPr>
          <w:szCs w:val="20"/>
        </w:rPr>
        <w:t>use,</w:t>
      </w:r>
      <w:r w:rsidRPr="00F973C0">
        <w:rPr>
          <w:szCs w:val="20"/>
        </w:rPr>
        <w:t xml:space="preserve"> and workwear changes had negative beta coefficients, indicating a reduced intoxication risk when these measures were implemented. Conversely, glove </w:t>
      </w:r>
      <w:r w:rsidR="00B77E7E" w:rsidRPr="00F973C0">
        <w:rPr>
          <w:szCs w:val="20"/>
        </w:rPr>
        <w:t>use,</w:t>
      </w:r>
      <w:r w:rsidRPr="00F973C0">
        <w:rPr>
          <w:szCs w:val="20"/>
        </w:rPr>
        <w:t xml:space="preserve"> and body hygiene had positive coefficients, suggesting an increased risk of intoxication despite these practices. Work shift duration was the only non-dichotomous variable with a direct correlation to intoxication probability (Table 5). </w:t>
      </w:r>
    </w:p>
    <w:p w14:paraId="78B224AD" w14:textId="77777777" w:rsidR="00F973C0" w:rsidRPr="000E1C77" w:rsidRDefault="00F973C0" w:rsidP="009B71F2">
      <w:pPr>
        <w:pStyle w:val="MDPI31text"/>
        <w:rPr>
          <w:szCs w:val="20"/>
        </w:rPr>
      </w:pPr>
    </w:p>
    <w:p w14:paraId="5FCF1C05" w14:textId="77777777" w:rsidR="009B71F2" w:rsidRPr="000E1C77" w:rsidRDefault="009B71F2" w:rsidP="009B71F2">
      <w:pPr>
        <w:pStyle w:val="MDPI31text"/>
        <w:rPr>
          <w:szCs w:val="20"/>
        </w:rPr>
      </w:pPr>
      <w:r w:rsidRPr="000E1C77">
        <w:rPr>
          <w:b/>
          <w:bCs/>
          <w:szCs w:val="20"/>
        </w:rPr>
        <w:t>Table 5.</w:t>
      </w:r>
      <w:r w:rsidRPr="000E1C77">
        <w:rPr>
          <w:szCs w:val="20"/>
        </w:rPr>
        <w:t xml:space="preserve"> Logistic correlation coefficients (balanced data)</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559"/>
        <w:gridCol w:w="1276"/>
      </w:tblGrid>
      <w:tr w:rsidR="009B71F2" w:rsidRPr="000E1C77" w14:paraId="1103C6F2" w14:textId="77777777" w:rsidTr="00552704">
        <w:trPr>
          <w:jc w:val="center"/>
        </w:trPr>
        <w:tc>
          <w:tcPr>
            <w:tcW w:w="1838" w:type="dxa"/>
            <w:tcBorders>
              <w:top w:val="single" w:sz="4" w:space="0" w:color="auto"/>
              <w:bottom w:val="single" w:sz="4" w:space="0" w:color="auto"/>
            </w:tcBorders>
            <w:vAlign w:val="center"/>
          </w:tcPr>
          <w:p w14:paraId="2772DCF6" w14:textId="77777777" w:rsidR="009B71F2" w:rsidRPr="000E1C77" w:rsidRDefault="009B71F2" w:rsidP="00552704">
            <w:pPr>
              <w:jc w:val="center"/>
              <w:rPr>
                <w:b/>
                <w:bCs/>
                <w:color w:val="000000" w:themeColor="text1"/>
                <w:sz w:val="22"/>
              </w:rPr>
            </w:pPr>
            <w:bookmarkStart w:id="2" w:name="_Hlk183993477"/>
            <w:r w:rsidRPr="000E1C77">
              <w:rPr>
                <w:b/>
                <w:bCs/>
                <w:color w:val="000000" w:themeColor="text1"/>
              </w:rPr>
              <w:t>Analysis variables</w:t>
            </w:r>
          </w:p>
        </w:tc>
        <w:tc>
          <w:tcPr>
            <w:tcW w:w="1559" w:type="dxa"/>
            <w:tcBorders>
              <w:top w:val="single" w:sz="4" w:space="0" w:color="auto"/>
              <w:bottom w:val="single" w:sz="4" w:space="0" w:color="auto"/>
            </w:tcBorders>
            <w:vAlign w:val="center"/>
          </w:tcPr>
          <w:p w14:paraId="7C93877B" w14:textId="77777777" w:rsidR="009B71F2" w:rsidRPr="000E1C77" w:rsidRDefault="009B71F2" w:rsidP="00552704">
            <w:pPr>
              <w:jc w:val="center"/>
              <w:rPr>
                <w:b/>
                <w:bCs/>
                <w:color w:val="000000" w:themeColor="text1"/>
                <w:sz w:val="22"/>
              </w:rPr>
            </w:pPr>
            <w:r w:rsidRPr="000E1C77">
              <w:rPr>
                <w:b/>
                <w:bCs/>
                <w:color w:val="000000" w:themeColor="text1"/>
              </w:rPr>
              <w:t>Intercept coefficient</w:t>
            </w:r>
          </w:p>
        </w:tc>
        <w:tc>
          <w:tcPr>
            <w:tcW w:w="1276" w:type="dxa"/>
            <w:tcBorders>
              <w:top w:val="single" w:sz="4" w:space="0" w:color="auto"/>
              <w:bottom w:val="single" w:sz="4" w:space="0" w:color="auto"/>
            </w:tcBorders>
            <w:vAlign w:val="center"/>
          </w:tcPr>
          <w:p w14:paraId="42C169C7" w14:textId="77777777" w:rsidR="009B71F2" w:rsidRPr="000E1C77" w:rsidRDefault="009B71F2" w:rsidP="00552704">
            <w:pPr>
              <w:jc w:val="center"/>
              <w:rPr>
                <w:b/>
                <w:bCs/>
                <w:color w:val="000000" w:themeColor="text1"/>
                <w:sz w:val="22"/>
              </w:rPr>
            </w:pPr>
            <w:r w:rsidRPr="000E1C77">
              <w:rPr>
                <w:b/>
                <w:bCs/>
                <w:color w:val="000000" w:themeColor="text1"/>
                <w:lang w:val="en"/>
              </w:rPr>
              <w:t>Standard deviation</w:t>
            </w:r>
          </w:p>
        </w:tc>
      </w:tr>
      <w:tr w:rsidR="009B71F2" w:rsidRPr="000E1C77" w14:paraId="6D644F45" w14:textId="77777777" w:rsidTr="00552704">
        <w:trPr>
          <w:jc w:val="center"/>
        </w:trPr>
        <w:tc>
          <w:tcPr>
            <w:tcW w:w="1838" w:type="dxa"/>
            <w:tcBorders>
              <w:top w:val="single" w:sz="4" w:space="0" w:color="auto"/>
              <w:bottom w:val="single" w:sz="4" w:space="0" w:color="auto"/>
            </w:tcBorders>
            <w:vAlign w:val="center"/>
          </w:tcPr>
          <w:p w14:paraId="58F3E89C" w14:textId="77777777" w:rsidR="009B71F2" w:rsidRPr="000E1C77" w:rsidRDefault="009B71F2" w:rsidP="00552704">
            <w:pPr>
              <w:jc w:val="center"/>
              <w:rPr>
                <w:b/>
                <w:bCs/>
                <w:color w:val="000000" w:themeColor="text1"/>
              </w:rPr>
            </w:pPr>
          </w:p>
        </w:tc>
        <w:tc>
          <w:tcPr>
            <w:tcW w:w="1559" w:type="dxa"/>
            <w:tcBorders>
              <w:top w:val="single" w:sz="4" w:space="0" w:color="auto"/>
              <w:bottom w:val="single" w:sz="4" w:space="0" w:color="auto"/>
            </w:tcBorders>
            <w:vAlign w:val="center"/>
          </w:tcPr>
          <w:p w14:paraId="202F9971" w14:textId="77777777" w:rsidR="009B71F2" w:rsidRPr="000E1C77" w:rsidRDefault="009B71F2" w:rsidP="00552704">
            <w:pPr>
              <w:jc w:val="center"/>
              <w:rPr>
                <w:b/>
                <w:bCs/>
                <w:color w:val="000000" w:themeColor="text1"/>
              </w:rPr>
            </w:pPr>
          </w:p>
        </w:tc>
        <w:tc>
          <w:tcPr>
            <w:tcW w:w="1276" w:type="dxa"/>
            <w:tcBorders>
              <w:top w:val="single" w:sz="4" w:space="0" w:color="auto"/>
              <w:bottom w:val="single" w:sz="4" w:space="0" w:color="auto"/>
            </w:tcBorders>
            <w:vAlign w:val="center"/>
          </w:tcPr>
          <w:p w14:paraId="5D1E45B0" w14:textId="77777777" w:rsidR="009B71F2" w:rsidRPr="000E1C77" w:rsidRDefault="009B71F2" w:rsidP="00552704">
            <w:pPr>
              <w:jc w:val="center"/>
              <w:rPr>
                <w:b/>
                <w:bCs/>
                <w:color w:val="000000" w:themeColor="text1"/>
                <w:lang w:val="en"/>
              </w:rPr>
            </w:pPr>
          </w:p>
        </w:tc>
      </w:tr>
      <w:tr w:rsidR="009B71F2" w:rsidRPr="000E1C77" w14:paraId="3B5DE64E" w14:textId="77777777" w:rsidTr="00552704">
        <w:trPr>
          <w:jc w:val="center"/>
        </w:trPr>
        <w:tc>
          <w:tcPr>
            <w:tcW w:w="1838" w:type="dxa"/>
            <w:tcBorders>
              <w:top w:val="single" w:sz="4" w:space="0" w:color="auto"/>
              <w:bottom w:val="single" w:sz="4" w:space="0" w:color="auto"/>
            </w:tcBorders>
            <w:vAlign w:val="center"/>
          </w:tcPr>
          <w:p w14:paraId="3C41FE35" w14:textId="77777777" w:rsidR="009B71F2" w:rsidRPr="000E1C77" w:rsidRDefault="009B71F2" w:rsidP="00552704">
            <w:pPr>
              <w:jc w:val="center"/>
              <w:rPr>
                <w:b/>
                <w:bCs/>
                <w:color w:val="000000" w:themeColor="text1"/>
              </w:rPr>
            </w:pPr>
          </w:p>
        </w:tc>
        <w:tc>
          <w:tcPr>
            <w:tcW w:w="1559" w:type="dxa"/>
            <w:tcBorders>
              <w:top w:val="single" w:sz="4" w:space="0" w:color="auto"/>
              <w:bottom w:val="single" w:sz="4" w:space="0" w:color="auto"/>
            </w:tcBorders>
            <w:vAlign w:val="center"/>
          </w:tcPr>
          <w:p w14:paraId="4AC1FF8F" w14:textId="77777777" w:rsidR="009B71F2" w:rsidRPr="000E1C77" w:rsidRDefault="009B71F2" w:rsidP="00552704">
            <w:pPr>
              <w:jc w:val="center"/>
              <w:rPr>
                <w:b/>
                <w:bCs/>
                <w:color w:val="000000" w:themeColor="text1"/>
              </w:rPr>
            </w:pPr>
          </w:p>
        </w:tc>
        <w:tc>
          <w:tcPr>
            <w:tcW w:w="1276" w:type="dxa"/>
            <w:tcBorders>
              <w:top w:val="single" w:sz="4" w:space="0" w:color="auto"/>
              <w:bottom w:val="single" w:sz="4" w:space="0" w:color="auto"/>
            </w:tcBorders>
            <w:vAlign w:val="center"/>
          </w:tcPr>
          <w:p w14:paraId="0F75F5A8" w14:textId="77777777" w:rsidR="009B71F2" w:rsidRPr="000E1C77" w:rsidRDefault="009B71F2" w:rsidP="00552704">
            <w:pPr>
              <w:jc w:val="center"/>
              <w:rPr>
                <w:b/>
                <w:bCs/>
                <w:color w:val="000000" w:themeColor="text1"/>
                <w:lang w:val="en"/>
              </w:rPr>
            </w:pPr>
          </w:p>
        </w:tc>
      </w:tr>
      <w:tr w:rsidR="009B71F2" w:rsidRPr="000E1C77" w14:paraId="272A8F73" w14:textId="77777777" w:rsidTr="00552704">
        <w:trPr>
          <w:jc w:val="center"/>
        </w:trPr>
        <w:tc>
          <w:tcPr>
            <w:tcW w:w="1838" w:type="dxa"/>
            <w:tcBorders>
              <w:top w:val="single" w:sz="4" w:space="0" w:color="auto"/>
            </w:tcBorders>
          </w:tcPr>
          <w:p w14:paraId="1C5901A0" w14:textId="77777777" w:rsidR="009B71F2" w:rsidRPr="000E1C77" w:rsidRDefault="009B71F2" w:rsidP="00552704">
            <w:pPr>
              <w:jc w:val="center"/>
              <w:rPr>
                <w:i/>
                <w:iCs/>
                <w:color w:val="000000" w:themeColor="text1"/>
                <w:sz w:val="22"/>
              </w:rPr>
            </w:pPr>
            <w:r w:rsidRPr="000E1C77">
              <w:rPr>
                <w:i/>
                <w:iCs/>
                <w:color w:val="000000" w:themeColor="text1"/>
              </w:rPr>
              <w:t>Intercept</w:t>
            </w:r>
          </w:p>
        </w:tc>
        <w:tc>
          <w:tcPr>
            <w:tcW w:w="1559" w:type="dxa"/>
            <w:tcBorders>
              <w:top w:val="single" w:sz="4" w:space="0" w:color="auto"/>
            </w:tcBorders>
          </w:tcPr>
          <w:p w14:paraId="1DA00EF3" w14:textId="77777777" w:rsidR="009B71F2" w:rsidRPr="000E1C77" w:rsidRDefault="009B71F2" w:rsidP="00552704">
            <w:pPr>
              <w:jc w:val="center"/>
              <w:rPr>
                <w:color w:val="000000" w:themeColor="text1"/>
                <w:sz w:val="22"/>
              </w:rPr>
            </w:pPr>
            <w:r w:rsidRPr="000E1C77">
              <w:rPr>
                <w:color w:val="000000" w:themeColor="text1"/>
              </w:rPr>
              <w:t>0.55789</w:t>
            </w:r>
          </w:p>
        </w:tc>
        <w:tc>
          <w:tcPr>
            <w:tcW w:w="1276" w:type="dxa"/>
            <w:tcBorders>
              <w:top w:val="single" w:sz="4" w:space="0" w:color="auto"/>
            </w:tcBorders>
          </w:tcPr>
          <w:p w14:paraId="206A401E" w14:textId="77777777" w:rsidR="009B71F2" w:rsidRPr="000E1C77" w:rsidRDefault="009B71F2" w:rsidP="00552704">
            <w:pPr>
              <w:jc w:val="center"/>
              <w:rPr>
                <w:color w:val="000000" w:themeColor="text1"/>
                <w:sz w:val="22"/>
              </w:rPr>
            </w:pPr>
            <w:r w:rsidRPr="000E1C77">
              <w:rPr>
                <w:color w:val="000000" w:themeColor="text1"/>
              </w:rPr>
              <w:t>1.60198</w:t>
            </w:r>
          </w:p>
        </w:tc>
      </w:tr>
      <w:tr w:rsidR="009B71F2" w:rsidRPr="000E1C77" w14:paraId="35C6BA3E" w14:textId="77777777" w:rsidTr="00552704">
        <w:trPr>
          <w:jc w:val="center"/>
        </w:trPr>
        <w:tc>
          <w:tcPr>
            <w:tcW w:w="1838" w:type="dxa"/>
          </w:tcPr>
          <w:p w14:paraId="26CDEC5F" w14:textId="77777777" w:rsidR="009B71F2" w:rsidRPr="000E1C77" w:rsidRDefault="009B71F2" w:rsidP="00552704">
            <w:pPr>
              <w:rPr>
                <w:rFonts w:eastAsiaTheme="minorEastAsia"/>
                <w:color w:val="000000" w:themeColor="text1"/>
                <w:sz w:val="22"/>
              </w:rPr>
            </w:pPr>
            <w:r w:rsidRPr="000E1C77">
              <w:rPr>
                <w:rFonts w:eastAsiaTheme="minorEastAsia"/>
                <w:color w:val="000000" w:themeColor="text1"/>
              </w:rPr>
              <w:t>Work shift length</w:t>
            </w:r>
          </w:p>
        </w:tc>
        <w:tc>
          <w:tcPr>
            <w:tcW w:w="1559" w:type="dxa"/>
          </w:tcPr>
          <w:p w14:paraId="44F1B7D3" w14:textId="77777777" w:rsidR="009B71F2" w:rsidRPr="000E1C77" w:rsidRDefault="009B71F2" w:rsidP="00552704">
            <w:pPr>
              <w:jc w:val="center"/>
              <w:rPr>
                <w:color w:val="000000" w:themeColor="text1"/>
                <w:sz w:val="22"/>
              </w:rPr>
            </w:pPr>
            <w:r w:rsidRPr="000E1C77">
              <w:rPr>
                <w:color w:val="000000" w:themeColor="text1"/>
              </w:rPr>
              <w:t>0.01349</w:t>
            </w:r>
          </w:p>
        </w:tc>
        <w:tc>
          <w:tcPr>
            <w:tcW w:w="1276" w:type="dxa"/>
          </w:tcPr>
          <w:p w14:paraId="08260627" w14:textId="77777777" w:rsidR="009B71F2" w:rsidRPr="000E1C77" w:rsidRDefault="009B71F2" w:rsidP="00552704">
            <w:pPr>
              <w:jc w:val="center"/>
              <w:rPr>
                <w:color w:val="000000" w:themeColor="text1"/>
                <w:sz w:val="22"/>
              </w:rPr>
            </w:pPr>
            <w:r w:rsidRPr="000E1C77">
              <w:rPr>
                <w:color w:val="000000" w:themeColor="text1"/>
              </w:rPr>
              <w:t>0.03460</w:t>
            </w:r>
          </w:p>
        </w:tc>
      </w:tr>
      <w:tr w:rsidR="009B71F2" w:rsidRPr="000E1C77" w14:paraId="3069FC5C" w14:textId="77777777" w:rsidTr="00552704">
        <w:trPr>
          <w:jc w:val="center"/>
        </w:trPr>
        <w:tc>
          <w:tcPr>
            <w:tcW w:w="1838" w:type="dxa"/>
          </w:tcPr>
          <w:p w14:paraId="23E3BF95" w14:textId="77777777" w:rsidR="009B71F2" w:rsidRPr="000E1C77" w:rsidRDefault="009B71F2" w:rsidP="00552704">
            <w:pPr>
              <w:rPr>
                <w:color w:val="000000" w:themeColor="text1"/>
                <w:sz w:val="22"/>
              </w:rPr>
            </w:pPr>
            <w:r w:rsidRPr="000E1C77">
              <w:rPr>
                <w:rFonts w:eastAsiaTheme="minorEastAsia"/>
                <w:color w:val="000000" w:themeColor="text1"/>
              </w:rPr>
              <w:t>Facemask Use</w:t>
            </w:r>
          </w:p>
        </w:tc>
        <w:tc>
          <w:tcPr>
            <w:tcW w:w="1559" w:type="dxa"/>
          </w:tcPr>
          <w:p w14:paraId="73396F8C" w14:textId="77777777" w:rsidR="009B71F2" w:rsidRPr="000E1C77" w:rsidRDefault="009B71F2" w:rsidP="00552704">
            <w:pPr>
              <w:jc w:val="center"/>
              <w:rPr>
                <w:color w:val="000000" w:themeColor="text1"/>
                <w:sz w:val="22"/>
              </w:rPr>
            </w:pPr>
            <w:r w:rsidRPr="000E1C77">
              <w:rPr>
                <w:color w:val="000000" w:themeColor="text1"/>
              </w:rPr>
              <w:t>-38.79025</w:t>
            </w:r>
          </w:p>
        </w:tc>
        <w:tc>
          <w:tcPr>
            <w:tcW w:w="1276" w:type="dxa"/>
          </w:tcPr>
          <w:p w14:paraId="7D794571" w14:textId="77777777" w:rsidR="009B71F2" w:rsidRPr="000E1C77" w:rsidRDefault="009B71F2" w:rsidP="00552704">
            <w:pPr>
              <w:jc w:val="center"/>
              <w:rPr>
                <w:color w:val="000000" w:themeColor="text1"/>
                <w:sz w:val="22"/>
              </w:rPr>
            </w:pPr>
            <w:r w:rsidRPr="000E1C77">
              <w:rPr>
                <w:color w:val="000000" w:themeColor="text1"/>
              </w:rPr>
              <w:t>4938.61452</w:t>
            </w:r>
          </w:p>
        </w:tc>
      </w:tr>
      <w:tr w:rsidR="009B71F2" w:rsidRPr="000E1C77" w14:paraId="38393BC8" w14:textId="77777777" w:rsidTr="00552704">
        <w:trPr>
          <w:jc w:val="center"/>
        </w:trPr>
        <w:tc>
          <w:tcPr>
            <w:tcW w:w="1838" w:type="dxa"/>
          </w:tcPr>
          <w:p w14:paraId="6D031615" w14:textId="77777777" w:rsidR="009B71F2" w:rsidRPr="000E1C77" w:rsidRDefault="009B71F2" w:rsidP="00552704">
            <w:pPr>
              <w:rPr>
                <w:color w:val="000000" w:themeColor="text1"/>
                <w:sz w:val="22"/>
              </w:rPr>
            </w:pPr>
            <w:r w:rsidRPr="000E1C77">
              <w:rPr>
                <w:rFonts w:eastAsiaTheme="minorEastAsia"/>
                <w:color w:val="000000" w:themeColor="text1"/>
              </w:rPr>
              <w:t>Gloves Use</w:t>
            </w:r>
          </w:p>
        </w:tc>
        <w:tc>
          <w:tcPr>
            <w:tcW w:w="1559" w:type="dxa"/>
          </w:tcPr>
          <w:p w14:paraId="2A731A78" w14:textId="77777777" w:rsidR="009B71F2" w:rsidRPr="000E1C77" w:rsidRDefault="009B71F2" w:rsidP="00552704">
            <w:pPr>
              <w:jc w:val="center"/>
              <w:rPr>
                <w:color w:val="000000" w:themeColor="text1"/>
                <w:sz w:val="22"/>
              </w:rPr>
            </w:pPr>
            <w:r w:rsidRPr="000E1C77">
              <w:rPr>
                <w:color w:val="000000" w:themeColor="text1"/>
              </w:rPr>
              <w:t>18.66124</w:t>
            </w:r>
          </w:p>
        </w:tc>
        <w:tc>
          <w:tcPr>
            <w:tcW w:w="1276" w:type="dxa"/>
          </w:tcPr>
          <w:p w14:paraId="1CCB2438" w14:textId="77777777" w:rsidR="009B71F2" w:rsidRPr="000E1C77" w:rsidRDefault="009B71F2" w:rsidP="00552704">
            <w:pPr>
              <w:jc w:val="center"/>
              <w:rPr>
                <w:color w:val="000000" w:themeColor="text1"/>
                <w:sz w:val="22"/>
              </w:rPr>
            </w:pPr>
            <w:r w:rsidRPr="000E1C77">
              <w:rPr>
                <w:color w:val="000000" w:themeColor="text1"/>
              </w:rPr>
              <w:t>3364.57767</w:t>
            </w:r>
          </w:p>
        </w:tc>
      </w:tr>
      <w:bookmarkEnd w:id="2"/>
      <w:tr w:rsidR="009B71F2" w:rsidRPr="000E1C77" w14:paraId="1EB5C4BE" w14:textId="77777777" w:rsidTr="00552704">
        <w:trPr>
          <w:jc w:val="center"/>
        </w:trPr>
        <w:tc>
          <w:tcPr>
            <w:tcW w:w="1838" w:type="dxa"/>
          </w:tcPr>
          <w:p w14:paraId="06B72D6B" w14:textId="77777777" w:rsidR="009B71F2" w:rsidRPr="000E1C77" w:rsidRDefault="009B71F2" w:rsidP="00552704">
            <w:pPr>
              <w:rPr>
                <w:color w:val="000000" w:themeColor="text1"/>
                <w:sz w:val="22"/>
              </w:rPr>
            </w:pPr>
            <w:r w:rsidRPr="000E1C77">
              <w:rPr>
                <w:color w:val="000000" w:themeColor="text1"/>
              </w:rPr>
              <w:t>Eyes protection equipment use</w:t>
            </w:r>
          </w:p>
        </w:tc>
        <w:tc>
          <w:tcPr>
            <w:tcW w:w="1559" w:type="dxa"/>
          </w:tcPr>
          <w:p w14:paraId="3C561978" w14:textId="77777777" w:rsidR="009B71F2" w:rsidRPr="000E1C77" w:rsidRDefault="009B71F2" w:rsidP="00552704">
            <w:pPr>
              <w:jc w:val="center"/>
              <w:rPr>
                <w:color w:val="000000" w:themeColor="text1"/>
                <w:sz w:val="22"/>
              </w:rPr>
            </w:pPr>
            <w:r w:rsidRPr="000E1C77">
              <w:rPr>
                <w:color w:val="000000" w:themeColor="text1"/>
              </w:rPr>
              <w:t>1.89295</w:t>
            </w:r>
          </w:p>
        </w:tc>
        <w:tc>
          <w:tcPr>
            <w:tcW w:w="1276" w:type="dxa"/>
          </w:tcPr>
          <w:p w14:paraId="4E1BE1E4" w14:textId="77777777" w:rsidR="009B71F2" w:rsidRPr="000E1C77" w:rsidRDefault="009B71F2" w:rsidP="00552704">
            <w:pPr>
              <w:jc w:val="center"/>
              <w:rPr>
                <w:color w:val="000000" w:themeColor="text1"/>
                <w:sz w:val="22"/>
              </w:rPr>
            </w:pPr>
            <w:r w:rsidRPr="000E1C77">
              <w:rPr>
                <w:color w:val="000000" w:themeColor="text1"/>
              </w:rPr>
              <w:t>1.39308</w:t>
            </w:r>
          </w:p>
        </w:tc>
      </w:tr>
      <w:tr w:rsidR="009B71F2" w:rsidRPr="000E1C77" w14:paraId="7645B66E" w14:textId="77777777" w:rsidTr="00552704">
        <w:trPr>
          <w:jc w:val="center"/>
        </w:trPr>
        <w:tc>
          <w:tcPr>
            <w:tcW w:w="1838" w:type="dxa"/>
          </w:tcPr>
          <w:p w14:paraId="3E49697E" w14:textId="77777777" w:rsidR="009B71F2" w:rsidRPr="000E1C77" w:rsidRDefault="009B71F2" w:rsidP="00552704">
            <w:pPr>
              <w:rPr>
                <w:color w:val="000000" w:themeColor="text1"/>
                <w:sz w:val="22"/>
              </w:rPr>
            </w:pPr>
            <w:r w:rsidRPr="000E1C77">
              <w:rPr>
                <w:color w:val="000000" w:themeColor="text1"/>
              </w:rPr>
              <w:t>Overall use</w:t>
            </w:r>
          </w:p>
        </w:tc>
        <w:tc>
          <w:tcPr>
            <w:tcW w:w="1559" w:type="dxa"/>
          </w:tcPr>
          <w:p w14:paraId="2160D0A8" w14:textId="77777777" w:rsidR="009B71F2" w:rsidRPr="000E1C77" w:rsidRDefault="009B71F2" w:rsidP="00552704">
            <w:pPr>
              <w:jc w:val="center"/>
              <w:rPr>
                <w:color w:val="000000" w:themeColor="text1"/>
                <w:sz w:val="22"/>
              </w:rPr>
            </w:pPr>
            <w:r w:rsidRPr="000E1C77">
              <w:rPr>
                <w:color w:val="000000" w:themeColor="text1"/>
              </w:rPr>
              <w:t>-0.31159</w:t>
            </w:r>
          </w:p>
        </w:tc>
        <w:tc>
          <w:tcPr>
            <w:tcW w:w="1276" w:type="dxa"/>
          </w:tcPr>
          <w:p w14:paraId="1A317442" w14:textId="77777777" w:rsidR="009B71F2" w:rsidRPr="000E1C77" w:rsidRDefault="009B71F2" w:rsidP="00552704">
            <w:pPr>
              <w:jc w:val="center"/>
              <w:rPr>
                <w:color w:val="000000" w:themeColor="text1"/>
                <w:sz w:val="22"/>
              </w:rPr>
            </w:pPr>
            <w:r w:rsidRPr="000E1C77">
              <w:rPr>
                <w:color w:val="000000" w:themeColor="text1"/>
              </w:rPr>
              <w:t>1.12484</w:t>
            </w:r>
          </w:p>
        </w:tc>
      </w:tr>
      <w:tr w:rsidR="009B71F2" w:rsidRPr="000E1C77" w14:paraId="785EF083" w14:textId="77777777" w:rsidTr="00552704">
        <w:trPr>
          <w:jc w:val="center"/>
        </w:trPr>
        <w:tc>
          <w:tcPr>
            <w:tcW w:w="1838" w:type="dxa"/>
          </w:tcPr>
          <w:p w14:paraId="6B748B7A" w14:textId="77777777" w:rsidR="009B71F2" w:rsidRPr="000E1C77" w:rsidRDefault="009B71F2" w:rsidP="00552704">
            <w:pPr>
              <w:rPr>
                <w:color w:val="000000" w:themeColor="text1"/>
                <w:sz w:val="22"/>
              </w:rPr>
            </w:pPr>
            <w:r w:rsidRPr="000E1C77">
              <w:rPr>
                <w:color w:val="000000" w:themeColor="text1"/>
              </w:rPr>
              <w:t>Workwear change</w:t>
            </w:r>
          </w:p>
        </w:tc>
        <w:tc>
          <w:tcPr>
            <w:tcW w:w="1559" w:type="dxa"/>
          </w:tcPr>
          <w:p w14:paraId="7117A85A" w14:textId="77777777" w:rsidR="009B71F2" w:rsidRPr="000E1C77" w:rsidRDefault="009B71F2" w:rsidP="00552704">
            <w:pPr>
              <w:jc w:val="center"/>
              <w:rPr>
                <w:color w:val="000000" w:themeColor="text1"/>
                <w:sz w:val="22"/>
              </w:rPr>
            </w:pPr>
            <w:r w:rsidRPr="000E1C77">
              <w:rPr>
                <w:color w:val="000000" w:themeColor="text1"/>
              </w:rPr>
              <w:t>-38.45619</w:t>
            </w:r>
          </w:p>
        </w:tc>
        <w:tc>
          <w:tcPr>
            <w:tcW w:w="1276" w:type="dxa"/>
          </w:tcPr>
          <w:p w14:paraId="33A2673A" w14:textId="77777777" w:rsidR="009B71F2" w:rsidRPr="000E1C77" w:rsidRDefault="009B71F2" w:rsidP="00552704">
            <w:pPr>
              <w:jc w:val="center"/>
              <w:rPr>
                <w:color w:val="000000" w:themeColor="text1"/>
                <w:sz w:val="22"/>
              </w:rPr>
            </w:pPr>
            <w:r w:rsidRPr="000E1C77">
              <w:rPr>
                <w:color w:val="000000" w:themeColor="text1"/>
              </w:rPr>
              <w:t>5030.32290</w:t>
            </w:r>
          </w:p>
        </w:tc>
      </w:tr>
      <w:tr w:rsidR="009B71F2" w:rsidRPr="000E1C77" w14:paraId="47321E4C" w14:textId="77777777" w:rsidTr="00552704">
        <w:trPr>
          <w:jc w:val="center"/>
        </w:trPr>
        <w:tc>
          <w:tcPr>
            <w:tcW w:w="1838" w:type="dxa"/>
            <w:tcBorders>
              <w:bottom w:val="single" w:sz="4" w:space="0" w:color="auto"/>
            </w:tcBorders>
          </w:tcPr>
          <w:p w14:paraId="6D3DC6A0" w14:textId="77777777" w:rsidR="009B71F2" w:rsidRPr="000E1C77" w:rsidRDefault="009B71F2" w:rsidP="00552704">
            <w:pPr>
              <w:rPr>
                <w:color w:val="000000" w:themeColor="text1"/>
                <w:sz w:val="22"/>
              </w:rPr>
            </w:pPr>
            <w:r w:rsidRPr="000E1C77">
              <w:rPr>
                <w:color w:val="000000" w:themeColor="text1"/>
              </w:rPr>
              <w:t>Body cleaning</w:t>
            </w:r>
          </w:p>
        </w:tc>
        <w:tc>
          <w:tcPr>
            <w:tcW w:w="1559" w:type="dxa"/>
            <w:tcBorders>
              <w:bottom w:val="single" w:sz="4" w:space="0" w:color="auto"/>
            </w:tcBorders>
          </w:tcPr>
          <w:p w14:paraId="75F9DDAF" w14:textId="77777777" w:rsidR="009B71F2" w:rsidRPr="000E1C77" w:rsidRDefault="009B71F2" w:rsidP="00552704">
            <w:pPr>
              <w:jc w:val="center"/>
              <w:rPr>
                <w:color w:val="000000" w:themeColor="text1"/>
                <w:sz w:val="22"/>
              </w:rPr>
            </w:pPr>
            <w:r w:rsidRPr="000E1C77">
              <w:rPr>
                <w:color w:val="000000" w:themeColor="text1"/>
              </w:rPr>
              <w:t>57.32562</w:t>
            </w:r>
          </w:p>
        </w:tc>
        <w:tc>
          <w:tcPr>
            <w:tcW w:w="1276" w:type="dxa"/>
            <w:tcBorders>
              <w:bottom w:val="single" w:sz="4" w:space="0" w:color="auto"/>
            </w:tcBorders>
          </w:tcPr>
          <w:p w14:paraId="0DBA82A1" w14:textId="77777777" w:rsidR="009B71F2" w:rsidRPr="000E1C77" w:rsidRDefault="009B71F2" w:rsidP="00552704">
            <w:pPr>
              <w:jc w:val="center"/>
              <w:rPr>
                <w:color w:val="000000" w:themeColor="text1"/>
                <w:sz w:val="22"/>
              </w:rPr>
            </w:pPr>
            <w:r w:rsidRPr="000E1C77">
              <w:rPr>
                <w:color w:val="000000" w:themeColor="text1"/>
              </w:rPr>
              <w:t>6194.64928</w:t>
            </w:r>
          </w:p>
        </w:tc>
      </w:tr>
    </w:tbl>
    <w:p w14:paraId="6419598A" w14:textId="77777777" w:rsidR="00593A38" w:rsidRDefault="00593A38" w:rsidP="00593A38">
      <w:pPr>
        <w:spacing w:line="240" w:lineRule="auto"/>
        <w:ind w:left="2832" w:firstLine="8"/>
        <w:rPr>
          <w:rFonts w:eastAsia="Times New Roman"/>
          <w:snapToGrid w:val="0"/>
          <w:lang w:eastAsia="de-DE" w:bidi="en-US"/>
        </w:rPr>
      </w:pPr>
    </w:p>
    <w:p w14:paraId="52BCF369" w14:textId="5ED9C9A3" w:rsidR="00B77E7E" w:rsidRDefault="00B77E7E" w:rsidP="00593A38">
      <w:pPr>
        <w:spacing w:line="240" w:lineRule="auto"/>
        <w:ind w:left="2832" w:firstLine="708"/>
        <w:rPr>
          <w:rFonts w:eastAsia="Times New Roman"/>
          <w:i/>
          <w:iCs/>
          <w:snapToGrid w:val="0"/>
          <w:lang w:eastAsia="de-DE" w:bidi="en-US"/>
        </w:rPr>
      </w:pPr>
      <w:r w:rsidRPr="00B77E7E">
        <w:rPr>
          <w:rFonts w:eastAsia="Times New Roman"/>
          <w:snapToGrid w:val="0"/>
          <w:lang w:eastAsia="de-DE" w:bidi="en-US"/>
        </w:rPr>
        <w:t>The revised confusion matrix indicated an overall accuracy of 82.3% in predicting intoxication events and 70.8% accuracy in correctly identifying non-intoxicated cases. The model’s statistical significance was reinforced, with a p-value of 0.00994 and an R² value of 0.756, confirming the robustness and explanatory power of the logistic regression model (Table 6).</w:t>
      </w:r>
    </w:p>
    <w:p w14:paraId="6B277CCA" w14:textId="33189FF3" w:rsidR="009B71F2" w:rsidRPr="000E1C77" w:rsidRDefault="009B71F2" w:rsidP="009B71F2">
      <w:pPr>
        <w:pStyle w:val="Descripcin"/>
        <w:keepNext/>
        <w:spacing w:after="0"/>
        <w:ind w:left="2040" w:firstLine="510"/>
        <w:rPr>
          <w:rFonts w:ascii="Palatino Linotype" w:hAnsi="Palatino Linotype"/>
          <w:i w:val="0"/>
          <w:iCs w:val="0"/>
          <w:color w:val="000000" w:themeColor="text1"/>
          <w:lang w:val="en-US"/>
        </w:rPr>
      </w:pPr>
      <w:r w:rsidRPr="000E1C77">
        <w:rPr>
          <w:rFonts w:ascii="Palatino Linotype" w:hAnsi="Palatino Linotype"/>
          <w:b/>
          <w:bCs/>
          <w:i w:val="0"/>
          <w:iCs w:val="0"/>
          <w:color w:val="000000" w:themeColor="text1"/>
          <w:lang w:val="en-US"/>
        </w:rPr>
        <w:lastRenderedPageBreak/>
        <w:t xml:space="preserve">Table 6. </w:t>
      </w:r>
      <w:r w:rsidRPr="000E1C77">
        <w:rPr>
          <w:rFonts w:ascii="Palatino Linotype" w:hAnsi="Palatino Linotype"/>
          <w:i w:val="0"/>
          <w:iCs w:val="0"/>
          <w:color w:val="000000" w:themeColor="text1"/>
          <w:lang w:val="en-US"/>
        </w:rPr>
        <w:t>Data structure (balanced data) versus logistic regression</w:t>
      </w:r>
    </w:p>
    <w:tbl>
      <w:tblPr>
        <w:tblStyle w:val="Tablaconcuadrcula"/>
        <w:tblW w:w="6952" w:type="dxa"/>
        <w:tblInd w:w="267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983"/>
        <w:gridCol w:w="3969"/>
      </w:tblGrid>
      <w:tr w:rsidR="009B71F2" w:rsidRPr="000E1C77" w14:paraId="1933CCE8" w14:textId="77777777" w:rsidTr="00552704">
        <w:trPr>
          <w:trHeight w:val="337"/>
        </w:trPr>
        <w:tc>
          <w:tcPr>
            <w:tcW w:w="2983" w:type="dxa"/>
            <w:tcBorders>
              <w:top w:val="single" w:sz="4" w:space="0" w:color="auto"/>
            </w:tcBorders>
          </w:tcPr>
          <w:p w14:paraId="64EB4046" w14:textId="77777777" w:rsidR="009B71F2" w:rsidRPr="000E1C77" w:rsidRDefault="009B71F2" w:rsidP="00552704">
            <w:pPr>
              <w:jc w:val="center"/>
              <w:rPr>
                <w:b/>
                <w:bCs/>
                <w:color w:val="000000" w:themeColor="text1"/>
              </w:rPr>
            </w:pPr>
            <w:r w:rsidRPr="000E1C77">
              <w:rPr>
                <w:b/>
                <w:bCs/>
                <w:color w:val="000000" w:themeColor="text1"/>
                <w:lang w:val="en"/>
              </w:rPr>
              <w:t>Balanced data against poisoning events</w:t>
            </w:r>
          </w:p>
        </w:tc>
        <w:tc>
          <w:tcPr>
            <w:tcW w:w="3969" w:type="dxa"/>
            <w:tcBorders>
              <w:top w:val="single" w:sz="4" w:space="0" w:color="auto"/>
            </w:tcBorders>
          </w:tcPr>
          <w:p w14:paraId="300DB70A" w14:textId="77777777" w:rsidR="009B71F2" w:rsidRPr="000E1C77" w:rsidRDefault="009B71F2" w:rsidP="00552704">
            <w:pPr>
              <w:jc w:val="center"/>
              <w:rPr>
                <w:b/>
                <w:bCs/>
                <w:color w:val="000000" w:themeColor="text1"/>
                <w:sz w:val="22"/>
              </w:rPr>
            </w:pPr>
            <w:r w:rsidRPr="000E1C77">
              <w:rPr>
                <w:b/>
                <w:bCs/>
                <w:color w:val="000000" w:themeColor="text1"/>
                <w:lang w:val="en"/>
              </w:rPr>
              <w:t>Confusion matrix (frequencies and percentage of prediction)</w:t>
            </w:r>
          </w:p>
        </w:tc>
      </w:tr>
      <w:tr w:rsidR="009B71F2" w:rsidRPr="000E1C77" w14:paraId="43676468" w14:textId="77777777" w:rsidTr="00552704">
        <w:trPr>
          <w:trHeight w:val="1421"/>
        </w:trPr>
        <w:tc>
          <w:tcPr>
            <w:tcW w:w="2983" w:type="dxa"/>
          </w:tcPr>
          <w:p w14:paraId="7348A4B0" w14:textId="77777777" w:rsidR="009B71F2" w:rsidRPr="000E1C77" w:rsidRDefault="009B71F2" w:rsidP="00552704">
            <w:pPr>
              <w:rPr>
                <w:color w:val="000000" w:themeColor="text1"/>
              </w:rPr>
            </w:pPr>
          </w:p>
          <w:p w14:paraId="44E2EDEC" w14:textId="77777777" w:rsidR="009B71F2" w:rsidRPr="000E1C77" w:rsidRDefault="009B71F2" w:rsidP="00552704">
            <w:pPr>
              <w:rPr>
                <w:color w:val="000000" w:themeColor="text1"/>
              </w:rPr>
            </w:pPr>
          </w:p>
          <w:tbl>
            <w:tblPr>
              <w:tblStyle w:val="Tablaconcuadrcula"/>
              <w:tblW w:w="0" w:type="auto"/>
              <w:jc w:val="center"/>
              <w:tblLook w:val="04A0" w:firstRow="1" w:lastRow="0" w:firstColumn="1" w:lastColumn="0" w:noHBand="0" w:noVBand="1"/>
            </w:tblPr>
            <w:tblGrid>
              <w:gridCol w:w="745"/>
              <w:gridCol w:w="708"/>
            </w:tblGrid>
            <w:tr w:rsidR="009B71F2" w:rsidRPr="000E1C77" w14:paraId="55461F79" w14:textId="77777777" w:rsidTr="00552704">
              <w:trPr>
                <w:jc w:val="center"/>
              </w:trPr>
              <w:tc>
                <w:tcPr>
                  <w:tcW w:w="745" w:type="dxa"/>
                  <w:vAlign w:val="center"/>
                </w:tcPr>
                <w:p w14:paraId="50CE457C" w14:textId="77777777" w:rsidR="009B71F2" w:rsidRPr="000E1C77" w:rsidRDefault="009B71F2" w:rsidP="00552704">
                  <w:pPr>
                    <w:jc w:val="center"/>
                    <w:rPr>
                      <w:color w:val="000000" w:themeColor="text1"/>
                      <w:sz w:val="22"/>
                    </w:rPr>
                  </w:pPr>
                  <w:r w:rsidRPr="000E1C77">
                    <w:rPr>
                      <w:color w:val="000000" w:themeColor="text1"/>
                    </w:rPr>
                    <w:t>0</w:t>
                  </w:r>
                </w:p>
              </w:tc>
              <w:tc>
                <w:tcPr>
                  <w:tcW w:w="708" w:type="dxa"/>
                  <w:vAlign w:val="center"/>
                </w:tcPr>
                <w:p w14:paraId="144C7C38" w14:textId="77777777" w:rsidR="009B71F2" w:rsidRPr="000E1C77" w:rsidRDefault="009B71F2" w:rsidP="00552704">
                  <w:pPr>
                    <w:jc w:val="center"/>
                    <w:rPr>
                      <w:color w:val="000000" w:themeColor="text1"/>
                      <w:sz w:val="22"/>
                    </w:rPr>
                  </w:pPr>
                  <w:r w:rsidRPr="000E1C77">
                    <w:rPr>
                      <w:color w:val="000000" w:themeColor="text1"/>
                    </w:rPr>
                    <w:t>1</w:t>
                  </w:r>
                </w:p>
              </w:tc>
            </w:tr>
            <w:tr w:rsidR="009B71F2" w:rsidRPr="000E1C77" w14:paraId="6B53D304" w14:textId="77777777" w:rsidTr="00552704">
              <w:trPr>
                <w:jc w:val="center"/>
              </w:trPr>
              <w:tc>
                <w:tcPr>
                  <w:tcW w:w="745" w:type="dxa"/>
                  <w:vAlign w:val="center"/>
                </w:tcPr>
                <w:p w14:paraId="7E324875" w14:textId="77777777" w:rsidR="009B71F2" w:rsidRPr="000E1C77" w:rsidRDefault="009B71F2" w:rsidP="00552704">
                  <w:pPr>
                    <w:jc w:val="center"/>
                    <w:rPr>
                      <w:color w:val="000000" w:themeColor="text1"/>
                      <w:sz w:val="22"/>
                    </w:rPr>
                  </w:pPr>
                  <w:r w:rsidRPr="000E1C77">
                    <w:rPr>
                      <w:color w:val="000000" w:themeColor="text1"/>
                    </w:rPr>
                    <w:t>20</w:t>
                  </w:r>
                </w:p>
              </w:tc>
              <w:tc>
                <w:tcPr>
                  <w:tcW w:w="708" w:type="dxa"/>
                  <w:vAlign w:val="center"/>
                </w:tcPr>
                <w:p w14:paraId="6A12B919" w14:textId="77777777" w:rsidR="009B71F2" w:rsidRPr="000E1C77" w:rsidRDefault="009B71F2" w:rsidP="00552704">
                  <w:pPr>
                    <w:jc w:val="center"/>
                    <w:rPr>
                      <w:color w:val="000000" w:themeColor="text1"/>
                      <w:sz w:val="22"/>
                    </w:rPr>
                  </w:pPr>
                  <w:r w:rsidRPr="000E1C77">
                    <w:rPr>
                      <w:color w:val="000000" w:themeColor="text1"/>
                    </w:rPr>
                    <w:t>21</w:t>
                  </w:r>
                </w:p>
              </w:tc>
            </w:tr>
          </w:tbl>
          <w:p w14:paraId="09D31F9E" w14:textId="77777777" w:rsidR="009B71F2" w:rsidRPr="000E1C77" w:rsidRDefault="009B71F2" w:rsidP="00552704">
            <w:pPr>
              <w:rPr>
                <w:color w:val="000000" w:themeColor="text1"/>
                <w:sz w:val="22"/>
              </w:rPr>
            </w:pPr>
          </w:p>
        </w:tc>
        <w:tc>
          <w:tcPr>
            <w:tcW w:w="3969" w:type="dxa"/>
          </w:tcPr>
          <w:tbl>
            <w:tblPr>
              <w:tblStyle w:val="Tablaconcuadrcula"/>
              <w:tblpPr w:leftFromText="141" w:rightFromText="141" w:vertAnchor="page" w:horzAnchor="margin" w:tblpXSpec="center" w:tblpY="73"/>
              <w:tblOverlap w:val="never"/>
              <w:tblW w:w="0" w:type="auto"/>
              <w:tblLook w:val="04A0" w:firstRow="1" w:lastRow="0" w:firstColumn="1" w:lastColumn="0" w:noHBand="0" w:noVBand="1"/>
            </w:tblPr>
            <w:tblGrid>
              <w:gridCol w:w="1586"/>
              <w:gridCol w:w="868"/>
              <w:gridCol w:w="931"/>
            </w:tblGrid>
            <w:tr w:rsidR="009B71F2" w:rsidRPr="000E1C77" w14:paraId="7B70EECB" w14:textId="77777777" w:rsidTr="00552704">
              <w:tc>
                <w:tcPr>
                  <w:tcW w:w="1586" w:type="dxa"/>
                  <w:tcBorders>
                    <w:tl2br w:val="single" w:sz="4" w:space="0" w:color="auto"/>
                  </w:tcBorders>
                  <w:vAlign w:val="center"/>
                </w:tcPr>
                <w:p w14:paraId="037097BD" w14:textId="77777777" w:rsidR="009B71F2" w:rsidRPr="000E1C77" w:rsidRDefault="009B71F2" w:rsidP="00552704">
                  <w:pPr>
                    <w:jc w:val="center"/>
                    <w:rPr>
                      <w:i/>
                      <w:iCs/>
                      <w:color w:val="000000" w:themeColor="text1"/>
                      <w:sz w:val="22"/>
                    </w:rPr>
                  </w:pPr>
                  <w:r w:rsidRPr="000E1C77">
                    <w:rPr>
                      <w:i/>
                      <w:iCs/>
                      <w:color w:val="000000" w:themeColor="text1"/>
                    </w:rPr>
                    <w:t xml:space="preserve">   Observation</w:t>
                  </w:r>
                </w:p>
                <w:p w14:paraId="1179EF00" w14:textId="77777777" w:rsidR="009B71F2" w:rsidRPr="000E1C77" w:rsidRDefault="009B71F2" w:rsidP="00552704">
                  <w:pPr>
                    <w:rPr>
                      <w:color w:val="000000" w:themeColor="text1"/>
                      <w:sz w:val="22"/>
                    </w:rPr>
                  </w:pPr>
                  <w:r w:rsidRPr="000E1C77">
                    <w:rPr>
                      <w:i/>
                      <w:iCs/>
                      <w:color w:val="000000" w:themeColor="text1"/>
                    </w:rPr>
                    <w:t>Prediction</w:t>
                  </w:r>
                </w:p>
              </w:tc>
              <w:tc>
                <w:tcPr>
                  <w:tcW w:w="857" w:type="dxa"/>
                  <w:vAlign w:val="center"/>
                </w:tcPr>
                <w:p w14:paraId="0DD29577" w14:textId="77777777" w:rsidR="009B71F2" w:rsidRPr="000E1C77" w:rsidRDefault="009B71F2" w:rsidP="00552704">
                  <w:pPr>
                    <w:jc w:val="center"/>
                    <w:rPr>
                      <w:color w:val="000000" w:themeColor="text1"/>
                      <w:sz w:val="22"/>
                    </w:rPr>
                  </w:pPr>
                  <w:r w:rsidRPr="000E1C77">
                    <w:rPr>
                      <w:color w:val="000000" w:themeColor="text1"/>
                    </w:rPr>
                    <w:t>0</w:t>
                  </w:r>
                </w:p>
              </w:tc>
              <w:tc>
                <w:tcPr>
                  <w:tcW w:w="931" w:type="dxa"/>
                  <w:vAlign w:val="center"/>
                </w:tcPr>
                <w:p w14:paraId="62BCAE20" w14:textId="77777777" w:rsidR="009B71F2" w:rsidRPr="000E1C77" w:rsidRDefault="009B71F2" w:rsidP="00552704">
                  <w:pPr>
                    <w:jc w:val="center"/>
                    <w:rPr>
                      <w:color w:val="000000" w:themeColor="text1"/>
                      <w:sz w:val="22"/>
                    </w:rPr>
                  </w:pPr>
                  <w:r w:rsidRPr="000E1C77">
                    <w:rPr>
                      <w:color w:val="000000" w:themeColor="text1"/>
                    </w:rPr>
                    <w:t>1</w:t>
                  </w:r>
                </w:p>
              </w:tc>
            </w:tr>
            <w:tr w:rsidR="009B71F2" w:rsidRPr="000E1C77" w14:paraId="503D690D" w14:textId="77777777" w:rsidTr="00552704">
              <w:tc>
                <w:tcPr>
                  <w:tcW w:w="1586" w:type="dxa"/>
                  <w:vAlign w:val="center"/>
                </w:tcPr>
                <w:p w14:paraId="3685D48A" w14:textId="77777777" w:rsidR="009B71F2" w:rsidRPr="000E1C77" w:rsidRDefault="009B71F2" w:rsidP="00552704">
                  <w:pPr>
                    <w:jc w:val="center"/>
                    <w:rPr>
                      <w:color w:val="000000" w:themeColor="text1"/>
                      <w:sz w:val="22"/>
                    </w:rPr>
                  </w:pPr>
                  <w:r w:rsidRPr="000E1C77">
                    <w:rPr>
                      <w:color w:val="000000" w:themeColor="text1"/>
                    </w:rPr>
                    <w:t>No</w:t>
                  </w:r>
                </w:p>
              </w:tc>
              <w:tc>
                <w:tcPr>
                  <w:tcW w:w="857" w:type="dxa"/>
                  <w:vAlign w:val="center"/>
                </w:tcPr>
                <w:p w14:paraId="47377019" w14:textId="77777777" w:rsidR="009B71F2" w:rsidRPr="000E1C77" w:rsidRDefault="009B71F2" w:rsidP="00552704">
                  <w:pPr>
                    <w:jc w:val="center"/>
                    <w:rPr>
                      <w:color w:val="000000" w:themeColor="text1"/>
                      <w:sz w:val="22"/>
                    </w:rPr>
                  </w:pPr>
                  <w:r w:rsidRPr="000E1C77">
                    <w:rPr>
                      <w:color w:val="000000" w:themeColor="text1"/>
                    </w:rPr>
                    <w:t>17 (70,8%)</w:t>
                  </w:r>
                </w:p>
              </w:tc>
              <w:tc>
                <w:tcPr>
                  <w:tcW w:w="931" w:type="dxa"/>
                  <w:vAlign w:val="center"/>
                </w:tcPr>
                <w:p w14:paraId="34D4513D" w14:textId="77777777" w:rsidR="009B71F2" w:rsidRPr="000E1C77" w:rsidRDefault="009B71F2" w:rsidP="00552704">
                  <w:pPr>
                    <w:jc w:val="center"/>
                    <w:rPr>
                      <w:color w:val="000000" w:themeColor="text1"/>
                      <w:sz w:val="22"/>
                    </w:rPr>
                  </w:pPr>
                  <w:r w:rsidRPr="000E1C77">
                    <w:rPr>
                      <w:color w:val="000000" w:themeColor="text1"/>
                    </w:rPr>
                    <w:t>7 (29,2%)</w:t>
                  </w:r>
                </w:p>
              </w:tc>
            </w:tr>
            <w:tr w:rsidR="009B71F2" w:rsidRPr="000E1C77" w14:paraId="20693870" w14:textId="77777777" w:rsidTr="00552704">
              <w:tc>
                <w:tcPr>
                  <w:tcW w:w="1586" w:type="dxa"/>
                  <w:vAlign w:val="center"/>
                </w:tcPr>
                <w:p w14:paraId="5EF3F408" w14:textId="77777777" w:rsidR="009B71F2" w:rsidRPr="000E1C77" w:rsidRDefault="009B71F2" w:rsidP="00552704">
                  <w:pPr>
                    <w:jc w:val="center"/>
                    <w:rPr>
                      <w:color w:val="000000" w:themeColor="text1"/>
                      <w:sz w:val="22"/>
                    </w:rPr>
                  </w:pPr>
                  <w:r w:rsidRPr="000E1C77">
                    <w:rPr>
                      <w:color w:val="000000" w:themeColor="text1"/>
                    </w:rPr>
                    <w:t>Yes</w:t>
                  </w:r>
                </w:p>
              </w:tc>
              <w:tc>
                <w:tcPr>
                  <w:tcW w:w="857" w:type="dxa"/>
                  <w:vAlign w:val="center"/>
                </w:tcPr>
                <w:p w14:paraId="4FE5CEB7" w14:textId="77777777" w:rsidR="009B71F2" w:rsidRPr="000E1C77" w:rsidRDefault="009B71F2" w:rsidP="00552704">
                  <w:pPr>
                    <w:jc w:val="center"/>
                    <w:rPr>
                      <w:color w:val="000000" w:themeColor="text1"/>
                      <w:sz w:val="22"/>
                    </w:rPr>
                  </w:pPr>
                  <w:r w:rsidRPr="000E1C77">
                    <w:rPr>
                      <w:color w:val="000000" w:themeColor="text1"/>
                    </w:rPr>
                    <w:t>3 (17,7%)</w:t>
                  </w:r>
                </w:p>
              </w:tc>
              <w:tc>
                <w:tcPr>
                  <w:tcW w:w="931" w:type="dxa"/>
                  <w:vAlign w:val="center"/>
                </w:tcPr>
                <w:p w14:paraId="3E382D54" w14:textId="77777777" w:rsidR="009B71F2" w:rsidRPr="000E1C77" w:rsidRDefault="009B71F2" w:rsidP="00552704">
                  <w:pPr>
                    <w:jc w:val="center"/>
                    <w:rPr>
                      <w:color w:val="000000" w:themeColor="text1"/>
                      <w:sz w:val="22"/>
                    </w:rPr>
                  </w:pPr>
                  <w:r w:rsidRPr="000E1C77">
                    <w:rPr>
                      <w:color w:val="000000" w:themeColor="text1"/>
                    </w:rPr>
                    <w:t>14</w:t>
                  </w:r>
                </w:p>
                <w:p w14:paraId="0C2FCA1B" w14:textId="77777777" w:rsidR="009B71F2" w:rsidRPr="000E1C77" w:rsidRDefault="009B71F2" w:rsidP="00552704">
                  <w:pPr>
                    <w:jc w:val="center"/>
                    <w:rPr>
                      <w:color w:val="000000" w:themeColor="text1"/>
                      <w:sz w:val="22"/>
                    </w:rPr>
                  </w:pPr>
                  <w:r w:rsidRPr="000E1C77">
                    <w:rPr>
                      <w:color w:val="000000" w:themeColor="text1"/>
                    </w:rPr>
                    <w:t>(82,3%)</w:t>
                  </w:r>
                </w:p>
              </w:tc>
            </w:tr>
          </w:tbl>
          <w:p w14:paraId="7FA6F73A" w14:textId="77777777" w:rsidR="009B71F2" w:rsidRPr="000E1C77" w:rsidRDefault="009B71F2" w:rsidP="00552704">
            <w:pPr>
              <w:rPr>
                <w:sz w:val="2"/>
                <w:szCs w:val="2"/>
              </w:rPr>
            </w:pPr>
          </w:p>
        </w:tc>
      </w:tr>
    </w:tbl>
    <w:p w14:paraId="7083B8AE" w14:textId="77777777" w:rsidR="009B71F2" w:rsidRPr="000E1C77" w:rsidRDefault="009B71F2" w:rsidP="009B71F2">
      <w:pPr>
        <w:jc w:val="center"/>
        <w:rPr>
          <w:color w:val="000000" w:themeColor="text1"/>
          <w:sz w:val="17"/>
          <w:szCs w:val="17"/>
        </w:rPr>
      </w:pPr>
      <w:r w:rsidRPr="000E1C77">
        <w:rPr>
          <w:color w:val="000000" w:themeColor="text1"/>
          <w:sz w:val="17"/>
          <w:szCs w:val="17"/>
        </w:rPr>
        <w:t xml:space="preserve">                     p-value: 0.00994084601594923; r</w:t>
      </w:r>
      <w:r w:rsidRPr="000E1C77">
        <w:rPr>
          <w:color w:val="000000" w:themeColor="text1"/>
          <w:sz w:val="17"/>
          <w:szCs w:val="17"/>
          <w:vertAlign w:val="superscript"/>
        </w:rPr>
        <w:t>2</w:t>
      </w:r>
      <w:r w:rsidRPr="000E1C77">
        <w:rPr>
          <w:color w:val="000000" w:themeColor="text1"/>
          <w:sz w:val="17"/>
          <w:szCs w:val="17"/>
        </w:rPr>
        <w:t>: 0.7560976</w:t>
      </w:r>
    </w:p>
    <w:p w14:paraId="0850CF52" w14:textId="77777777" w:rsidR="009B71F2" w:rsidRPr="000E1C77" w:rsidRDefault="009B71F2" w:rsidP="009B71F2">
      <w:pPr>
        <w:pStyle w:val="MDPI31text"/>
        <w:rPr>
          <w:sz w:val="18"/>
          <w:szCs w:val="18"/>
        </w:rPr>
      </w:pPr>
    </w:p>
    <w:p w14:paraId="1F2E23AE" w14:textId="77777777" w:rsidR="009B71F2" w:rsidRPr="000E1C77" w:rsidRDefault="009B71F2" w:rsidP="009B71F2">
      <w:pPr>
        <w:rPr>
          <w:lang w:val="en-GB"/>
        </w:rPr>
      </w:pPr>
    </w:p>
    <w:p w14:paraId="481B881A" w14:textId="77777777" w:rsidR="009B71F2" w:rsidRPr="000E1C77" w:rsidRDefault="009B71F2" w:rsidP="009B71F2">
      <w:pPr>
        <w:jc w:val="center"/>
        <w:rPr>
          <w:lang w:val="en-GB"/>
        </w:rPr>
      </w:pPr>
      <w:r w:rsidRPr="000E1C77">
        <w:rPr>
          <w:noProof/>
        </w:rPr>
        <w:drawing>
          <wp:anchor distT="0" distB="0" distL="114300" distR="114300" simplePos="0" relativeHeight="251661312" behindDoc="1" locked="0" layoutInCell="1" allowOverlap="1" wp14:anchorId="283BFDBF" wp14:editId="208262C1">
            <wp:simplePos x="0" y="0"/>
            <wp:positionH relativeFrom="column">
              <wp:posOffset>762000</wp:posOffset>
            </wp:positionH>
            <wp:positionV relativeFrom="paragraph">
              <wp:posOffset>29210</wp:posOffset>
            </wp:positionV>
            <wp:extent cx="2705100" cy="1637030"/>
            <wp:effectExtent l="0" t="0" r="0" b="1270"/>
            <wp:wrapTight wrapText="bothSides">
              <wp:wrapPolygon edited="0">
                <wp:start x="0" y="0"/>
                <wp:lineTo x="0" y="21365"/>
                <wp:lineTo x="21448" y="21365"/>
                <wp:lineTo x="21448" y="0"/>
                <wp:lineTo x="0" y="0"/>
              </wp:wrapPolygon>
            </wp:wrapTight>
            <wp:docPr id="14" name="Gráfico 14">
              <a:extLst xmlns:a="http://schemas.openxmlformats.org/drawingml/2006/main">
                <a:ext uri="{FF2B5EF4-FFF2-40B4-BE49-F238E27FC236}">
                  <a16:creationId xmlns:a16="http://schemas.microsoft.com/office/drawing/2014/main" id="{769552C6-9595-4E22-9032-1B18F41B80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0E1C77">
        <w:rPr>
          <w:noProof/>
        </w:rPr>
        <w:drawing>
          <wp:anchor distT="0" distB="0" distL="114300" distR="114300" simplePos="0" relativeHeight="251662336" behindDoc="1" locked="0" layoutInCell="1" allowOverlap="1" wp14:anchorId="45133BD6" wp14:editId="0DEB63A7">
            <wp:simplePos x="0" y="0"/>
            <wp:positionH relativeFrom="column">
              <wp:posOffset>3390900</wp:posOffset>
            </wp:positionH>
            <wp:positionV relativeFrom="paragraph">
              <wp:posOffset>38735</wp:posOffset>
            </wp:positionV>
            <wp:extent cx="2724150" cy="1627505"/>
            <wp:effectExtent l="0" t="0" r="0" b="0"/>
            <wp:wrapTight wrapText="bothSides">
              <wp:wrapPolygon edited="0">
                <wp:start x="0" y="0"/>
                <wp:lineTo x="0" y="21238"/>
                <wp:lineTo x="21449" y="21238"/>
                <wp:lineTo x="21449" y="0"/>
                <wp:lineTo x="0" y="0"/>
              </wp:wrapPolygon>
            </wp:wrapTight>
            <wp:docPr id="13" name="Gráfico 13">
              <a:extLst xmlns:a="http://schemas.openxmlformats.org/drawingml/2006/main">
                <a:ext uri="{FF2B5EF4-FFF2-40B4-BE49-F238E27FC236}">
                  <a16:creationId xmlns:a16="http://schemas.microsoft.com/office/drawing/2014/main" id="{CC2077BE-232F-4723-A9F0-92E83A367B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634128A2" w14:textId="77777777" w:rsidR="009B71F2" w:rsidRPr="000E1C77" w:rsidRDefault="009B71F2" w:rsidP="009B71F2">
      <w:pPr>
        <w:jc w:val="center"/>
        <w:rPr>
          <w:lang w:val="en-GB"/>
        </w:rPr>
      </w:pPr>
    </w:p>
    <w:p w14:paraId="55C0AADD" w14:textId="77777777" w:rsidR="009B71F2" w:rsidRPr="000E1C77" w:rsidRDefault="009B71F2" w:rsidP="009B71F2">
      <w:pPr>
        <w:jc w:val="center"/>
        <w:rPr>
          <w:lang w:val="en-GB"/>
        </w:rPr>
      </w:pPr>
    </w:p>
    <w:p w14:paraId="5B67BC39" w14:textId="77777777" w:rsidR="009B71F2" w:rsidRPr="000E1C77" w:rsidRDefault="009B71F2" w:rsidP="009B71F2">
      <w:pPr>
        <w:rPr>
          <w:color w:val="000000" w:themeColor="text1"/>
        </w:rPr>
      </w:pPr>
    </w:p>
    <w:p w14:paraId="35ACABAD" w14:textId="77777777" w:rsidR="009B71F2" w:rsidRPr="000E1C77" w:rsidRDefault="009B71F2" w:rsidP="009B71F2">
      <w:pPr>
        <w:rPr>
          <w:color w:val="000000" w:themeColor="text1"/>
        </w:rPr>
      </w:pPr>
    </w:p>
    <w:p w14:paraId="3C42E4F0" w14:textId="77777777" w:rsidR="009B71F2" w:rsidRPr="000E1C77" w:rsidRDefault="009B71F2" w:rsidP="009B71F2">
      <w:pPr>
        <w:rPr>
          <w:color w:val="000000" w:themeColor="text1"/>
        </w:rPr>
      </w:pPr>
    </w:p>
    <w:p w14:paraId="6D55A3E6" w14:textId="77777777" w:rsidR="009B71F2" w:rsidRPr="000E1C77" w:rsidRDefault="009B71F2" w:rsidP="009B71F2">
      <w:pPr>
        <w:rPr>
          <w:color w:val="000000" w:themeColor="text1"/>
        </w:rPr>
      </w:pPr>
    </w:p>
    <w:p w14:paraId="097DB129" w14:textId="77777777" w:rsidR="009B71F2" w:rsidRPr="000E1C77" w:rsidRDefault="009B71F2" w:rsidP="009B71F2">
      <w:pPr>
        <w:rPr>
          <w:color w:val="000000" w:themeColor="text1"/>
        </w:rPr>
      </w:pPr>
    </w:p>
    <w:p w14:paraId="36021616" w14:textId="77777777" w:rsidR="009B71F2" w:rsidRPr="000E1C77" w:rsidRDefault="009B71F2" w:rsidP="009B71F2">
      <w:pPr>
        <w:pStyle w:val="Descripcin"/>
        <w:spacing w:after="0"/>
        <w:ind w:left="2550" w:firstLine="510"/>
        <w:rPr>
          <w:i w:val="0"/>
          <w:iCs w:val="0"/>
          <w:color w:val="000000" w:themeColor="text1"/>
        </w:rPr>
      </w:pPr>
      <w:r w:rsidRPr="000E1C77">
        <w:rPr>
          <w:b/>
          <w:bCs/>
          <w:i w:val="0"/>
          <w:iCs w:val="0"/>
          <w:color w:val="000000" w:themeColor="text1"/>
        </w:rPr>
        <w:t xml:space="preserve">Figure </w:t>
      </w:r>
      <w:r w:rsidRPr="000E1C77">
        <w:rPr>
          <w:b/>
          <w:bCs/>
          <w:i w:val="0"/>
          <w:iCs w:val="0"/>
          <w:color w:val="000000" w:themeColor="text1"/>
        </w:rPr>
        <w:fldChar w:fldCharType="begin"/>
      </w:r>
      <w:r w:rsidRPr="000E1C77">
        <w:rPr>
          <w:b/>
          <w:bCs/>
          <w:i w:val="0"/>
          <w:iCs w:val="0"/>
          <w:color w:val="000000" w:themeColor="text1"/>
        </w:rPr>
        <w:instrText xml:space="preserve"> SEQ Figure \* ARABIC </w:instrText>
      </w:r>
      <w:r w:rsidRPr="000E1C77">
        <w:rPr>
          <w:b/>
          <w:bCs/>
          <w:i w:val="0"/>
          <w:iCs w:val="0"/>
          <w:color w:val="000000" w:themeColor="text1"/>
        </w:rPr>
        <w:fldChar w:fldCharType="separate"/>
      </w:r>
      <w:r w:rsidRPr="000E1C77">
        <w:rPr>
          <w:b/>
          <w:bCs/>
          <w:i w:val="0"/>
          <w:iCs w:val="0"/>
          <w:noProof/>
          <w:color w:val="000000" w:themeColor="text1"/>
        </w:rPr>
        <w:t>3</w:t>
      </w:r>
      <w:r w:rsidRPr="000E1C77">
        <w:rPr>
          <w:b/>
          <w:bCs/>
          <w:i w:val="0"/>
          <w:iCs w:val="0"/>
          <w:color w:val="000000" w:themeColor="text1"/>
        </w:rPr>
        <w:fldChar w:fldCharType="end"/>
      </w:r>
      <w:r w:rsidRPr="000E1C77">
        <w:rPr>
          <w:b/>
          <w:bCs/>
          <w:color w:val="000000" w:themeColor="text1"/>
        </w:rPr>
        <w:t>.</w:t>
      </w:r>
      <w:r w:rsidRPr="000E1C77">
        <w:rPr>
          <w:color w:val="000000" w:themeColor="text1"/>
        </w:rPr>
        <w:t xml:space="preserve"> </w:t>
      </w:r>
      <w:r w:rsidRPr="000E1C77">
        <w:rPr>
          <w:i w:val="0"/>
          <w:iCs w:val="0"/>
          <w:color w:val="000000" w:themeColor="text1"/>
        </w:rPr>
        <w:t>Confusion matrix plot (balanced data)</w:t>
      </w:r>
    </w:p>
    <w:bookmarkEnd w:id="1"/>
    <w:p w14:paraId="09161992" w14:textId="77777777" w:rsidR="009B71F2" w:rsidRPr="000E1C77" w:rsidRDefault="009B71F2" w:rsidP="009B71F2">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r w:rsidRPr="000E1C77">
        <w:rPr>
          <w:color w:val="000000" w:themeColor="text1"/>
        </w:rPr>
        <w:tab/>
      </w:r>
    </w:p>
    <w:p w14:paraId="2FDFA5C5" w14:textId="77777777" w:rsidR="009B71F2" w:rsidRPr="000E1C77" w:rsidRDefault="009B71F2" w:rsidP="009B71F2">
      <w:pPr>
        <w:pStyle w:val="MDPI21heading1"/>
      </w:pPr>
      <w:r w:rsidRPr="000E1C77">
        <w:t>4. Discussion</w:t>
      </w:r>
    </w:p>
    <w:p w14:paraId="6943C5E9" w14:textId="77777777" w:rsidR="00F973C0" w:rsidRDefault="00F973C0" w:rsidP="00F973C0">
      <w:pPr>
        <w:pStyle w:val="MDPI31text"/>
      </w:pPr>
      <w:r>
        <w:t>This study highlights critical factors associated with pesticide exposure among Bogotá’s rural farming communities and identifies occupational risks faced by agricultural workers. One key finding is the association between education level and pesticide risk awareness. The high prevalence (63%) of incomplete elementary education aligns with previous studies by Miguel et al. [22] and Zambrano [23], which reported similar trends in other agricultural populations. Limited education reduces farmers’ ability to understand pesticide hazards, as evidenced by the 36% who did not read product labels before use. This is consistent with findings by Fernández Aravena in Ecuador, who observed a strong association between low education levels and failure to read pesticide labels (27%) [24,25].</w:t>
      </w:r>
    </w:p>
    <w:p w14:paraId="680C5AE0" w14:textId="77777777" w:rsidR="00F973C0" w:rsidRDefault="00F973C0" w:rsidP="00F973C0">
      <w:pPr>
        <w:pStyle w:val="MDPI31text"/>
      </w:pPr>
    </w:p>
    <w:p w14:paraId="3D073E68" w14:textId="2CE7D048" w:rsidR="00F973C0" w:rsidRDefault="00F973C0" w:rsidP="00F973C0">
      <w:pPr>
        <w:pStyle w:val="MDPI31text"/>
      </w:pPr>
      <w:r>
        <w:t xml:space="preserve">The study also identified four prevalent systemic health conditions among participants: neurological, respiratory, digestive, and dermatological disorders. Notably, 46% of respondents reported visual symptoms, and 38% reported respiratory issues, with 66% experiencing at least one adverse health effect. These findings align with prior research by Miguel et al., which documented multiple neurological and digestive symptoms in 81.3% of cases, and Alvarado [26], who reported a 96% incidence of acute neurological intoxication and a 44% prevalence of dermatological or digestive conditions among Mexican farmers exposed to organophosphates. Similarly, </w:t>
      </w:r>
      <w:proofErr w:type="spellStart"/>
      <w:r>
        <w:t>Barrón</w:t>
      </w:r>
      <w:proofErr w:type="spellEnd"/>
      <w:r>
        <w:t xml:space="preserve"> Cuenca found that 84% of Bolivian farmers had experienced acute intoxication symptoms, with 52% reporting multiple simultaneous symptoms [18].</w:t>
      </w:r>
      <w:r w:rsidR="00323F74">
        <w:t xml:space="preserve"> </w:t>
      </w:r>
    </w:p>
    <w:p w14:paraId="3750CF0F" w14:textId="77777777" w:rsidR="00323F74" w:rsidRDefault="00323F74" w:rsidP="00F973C0">
      <w:pPr>
        <w:pStyle w:val="MDPI31text"/>
      </w:pPr>
    </w:p>
    <w:p w14:paraId="3B5996E8" w14:textId="3CDF6D7E" w:rsidR="00323F74" w:rsidRDefault="00F973C0" w:rsidP="00323F74">
      <w:pPr>
        <w:pStyle w:val="MDPI31text"/>
      </w:pPr>
      <w:r>
        <w:t xml:space="preserve">The high incidence of ocular symptoms in this study differs from previous research on pesticide exposure, necessitating further investigation. Pesticides commonly used in Colombia, as identified by the Colombian Agricultural Institute [27], contain active </w:t>
      </w:r>
      <w:r>
        <w:lastRenderedPageBreak/>
        <w:t>ingredients such as azoxystrobin [28], glyphosate [29], mancozeb [30], difenoconazole [31], and imidacloprid [32], all classified as ocular irritants according to PubChem of the National Center for Biotechnology Information.</w:t>
      </w:r>
    </w:p>
    <w:p w14:paraId="73878F7F" w14:textId="77777777" w:rsidR="00F973C0" w:rsidRDefault="00F973C0" w:rsidP="00F973C0">
      <w:pPr>
        <w:pStyle w:val="MDPI31text"/>
      </w:pPr>
    </w:p>
    <w:p w14:paraId="3298FA11" w14:textId="77777777" w:rsidR="00F973C0" w:rsidRDefault="00F973C0" w:rsidP="00F973C0">
      <w:pPr>
        <w:pStyle w:val="MDPI31text"/>
      </w:pPr>
      <w:r>
        <w:t>Personal Protective Equipment and Occupational Safety</w:t>
      </w:r>
    </w:p>
    <w:p w14:paraId="31BE2C7A" w14:textId="77777777" w:rsidR="00F973C0" w:rsidRDefault="00F973C0" w:rsidP="00F973C0">
      <w:pPr>
        <w:pStyle w:val="MDPI31text"/>
      </w:pPr>
    </w:p>
    <w:p w14:paraId="5C29C8DA" w14:textId="11DAF283" w:rsidR="00F973C0" w:rsidRDefault="00EB576E" w:rsidP="00F973C0">
      <w:pPr>
        <w:pStyle w:val="MDPI31text"/>
      </w:pPr>
      <w:r w:rsidRPr="00EB576E">
        <w:t xml:space="preserve">The study confirmed the widespread use of personal protective equipment (PPE), particularly boots, gloves, and facemasks. These findings are consistent with previous research by Pastor et al. [25], who reported that 78% of farmers used at least one protective item, and Varona Uribe [33], who found that 91% of farmers utilized body protection. Existing literature underscores the importance of PPE as a key factor in mitigating pesticide exposure [34–37]. However, the effectiveness of protective measures depends on their suitability for the level of exposure, including duration, frequency of pesticide use, and the type of equipment used. </w:t>
      </w:r>
      <w:proofErr w:type="spellStart"/>
      <w:r w:rsidRPr="00EB576E">
        <w:t>Cohecha</w:t>
      </w:r>
      <w:proofErr w:type="spellEnd"/>
      <w:r w:rsidRPr="00EB576E">
        <w:t xml:space="preserve"> Cárdenas et al. [4] observed that although farmers frequently employ PPE, it is often inadequate for safe pesticide handling. Similarly, Varona Uribe [26] emphasized the limited protective capacity of surgical and cloth masks, highlighting the need for increased access to more effective respiratory protection.</w:t>
      </w:r>
      <w:r w:rsidR="00323F74">
        <w:t xml:space="preserve"> </w:t>
      </w:r>
    </w:p>
    <w:p w14:paraId="42C0A1CD" w14:textId="77777777" w:rsidR="00323F74" w:rsidRDefault="00323F74" w:rsidP="00F973C0">
      <w:pPr>
        <w:pStyle w:val="MDPI31text"/>
      </w:pPr>
    </w:p>
    <w:p w14:paraId="01AE8723" w14:textId="77777777" w:rsidR="00EB576E" w:rsidRDefault="00EB576E" w:rsidP="00F973C0">
      <w:pPr>
        <w:pStyle w:val="MDPI31text"/>
      </w:pPr>
    </w:p>
    <w:p w14:paraId="4A0B3474" w14:textId="77777777" w:rsidR="00F973C0" w:rsidRDefault="00F973C0" w:rsidP="00F973C0">
      <w:pPr>
        <w:pStyle w:val="MDPI31text"/>
      </w:pPr>
      <w:r>
        <w:t>Study Strengths and Limitations</w:t>
      </w:r>
    </w:p>
    <w:p w14:paraId="2AE81724" w14:textId="77777777" w:rsidR="00F973C0" w:rsidRDefault="00F973C0" w:rsidP="00F973C0">
      <w:pPr>
        <w:pStyle w:val="MDPI31text"/>
      </w:pPr>
    </w:p>
    <w:p w14:paraId="24CC811E" w14:textId="77777777" w:rsidR="00F973C0" w:rsidRDefault="00F973C0" w:rsidP="00F973C0">
      <w:pPr>
        <w:pStyle w:val="MDPI31text"/>
      </w:pPr>
      <w:r>
        <w:t>A major strength of this study is its collection of primary data on pesticide poisoning and systemic health effects, addressing a gap in localized exposure assessments. While national poisoning reports exist, detailed local-level causative factors are often missing. Additionally, the study achieved robust logistic regression correlations, enabling accurate intoxication predictions based on explanatory variables.</w:t>
      </w:r>
    </w:p>
    <w:p w14:paraId="548228D9" w14:textId="77777777" w:rsidR="00F973C0" w:rsidRDefault="00F973C0" w:rsidP="00F973C0">
      <w:pPr>
        <w:pStyle w:val="MDPI31text"/>
      </w:pPr>
    </w:p>
    <w:p w14:paraId="2065FB94" w14:textId="77777777" w:rsidR="00F973C0" w:rsidRDefault="00F973C0" w:rsidP="00F973C0">
      <w:pPr>
        <w:pStyle w:val="MDPI31text"/>
      </w:pPr>
      <w:r>
        <w:t>However, several limitations were noted. Limited prior research in the study area posed challenges in estimating the working population and geographic distribution of agricultural activities. The reluctance of participants to undergo toxicological testing, coupled with financial constraints, restricted biological exposure assessments.</w:t>
      </w:r>
    </w:p>
    <w:p w14:paraId="03712214" w14:textId="77777777" w:rsidR="00F973C0" w:rsidRDefault="00F973C0" w:rsidP="00F973C0">
      <w:pPr>
        <w:pStyle w:val="MDPI31text"/>
      </w:pPr>
    </w:p>
    <w:p w14:paraId="29B88A5C" w14:textId="6CC75EDF" w:rsidR="009B71F2" w:rsidRDefault="00F973C0" w:rsidP="00F973C0">
      <w:pPr>
        <w:pStyle w:val="MDPI31text"/>
      </w:pPr>
      <w:r>
        <w:t>Methodologically, the use of non-probabilistic sampling may have introduced selection bias, reducing the generalizability of findings. The voluntary nature of participation may have further skewed results, as individuals with health concerns may have been overrepresented. Furthermore, participants were required to provide informed consent, which may have led to sample limitations</w:t>
      </w:r>
      <w:r w:rsidR="00323F74">
        <w:t xml:space="preserve">. </w:t>
      </w:r>
    </w:p>
    <w:p w14:paraId="5A385902" w14:textId="77777777" w:rsidR="00323F74" w:rsidRDefault="00323F74" w:rsidP="00F973C0">
      <w:pPr>
        <w:pStyle w:val="MDPI31text"/>
      </w:pPr>
    </w:p>
    <w:p w14:paraId="0561B5A4" w14:textId="49A76231" w:rsidR="00323F74" w:rsidRDefault="00323F74" w:rsidP="00F973C0">
      <w:pPr>
        <w:pStyle w:val="MDPI31text"/>
      </w:pPr>
      <w:r w:rsidRPr="00323F74">
        <w:t>One of the main limitations of this study concerns the selection of independent variables included in the logistic regression model. While multiple factors may influence pesticide exposure—such as the type of pesticide used, application methods, equipment involved, and prior training—this research prioritized variables that were both observable and directly related to workers’ routine practices in the field. Specifically, the analysis focused on personal protective equipment (PPE) use and hygiene habits, which are considered immediate determinants of exposure and are more easily assessed in rural settings with limited access to technical data and formal education. However, the exclusion of other potentially relevant factors may have limited the explanatory power of the model and introduced some degree of bias. Future studies should consider incorporating a broader range of exposure determinants, including detailed information on pesticide types, frequency of use, application techniques, and training history, to enhance the robustness of risk assessments.</w:t>
      </w:r>
    </w:p>
    <w:p w14:paraId="752C4595" w14:textId="77777777" w:rsidR="00323F74" w:rsidRDefault="00323F74" w:rsidP="00F973C0">
      <w:pPr>
        <w:pStyle w:val="MDPI31text"/>
      </w:pPr>
    </w:p>
    <w:p w14:paraId="2ECB35E3" w14:textId="772584CF" w:rsidR="00323F74" w:rsidRPr="000E1C77" w:rsidRDefault="00323F74" w:rsidP="00F973C0">
      <w:pPr>
        <w:pStyle w:val="MDPI31text"/>
      </w:pPr>
      <w:r w:rsidRPr="00323F74">
        <w:lastRenderedPageBreak/>
        <w:t>Another important consideration is that health outcomes were self-reported by participants, which may introduce recall or subjective interpretation bias. Although open-ended questions were used to allow detailed descriptions of symptoms, and participants were asked whether they had received medical attention for reported conditions, no clinical assessments were performed to confirm diagnoses. This may help explain the high prevalence of certain symptoms, such as visual impairments, which were reported by 46% of participants. According to respondents, these issues primarily included eye irritation, redness, and blurred vision following pesticide application. While such data are valuable in highlighting workers' perceived health impacts, they must be interpreted with caution. Future research would benefit from incorporating clinical evaluations or validated diagnostic tools to objectively verify the presence and severity of pesticide-related health effects.</w:t>
      </w:r>
    </w:p>
    <w:p w14:paraId="27A0BBAC" w14:textId="77777777" w:rsidR="009B71F2" w:rsidRPr="000E1C77" w:rsidRDefault="009B71F2" w:rsidP="009B71F2">
      <w:pPr>
        <w:pStyle w:val="MDPI21heading1"/>
      </w:pPr>
      <w:r w:rsidRPr="000E1C77">
        <w:t>5. Conclusions</w:t>
      </w:r>
    </w:p>
    <w:p w14:paraId="7FEDEC0B" w14:textId="77777777" w:rsidR="00F973C0" w:rsidRDefault="00F973C0" w:rsidP="00F973C0">
      <w:pPr>
        <w:pStyle w:val="MDPI31text"/>
      </w:pPr>
      <w:r>
        <w:t>Pesticide exposure among farmers is influenced by external factors such as sociodemographic conditions, inadequate protective measures, and limited risk awareness, all of which significantly impact agricultural workers’ health. This study confirms that appropriate PPE use is essential in reducing intoxication risk (82.3% probability). However, PPE must be tailored to specific chemical hazards.</w:t>
      </w:r>
    </w:p>
    <w:p w14:paraId="65855E73" w14:textId="77777777" w:rsidR="00F973C0" w:rsidRDefault="00F973C0" w:rsidP="00F973C0">
      <w:pPr>
        <w:pStyle w:val="MDPI31text"/>
      </w:pPr>
    </w:p>
    <w:p w14:paraId="7D79F379" w14:textId="488556BD" w:rsidR="009B71F2" w:rsidRDefault="00F973C0" w:rsidP="00F973C0">
      <w:pPr>
        <w:pStyle w:val="MDPI31text"/>
      </w:pPr>
      <w:r>
        <w:t>Systemic health effects—including visual, respiratory, and dermatological conditions—are prevalent among agricultural workers. Two out of three farmers in Ciudad Bolívar reported experiencing adverse health effects following pesticide exposure. These findings highlight the need for continuous monitoring by local authorities and further research to develop targeted interventions aimed at enhancing occupational safety. Despite methodological limitations, this study provides critical insights into pesticide exposure risks, supporting evidence-based policy recommendations for occupational health interventions at local and national levels.</w:t>
      </w:r>
    </w:p>
    <w:p w14:paraId="51DA20AA" w14:textId="77777777" w:rsidR="00F973C0" w:rsidRDefault="00F973C0" w:rsidP="00F973C0">
      <w:pPr>
        <w:pStyle w:val="MDPI31text"/>
      </w:pPr>
    </w:p>
    <w:p w14:paraId="5285BFCF" w14:textId="77777777" w:rsidR="00F973C0" w:rsidRPr="000E1C77" w:rsidRDefault="00F973C0" w:rsidP="00F973C0">
      <w:pPr>
        <w:pStyle w:val="MDPI31text"/>
      </w:pPr>
    </w:p>
    <w:p w14:paraId="4A7E53F4" w14:textId="77777777" w:rsidR="009B71F2" w:rsidRPr="000E1C77" w:rsidRDefault="009B71F2" w:rsidP="009B71F2">
      <w:pPr>
        <w:pStyle w:val="MDPI31text"/>
      </w:pPr>
      <w:r w:rsidRPr="000E1C77">
        <w:rPr>
          <w:i/>
          <w:iCs/>
        </w:rPr>
        <w:t>This research has been funded by ‘</w:t>
      </w:r>
      <w:proofErr w:type="spellStart"/>
      <w:r w:rsidRPr="000E1C77">
        <w:rPr>
          <w:i/>
          <w:iCs/>
        </w:rPr>
        <w:t>Dirección</w:t>
      </w:r>
      <w:proofErr w:type="spellEnd"/>
      <w:r w:rsidRPr="000E1C77">
        <w:rPr>
          <w:i/>
          <w:iCs/>
        </w:rPr>
        <w:t xml:space="preserve"> General de </w:t>
      </w:r>
      <w:proofErr w:type="spellStart"/>
      <w:r w:rsidRPr="000E1C77">
        <w:rPr>
          <w:i/>
          <w:iCs/>
        </w:rPr>
        <w:t>Investigaciones</w:t>
      </w:r>
      <w:proofErr w:type="spellEnd"/>
      <w:r w:rsidRPr="000E1C77">
        <w:rPr>
          <w:i/>
          <w:iCs/>
        </w:rPr>
        <w:t>’ of Universidad Santiago de Cali under call No. 01-2025</w:t>
      </w:r>
    </w:p>
    <w:p w14:paraId="6B67A02A" w14:textId="77777777" w:rsidR="009B71F2" w:rsidRPr="000E1C77" w:rsidRDefault="009B71F2" w:rsidP="009B71F2">
      <w:pPr>
        <w:pStyle w:val="MDPI31text"/>
      </w:pPr>
    </w:p>
    <w:p w14:paraId="01785403" w14:textId="77777777" w:rsidR="009B71F2" w:rsidRPr="000E1C77" w:rsidRDefault="009B71F2" w:rsidP="009B71F2">
      <w:pPr>
        <w:pStyle w:val="MDPI62BackMatter"/>
        <w:spacing w:before="240"/>
      </w:pPr>
      <w:r w:rsidRPr="000E1C77">
        <w:rPr>
          <w:b/>
        </w:rPr>
        <w:t xml:space="preserve">Supplementary Materials: </w:t>
      </w:r>
      <w:r w:rsidRPr="000E1C77">
        <w:t>The following supporting information can be downloaded at: www.mdpi.com/xxx/s1, Figure S1: title; Table S1: title; Video S1: title.</w:t>
      </w:r>
    </w:p>
    <w:p w14:paraId="003BA806" w14:textId="77777777" w:rsidR="009B71F2" w:rsidRPr="000E1C77" w:rsidRDefault="009B71F2" w:rsidP="009B71F2">
      <w:pPr>
        <w:pStyle w:val="MDPI62BackMatter"/>
      </w:pPr>
      <w:r w:rsidRPr="000E1C77">
        <w:rPr>
          <w:b/>
        </w:rPr>
        <w:t>Author Contributions:</w:t>
      </w:r>
      <w:r w:rsidRPr="000E1C77">
        <w:t xml:space="preserve"> Conceptualization, D.M. and K.M; methodology, D.M.; software, DB.; validation, D.M., K.M. and DB.; formal analysis, D.M.; investigation, D.M.; resources, D.M.; data curation, D.M.; writing—original draft preparation, D.M.; K.M; D.B; J.V and A.B.C writing—review and editing, D.M.; K.M; D.B; J.V and A.B.C; funding acquisition, A.B.C. All authors have read and agreed to the published version of the manuscript.</w:t>
      </w:r>
    </w:p>
    <w:p w14:paraId="0BA992C0" w14:textId="77777777" w:rsidR="009B71F2" w:rsidRPr="000E1C77" w:rsidRDefault="009B71F2" w:rsidP="009B71F2">
      <w:pPr>
        <w:pStyle w:val="MDPI31text"/>
      </w:pPr>
      <w:r w:rsidRPr="000E1C77">
        <w:rPr>
          <w:b/>
        </w:rPr>
        <w:t>Funding:</w:t>
      </w:r>
      <w:r w:rsidRPr="000E1C77">
        <w:t xml:space="preserve"> This research was funded by </w:t>
      </w:r>
      <w:r w:rsidRPr="000E1C77">
        <w:rPr>
          <w:i/>
          <w:iCs/>
          <w:sz w:val="18"/>
          <w:szCs w:val="20"/>
          <w:lang w:eastAsia="en-US"/>
        </w:rPr>
        <w:t>‘</w:t>
      </w:r>
      <w:proofErr w:type="spellStart"/>
      <w:r w:rsidRPr="000E1C77">
        <w:rPr>
          <w:i/>
          <w:iCs/>
          <w:sz w:val="18"/>
          <w:szCs w:val="20"/>
          <w:lang w:eastAsia="en-US"/>
        </w:rPr>
        <w:t>Dirección</w:t>
      </w:r>
      <w:proofErr w:type="spellEnd"/>
      <w:r w:rsidRPr="000E1C77">
        <w:rPr>
          <w:i/>
          <w:iCs/>
          <w:sz w:val="18"/>
          <w:szCs w:val="20"/>
          <w:lang w:eastAsia="en-US"/>
        </w:rPr>
        <w:t xml:space="preserve"> General de </w:t>
      </w:r>
      <w:proofErr w:type="spellStart"/>
      <w:r w:rsidRPr="000E1C77">
        <w:rPr>
          <w:i/>
          <w:iCs/>
          <w:sz w:val="18"/>
          <w:szCs w:val="20"/>
          <w:lang w:eastAsia="en-US"/>
        </w:rPr>
        <w:t>Investigaciones</w:t>
      </w:r>
      <w:proofErr w:type="spellEnd"/>
      <w:r w:rsidRPr="000E1C77">
        <w:rPr>
          <w:i/>
          <w:iCs/>
          <w:sz w:val="18"/>
          <w:szCs w:val="20"/>
          <w:lang w:eastAsia="en-US"/>
        </w:rPr>
        <w:t>’ of Universidad Santiago de Cali under call No. 01-2025</w:t>
      </w:r>
      <w:r w:rsidRPr="000E1C77">
        <w:rPr>
          <w:i/>
          <w:iCs/>
        </w:rPr>
        <w:t xml:space="preserve"> </w:t>
      </w:r>
      <w:r w:rsidRPr="000E1C77">
        <w:t xml:space="preserve">and the APC was funded by </w:t>
      </w:r>
      <w:r w:rsidRPr="000E1C77">
        <w:rPr>
          <w:i/>
          <w:iCs/>
        </w:rPr>
        <w:t>‘</w:t>
      </w:r>
      <w:proofErr w:type="spellStart"/>
      <w:r w:rsidRPr="000E1C77">
        <w:rPr>
          <w:i/>
          <w:iCs/>
        </w:rPr>
        <w:t>Dirección</w:t>
      </w:r>
      <w:proofErr w:type="spellEnd"/>
      <w:r w:rsidRPr="000E1C77">
        <w:rPr>
          <w:i/>
          <w:iCs/>
        </w:rPr>
        <w:t xml:space="preserve"> General de </w:t>
      </w:r>
      <w:proofErr w:type="spellStart"/>
      <w:r w:rsidRPr="000E1C77">
        <w:rPr>
          <w:i/>
          <w:iCs/>
        </w:rPr>
        <w:t>Investigaciones</w:t>
      </w:r>
      <w:proofErr w:type="spellEnd"/>
      <w:r w:rsidRPr="000E1C77">
        <w:rPr>
          <w:i/>
          <w:iCs/>
        </w:rPr>
        <w:t>’ of Universidad Santiago de Cali under call No. 01-2025</w:t>
      </w:r>
      <w:r w:rsidRPr="000E1C77">
        <w:t xml:space="preserve">. </w:t>
      </w:r>
    </w:p>
    <w:p w14:paraId="036F80F1" w14:textId="77777777" w:rsidR="009B71F2" w:rsidRPr="000E1C77" w:rsidRDefault="009B71F2" w:rsidP="009B71F2">
      <w:pPr>
        <w:pStyle w:val="MDPI31text"/>
      </w:pPr>
    </w:p>
    <w:p w14:paraId="67B25991" w14:textId="77777777" w:rsidR="009B71F2" w:rsidRPr="000E1C77" w:rsidRDefault="009B71F2" w:rsidP="009B71F2">
      <w:pPr>
        <w:pStyle w:val="MDPI62BackMatter"/>
        <w:rPr>
          <w:b/>
        </w:rPr>
      </w:pPr>
      <w:bookmarkStart w:id="3" w:name="_Hlk89945590"/>
      <w:bookmarkStart w:id="4" w:name="_Hlk60054323"/>
      <w:r w:rsidRPr="000E1C77">
        <w:rPr>
          <w:b/>
        </w:rPr>
        <w:t xml:space="preserve">Institutional Review Board Statement: </w:t>
      </w:r>
      <w:r w:rsidRPr="000E1C77">
        <w:t xml:space="preserve">The study was conducted in accordance with the Declaration of </w:t>
      </w:r>
      <w:proofErr w:type="gramStart"/>
      <w:r w:rsidRPr="000E1C77">
        <w:t>Helsinki, and</w:t>
      </w:r>
      <w:proofErr w:type="gramEnd"/>
      <w:r w:rsidRPr="000E1C77">
        <w:t xml:space="preserve"> approved by the Institutional Review Board (or Ethics Committee) of Fundación </w:t>
      </w:r>
      <w:proofErr w:type="spellStart"/>
      <w:r w:rsidRPr="000E1C77">
        <w:t>Universitaria</w:t>
      </w:r>
      <w:proofErr w:type="spellEnd"/>
      <w:r w:rsidRPr="000E1C77">
        <w:t xml:space="preserve"> San Martin (protocol code 12SH and date of approval 20 November 2024).</w:t>
      </w:r>
    </w:p>
    <w:bookmarkEnd w:id="3"/>
    <w:p w14:paraId="4022FC79" w14:textId="77777777" w:rsidR="009B71F2" w:rsidRPr="000E1C77" w:rsidRDefault="009B71F2" w:rsidP="009B71F2">
      <w:pPr>
        <w:pStyle w:val="MDPI62BackMatter"/>
        <w:spacing w:after="0"/>
      </w:pPr>
      <w:r w:rsidRPr="000E1C77">
        <w:rPr>
          <w:b/>
        </w:rPr>
        <w:t xml:space="preserve">Informed Consent Statement: </w:t>
      </w:r>
      <w:r w:rsidRPr="000E1C77">
        <w:t>Informed consent was obtained from all subjects involved in the study. Written informed consent has been obtained from the patient(s) to publish this paper.</w:t>
      </w:r>
    </w:p>
    <w:bookmarkEnd w:id="4"/>
    <w:p w14:paraId="193C7DE9" w14:textId="77777777" w:rsidR="009B71F2" w:rsidRPr="000E1C77" w:rsidRDefault="009B71F2" w:rsidP="009B71F2">
      <w:pPr>
        <w:pStyle w:val="MDPI62BackMatter"/>
      </w:pPr>
      <w:r w:rsidRPr="000E1C77">
        <w:rPr>
          <w:b/>
        </w:rPr>
        <w:t>Data Availability Statement:</w:t>
      </w:r>
      <w:r w:rsidRPr="000E1C77">
        <w:t xml:space="preserve"> Data are available under request. </w:t>
      </w:r>
    </w:p>
    <w:p w14:paraId="40B6FFDA" w14:textId="77777777" w:rsidR="009B71F2" w:rsidRPr="000E1C77" w:rsidRDefault="009B71F2" w:rsidP="009B71F2">
      <w:pPr>
        <w:pStyle w:val="MDPI62BackMatter"/>
      </w:pPr>
      <w:r w:rsidRPr="000E1C77">
        <w:rPr>
          <w:b/>
        </w:rPr>
        <w:lastRenderedPageBreak/>
        <w:t>Acknowledgments:</w:t>
      </w:r>
      <w:r w:rsidRPr="000E1C77">
        <w:t xml:space="preserve"> This research was funded by </w:t>
      </w:r>
      <w:r w:rsidRPr="000E1C77">
        <w:rPr>
          <w:i/>
          <w:iCs/>
        </w:rPr>
        <w:t>‘</w:t>
      </w:r>
      <w:proofErr w:type="spellStart"/>
      <w:r w:rsidRPr="000E1C77">
        <w:rPr>
          <w:i/>
          <w:iCs/>
        </w:rPr>
        <w:t>Dirección</w:t>
      </w:r>
      <w:proofErr w:type="spellEnd"/>
      <w:r w:rsidRPr="000E1C77">
        <w:rPr>
          <w:i/>
          <w:iCs/>
        </w:rPr>
        <w:t xml:space="preserve"> General de </w:t>
      </w:r>
      <w:proofErr w:type="spellStart"/>
      <w:r w:rsidRPr="000E1C77">
        <w:rPr>
          <w:i/>
          <w:iCs/>
        </w:rPr>
        <w:t>Investigaciones</w:t>
      </w:r>
      <w:proofErr w:type="spellEnd"/>
      <w:r w:rsidRPr="000E1C77">
        <w:rPr>
          <w:i/>
          <w:iCs/>
        </w:rPr>
        <w:t xml:space="preserve">’ of Universidad Santiago de Cali under call No. 01-2025 </w:t>
      </w:r>
      <w:r w:rsidRPr="000E1C77">
        <w:t xml:space="preserve">and the APC was funded by </w:t>
      </w:r>
      <w:r w:rsidRPr="000E1C77">
        <w:rPr>
          <w:i/>
          <w:iCs/>
        </w:rPr>
        <w:t>‘</w:t>
      </w:r>
      <w:proofErr w:type="spellStart"/>
      <w:r w:rsidRPr="000E1C77">
        <w:rPr>
          <w:i/>
          <w:iCs/>
        </w:rPr>
        <w:t>Dirección</w:t>
      </w:r>
      <w:proofErr w:type="spellEnd"/>
      <w:r w:rsidRPr="000E1C77">
        <w:rPr>
          <w:i/>
          <w:iCs/>
        </w:rPr>
        <w:t xml:space="preserve"> General de </w:t>
      </w:r>
      <w:proofErr w:type="spellStart"/>
      <w:r w:rsidRPr="000E1C77">
        <w:rPr>
          <w:i/>
          <w:iCs/>
        </w:rPr>
        <w:t>Investigaciones</w:t>
      </w:r>
      <w:proofErr w:type="spellEnd"/>
      <w:r w:rsidRPr="000E1C77">
        <w:rPr>
          <w:i/>
          <w:iCs/>
        </w:rPr>
        <w:t>’ of Universidad Santiago de Cali under call No. 01-2025</w:t>
      </w:r>
      <w:r w:rsidRPr="000E1C77">
        <w:t xml:space="preserve">. </w:t>
      </w:r>
    </w:p>
    <w:p w14:paraId="47822E7A" w14:textId="77777777" w:rsidR="009B71F2" w:rsidRPr="000E1C77" w:rsidRDefault="009B71F2" w:rsidP="009B71F2">
      <w:pPr>
        <w:pStyle w:val="MDPI62BackMatter"/>
      </w:pPr>
      <w:r w:rsidRPr="000E1C77">
        <w:rPr>
          <w:b/>
        </w:rPr>
        <w:t>Conflicts of Interest:</w:t>
      </w:r>
      <w:r w:rsidRPr="000E1C77">
        <w:t xml:space="preserve"> The authors declare no conflicts of interest. The funders had no role in the design of the study; in the collection, analyses, or interpretation of data; in the writing of the manuscript; or in the decision to publish the results.</w:t>
      </w:r>
    </w:p>
    <w:p w14:paraId="683DE7D1" w14:textId="77777777" w:rsidR="009B71F2" w:rsidRPr="000E1C77" w:rsidRDefault="009B71F2" w:rsidP="009B71F2">
      <w:pPr>
        <w:pStyle w:val="MDPI21heading1"/>
        <w:ind w:left="0"/>
      </w:pPr>
      <w:r w:rsidRPr="000E1C77">
        <w:t>References</w:t>
      </w:r>
    </w:p>
    <w:p w14:paraId="29F3338A" w14:textId="77777777" w:rsidR="009B71F2" w:rsidRPr="000E1C77" w:rsidRDefault="009B71F2" w:rsidP="009B71F2">
      <w:pPr>
        <w:pStyle w:val="MDPI71References"/>
        <w:numPr>
          <w:ilvl w:val="0"/>
          <w:numId w:val="0"/>
        </w:numPr>
        <w:ind w:left="425"/>
      </w:pPr>
    </w:p>
    <w:p w14:paraId="720CFD36" w14:textId="77777777" w:rsidR="009B71F2" w:rsidRPr="000E1C77" w:rsidRDefault="009B71F2" w:rsidP="009B71F2">
      <w:pPr>
        <w:pStyle w:val="MDPI71References"/>
        <w:numPr>
          <w:ilvl w:val="0"/>
          <w:numId w:val="2"/>
        </w:numPr>
        <w:rPr>
          <w:lang w:val="es-CO"/>
        </w:rPr>
      </w:pPr>
      <w:r w:rsidRPr="000E1C77">
        <w:rPr>
          <w:lang w:val="es-CO"/>
        </w:rPr>
        <w:t>Departamento Administrativo Nacional de Estadísticas (DANE). Producto Interno Bruto -PIB-</w:t>
      </w:r>
    </w:p>
    <w:p w14:paraId="775AF6C7" w14:textId="77777777" w:rsidR="009B71F2" w:rsidRPr="000E1C77" w:rsidRDefault="009B71F2" w:rsidP="009B71F2">
      <w:pPr>
        <w:pStyle w:val="MDPI71References"/>
        <w:numPr>
          <w:ilvl w:val="0"/>
          <w:numId w:val="0"/>
        </w:numPr>
        <w:ind w:left="360"/>
        <w:rPr>
          <w:lang w:val="es-CO"/>
        </w:rPr>
      </w:pPr>
      <w:r w:rsidRPr="000E1C77">
        <w:rPr>
          <w:lang w:val="es-CO"/>
        </w:rPr>
        <w:t xml:space="preserve">nacional </w:t>
      </w:r>
      <w:proofErr w:type="spellStart"/>
      <w:r w:rsidRPr="000E1C77">
        <w:rPr>
          <w:lang w:val="es-CO"/>
        </w:rPr>
        <w:t>trismestral</w:t>
      </w:r>
      <w:proofErr w:type="spellEnd"/>
      <w:r w:rsidRPr="000E1C77">
        <w:rPr>
          <w:lang w:val="es-CO"/>
        </w:rPr>
        <w:t>. 2022 [citado 29 de agosto de 2022]. Cuentas Nacionales Trimestrales. Producto</w:t>
      </w:r>
    </w:p>
    <w:p w14:paraId="77BA1B5D" w14:textId="77777777" w:rsidR="009B71F2" w:rsidRPr="000E1C77" w:rsidRDefault="009B71F2" w:rsidP="009B71F2">
      <w:pPr>
        <w:pStyle w:val="MDPI71References"/>
        <w:numPr>
          <w:ilvl w:val="0"/>
          <w:numId w:val="0"/>
        </w:numPr>
        <w:ind w:left="360"/>
        <w:rPr>
          <w:lang w:val="es-CO"/>
        </w:rPr>
      </w:pPr>
      <w:r w:rsidRPr="000E1C77">
        <w:rPr>
          <w:lang w:val="es-CO"/>
        </w:rPr>
        <w:t>Interno Bruto desde el enfoque de la producción a precios corrientes. Disponible en:</w:t>
      </w:r>
    </w:p>
    <w:p w14:paraId="39B8AE5B" w14:textId="77777777" w:rsidR="009B71F2" w:rsidRPr="000E1C77" w:rsidRDefault="009B71F2" w:rsidP="009B71F2">
      <w:pPr>
        <w:pStyle w:val="MDPI71References"/>
        <w:numPr>
          <w:ilvl w:val="0"/>
          <w:numId w:val="0"/>
        </w:numPr>
        <w:ind w:left="360"/>
        <w:rPr>
          <w:lang w:val="es-CO"/>
        </w:rPr>
      </w:pPr>
      <w:r w:rsidRPr="000E1C77">
        <w:rPr>
          <w:lang w:val="es-CO"/>
        </w:rPr>
        <w:t>https://www.dane.gov.co/index.php/estadisticas-por-tema/cuentas-nacionales/cuentas-nacionales-</w:t>
      </w:r>
    </w:p>
    <w:p w14:paraId="7D059E5D" w14:textId="77777777" w:rsidR="009B71F2" w:rsidRPr="000E1C77" w:rsidRDefault="009B71F2" w:rsidP="009B71F2">
      <w:pPr>
        <w:pStyle w:val="MDPI71References"/>
        <w:numPr>
          <w:ilvl w:val="0"/>
          <w:numId w:val="0"/>
        </w:numPr>
        <w:ind w:left="360"/>
        <w:rPr>
          <w:lang w:val="es-CO"/>
        </w:rPr>
      </w:pPr>
      <w:r w:rsidRPr="000E1C77">
        <w:rPr>
          <w:lang w:val="es-CO"/>
        </w:rPr>
        <w:t>trimestrales/</w:t>
      </w:r>
      <w:proofErr w:type="spellStart"/>
      <w:r w:rsidRPr="000E1C77">
        <w:rPr>
          <w:lang w:val="es-CO"/>
        </w:rPr>
        <w:t>pib-informacion-tecnica</w:t>
      </w:r>
      <w:proofErr w:type="spellEnd"/>
    </w:p>
    <w:p w14:paraId="5B9956A9" w14:textId="77777777" w:rsidR="009B71F2" w:rsidRPr="000E1C77" w:rsidRDefault="009B71F2" w:rsidP="009B71F2">
      <w:pPr>
        <w:pStyle w:val="MDPI71References"/>
        <w:numPr>
          <w:ilvl w:val="0"/>
          <w:numId w:val="2"/>
        </w:numPr>
        <w:rPr>
          <w:lang w:val="es-CO"/>
        </w:rPr>
      </w:pPr>
      <w:r w:rsidRPr="000E1C77">
        <w:rPr>
          <w:lang w:val="es-CO"/>
        </w:rPr>
        <w:t xml:space="preserve"> Banco Mundial. Empleos en agricultura [Internet]. 2022 [citado 29 de agosto de 2022]. Disponible</w:t>
      </w:r>
    </w:p>
    <w:p w14:paraId="249E7B6C" w14:textId="77777777" w:rsidR="009B71F2" w:rsidRPr="000E1C77" w:rsidRDefault="009B71F2" w:rsidP="009B71F2">
      <w:pPr>
        <w:pStyle w:val="MDPI71References"/>
        <w:numPr>
          <w:ilvl w:val="0"/>
          <w:numId w:val="0"/>
        </w:numPr>
        <w:ind w:left="360"/>
        <w:rPr>
          <w:lang w:val="es-CO"/>
        </w:rPr>
      </w:pPr>
      <w:r w:rsidRPr="000E1C77">
        <w:rPr>
          <w:lang w:val="es-CO"/>
        </w:rPr>
        <w:t>en: https://datos.bancomundial.org/indicador/SL.AGR.EMPL.ZS</w:t>
      </w:r>
    </w:p>
    <w:p w14:paraId="6EF19288" w14:textId="77777777" w:rsidR="009B71F2" w:rsidRPr="000E1C77" w:rsidRDefault="009B71F2" w:rsidP="009B71F2">
      <w:pPr>
        <w:pStyle w:val="MDPI71References"/>
        <w:numPr>
          <w:ilvl w:val="0"/>
          <w:numId w:val="2"/>
        </w:numPr>
        <w:rPr>
          <w:lang w:val="es-CO"/>
        </w:rPr>
      </w:pPr>
      <w:r w:rsidRPr="000E1C77">
        <w:rPr>
          <w:lang w:val="es-CO"/>
        </w:rPr>
        <w:t xml:space="preserve"> OIT. La agricultura: un trabajo peligroso [Internet]. 2015 [citado 20 de agosto de 2022]. Disponible</w:t>
      </w:r>
    </w:p>
    <w:p w14:paraId="448F635E" w14:textId="77777777" w:rsidR="009B71F2" w:rsidRPr="000E1C77" w:rsidRDefault="009B71F2" w:rsidP="009B71F2">
      <w:pPr>
        <w:pStyle w:val="MDPI71References"/>
        <w:numPr>
          <w:ilvl w:val="0"/>
          <w:numId w:val="0"/>
        </w:numPr>
        <w:ind w:left="360"/>
        <w:rPr>
          <w:lang w:val="es-CO"/>
        </w:rPr>
      </w:pPr>
      <w:r w:rsidRPr="000E1C77">
        <w:rPr>
          <w:lang w:val="es-CO"/>
        </w:rPr>
        <w:t>en: http://www.ilo.org/global/topics/safety-and-health-at-work/areasofwork/hazardous-</w:t>
      </w:r>
    </w:p>
    <w:p w14:paraId="4BE3DFA5" w14:textId="77777777" w:rsidR="009B71F2" w:rsidRPr="000E1C77" w:rsidRDefault="009B71F2" w:rsidP="009B71F2">
      <w:pPr>
        <w:pStyle w:val="MDPI71References"/>
        <w:numPr>
          <w:ilvl w:val="0"/>
          <w:numId w:val="0"/>
        </w:numPr>
        <w:ind w:left="360"/>
      </w:pPr>
      <w:r w:rsidRPr="000E1C77">
        <w:t>work/WCMS_356566/lang--es/index.htm</w:t>
      </w:r>
    </w:p>
    <w:p w14:paraId="00079643" w14:textId="77777777" w:rsidR="009B71F2" w:rsidRPr="000E1C77" w:rsidRDefault="009B71F2" w:rsidP="009B71F2">
      <w:pPr>
        <w:pStyle w:val="MDPI71References"/>
        <w:numPr>
          <w:ilvl w:val="0"/>
          <w:numId w:val="0"/>
        </w:numPr>
        <w:ind w:left="360"/>
        <w:rPr>
          <w:lang w:val="es-CO"/>
        </w:rPr>
      </w:pPr>
      <w:r w:rsidRPr="000E1C77">
        <w:rPr>
          <w:lang w:val="es-CO"/>
        </w:rPr>
        <w:t xml:space="preserve">4.  Cohecha Cárdenas AK, Niño Martínez SV, De Arco- </w:t>
      </w:r>
      <w:proofErr w:type="spellStart"/>
      <w:r w:rsidRPr="000E1C77">
        <w:rPr>
          <w:lang w:val="es-CO"/>
        </w:rPr>
        <w:t>Canoles</w:t>
      </w:r>
      <w:proofErr w:type="spellEnd"/>
      <w:r w:rsidRPr="000E1C77">
        <w:rPr>
          <w:lang w:val="es-CO"/>
        </w:rPr>
        <w:t xml:space="preserve"> O. Efectos en la salud de los</w:t>
      </w:r>
    </w:p>
    <w:p w14:paraId="3E1C293C" w14:textId="77777777" w:rsidR="009B71F2" w:rsidRPr="000E1C77" w:rsidRDefault="009B71F2" w:rsidP="009B71F2">
      <w:pPr>
        <w:pStyle w:val="MDPI71References"/>
        <w:numPr>
          <w:ilvl w:val="0"/>
          <w:numId w:val="0"/>
        </w:numPr>
        <w:ind w:left="360"/>
        <w:rPr>
          <w:lang w:val="es-CO"/>
        </w:rPr>
      </w:pPr>
      <w:r w:rsidRPr="000E1C77">
        <w:rPr>
          <w:lang w:val="es-CO"/>
        </w:rPr>
        <w:t>agricultores latinoamericanos expuestos a plaguicidas: una revisión sistemática 1991 – 2018. Revista</w:t>
      </w:r>
    </w:p>
    <w:p w14:paraId="5966B2AC" w14:textId="77777777" w:rsidR="009B71F2" w:rsidRPr="000E1C77" w:rsidRDefault="009B71F2" w:rsidP="009B71F2">
      <w:pPr>
        <w:pStyle w:val="MDPI71References"/>
        <w:numPr>
          <w:ilvl w:val="0"/>
          <w:numId w:val="0"/>
        </w:numPr>
        <w:ind w:left="360"/>
        <w:rPr>
          <w:lang w:val="es-CO"/>
        </w:rPr>
      </w:pPr>
      <w:r w:rsidRPr="000E1C77">
        <w:rPr>
          <w:lang w:val="es-CO"/>
        </w:rPr>
        <w:t>de toxicología. 2021;38(1):22-8.</w:t>
      </w:r>
    </w:p>
    <w:p w14:paraId="53E149B9" w14:textId="77777777" w:rsidR="009B71F2" w:rsidRPr="000E1C77" w:rsidRDefault="009B71F2" w:rsidP="009B71F2">
      <w:pPr>
        <w:pStyle w:val="MDPI71References"/>
        <w:numPr>
          <w:ilvl w:val="0"/>
          <w:numId w:val="0"/>
        </w:numPr>
        <w:ind w:left="360"/>
        <w:rPr>
          <w:lang w:val="es-CO"/>
        </w:rPr>
      </w:pPr>
      <w:r w:rsidRPr="000E1C77">
        <w:rPr>
          <w:lang w:val="es-CO"/>
        </w:rPr>
        <w:t xml:space="preserve">5.  Polanco Rodríguez AG, Magaña Castro TV, </w:t>
      </w:r>
      <w:proofErr w:type="spellStart"/>
      <w:r w:rsidRPr="000E1C77">
        <w:rPr>
          <w:lang w:val="es-CO"/>
        </w:rPr>
        <w:t>Cetz</w:t>
      </w:r>
      <w:proofErr w:type="spellEnd"/>
      <w:r w:rsidRPr="000E1C77">
        <w:rPr>
          <w:lang w:val="es-CO"/>
        </w:rPr>
        <w:t xml:space="preserve"> </w:t>
      </w:r>
      <w:proofErr w:type="spellStart"/>
      <w:r w:rsidRPr="000E1C77">
        <w:rPr>
          <w:lang w:val="es-CO"/>
        </w:rPr>
        <w:t>Luit</w:t>
      </w:r>
      <w:proofErr w:type="spellEnd"/>
      <w:r w:rsidRPr="000E1C77">
        <w:rPr>
          <w:lang w:val="es-CO"/>
        </w:rPr>
        <w:t xml:space="preserve"> J, Quintal López R, Polanco Rodríguez AG,</w:t>
      </w:r>
    </w:p>
    <w:p w14:paraId="04D624DD" w14:textId="77777777" w:rsidR="009B71F2" w:rsidRPr="000E1C77" w:rsidRDefault="009B71F2" w:rsidP="009B71F2">
      <w:pPr>
        <w:pStyle w:val="MDPI71References"/>
        <w:numPr>
          <w:ilvl w:val="0"/>
          <w:numId w:val="0"/>
        </w:numPr>
        <w:ind w:left="360"/>
        <w:rPr>
          <w:lang w:val="es-CO"/>
        </w:rPr>
      </w:pPr>
      <w:r w:rsidRPr="000E1C77">
        <w:rPr>
          <w:lang w:val="es-CO"/>
        </w:rPr>
        <w:t>Magaña Castro TV, et al. Uso de agroquímicos cancerígenos en la región agrícola de Yucatán,</w:t>
      </w:r>
    </w:p>
    <w:p w14:paraId="2650DFEB" w14:textId="77777777" w:rsidR="009B71F2" w:rsidRPr="000E1C77" w:rsidRDefault="009B71F2" w:rsidP="009B71F2">
      <w:pPr>
        <w:pStyle w:val="MDPI71References"/>
        <w:numPr>
          <w:ilvl w:val="0"/>
          <w:numId w:val="0"/>
        </w:numPr>
        <w:ind w:left="360"/>
        <w:rPr>
          <w:lang w:val="es-CO"/>
        </w:rPr>
      </w:pPr>
      <w:r w:rsidRPr="000E1C77">
        <w:rPr>
          <w:lang w:val="es-CO"/>
        </w:rPr>
        <w:t>México. Centro Agrícola. junio de 2019;46(2):72-83.</w:t>
      </w:r>
    </w:p>
    <w:p w14:paraId="07AB059A" w14:textId="77777777" w:rsidR="009B71F2" w:rsidRPr="000E1C77" w:rsidRDefault="009B71F2" w:rsidP="009B71F2">
      <w:pPr>
        <w:pStyle w:val="MDPI71References"/>
        <w:numPr>
          <w:ilvl w:val="0"/>
          <w:numId w:val="0"/>
        </w:numPr>
        <w:ind w:left="360"/>
        <w:rPr>
          <w:lang w:val="es-CO"/>
        </w:rPr>
      </w:pPr>
      <w:r w:rsidRPr="000E1C77">
        <w:rPr>
          <w:lang w:val="es-CO"/>
        </w:rPr>
        <w:t>6.  Rojas R A, Ojeda B ME, Barraza O X. Malformaciones congénitas y exposición a pesticidas. Revista</w:t>
      </w:r>
    </w:p>
    <w:p w14:paraId="4702A682" w14:textId="77777777" w:rsidR="009B71F2" w:rsidRPr="000E1C77" w:rsidRDefault="009B71F2" w:rsidP="009B71F2">
      <w:pPr>
        <w:pStyle w:val="MDPI71References"/>
        <w:numPr>
          <w:ilvl w:val="0"/>
          <w:numId w:val="0"/>
        </w:numPr>
        <w:ind w:left="360"/>
        <w:rPr>
          <w:lang w:val="es-CO"/>
        </w:rPr>
      </w:pPr>
      <w:r w:rsidRPr="000E1C77">
        <w:rPr>
          <w:lang w:val="es-CO"/>
        </w:rPr>
        <w:t>médica de Chile. abril de 2000;128(4):399-404.</w:t>
      </w:r>
    </w:p>
    <w:p w14:paraId="4BBAA098" w14:textId="77777777" w:rsidR="009B71F2" w:rsidRPr="000E1C77" w:rsidRDefault="009B71F2" w:rsidP="009B71F2">
      <w:pPr>
        <w:pStyle w:val="MDPI71References"/>
        <w:numPr>
          <w:ilvl w:val="0"/>
          <w:numId w:val="0"/>
        </w:numPr>
        <w:ind w:left="360"/>
        <w:rPr>
          <w:lang w:val="es-CO"/>
        </w:rPr>
      </w:pPr>
      <w:r w:rsidRPr="000E1C77">
        <w:rPr>
          <w:lang w:val="es-CO"/>
        </w:rPr>
        <w:t xml:space="preserve">7.  </w:t>
      </w:r>
      <w:proofErr w:type="spellStart"/>
      <w:r w:rsidRPr="000E1C77">
        <w:rPr>
          <w:lang w:val="es-CO"/>
        </w:rPr>
        <w:t>Paparella</w:t>
      </w:r>
      <w:proofErr w:type="spellEnd"/>
      <w:r w:rsidRPr="000E1C77">
        <w:rPr>
          <w:lang w:val="es-CO"/>
        </w:rPr>
        <w:t xml:space="preserve"> CV, </w:t>
      </w:r>
      <w:proofErr w:type="spellStart"/>
      <w:r w:rsidRPr="000E1C77">
        <w:rPr>
          <w:lang w:val="es-CO"/>
        </w:rPr>
        <w:t>Pavesi</w:t>
      </w:r>
      <w:proofErr w:type="spellEnd"/>
      <w:r w:rsidRPr="000E1C77">
        <w:rPr>
          <w:lang w:val="es-CO"/>
        </w:rPr>
        <w:t xml:space="preserve"> AB, Feldman RN, Bouvet BR. El efecto de los agroquímicos en la</w:t>
      </w:r>
    </w:p>
    <w:p w14:paraId="51AFB91D" w14:textId="77777777" w:rsidR="009B71F2" w:rsidRPr="000E1C77" w:rsidRDefault="009B71F2" w:rsidP="009B71F2">
      <w:pPr>
        <w:pStyle w:val="MDPI71References"/>
        <w:numPr>
          <w:ilvl w:val="0"/>
          <w:numId w:val="0"/>
        </w:numPr>
        <w:ind w:left="360"/>
        <w:rPr>
          <w:lang w:val="es-CO"/>
        </w:rPr>
      </w:pPr>
      <w:r w:rsidRPr="000E1C77">
        <w:rPr>
          <w:lang w:val="es-CO"/>
        </w:rPr>
        <w:t>espermatogénesis. Revista Habanera de Ciencias Médicas. junio de 2011;10(2):0-16</w:t>
      </w:r>
    </w:p>
    <w:p w14:paraId="5D5D7BD4" w14:textId="77777777" w:rsidR="009B71F2" w:rsidRPr="000E1C77" w:rsidRDefault="009B71F2" w:rsidP="009B71F2">
      <w:pPr>
        <w:pStyle w:val="MDPI71References"/>
        <w:numPr>
          <w:ilvl w:val="0"/>
          <w:numId w:val="0"/>
        </w:numPr>
        <w:ind w:left="360"/>
        <w:rPr>
          <w:lang w:val="es-CO"/>
        </w:rPr>
      </w:pPr>
      <w:r w:rsidRPr="000E1C77">
        <w:rPr>
          <w:lang w:val="es-CO"/>
        </w:rPr>
        <w:t xml:space="preserve">8.  Miranda-Contreras L, Gómez-Pérez R, Rojas G, Cruz I, Berrueta L, Salmen S, et al. </w:t>
      </w:r>
      <w:proofErr w:type="spellStart"/>
      <w:r w:rsidRPr="000E1C77">
        <w:rPr>
          <w:lang w:val="es-CO"/>
        </w:rPr>
        <w:t>Occupational</w:t>
      </w:r>
      <w:proofErr w:type="spellEnd"/>
    </w:p>
    <w:p w14:paraId="66645C3D" w14:textId="77777777" w:rsidR="009B71F2" w:rsidRPr="000E1C77" w:rsidRDefault="009B71F2" w:rsidP="009B71F2">
      <w:pPr>
        <w:pStyle w:val="MDPI71References"/>
        <w:numPr>
          <w:ilvl w:val="0"/>
          <w:numId w:val="0"/>
        </w:numPr>
        <w:ind w:left="360"/>
      </w:pPr>
      <w:r w:rsidRPr="000E1C77">
        <w:t>Exposure to Organophosphate and Carbamate Pesticides Affects Sperm Chromatin Integrity and</w:t>
      </w:r>
    </w:p>
    <w:p w14:paraId="33338367" w14:textId="77777777" w:rsidR="009B71F2" w:rsidRPr="000E1C77" w:rsidRDefault="009B71F2" w:rsidP="009B71F2">
      <w:pPr>
        <w:pStyle w:val="MDPI71References"/>
        <w:numPr>
          <w:ilvl w:val="0"/>
          <w:numId w:val="0"/>
        </w:numPr>
        <w:ind w:left="360"/>
      </w:pPr>
      <w:r w:rsidRPr="000E1C77">
        <w:t>Reproductive Hormone Levels among Venezuelan Farm Workers. Journal of Occupational Health.</w:t>
      </w:r>
    </w:p>
    <w:p w14:paraId="5A44C7D4" w14:textId="77777777" w:rsidR="009B71F2" w:rsidRPr="000E1C77" w:rsidRDefault="009B71F2" w:rsidP="009B71F2">
      <w:pPr>
        <w:pStyle w:val="MDPI71References"/>
        <w:numPr>
          <w:ilvl w:val="0"/>
          <w:numId w:val="0"/>
        </w:numPr>
        <w:ind w:left="360"/>
      </w:pPr>
      <w:r w:rsidRPr="000E1C77">
        <w:t>2013;55(3):195-203.</w:t>
      </w:r>
    </w:p>
    <w:p w14:paraId="1BB2FFD0" w14:textId="77777777" w:rsidR="009B71F2" w:rsidRPr="000E1C77" w:rsidRDefault="009B71F2" w:rsidP="009B71F2">
      <w:pPr>
        <w:pStyle w:val="MDPI71References"/>
        <w:numPr>
          <w:ilvl w:val="0"/>
          <w:numId w:val="0"/>
        </w:numPr>
        <w:ind w:left="360"/>
      </w:pPr>
      <w:r w:rsidRPr="000E1C77">
        <w:t xml:space="preserve">9.  </w:t>
      </w:r>
      <w:proofErr w:type="spellStart"/>
      <w:r w:rsidRPr="000E1C77">
        <w:t>Iknurov</w:t>
      </w:r>
      <w:proofErr w:type="spellEnd"/>
      <w:r w:rsidRPr="000E1C77">
        <w:t xml:space="preserve"> </w:t>
      </w:r>
      <w:proofErr w:type="spellStart"/>
      <w:r w:rsidRPr="000E1C77">
        <w:t>Mollov</w:t>
      </w:r>
      <w:proofErr w:type="spellEnd"/>
      <w:r w:rsidRPr="000E1C77">
        <w:t xml:space="preserve"> A, Martinez Ponce DC, Serrano Puebla JM, Elias Salcedo S, </w:t>
      </w:r>
      <w:proofErr w:type="spellStart"/>
      <w:r w:rsidRPr="000E1C77">
        <w:t>Iknurov</w:t>
      </w:r>
      <w:proofErr w:type="spellEnd"/>
      <w:r w:rsidRPr="000E1C77">
        <w:t xml:space="preserve"> </w:t>
      </w:r>
      <w:proofErr w:type="spellStart"/>
      <w:r w:rsidRPr="000E1C77">
        <w:t>Mollov</w:t>
      </w:r>
      <w:proofErr w:type="spellEnd"/>
      <w:r w:rsidRPr="000E1C77">
        <w:t xml:space="preserve"> A,</w:t>
      </w:r>
    </w:p>
    <w:p w14:paraId="3D0C8257" w14:textId="77777777" w:rsidR="009B71F2" w:rsidRPr="000E1C77" w:rsidRDefault="009B71F2" w:rsidP="009B71F2">
      <w:pPr>
        <w:pStyle w:val="MDPI71References"/>
        <w:numPr>
          <w:ilvl w:val="0"/>
          <w:numId w:val="0"/>
        </w:numPr>
        <w:ind w:left="360"/>
        <w:rPr>
          <w:lang w:val="es-CO"/>
        </w:rPr>
      </w:pPr>
      <w:proofErr w:type="spellStart"/>
      <w:r w:rsidRPr="000E1C77">
        <w:rPr>
          <w:lang w:val="es-CO"/>
        </w:rPr>
        <w:t>Martinez</w:t>
      </w:r>
      <w:proofErr w:type="spellEnd"/>
      <w:r w:rsidRPr="000E1C77">
        <w:rPr>
          <w:lang w:val="es-CO"/>
        </w:rPr>
        <w:t xml:space="preserve"> Ponce DC, et al. Exposición a pesticidas en el ámbito laboral, expresión genética y</w:t>
      </w:r>
    </w:p>
    <w:p w14:paraId="23F10ACA" w14:textId="77777777" w:rsidR="009B71F2" w:rsidRPr="000E1C77" w:rsidRDefault="009B71F2" w:rsidP="009B71F2">
      <w:pPr>
        <w:pStyle w:val="MDPI71References"/>
        <w:numPr>
          <w:ilvl w:val="0"/>
          <w:numId w:val="0"/>
        </w:numPr>
        <w:ind w:left="360"/>
        <w:rPr>
          <w:lang w:val="es-CO"/>
        </w:rPr>
      </w:pPr>
      <w:r w:rsidRPr="000E1C77">
        <w:rPr>
          <w:lang w:val="es-CO"/>
        </w:rPr>
        <w:t>enfermedad de Parkinson. Medicina y Seguridad del Trabajo. marzo de 2017;63(246):68-84.</w:t>
      </w:r>
    </w:p>
    <w:p w14:paraId="7137B049" w14:textId="77777777" w:rsidR="009B71F2" w:rsidRPr="000E1C77" w:rsidRDefault="009B71F2" w:rsidP="009B71F2">
      <w:pPr>
        <w:pStyle w:val="MDPI71References"/>
        <w:numPr>
          <w:ilvl w:val="0"/>
          <w:numId w:val="0"/>
        </w:numPr>
        <w:ind w:left="360"/>
      </w:pPr>
      <w:r w:rsidRPr="000E1C77">
        <w:t xml:space="preserve">10.  Farokhi F, </w:t>
      </w:r>
      <w:proofErr w:type="spellStart"/>
      <w:r w:rsidRPr="000E1C77">
        <w:t>Taravati</w:t>
      </w:r>
      <w:proofErr w:type="spellEnd"/>
      <w:r w:rsidRPr="000E1C77">
        <w:t xml:space="preserve"> A. Pesticide exposure and thyroid function in adult male sprayers. International</w:t>
      </w:r>
    </w:p>
    <w:p w14:paraId="0072D69C" w14:textId="77777777" w:rsidR="009B71F2" w:rsidRPr="000E1C77" w:rsidRDefault="009B71F2" w:rsidP="009B71F2">
      <w:pPr>
        <w:pStyle w:val="MDPI71References"/>
        <w:numPr>
          <w:ilvl w:val="0"/>
          <w:numId w:val="0"/>
        </w:numPr>
        <w:ind w:left="360"/>
      </w:pPr>
      <w:r w:rsidRPr="000E1C77">
        <w:t xml:space="preserve">Journal of Medical Investigation. 10 de </w:t>
      </w:r>
      <w:proofErr w:type="spellStart"/>
      <w:r w:rsidRPr="000E1C77">
        <w:t>marzo</w:t>
      </w:r>
      <w:proofErr w:type="spellEnd"/>
      <w:r w:rsidRPr="000E1C77">
        <w:t xml:space="preserve"> de 2014;3(4):0-0.</w:t>
      </w:r>
    </w:p>
    <w:p w14:paraId="509FDC56" w14:textId="77777777" w:rsidR="009B71F2" w:rsidRPr="000E1C77" w:rsidRDefault="009B71F2" w:rsidP="009B71F2">
      <w:pPr>
        <w:pStyle w:val="MDPI71References"/>
        <w:numPr>
          <w:ilvl w:val="0"/>
          <w:numId w:val="0"/>
        </w:numPr>
        <w:ind w:left="360"/>
      </w:pPr>
      <w:r w:rsidRPr="000E1C77">
        <w:t xml:space="preserve">11.  </w:t>
      </w:r>
      <w:proofErr w:type="spellStart"/>
      <w:r w:rsidRPr="000E1C77">
        <w:t>Buralli</w:t>
      </w:r>
      <w:proofErr w:type="spellEnd"/>
      <w:r w:rsidRPr="000E1C77">
        <w:t xml:space="preserve"> RJ, Ribeiro H, </w:t>
      </w:r>
      <w:proofErr w:type="spellStart"/>
      <w:r w:rsidRPr="000E1C77">
        <w:t>Mauad</w:t>
      </w:r>
      <w:proofErr w:type="spellEnd"/>
      <w:r w:rsidRPr="000E1C77">
        <w:t xml:space="preserve"> T, Amato-Lourenço LF, Salge JM, Diaz-Quijano FA, et al. Respiratory</w:t>
      </w:r>
    </w:p>
    <w:p w14:paraId="1FD4BBE4" w14:textId="77777777" w:rsidR="009B71F2" w:rsidRPr="000E1C77" w:rsidRDefault="009B71F2" w:rsidP="009B71F2">
      <w:pPr>
        <w:pStyle w:val="MDPI71References"/>
        <w:numPr>
          <w:ilvl w:val="0"/>
          <w:numId w:val="0"/>
        </w:numPr>
        <w:ind w:left="360"/>
      </w:pPr>
      <w:r w:rsidRPr="000E1C77">
        <w:t>Condition of Family Farmers Exposed to Pesticides in the State of Rio de Janeiro, Brazil.</w:t>
      </w:r>
    </w:p>
    <w:p w14:paraId="3F38E74E" w14:textId="77777777" w:rsidR="009B71F2" w:rsidRPr="000E1C77" w:rsidRDefault="009B71F2" w:rsidP="009B71F2">
      <w:pPr>
        <w:pStyle w:val="MDPI71References"/>
        <w:numPr>
          <w:ilvl w:val="0"/>
          <w:numId w:val="0"/>
        </w:numPr>
        <w:ind w:left="360"/>
      </w:pPr>
      <w:r w:rsidRPr="000E1C77">
        <w:t xml:space="preserve">International Journal of Environmental Research and Public Health. </w:t>
      </w:r>
      <w:proofErr w:type="spellStart"/>
      <w:r w:rsidRPr="000E1C77">
        <w:t>junio</w:t>
      </w:r>
      <w:proofErr w:type="spellEnd"/>
      <w:r w:rsidRPr="000E1C77">
        <w:t xml:space="preserve"> de 2018;15(6):1203.</w:t>
      </w:r>
    </w:p>
    <w:p w14:paraId="050E6E23" w14:textId="77777777" w:rsidR="009B71F2" w:rsidRPr="000E1C77" w:rsidRDefault="009B71F2" w:rsidP="009B71F2">
      <w:pPr>
        <w:pStyle w:val="MDPI71References"/>
        <w:numPr>
          <w:ilvl w:val="0"/>
          <w:numId w:val="0"/>
        </w:numPr>
        <w:ind w:left="360"/>
        <w:rPr>
          <w:lang w:val="es-CO"/>
        </w:rPr>
      </w:pPr>
      <w:r w:rsidRPr="000E1C77">
        <w:rPr>
          <w:lang w:val="es-CO"/>
        </w:rPr>
        <w:t>12.  Instituto Nacional de Salud. Informe de evento intoxicaciones por sustancias químicas, Colombia,</w:t>
      </w:r>
    </w:p>
    <w:p w14:paraId="15A3DD2E" w14:textId="77777777" w:rsidR="009B71F2" w:rsidRPr="000E1C77" w:rsidRDefault="009B71F2" w:rsidP="009B71F2">
      <w:pPr>
        <w:pStyle w:val="MDPI71References"/>
        <w:numPr>
          <w:ilvl w:val="0"/>
          <w:numId w:val="0"/>
        </w:numPr>
        <w:ind w:left="360"/>
        <w:rPr>
          <w:lang w:val="es-CO"/>
        </w:rPr>
      </w:pPr>
      <w:r w:rsidRPr="000E1C77">
        <w:rPr>
          <w:lang w:val="es-CO"/>
        </w:rPr>
        <w:t>2017 [Internet]. Bogotá; 2017. Disponible en: https://www.ins.gov.co/buscador-</w:t>
      </w:r>
    </w:p>
    <w:p w14:paraId="4A68E47C" w14:textId="77777777" w:rsidR="009B71F2" w:rsidRPr="000E1C77" w:rsidRDefault="009B71F2" w:rsidP="009B71F2">
      <w:pPr>
        <w:pStyle w:val="MDPI71References"/>
        <w:numPr>
          <w:ilvl w:val="0"/>
          <w:numId w:val="0"/>
        </w:numPr>
        <w:ind w:left="360"/>
        <w:rPr>
          <w:lang w:val="es-CO"/>
        </w:rPr>
      </w:pPr>
      <w:r w:rsidRPr="000E1C77">
        <w:rPr>
          <w:lang w:val="es-CO"/>
        </w:rPr>
        <w:t>eventos/</w:t>
      </w:r>
      <w:proofErr w:type="spellStart"/>
      <w:r w:rsidRPr="000E1C77">
        <w:rPr>
          <w:lang w:val="es-CO"/>
        </w:rPr>
        <w:t>Informesdeevento</w:t>
      </w:r>
      <w:proofErr w:type="spellEnd"/>
      <w:r w:rsidRPr="000E1C77">
        <w:rPr>
          <w:lang w:val="es-CO"/>
        </w:rPr>
        <w:t>/INTOXICACIONES%202017.pdf</w:t>
      </w:r>
    </w:p>
    <w:p w14:paraId="35123A6C" w14:textId="77777777" w:rsidR="009B71F2" w:rsidRPr="000E1C77" w:rsidRDefault="009B71F2" w:rsidP="009B71F2">
      <w:pPr>
        <w:pStyle w:val="MDPI71References"/>
        <w:numPr>
          <w:ilvl w:val="0"/>
          <w:numId w:val="0"/>
        </w:numPr>
        <w:ind w:left="360"/>
        <w:rPr>
          <w:lang w:val="es-CO"/>
        </w:rPr>
      </w:pPr>
      <w:r w:rsidRPr="000E1C77">
        <w:rPr>
          <w:lang w:val="es-CO"/>
        </w:rPr>
        <w:t>13.  Instituto Nacional de Salud. Informe de evento intoxicaciones por sustancias químicas, Colombia,</w:t>
      </w:r>
    </w:p>
    <w:p w14:paraId="1757FEC1" w14:textId="77777777" w:rsidR="009B71F2" w:rsidRPr="000E1C77" w:rsidRDefault="009B71F2" w:rsidP="009B71F2">
      <w:pPr>
        <w:pStyle w:val="MDPI71References"/>
        <w:numPr>
          <w:ilvl w:val="0"/>
          <w:numId w:val="0"/>
        </w:numPr>
        <w:ind w:left="360"/>
        <w:rPr>
          <w:lang w:val="es-CO"/>
        </w:rPr>
      </w:pPr>
      <w:r w:rsidRPr="000E1C77">
        <w:rPr>
          <w:lang w:val="es-CO"/>
        </w:rPr>
        <w:t>2019 [Internet]. Bogotá; 2019. Disponible en: https://www.ins.gov.co/buscador-</w:t>
      </w:r>
    </w:p>
    <w:p w14:paraId="25D4EA76" w14:textId="77777777" w:rsidR="009B71F2" w:rsidRPr="000E1C77" w:rsidRDefault="009B71F2" w:rsidP="009B71F2">
      <w:pPr>
        <w:pStyle w:val="MDPI71References"/>
        <w:numPr>
          <w:ilvl w:val="0"/>
          <w:numId w:val="0"/>
        </w:numPr>
        <w:ind w:left="360"/>
        <w:rPr>
          <w:lang w:val="es-CO"/>
        </w:rPr>
      </w:pPr>
      <w:r w:rsidRPr="000E1C77">
        <w:rPr>
          <w:lang w:val="es-CO"/>
        </w:rPr>
        <w:t>eventos/</w:t>
      </w:r>
      <w:proofErr w:type="spellStart"/>
      <w:r w:rsidRPr="000E1C77">
        <w:rPr>
          <w:lang w:val="es-CO"/>
        </w:rPr>
        <w:t>Informesdeevento</w:t>
      </w:r>
      <w:proofErr w:type="spellEnd"/>
      <w:r w:rsidRPr="000E1C77">
        <w:rPr>
          <w:lang w:val="es-CO"/>
        </w:rPr>
        <w:t>/INTOXICACIONES_2019.pdf</w:t>
      </w:r>
    </w:p>
    <w:p w14:paraId="74337B1E" w14:textId="77777777" w:rsidR="009B71F2" w:rsidRPr="000E1C77" w:rsidRDefault="009B71F2" w:rsidP="009B71F2">
      <w:pPr>
        <w:pStyle w:val="MDPI71References"/>
        <w:numPr>
          <w:ilvl w:val="0"/>
          <w:numId w:val="0"/>
        </w:numPr>
        <w:ind w:left="360"/>
        <w:rPr>
          <w:lang w:val="es-CO"/>
        </w:rPr>
      </w:pPr>
      <w:r w:rsidRPr="000E1C77">
        <w:rPr>
          <w:lang w:val="es-CO"/>
        </w:rPr>
        <w:t>14.  Instituto Nacional de Salud. Informe de evento intoxicaciones por sustancias químicas, Colombia,</w:t>
      </w:r>
    </w:p>
    <w:p w14:paraId="76072E53" w14:textId="77777777" w:rsidR="009B71F2" w:rsidRPr="000E1C77" w:rsidRDefault="009B71F2" w:rsidP="009B71F2">
      <w:pPr>
        <w:pStyle w:val="MDPI71References"/>
        <w:numPr>
          <w:ilvl w:val="0"/>
          <w:numId w:val="0"/>
        </w:numPr>
        <w:ind w:left="360"/>
        <w:rPr>
          <w:lang w:val="es-CO"/>
        </w:rPr>
      </w:pPr>
      <w:r w:rsidRPr="000E1C77">
        <w:rPr>
          <w:lang w:val="es-CO"/>
        </w:rPr>
        <w:t>2018 [Internet]. Bogotá; 2018. Disponible en: https://www.ins.gov.co/buscador-</w:t>
      </w:r>
    </w:p>
    <w:p w14:paraId="0C890CBC" w14:textId="77777777" w:rsidR="009B71F2" w:rsidRPr="000E1C77" w:rsidRDefault="009B71F2" w:rsidP="009B71F2">
      <w:pPr>
        <w:pStyle w:val="MDPI71References"/>
        <w:numPr>
          <w:ilvl w:val="0"/>
          <w:numId w:val="0"/>
        </w:numPr>
        <w:ind w:left="360"/>
        <w:rPr>
          <w:lang w:val="es-CO"/>
        </w:rPr>
      </w:pPr>
      <w:r w:rsidRPr="000E1C77">
        <w:rPr>
          <w:lang w:val="es-CO"/>
        </w:rPr>
        <w:t>eventos/</w:t>
      </w:r>
      <w:proofErr w:type="spellStart"/>
      <w:r w:rsidRPr="000E1C77">
        <w:rPr>
          <w:lang w:val="es-CO"/>
        </w:rPr>
        <w:t>Informesdeevento</w:t>
      </w:r>
      <w:proofErr w:type="spellEnd"/>
      <w:r w:rsidRPr="000E1C77">
        <w:rPr>
          <w:lang w:val="es-CO"/>
        </w:rPr>
        <w:t xml:space="preserve">/INTOXICACIONES_2018.pdf </w:t>
      </w:r>
    </w:p>
    <w:p w14:paraId="00BA2F0A" w14:textId="77777777" w:rsidR="009B71F2" w:rsidRPr="00C674C2" w:rsidRDefault="009B71F2" w:rsidP="009B71F2">
      <w:pPr>
        <w:pStyle w:val="MDPI71References"/>
        <w:numPr>
          <w:ilvl w:val="0"/>
          <w:numId w:val="3"/>
        </w:numPr>
        <w:rPr>
          <w:lang w:val="es-ES_tradnl"/>
        </w:rPr>
      </w:pPr>
      <w:r w:rsidRPr="00C674C2">
        <w:rPr>
          <w:lang w:val="es-ES_tradnl"/>
        </w:rPr>
        <w:t xml:space="preserve">Instituto Nacional de Salud, </w:t>
      </w:r>
      <w:r w:rsidRPr="00C674C2">
        <w:rPr>
          <w:i/>
          <w:iCs/>
          <w:lang w:val="es-ES_tradnl"/>
        </w:rPr>
        <w:t xml:space="preserve">lineamientos </w:t>
      </w:r>
      <w:proofErr w:type="gramStart"/>
      <w:r w:rsidRPr="00C674C2">
        <w:rPr>
          <w:i/>
          <w:iCs/>
          <w:lang w:val="es-ES_tradnl"/>
        </w:rPr>
        <w:t>pro intoxicaciones</w:t>
      </w:r>
      <w:proofErr w:type="gramEnd"/>
      <w:r w:rsidRPr="00C674C2">
        <w:rPr>
          <w:i/>
          <w:iCs/>
          <w:lang w:val="es-ES_tradnl"/>
        </w:rPr>
        <w:t xml:space="preserve"> </w:t>
      </w:r>
      <w:r w:rsidRPr="00C674C2">
        <w:rPr>
          <w:lang w:val="es-CO"/>
        </w:rPr>
        <w:t>2025 [citado 13 de marzo de 2025]. Disponible en:</w:t>
      </w:r>
      <w:r w:rsidRPr="00C674C2">
        <w:rPr>
          <w:lang w:val="es-ES_tradnl"/>
        </w:rPr>
        <w:t xml:space="preserve">: </w:t>
      </w:r>
      <w:hyperlink r:id="rId19" w:history="1">
        <w:r w:rsidRPr="00C674C2">
          <w:rPr>
            <w:rStyle w:val="Hipervnculo"/>
            <w:lang w:val="es-ES_tradnl"/>
          </w:rPr>
          <w:t>https://www.ins.gov.co/buscador-eventos/Lineamientos/Pro_Intoxicaciones%20agudas%20por%20sustancias%20qu%C3%ADmicas%202024.pdf</w:t>
        </w:r>
      </w:hyperlink>
    </w:p>
    <w:p w14:paraId="01AB4297" w14:textId="77777777" w:rsidR="009B71F2" w:rsidRPr="000E1C77" w:rsidRDefault="009B71F2" w:rsidP="009B71F2">
      <w:pPr>
        <w:pStyle w:val="MDPI71References"/>
        <w:numPr>
          <w:ilvl w:val="0"/>
          <w:numId w:val="0"/>
        </w:numPr>
        <w:ind w:left="360"/>
        <w:rPr>
          <w:lang w:val="es-CO"/>
        </w:rPr>
      </w:pPr>
    </w:p>
    <w:p w14:paraId="222657ED" w14:textId="77777777" w:rsidR="009B71F2" w:rsidRPr="00C674C2" w:rsidRDefault="009B71F2" w:rsidP="009B71F2">
      <w:pPr>
        <w:pStyle w:val="MDPI71References"/>
        <w:numPr>
          <w:ilvl w:val="0"/>
          <w:numId w:val="3"/>
        </w:numPr>
        <w:rPr>
          <w:lang w:val="es-CO"/>
        </w:rPr>
      </w:pPr>
      <w:r w:rsidRPr="00C674C2">
        <w:rPr>
          <w:b/>
          <w:bCs/>
          <w:lang w:val="es-CO"/>
        </w:rPr>
        <w:t>Secretaría Distrital de Planeación.</w:t>
      </w:r>
      <w:r w:rsidRPr="00C674C2">
        <w:rPr>
          <w:lang w:val="es-CO"/>
        </w:rPr>
        <w:t xml:space="preserve"> </w:t>
      </w:r>
      <w:r w:rsidRPr="00C674C2">
        <w:rPr>
          <w:i/>
          <w:iCs/>
          <w:lang w:val="es-CO"/>
        </w:rPr>
        <w:t>Panorama de la ruralidad bogotana: Una radiografía socioeconómica.</w:t>
      </w:r>
      <w:r w:rsidRPr="00C674C2">
        <w:rPr>
          <w:lang w:val="es-CO"/>
        </w:rPr>
        <w:t xml:space="preserve"> 2025 [citado 13 de marzo de 2025]. Disponible en: </w:t>
      </w:r>
      <w:hyperlink r:id="rId20" w:history="1">
        <w:r w:rsidRPr="00C674C2">
          <w:rPr>
            <w:rStyle w:val="Hipervnculo"/>
            <w:lang w:val="es-CO"/>
          </w:rPr>
          <w:t>https://sdp.gov.co/sites/default/files/1._panorama_economico_ruralidad_digital.pdf</w:t>
        </w:r>
      </w:hyperlink>
    </w:p>
    <w:p w14:paraId="3407DF7F" w14:textId="77777777" w:rsidR="009B71F2" w:rsidRPr="000E1C77" w:rsidRDefault="009B71F2" w:rsidP="009B71F2">
      <w:pPr>
        <w:pStyle w:val="MDPI71References"/>
        <w:numPr>
          <w:ilvl w:val="0"/>
          <w:numId w:val="0"/>
        </w:numPr>
        <w:ind w:left="360"/>
        <w:rPr>
          <w:lang w:val="es-CO"/>
        </w:rPr>
      </w:pPr>
    </w:p>
    <w:p w14:paraId="2D15E5C4" w14:textId="77777777" w:rsidR="009B71F2" w:rsidRPr="000E1C77" w:rsidRDefault="009B71F2" w:rsidP="009B71F2">
      <w:pPr>
        <w:pStyle w:val="MDPI71References"/>
        <w:numPr>
          <w:ilvl w:val="0"/>
          <w:numId w:val="0"/>
        </w:numPr>
        <w:ind w:left="360"/>
        <w:rPr>
          <w:lang w:val="es-CO"/>
        </w:rPr>
      </w:pPr>
      <w:r w:rsidRPr="000E1C77">
        <w:rPr>
          <w:lang w:val="es-CO"/>
        </w:rPr>
        <w:t xml:space="preserve">17.  Secretaría Distrital de Salud de Bogotá. </w:t>
      </w:r>
      <w:proofErr w:type="spellStart"/>
      <w:r w:rsidRPr="000E1C77">
        <w:rPr>
          <w:lang w:val="es-CO"/>
        </w:rPr>
        <w:t>SaluData</w:t>
      </w:r>
      <w:proofErr w:type="spellEnd"/>
      <w:r w:rsidRPr="000E1C77">
        <w:rPr>
          <w:lang w:val="es-CO"/>
        </w:rPr>
        <w:t xml:space="preserve"> Observatorio de Bogotá. 2022. Observatorio de</w:t>
      </w:r>
    </w:p>
    <w:p w14:paraId="3C1C4B23" w14:textId="77777777" w:rsidR="009B71F2" w:rsidRPr="000E1C77" w:rsidRDefault="009B71F2" w:rsidP="009B71F2">
      <w:pPr>
        <w:pStyle w:val="MDPI71References"/>
        <w:numPr>
          <w:ilvl w:val="0"/>
          <w:numId w:val="0"/>
        </w:numPr>
        <w:ind w:left="360"/>
        <w:rPr>
          <w:lang w:val="es-CO"/>
        </w:rPr>
      </w:pPr>
      <w:r w:rsidRPr="000E1C77">
        <w:rPr>
          <w:lang w:val="es-CO"/>
        </w:rPr>
        <w:t xml:space="preserve">Salud de Bogotá - </w:t>
      </w:r>
      <w:proofErr w:type="spellStart"/>
      <w:r w:rsidRPr="000E1C77">
        <w:rPr>
          <w:lang w:val="es-CO"/>
        </w:rPr>
        <w:t>SaluData</w:t>
      </w:r>
      <w:proofErr w:type="spellEnd"/>
      <w:r w:rsidRPr="000E1C77">
        <w:rPr>
          <w:lang w:val="es-CO"/>
        </w:rPr>
        <w:t>. Disponible en: https://saludata.saludcapital.gov.co/osb/</w:t>
      </w:r>
    </w:p>
    <w:p w14:paraId="247B3F04" w14:textId="77777777" w:rsidR="009B71F2" w:rsidRPr="000E1C77" w:rsidRDefault="009B71F2" w:rsidP="009B71F2">
      <w:pPr>
        <w:pStyle w:val="MDPI71References"/>
        <w:numPr>
          <w:ilvl w:val="0"/>
          <w:numId w:val="0"/>
        </w:numPr>
        <w:ind w:left="360"/>
        <w:rPr>
          <w:lang w:val="es-CO"/>
        </w:rPr>
      </w:pPr>
      <w:r w:rsidRPr="000E1C77">
        <w:rPr>
          <w:lang w:val="es-CO"/>
        </w:rPr>
        <w:lastRenderedPageBreak/>
        <w:t>18.  Alcaldía Local de Ciudad Bolívar. Alcaldía Local de Ciudad Bolívar. Alcaldía Mayor de Bogotá D.C.</w:t>
      </w:r>
    </w:p>
    <w:p w14:paraId="272D4EA7" w14:textId="77777777" w:rsidR="009B71F2" w:rsidRPr="000E1C77" w:rsidRDefault="009B71F2" w:rsidP="009B71F2">
      <w:pPr>
        <w:pStyle w:val="MDPI71References"/>
        <w:numPr>
          <w:ilvl w:val="0"/>
          <w:numId w:val="0"/>
        </w:numPr>
        <w:ind w:left="360"/>
        <w:rPr>
          <w:lang w:val="es-CO"/>
        </w:rPr>
      </w:pPr>
      <w:r w:rsidRPr="000E1C77">
        <w:rPr>
          <w:lang w:val="es-CO"/>
        </w:rPr>
        <w:t>2022 [citado 2 de septiembre de 2022]. Conociendo mi localidad. Disponible en:</w:t>
      </w:r>
    </w:p>
    <w:p w14:paraId="102F1A1D" w14:textId="77777777" w:rsidR="009B71F2" w:rsidRPr="000E1C77" w:rsidRDefault="009B71F2" w:rsidP="009B71F2">
      <w:pPr>
        <w:pStyle w:val="MDPI71References"/>
        <w:numPr>
          <w:ilvl w:val="0"/>
          <w:numId w:val="0"/>
        </w:numPr>
        <w:ind w:left="360"/>
        <w:rPr>
          <w:lang w:val="es-CO"/>
        </w:rPr>
      </w:pPr>
      <w:r w:rsidRPr="000E1C77">
        <w:rPr>
          <w:lang w:val="es-CO"/>
        </w:rPr>
        <w:t>http://www.ciudadbolivar.gov.co/mi-localidad/conociendo-mi-localidad/historia</w:t>
      </w:r>
    </w:p>
    <w:p w14:paraId="7A097BE9" w14:textId="77777777" w:rsidR="009B71F2" w:rsidRPr="000E1C77" w:rsidRDefault="009B71F2" w:rsidP="009B71F2">
      <w:pPr>
        <w:pStyle w:val="MDPI71References"/>
        <w:numPr>
          <w:ilvl w:val="0"/>
          <w:numId w:val="0"/>
        </w:numPr>
        <w:ind w:left="360"/>
        <w:rPr>
          <w:lang w:val="es-CO"/>
        </w:rPr>
      </w:pPr>
      <w:r w:rsidRPr="000E1C77">
        <w:rPr>
          <w:lang w:val="es-CO"/>
        </w:rPr>
        <w:t>19.  Oropesa Jiménez A, Soler Rodríguez F, Haro Castuera M. Estimación del grado de conocimiento</w:t>
      </w:r>
    </w:p>
    <w:p w14:paraId="58E38E62" w14:textId="77777777" w:rsidR="009B71F2" w:rsidRPr="000E1C77" w:rsidRDefault="009B71F2" w:rsidP="009B71F2">
      <w:pPr>
        <w:pStyle w:val="MDPI71References"/>
        <w:numPr>
          <w:ilvl w:val="0"/>
          <w:numId w:val="0"/>
        </w:numPr>
        <w:ind w:left="360"/>
        <w:rPr>
          <w:lang w:val="es-CO"/>
        </w:rPr>
      </w:pPr>
      <w:r w:rsidRPr="000E1C77">
        <w:rPr>
          <w:lang w:val="es-CO"/>
        </w:rPr>
        <w:t>sobre el riesgo químico en trabajadores de Badajoz. Revista de Toxicología. 2011;28(2):158-65.</w:t>
      </w:r>
    </w:p>
    <w:p w14:paraId="2CDA1F4B" w14:textId="77777777" w:rsidR="009B71F2" w:rsidRPr="000E1C77" w:rsidRDefault="009B71F2" w:rsidP="009B71F2">
      <w:pPr>
        <w:pStyle w:val="MDPI71References"/>
        <w:numPr>
          <w:ilvl w:val="0"/>
          <w:numId w:val="0"/>
        </w:numPr>
        <w:ind w:left="360"/>
        <w:rPr>
          <w:lang w:val="es-CO"/>
        </w:rPr>
      </w:pPr>
      <w:r w:rsidRPr="000E1C77">
        <w:rPr>
          <w:lang w:val="es-CO"/>
        </w:rPr>
        <w:t xml:space="preserve">20.  Barrón Cuenca J, Tirado N, </w:t>
      </w:r>
      <w:proofErr w:type="spellStart"/>
      <w:r w:rsidRPr="000E1C77">
        <w:rPr>
          <w:lang w:val="es-CO"/>
        </w:rPr>
        <w:t>Vikström</w:t>
      </w:r>
      <w:proofErr w:type="spellEnd"/>
      <w:r w:rsidRPr="000E1C77">
        <w:rPr>
          <w:lang w:val="es-CO"/>
        </w:rPr>
        <w:t xml:space="preserve"> M, </w:t>
      </w:r>
      <w:proofErr w:type="spellStart"/>
      <w:r w:rsidRPr="000E1C77">
        <w:rPr>
          <w:lang w:val="es-CO"/>
        </w:rPr>
        <w:t>Lindh</w:t>
      </w:r>
      <w:proofErr w:type="spellEnd"/>
      <w:r w:rsidRPr="000E1C77">
        <w:rPr>
          <w:lang w:val="es-CO"/>
        </w:rPr>
        <w:t xml:space="preserve"> CH, </w:t>
      </w:r>
      <w:proofErr w:type="spellStart"/>
      <w:r w:rsidRPr="000E1C77">
        <w:rPr>
          <w:lang w:val="es-CO"/>
        </w:rPr>
        <w:t>Stenius</w:t>
      </w:r>
      <w:proofErr w:type="spellEnd"/>
      <w:r w:rsidRPr="000E1C77">
        <w:rPr>
          <w:lang w:val="es-CO"/>
        </w:rPr>
        <w:t xml:space="preserve"> U, </w:t>
      </w:r>
      <w:proofErr w:type="spellStart"/>
      <w:r w:rsidRPr="000E1C77">
        <w:rPr>
          <w:lang w:val="es-CO"/>
        </w:rPr>
        <w:t>Leander</w:t>
      </w:r>
      <w:proofErr w:type="spellEnd"/>
      <w:r w:rsidRPr="000E1C77">
        <w:rPr>
          <w:lang w:val="es-CO"/>
        </w:rPr>
        <w:t xml:space="preserve"> K, et al. </w:t>
      </w:r>
      <w:proofErr w:type="spellStart"/>
      <w:r w:rsidRPr="000E1C77">
        <w:rPr>
          <w:lang w:val="es-CO"/>
        </w:rPr>
        <w:t>Pesticide</w:t>
      </w:r>
      <w:proofErr w:type="spellEnd"/>
      <w:r w:rsidRPr="000E1C77">
        <w:rPr>
          <w:lang w:val="es-CO"/>
        </w:rPr>
        <w:t xml:space="preserve"> </w:t>
      </w:r>
      <w:proofErr w:type="spellStart"/>
      <w:r w:rsidRPr="000E1C77">
        <w:rPr>
          <w:lang w:val="es-CO"/>
        </w:rPr>
        <w:t>exposure</w:t>
      </w:r>
      <w:proofErr w:type="spellEnd"/>
    </w:p>
    <w:p w14:paraId="46EF43FB" w14:textId="77777777" w:rsidR="009B71F2" w:rsidRPr="000E1C77" w:rsidRDefault="009B71F2" w:rsidP="009B71F2">
      <w:pPr>
        <w:pStyle w:val="MDPI71References"/>
        <w:numPr>
          <w:ilvl w:val="0"/>
          <w:numId w:val="0"/>
        </w:numPr>
        <w:ind w:left="360"/>
        <w:rPr>
          <w:lang w:val="es-CO"/>
        </w:rPr>
      </w:pPr>
      <w:r w:rsidRPr="000E1C77">
        <w:t xml:space="preserve">among Bolivian farmers: associations between worker protection and exposure biomarkers. </w:t>
      </w:r>
      <w:r w:rsidRPr="000E1C77">
        <w:rPr>
          <w:lang w:val="es-CO"/>
        </w:rPr>
        <w:t>J Expo</w:t>
      </w:r>
    </w:p>
    <w:p w14:paraId="640FD5D0" w14:textId="77777777" w:rsidR="009B71F2" w:rsidRPr="000E1C77" w:rsidRDefault="009B71F2" w:rsidP="009B71F2">
      <w:pPr>
        <w:pStyle w:val="MDPI71References"/>
        <w:numPr>
          <w:ilvl w:val="0"/>
          <w:numId w:val="0"/>
        </w:numPr>
        <w:ind w:left="360"/>
        <w:rPr>
          <w:lang w:val="es-CO"/>
        </w:rPr>
      </w:pPr>
      <w:proofErr w:type="spellStart"/>
      <w:r w:rsidRPr="000E1C77">
        <w:rPr>
          <w:lang w:val="es-CO"/>
        </w:rPr>
        <w:t>Sci</w:t>
      </w:r>
      <w:proofErr w:type="spellEnd"/>
      <w:r w:rsidRPr="000E1C77">
        <w:rPr>
          <w:lang w:val="es-CO"/>
        </w:rPr>
        <w:t xml:space="preserve"> </w:t>
      </w:r>
      <w:proofErr w:type="spellStart"/>
      <w:r w:rsidRPr="000E1C77">
        <w:rPr>
          <w:lang w:val="es-CO"/>
        </w:rPr>
        <w:t>Environ</w:t>
      </w:r>
      <w:proofErr w:type="spellEnd"/>
      <w:r w:rsidRPr="000E1C77">
        <w:rPr>
          <w:lang w:val="es-CO"/>
        </w:rPr>
        <w:t xml:space="preserve"> </w:t>
      </w:r>
      <w:proofErr w:type="spellStart"/>
      <w:r w:rsidRPr="000E1C77">
        <w:rPr>
          <w:lang w:val="es-CO"/>
        </w:rPr>
        <w:t>Epidemiol</w:t>
      </w:r>
      <w:proofErr w:type="spellEnd"/>
      <w:r w:rsidRPr="000E1C77">
        <w:rPr>
          <w:lang w:val="es-CO"/>
        </w:rPr>
        <w:t>. julio de 2020;30(4):730-42.</w:t>
      </w:r>
    </w:p>
    <w:p w14:paraId="4E8A8067" w14:textId="77777777" w:rsidR="009B71F2" w:rsidRPr="000E1C77" w:rsidRDefault="009B71F2" w:rsidP="009B71F2">
      <w:pPr>
        <w:pStyle w:val="MDPI71References"/>
        <w:numPr>
          <w:ilvl w:val="0"/>
          <w:numId w:val="0"/>
        </w:numPr>
        <w:ind w:left="360"/>
        <w:rPr>
          <w:lang w:val="es-CO"/>
        </w:rPr>
      </w:pPr>
      <w:r w:rsidRPr="000E1C77">
        <w:rPr>
          <w:lang w:val="es-CO"/>
        </w:rPr>
        <w:t xml:space="preserve">21.  DANE. Mujeres rurales en Colombia. </w:t>
      </w:r>
      <w:r w:rsidRPr="00C674C2">
        <w:rPr>
          <w:lang w:val="es-CO"/>
        </w:rPr>
        <w:t xml:space="preserve">2025 [citado 13 de marzo de 2025]. Disponible en: </w:t>
      </w:r>
      <w:r w:rsidRPr="000E1C77">
        <w:rPr>
          <w:lang w:val="es-CO"/>
        </w:rPr>
        <w:t xml:space="preserve"> </w:t>
      </w:r>
      <w:hyperlink r:id="rId21" w:history="1">
        <w:r w:rsidRPr="000E1C77">
          <w:rPr>
            <w:rStyle w:val="Hipervnculo"/>
            <w:lang w:val="es-CO"/>
          </w:rPr>
          <w:t>https://www.dane.gov.co/files/investigaciones/notas-estadisticas/oct-2021-nota-estadistica-situacion-mujeres-rurales-colombia-resumen.pdf</w:t>
        </w:r>
      </w:hyperlink>
      <w:r w:rsidRPr="000E1C77">
        <w:rPr>
          <w:lang w:val="es-CO"/>
        </w:rPr>
        <w:t xml:space="preserve"> </w:t>
      </w:r>
    </w:p>
    <w:p w14:paraId="326CC237" w14:textId="77777777" w:rsidR="009B71F2" w:rsidRPr="000E1C77" w:rsidRDefault="009B71F2" w:rsidP="009B71F2">
      <w:pPr>
        <w:pStyle w:val="MDPI71References"/>
        <w:numPr>
          <w:ilvl w:val="0"/>
          <w:numId w:val="0"/>
        </w:numPr>
        <w:ind w:left="360"/>
        <w:rPr>
          <w:lang w:val="es-CO"/>
        </w:rPr>
      </w:pPr>
      <w:r w:rsidRPr="000E1C77">
        <w:rPr>
          <w:lang w:val="es-CO"/>
        </w:rPr>
        <w:t xml:space="preserve">22.  Miguel E da S, Carmo DL do, </w:t>
      </w:r>
      <w:proofErr w:type="spellStart"/>
      <w:r w:rsidRPr="000E1C77">
        <w:rPr>
          <w:lang w:val="es-CO"/>
        </w:rPr>
        <w:t>Lopes</w:t>
      </w:r>
      <w:proofErr w:type="spellEnd"/>
      <w:r w:rsidRPr="000E1C77">
        <w:rPr>
          <w:lang w:val="es-CO"/>
        </w:rPr>
        <w:t xml:space="preserve"> SO, Santos RHS, </w:t>
      </w:r>
      <w:proofErr w:type="spellStart"/>
      <w:r w:rsidRPr="000E1C77">
        <w:rPr>
          <w:lang w:val="es-CO"/>
        </w:rPr>
        <w:t>Franceschini</w:t>
      </w:r>
      <w:proofErr w:type="spellEnd"/>
      <w:r w:rsidRPr="000E1C77">
        <w:rPr>
          <w:lang w:val="es-CO"/>
        </w:rPr>
        <w:t xml:space="preserve"> S do CC, Castro LCV, et al.</w:t>
      </w:r>
    </w:p>
    <w:p w14:paraId="116386CF" w14:textId="77777777" w:rsidR="009B71F2" w:rsidRPr="000E1C77" w:rsidRDefault="009B71F2" w:rsidP="009B71F2">
      <w:pPr>
        <w:pStyle w:val="MDPI71References"/>
        <w:numPr>
          <w:ilvl w:val="0"/>
          <w:numId w:val="0"/>
        </w:numPr>
        <w:ind w:left="360"/>
      </w:pPr>
      <w:r w:rsidRPr="000E1C77">
        <w:t>Intoxication symptoms and health conditions of family farmers associated with the use of pesticides:</w:t>
      </w:r>
    </w:p>
    <w:p w14:paraId="323769F9" w14:textId="77777777" w:rsidR="009B71F2" w:rsidRPr="000E1C77" w:rsidRDefault="009B71F2" w:rsidP="009B71F2">
      <w:pPr>
        <w:pStyle w:val="MDPI71References"/>
        <w:numPr>
          <w:ilvl w:val="0"/>
          <w:numId w:val="0"/>
        </w:numPr>
        <w:ind w:left="360"/>
      </w:pPr>
      <w:r w:rsidRPr="000E1C77">
        <w:t xml:space="preserve">a study conducted in Zona da Mata </w:t>
      </w:r>
      <w:proofErr w:type="spellStart"/>
      <w:r w:rsidRPr="000E1C77">
        <w:t>Mineira</w:t>
      </w:r>
      <w:proofErr w:type="spellEnd"/>
      <w:r w:rsidRPr="000E1C77">
        <w:t xml:space="preserve">, Brazil. Research, Society and Development. 19 de </w:t>
      </w:r>
      <w:proofErr w:type="spellStart"/>
      <w:r w:rsidRPr="000E1C77">
        <w:t>junio</w:t>
      </w:r>
      <w:proofErr w:type="spellEnd"/>
    </w:p>
    <w:p w14:paraId="12E946D5" w14:textId="77777777" w:rsidR="009B71F2" w:rsidRPr="000E1C77" w:rsidRDefault="009B71F2" w:rsidP="009B71F2">
      <w:pPr>
        <w:pStyle w:val="MDPI71References"/>
        <w:numPr>
          <w:ilvl w:val="0"/>
          <w:numId w:val="0"/>
        </w:numPr>
        <w:ind w:left="360"/>
      </w:pPr>
      <w:r w:rsidRPr="000E1C77">
        <w:t>de 2022;11(8</w:t>
      </w:r>
      <w:proofErr w:type="gramStart"/>
      <w:r w:rsidRPr="000E1C77">
        <w:t>):e</w:t>
      </w:r>
      <w:proofErr w:type="gramEnd"/>
      <w:r w:rsidRPr="000E1C77">
        <w:t>31011830923-e31011830923.</w:t>
      </w:r>
    </w:p>
    <w:p w14:paraId="1A4F16E6" w14:textId="77777777" w:rsidR="009B71F2" w:rsidRPr="000E1C77" w:rsidRDefault="009B71F2" w:rsidP="009B71F2">
      <w:pPr>
        <w:pStyle w:val="MDPI71References"/>
        <w:numPr>
          <w:ilvl w:val="0"/>
          <w:numId w:val="0"/>
        </w:numPr>
        <w:ind w:left="360"/>
      </w:pPr>
      <w:r w:rsidRPr="000E1C77">
        <w:t xml:space="preserve">23.  Byrne R, Kirschner K. 27 - Unusual Behaviors. En: </w:t>
      </w:r>
      <w:proofErr w:type="spellStart"/>
      <w:r w:rsidRPr="000E1C77">
        <w:t>Kliegman</w:t>
      </w:r>
      <w:proofErr w:type="spellEnd"/>
      <w:r w:rsidRPr="000E1C77">
        <w:t xml:space="preserve"> RM, Lye PS, </w:t>
      </w:r>
      <w:proofErr w:type="spellStart"/>
      <w:r w:rsidRPr="000E1C77">
        <w:t>Bordini</w:t>
      </w:r>
      <w:proofErr w:type="spellEnd"/>
      <w:r w:rsidRPr="000E1C77">
        <w:t xml:space="preserve"> BJ, Toth H,</w:t>
      </w:r>
    </w:p>
    <w:p w14:paraId="672E2DE6" w14:textId="77777777" w:rsidR="009B71F2" w:rsidRPr="000E1C77" w:rsidRDefault="009B71F2" w:rsidP="009B71F2">
      <w:pPr>
        <w:pStyle w:val="MDPI71References"/>
        <w:numPr>
          <w:ilvl w:val="0"/>
          <w:numId w:val="0"/>
        </w:numPr>
        <w:ind w:left="360"/>
        <w:rPr>
          <w:lang w:val="es-CO"/>
        </w:rPr>
      </w:pPr>
      <w:r w:rsidRPr="000E1C77">
        <w:t xml:space="preserve">Basel D, </w:t>
      </w:r>
      <w:proofErr w:type="spellStart"/>
      <w:r w:rsidRPr="000E1C77">
        <w:t>editores</w:t>
      </w:r>
      <w:proofErr w:type="spellEnd"/>
      <w:r w:rsidRPr="000E1C77">
        <w:t xml:space="preserve">. Nelson Pediatric Symptom-Based Diagnosis [Internet]. </w:t>
      </w:r>
      <w:r w:rsidRPr="000E1C77">
        <w:rPr>
          <w:lang w:val="es-CO"/>
        </w:rPr>
        <w:t>Elsevier; 2018 [citado 25 de septiembre de 2022]. p. 421-438.e1. Disponible en:https://www.sciencedirect.com/science/article/pii/B9780323399562000273</w:t>
      </w:r>
    </w:p>
    <w:p w14:paraId="71A3C12B" w14:textId="77777777" w:rsidR="009B71F2" w:rsidRPr="000E1C77" w:rsidRDefault="009B71F2" w:rsidP="009B71F2">
      <w:pPr>
        <w:pStyle w:val="MDPI71References"/>
        <w:numPr>
          <w:ilvl w:val="0"/>
          <w:numId w:val="0"/>
        </w:numPr>
        <w:ind w:left="360"/>
        <w:rPr>
          <w:lang w:val="es-CO"/>
        </w:rPr>
      </w:pPr>
      <w:r w:rsidRPr="000E1C77">
        <w:rPr>
          <w:lang w:val="es-CO"/>
        </w:rPr>
        <w:t>24.  Zambrano Tigua SL. DIAGNÓSTICO DE APLICACIÓN DE AGROQUÍMICOS E N CULTIVOS</w:t>
      </w:r>
    </w:p>
    <w:p w14:paraId="32368F0D" w14:textId="77777777" w:rsidR="009B71F2" w:rsidRPr="000E1C77" w:rsidRDefault="009B71F2" w:rsidP="009B71F2">
      <w:pPr>
        <w:pStyle w:val="MDPI71References"/>
        <w:numPr>
          <w:ilvl w:val="0"/>
          <w:numId w:val="0"/>
        </w:numPr>
        <w:ind w:left="360"/>
        <w:rPr>
          <w:lang w:val="es-CO"/>
        </w:rPr>
      </w:pPr>
      <w:r w:rsidRPr="000E1C77">
        <w:rPr>
          <w:lang w:val="es-CO"/>
        </w:rPr>
        <w:t>DE CICLO CORTO Y SU IMPACTO EN LA SALUD AMBIENTAL CANTAGALLO. 2018</w:t>
      </w:r>
    </w:p>
    <w:p w14:paraId="721AA5EF" w14:textId="77777777" w:rsidR="009B71F2" w:rsidRPr="000E1C77" w:rsidRDefault="009B71F2" w:rsidP="009B71F2">
      <w:pPr>
        <w:pStyle w:val="MDPI71References"/>
        <w:numPr>
          <w:ilvl w:val="0"/>
          <w:numId w:val="0"/>
        </w:numPr>
        <w:ind w:left="360"/>
        <w:rPr>
          <w:lang w:val="es-CO"/>
        </w:rPr>
      </w:pPr>
      <w:r w:rsidRPr="000E1C77">
        <w:rPr>
          <w:lang w:val="es-CO"/>
        </w:rPr>
        <w:t>[citado 11 de mayo de 2022]; Disponible en: http://repositorio.unesum.edu.ec/handle/53000/1299</w:t>
      </w:r>
    </w:p>
    <w:p w14:paraId="035CB538" w14:textId="77777777" w:rsidR="009B71F2" w:rsidRPr="000E1C77" w:rsidRDefault="009B71F2" w:rsidP="009B71F2">
      <w:pPr>
        <w:pStyle w:val="MDPI71References"/>
        <w:numPr>
          <w:ilvl w:val="0"/>
          <w:numId w:val="0"/>
        </w:numPr>
        <w:ind w:left="360"/>
        <w:rPr>
          <w:lang w:val="es-CO"/>
        </w:rPr>
      </w:pPr>
      <w:r w:rsidRPr="000E1C77">
        <w:rPr>
          <w:lang w:val="es-CO"/>
        </w:rPr>
        <w:t>25.  Fernández Aravena CI. Alteraciones tiroideas en agricultores de Cotopaxi y su relación con el uso de</w:t>
      </w:r>
    </w:p>
    <w:p w14:paraId="16A0CE55" w14:textId="77777777" w:rsidR="009B71F2" w:rsidRPr="000E1C77" w:rsidRDefault="009B71F2" w:rsidP="009B71F2">
      <w:pPr>
        <w:pStyle w:val="MDPI71References"/>
        <w:numPr>
          <w:ilvl w:val="0"/>
          <w:numId w:val="0"/>
        </w:numPr>
        <w:ind w:left="360"/>
        <w:rPr>
          <w:lang w:val="es-CO"/>
        </w:rPr>
      </w:pPr>
      <w:r w:rsidRPr="000E1C77">
        <w:rPr>
          <w:lang w:val="es-CO"/>
        </w:rPr>
        <w:t>plaguicidas. Revista San Gregorio [Internet]. 30 de marzo de 2021 [citado 17 de agosto de</w:t>
      </w:r>
    </w:p>
    <w:p w14:paraId="32185411" w14:textId="77777777" w:rsidR="009B71F2" w:rsidRPr="000E1C77" w:rsidRDefault="009B71F2" w:rsidP="009B71F2">
      <w:pPr>
        <w:pStyle w:val="MDPI71References"/>
        <w:numPr>
          <w:ilvl w:val="0"/>
          <w:numId w:val="0"/>
        </w:numPr>
        <w:ind w:left="360"/>
        <w:rPr>
          <w:lang w:val="es-CO"/>
        </w:rPr>
      </w:pPr>
      <w:r w:rsidRPr="000E1C77">
        <w:rPr>
          <w:lang w:val="es-CO"/>
        </w:rPr>
        <w:t>2022];(45). Disponible en:</w:t>
      </w:r>
    </w:p>
    <w:p w14:paraId="6A5DEB10" w14:textId="77777777" w:rsidR="009B71F2" w:rsidRPr="000E1C77" w:rsidRDefault="009B71F2" w:rsidP="009B71F2">
      <w:pPr>
        <w:pStyle w:val="MDPI71References"/>
        <w:numPr>
          <w:ilvl w:val="0"/>
          <w:numId w:val="0"/>
        </w:numPr>
        <w:ind w:left="360"/>
        <w:rPr>
          <w:lang w:val="es-CO"/>
        </w:rPr>
      </w:pPr>
      <w:r w:rsidRPr="000E1C77">
        <w:rPr>
          <w:lang w:val="es-CO"/>
        </w:rPr>
        <w:t>https://revista.sangregorio.edu.ec/index.php/REVISTASANGREGORIO/article/view/1396</w:t>
      </w:r>
    </w:p>
    <w:p w14:paraId="300FAB51" w14:textId="77777777" w:rsidR="009B71F2" w:rsidRPr="000E1C77" w:rsidRDefault="009B71F2" w:rsidP="009B71F2">
      <w:pPr>
        <w:pStyle w:val="MDPI71References"/>
        <w:numPr>
          <w:ilvl w:val="0"/>
          <w:numId w:val="0"/>
        </w:numPr>
        <w:ind w:left="360"/>
        <w:rPr>
          <w:lang w:val="es-CO"/>
        </w:rPr>
      </w:pPr>
      <w:r w:rsidRPr="000E1C77">
        <w:rPr>
          <w:lang w:val="es-CO"/>
        </w:rPr>
        <w:t>26.  Alvarado J, Valencia CA, Castillo MR, Luna P, Borboa J, Mexia M, et al. Agroquímicos</w:t>
      </w:r>
    </w:p>
    <w:p w14:paraId="642C087B" w14:textId="77777777" w:rsidR="009B71F2" w:rsidRPr="000E1C77" w:rsidRDefault="009B71F2" w:rsidP="009B71F2">
      <w:pPr>
        <w:pStyle w:val="MDPI71References"/>
        <w:numPr>
          <w:ilvl w:val="0"/>
          <w:numId w:val="0"/>
        </w:numPr>
        <w:ind w:left="360"/>
        <w:rPr>
          <w:lang w:val="es-CO"/>
        </w:rPr>
      </w:pPr>
      <w:r w:rsidRPr="000E1C77">
        <w:rPr>
          <w:lang w:val="es-CO"/>
        </w:rPr>
        <w:t>organofosforados y su potencial daño en la salud de trabajadores agrícolas del campo sonorense.</w:t>
      </w:r>
    </w:p>
    <w:p w14:paraId="084E5085" w14:textId="77777777" w:rsidR="009B71F2" w:rsidRPr="000E1C77" w:rsidRDefault="009B71F2" w:rsidP="009B71F2">
      <w:pPr>
        <w:pStyle w:val="MDPI71References"/>
        <w:numPr>
          <w:ilvl w:val="0"/>
          <w:numId w:val="0"/>
        </w:numPr>
        <w:ind w:left="360"/>
        <w:rPr>
          <w:lang w:val="es-CO"/>
        </w:rPr>
      </w:pPr>
      <w:r w:rsidRPr="000E1C77">
        <w:rPr>
          <w:lang w:val="es-CO"/>
        </w:rPr>
        <w:t>CIENCIA ergo-sum, Revista Científica Multidisciplinaria de Prospectiva [Internet]. 2019 [citado 14</w:t>
      </w:r>
    </w:p>
    <w:p w14:paraId="3F73BF21" w14:textId="77777777" w:rsidR="009B71F2" w:rsidRPr="000E1C77" w:rsidRDefault="009B71F2" w:rsidP="009B71F2">
      <w:pPr>
        <w:pStyle w:val="MDPI71References"/>
        <w:numPr>
          <w:ilvl w:val="0"/>
          <w:numId w:val="0"/>
        </w:numPr>
        <w:ind w:left="360"/>
        <w:rPr>
          <w:lang w:val="es-CO"/>
        </w:rPr>
      </w:pPr>
      <w:r w:rsidRPr="000E1C77">
        <w:rPr>
          <w:lang w:val="es-CO"/>
        </w:rPr>
        <w:t>de septiembre de 2021];26(1). Disponible en: https://www.redalyc.org/jatsRepo/104/10456899008/html/index.html</w:t>
      </w:r>
    </w:p>
    <w:p w14:paraId="56783366" w14:textId="77777777" w:rsidR="009B71F2" w:rsidRPr="000E1C77" w:rsidRDefault="009B71F2" w:rsidP="009B71F2">
      <w:pPr>
        <w:pStyle w:val="MDPI71References"/>
        <w:numPr>
          <w:ilvl w:val="0"/>
          <w:numId w:val="0"/>
        </w:numPr>
        <w:ind w:left="360"/>
      </w:pPr>
      <w:r w:rsidRPr="000E1C77">
        <w:t>27. Instituto Colombiano Agropecuario. (</w:t>
      </w:r>
      <w:proofErr w:type="spellStart"/>
      <w:r w:rsidRPr="000E1C77">
        <w:t>s.f.</w:t>
      </w:r>
      <w:proofErr w:type="spellEnd"/>
      <w:r w:rsidRPr="000E1C77">
        <w:t xml:space="preserve">). </w:t>
      </w:r>
      <w:proofErr w:type="spellStart"/>
      <w:r w:rsidRPr="000E1C77">
        <w:t>Reporte</w:t>
      </w:r>
      <w:proofErr w:type="spellEnd"/>
      <w:r w:rsidRPr="000E1C77">
        <w:t xml:space="preserve"> </w:t>
      </w:r>
      <w:proofErr w:type="spellStart"/>
      <w:r w:rsidRPr="000E1C77">
        <w:t>Plaguicidas</w:t>
      </w:r>
      <w:proofErr w:type="spellEnd"/>
      <w:r w:rsidRPr="000E1C77">
        <w:t xml:space="preserve"> </w:t>
      </w:r>
      <w:proofErr w:type="spellStart"/>
      <w:r w:rsidRPr="000E1C77">
        <w:t>Químicos</w:t>
      </w:r>
      <w:proofErr w:type="spellEnd"/>
      <w:r w:rsidRPr="000E1C77">
        <w:t xml:space="preserve"> de Uso Agrícola [Dashboard </w:t>
      </w:r>
      <w:proofErr w:type="spellStart"/>
      <w:r w:rsidRPr="000E1C77">
        <w:t>interactivo</w:t>
      </w:r>
      <w:proofErr w:type="spellEnd"/>
      <w:r w:rsidRPr="000E1C77">
        <w:t xml:space="preserve">]. </w:t>
      </w:r>
      <w:proofErr w:type="spellStart"/>
      <w:r w:rsidRPr="000E1C77">
        <w:t>AnalítICA</w:t>
      </w:r>
      <w:proofErr w:type="spellEnd"/>
      <w:r w:rsidRPr="000E1C77">
        <w:t xml:space="preserve">. </w:t>
      </w:r>
      <w:proofErr w:type="spellStart"/>
      <w:r w:rsidRPr="000E1C77">
        <w:t>Recuperado</w:t>
      </w:r>
      <w:proofErr w:type="spellEnd"/>
      <w:r w:rsidRPr="000E1C77">
        <w:t xml:space="preserve"> </w:t>
      </w:r>
      <w:proofErr w:type="spellStart"/>
      <w:r w:rsidRPr="000E1C77">
        <w:t>el</w:t>
      </w:r>
      <w:proofErr w:type="spellEnd"/>
      <w:r w:rsidRPr="000E1C77">
        <w:t xml:space="preserve"> 24 de </w:t>
      </w:r>
      <w:proofErr w:type="spellStart"/>
      <w:r w:rsidRPr="000E1C77">
        <w:t>marzo</w:t>
      </w:r>
      <w:proofErr w:type="spellEnd"/>
      <w:r w:rsidRPr="000E1C77">
        <w:t xml:space="preserve"> de 2025, de </w:t>
      </w:r>
      <w:hyperlink r:id="rId22" w:history="1">
        <w:r w:rsidRPr="000E1C77">
          <w:rPr>
            <w:rStyle w:val="Hipervnculo"/>
          </w:rPr>
          <w:t>https://www.ica.gov.co</w:t>
        </w:r>
      </w:hyperlink>
      <w:r w:rsidRPr="000E1C77">
        <w:t xml:space="preserve"> </w:t>
      </w:r>
    </w:p>
    <w:p w14:paraId="5C58A4CC" w14:textId="77777777" w:rsidR="009B71F2" w:rsidRPr="000E1C77" w:rsidRDefault="009B71F2" w:rsidP="009B71F2">
      <w:pPr>
        <w:pStyle w:val="MDPI71References"/>
        <w:numPr>
          <w:ilvl w:val="0"/>
          <w:numId w:val="0"/>
        </w:numPr>
        <w:ind w:left="360"/>
      </w:pPr>
      <w:r w:rsidRPr="000E1C77">
        <w:t xml:space="preserve">28. National Center for Biotechnology Information (2025). PubChem Compound Summary for CID 3034285, Azoxystrobin. Retrieved March 24, </w:t>
      </w:r>
      <w:proofErr w:type="gramStart"/>
      <w:r w:rsidRPr="000E1C77">
        <w:t>2025</w:t>
      </w:r>
      <w:proofErr w:type="gramEnd"/>
      <w:r w:rsidRPr="000E1C77">
        <w:t xml:space="preserve"> from https://pubchem.ncbi.nlm.nih.gov/compound/Azoxystrobin.</w:t>
      </w:r>
    </w:p>
    <w:p w14:paraId="4FB710A8" w14:textId="77777777" w:rsidR="009B71F2" w:rsidRPr="000E1C77" w:rsidRDefault="009B71F2" w:rsidP="009B71F2">
      <w:pPr>
        <w:pStyle w:val="MDPI71References"/>
        <w:numPr>
          <w:ilvl w:val="0"/>
          <w:numId w:val="0"/>
        </w:numPr>
        <w:ind w:left="360"/>
      </w:pPr>
      <w:r w:rsidRPr="000E1C77">
        <w:t xml:space="preserve">29. National Center for Biotechnology Information (2025). PubChem Compound Summary for CID 3496, Glyphosate. Retrieved March 24, </w:t>
      </w:r>
      <w:proofErr w:type="gramStart"/>
      <w:r w:rsidRPr="000E1C77">
        <w:t>2025</w:t>
      </w:r>
      <w:proofErr w:type="gramEnd"/>
      <w:r w:rsidRPr="000E1C77">
        <w:t xml:space="preserve"> from https://pubchem.ncbi.nlm.nih.gov/compound/Glyphosate.</w:t>
      </w:r>
    </w:p>
    <w:p w14:paraId="3D06E21C" w14:textId="77777777" w:rsidR="009B71F2" w:rsidRPr="000E1C77" w:rsidRDefault="009B71F2" w:rsidP="009B71F2">
      <w:pPr>
        <w:pStyle w:val="MDPI71References"/>
        <w:numPr>
          <w:ilvl w:val="0"/>
          <w:numId w:val="0"/>
        </w:numPr>
        <w:ind w:left="360"/>
      </w:pPr>
      <w:r w:rsidRPr="000E1C77">
        <w:t xml:space="preserve">30. National Center for Biotechnology Information (2025). PubChem Compound Summary for CID 13307026, </w:t>
      </w:r>
      <w:proofErr w:type="gramStart"/>
      <w:r w:rsidRPr="000E1C77">
        <w:t>zinc;manganese</w:t>
      </w:r>
      <w:proofErr w:type="gramEnd"/>
      <w:r w:rsidRPr="000E1C77">
        <w:t xml:space="preserve">(2+);N-[2-(sulfidocarbothioylamino)ethyl]carbamodithioate. Retrieved March 25, </w:t>
      </w:r>
      <w:proofErr w:type="gramStart"/>
      <w:r w:rsidRPr="000E1C77">
        <w:t>2025</w:t>
      </w:r>
      <w:proofErr w:type="gramEnd"/>
      <w:r w:rsidRPr="000E1C77">
        <w:t xml:space="preserve"> from </w:t>
      </w:r>
      <w:hyperlink r:id="rId23" w:history="1">
        <w:r w:rsidRPr="000E1C77">
          <w:rPr>
            <w:rStyle w:val="Hipervnculo"/>
          </w:rPr>
          <w:t>https://pubchem.ncbi.nlm.nih.gov/compound/mancozeb</w:t>
        </w:r>
      </w:hyperlink>
      <w:r w:rsidRPr="000E1C77">
        <w:t xml:space="preserve">. </w:t>
      </w:r>
    </w:p>
    <w:p w14:paraId="4C1D2749" w14:textId="77777777" w:rsidR="009B71F2" w:rsidRPr="000E1C77" w:rsidRDefault="009B71F2" w:rsidP="009B71F2">
      <w:pPr>
        <w:pStyle w:val="MDPI71References"/>
        <w:numPr>
          <w:ilvl w:val="0"/>
          <w:numId w:val="0"/>
        </w:numPr>
        <w:ind w:left="360"/>
      </w:pPr>
      <w:r w:rsidRPr="000E1C77">
        <w:t xml:space="preserve">31. National Center for Biotechnology Information (2025). PubChem Compound Summary for CID 86173, Difenoconazole. Retrieved March 24, </w:t>
      </w:r>
      <w:proofErr w:type="gramStart"/>
      <w:r w:rsidRPr="000E1C77">
        <w:t>2025</w:t>
      </w:r>
      <w:proofErr w:type="gramEnd"/>
      <w:r w:rsidRPr="000E1C77">
        <w:t xml:space="preserve"> from </w:t>
      </w:r>
      <w:hyperlink r:id="rId24" w:history="1">
        <w:r w:rsidRPr="000E1C77">
          <w:rPr>
            <w:rStyle w:val="Hipervnculo"/>
          </w:rPr>
          <w:t>https://pubchem.ncbi.nlm.nih.gov/compound/Difenoconazole</w:t>
        </w:r>
      </w:hyperlink>
      <w:r w:rsidRPr="000E1C77">
        <w:t xml:space="preserve">. </w:t>
      </w:r>
    </w:p>
    <w:p w14:paraId="1578F091" w14:textId="77777777" w:rsidR="009B71F2" w:rsidRPr="000E1C77" w:rsidRDefault="009B71F2" w:rsidP="009B71F2">
      <w:pPr>
        <w:pStyle w:val="MDPI71References"/>
        <w:numPr>
          <w:ilvl w:val="0"/>
          <w:numId w:val="0"/>
        </w:numPr>
        <w:ind w:left="360"/>
      </w:pPr>
      <w:r w:rsidRPr="000E1C77">
        <w:t xml:space="preserve">32. National Center for Biotechnology Information (2025). PubChem Compound Summary for CID 86287518, Imidacloprid. Retrieved March 24, </w:t>
      </w:r>
      <w:proofErr w:type="gramStart"/>
      <w:r w:rsidRPr="000E1C77">
        <w:t>2025</w:t>
      </w:r>
      <w:proofErr w:type="gramEnd"/>
      <w:r w:rsidRPr="000E1C77">
        <w:t xml:space="preserve"> from https://pubchem.ncbi.nlm.nih.gov/compound/Imidacloprid.</w:t>
      </w:r>
    </w:p>
    <w:p w14:paraId="5BB1A45F" w14:textId="77777777" w:rsidR="009B71F2" w:rsidRPr="000E1C77" w:rsidRDefault="009B71F2" w:rsidP="009B71F2">
      <w:pPr>
        <w:pStyle w:val="MDPI71References"/>
        <w:numPr>
          <w:ilvl w:val="0"/>
          <w:numId w:val="0"/>
        </w:numPr>
        <w:ind w:left="360"/>
      </w:pPr>
      <w:r w:rsidRPr="000E1C77">
        <w:t xml:space="preserve">33.  Pastor S, Gutiérrez S, Creus A, </w:t>
      </w:r>
      <w:proofErr w:type="spellStart"/>
      <w:r w:rsidRPr="000E1C77">
        <w:t>Xamena</w:t>
      </w:r>
      <w:proofErr w:type="spellEnd"/>
      <w:r w:rsidRPr="000E1C77">
        <w:t xml:space="preserve"> N, </w:t>
      </w:r>
      <w:proofErr w:type="spellStart"/>
      <w:r w:rsidRPr="000E1C77">
        <w:t>Piperakis</w:t>
      </w:r>
      <w:proofErr w:type="spellEnd"/>
      <w:r w:rsidRPr="000E1C77">
        <w:t xml:space="preserve"> S, Marcos R. Cytogenetic analysis of Greek</w:t>
      </w:r>
    </w:p>
    <w:p w14:paraId="48FBA51B" w14:textId="77777777" w:rsidR="009B71F2" w:rsidRPr="000E1C77" w:rsidRDefault="009B71F2" w:rsidP="009B71F2">
      <w:pPr>
        <w:pStyle w:val="MDPI71References"/>
        <w:numPr>
          <w:ilvl w:val="0"/>
          <w:numId w:val="0"/>
        </w:numPr>
        <w:ind w:left="360"/>
        <w:rPr>
          <w:lang w:val="es-CO"/>
        </w:rPr>
      </w:pPr>
      <w:r w:rsidRPr="000E1C77">
        <w:t xml:space="preserve">farmers using the micronucleus assay in peripheral lymphocytes and buccal cells. </w:t>
      </w:r>
      <w:proofErr w:type="spellStart"/>
      <w:r w:rsidRPr="000E1C77">
        <w:rPr>
          <w:lang w:val="es-CO"/>
        </w:rPr>
        <w:t>Mutagenesis</w:t>
      </w:r>
      <w:proofErr w:type="spellEnd"/>
      <w:r w:rsidRPr="000E1C77">
        <w:rPr>
          <w:lang w:val="es-CO"/>
        </w:rPr>
        <w:t>. 1 de</w:t>
      </w:r>
    </w:p>
    <w:p w14:paraId="78F9D96B" w14:textId="77777777" w:rsidR="009B71F2" w:rsidRPr="000E1C77" w:rsidRDefault="009B71F2" w:rsidP="009B71F2">
      <w:pPr>
        <w:pStyle w:val="MDPI71References"/>
        <w:numPr>
          <w:ilvl w:val="0"/>
          <w:numId w:val="0"/>
        </w:numPr>
        <w:ind w:left="360"/>
        <w:rPr>
          <w:lang w:val="es-CO"/>
        </w:rPr>
      </w:pPr>
      <w:r w:rsidRPr="000E1C77">
        <w:rPr>
          <w:lang w:val="es-CO"/>
        </w:rPr>
        <w:t>noviembre de 2001;16(6):539-45.</w:t>
      </w:r>
    </w:p>
    <w:p w14:paraId="2416CB32" w14:textId="77777777" w:rsidR="009B71F2" w:rsidRPr="000E1C77" w:rsidRDefault="009B71F2" w:rsidP="009B71F2">
      <w:pPr>
        <w:pStyle w:val="MDPI71References"/>
        <w:numPr>
          <w:ilvl w:val="0"/>
          <w:numId w:val="0"/>
        </w:numPr>
        <w:ind w:left="360"/>
        <w:rPr>
          <w:lang w:val="es-CO"/>
        </w:rPr>
      </w:pPr>
      <w:r w:rsidRPr="000E1C77">
        <w:rPr>
          <w:lang w:val="es-CO"/>
        </w:rPr>
        <w:t xml:space="preserve">34.  Varona Uribe M, Castro RA, </w:t>
      </w:r>
      <w:proofErr w:type="spellStart"/>
      <w:r w:rsidRPr="000E1C77">
        <w:rPr>
          <w:lang w:val="es-CO"/>
        </w:rPr>
        <w:t>Paéz</w:t>
      </w:r>
      <w:proofErr w:type="spellEnd"/>
      <w:r w:rsidRPr="000E1C77">
        <w:rPr>
          <w:lang w:val="es-CO"/>
        </w:rPr>
        <w:t xml:space="preserve"> I, Carvajal N, Barbosa E, León LM, et al. Impacto en la salud y el</w:t>
      </w:r>
    </w:p>
    <w:p w14:paraId="197DF13E" w14:textId="77777777" w:rsidR="009B71F2" w:rsidRPr="000E1C77" w:rsidRDefault="009B71F2" w:rsidP="009B71F2">
      <w:pPr>
        <w:pStyle w:val="MDPI71References"/>
        <w:numPr>
          <w:ilvl w:val="0"/>
          <w:numId w:val="0"/>
        </w:numPr>
        <w:ind w:left="360"/>
        <w:rPr>
          <w:lang w:val="es-CO"/>
        </w:rPr>
      </w:pPr>
      <w:r w:rsidRPr="000E1C77">
        <w:rPr>
          <w:lang w:val="es-CO"/>
        </w:rPr>
        <w:t>medio ambiente por exposición a plaguicidas e implementación de buenas prácticas agrícolas en el</w:t>
      </w:r>
    </w:p>
    <w:p w14:paraId="0F9C9438" w14:textId="77777777" w:rsidR="009B71F2" w:rsidRPr="000E1C77" w:rsidRDefault="009B71F2" w:rsidP="009B71F2">
      <w:pPr>
        <w:pStyle w:val="MDPI71References"/>
        <w:numPr>
          <w:ilvl w:val="0"/>
          <w:numId w:val="0"/>
        </w:numPr>
        <w:ind w:left="360"/>
        <w:rPr>
          <w:lang w:val="es-CO"/>
        </w:rPr>
      </w:pPr>
      <w:r w:rsidRPr="000E1C77">
        <w:rPr>
          <w:lang w:val="es-CO"/>
        </w:rPr>
        <w:t>cultivo de tomate, Colombia, 2011. Revista Chilena de Salud Pública. 28 de junio de 2012;16(2):96-</w:t>
      </w:r>
    </w:p>
    <w:p w14:paraId="04EEE0C5" w14:textId="77777777" w:rsidR="009B71F2" w:rsidRPr="000E1C77" w:rsidRDefault="009B71F2" w:rsidP="009B71F2">
      <w:pPr>
        <w:pStyle w:val="MDPI71References"/>
        <w:numPr>
          <w:ilvl w:val="0"/>
          <w:numId w:val="0"/>
        </w:numPr>
        <w:ind w:left="360"/>
        <w:rPr>
          <w:lang w:val="es-CO"/>
        </w:rPr>
      </w:pPr>
      <w:r w:rsidRPr="000E1C77">
        <w:rPr>
          <w:lang w:val="es-CO"/>
        </w:rPr>
        <w:t>106.</w:t>
      </w:r>
    </w:p>
    <w:p w14:paraId="5B31906D" w14:textId="77777777" w:rsidR="009B71F2" w:rsidRPr="000E1C77" w:rsidRDefault="009B71F2" w:rsidP="009B71F2">
      <w:pPr>
        <w:pStyle w:val="MDPI71References"/>
        <w:numPr>
          <w:ilvl w:val="0"/>
          <w:numId w:val="0"/>
        </w:numPr>
        <w:ind w:left="360"/>
        <w:rPr>
          <w:lang w:val="es-CO"/>
        </w:rPr>
      </w:pPr>
      <w:r w:rsidRPr="000E1C77">
        <w:rPr>
          <w:lang w:val="es-CO"/>
        </w:rPr>
        <w:t xml:space="preserve">35.  Bolognesi C, </w:t>
      </w:r>
      <w:proofErr w:type="spellStart"/>
      <w:r w:rsidRPr="000E1C77">
        <w:rPr>
          <w:lang w:val="es-CO"/>
        </w:rPr>
        <w:t>Landini</w:t>
      </w:r>
      <w:proofErr w:type="spellEnd"/>
      <w:r w:rsidRPr="000E1C77">
        <w:rPr>
          <w:lang w:val="es-CO"/>
        </w:rPr>
        <w:t xml:space="preserve"> E, Perrone E, </w:t>
      </w:r>
      <w:proofErr w:type="spellStart"/>
      <w:r w:rsidRPr="000E1C77">
        <w:rPr>
          <w:lang w:val="es-CO"/>
        </w:rPr>
        <w:t>Roggieri</w:t>
      </w:r>
      <w:proofErr w:type="spellEnd"/>
      <w:r w:rsidRPr="000E1C77">
        <w:rPr>
          <w:lang w:val="es-CO"/>
        </w:rPr>
        <w:t xml:space="preserve"> P. </w:t>
      </w:r>
      <w:proofErr w:type="spellStart"/>
      <w:r w:rsidRPr="000E1C77">
        <w:rPr>
          <w:lang w:val="es-CO"/>
        </w:rPr>
        <w:t>Cytogenetic</w:t>
      </w:r>
      <w:proofErr w:type="spellEnd"/>
      <w:r w:rsidRPr="000E1C77">
        <w:rPr>
          <w:lang w:val="es-CO"/>
        </w:rPr>
        <w:t xml:space="preserve"> </w:t>
      </w:r>
      <w:proofErr w:type="spellStart"/>
      <w:r w:rsidRPr="000E1C77">
        <w:rPr>
          <w:lang w:val="es-CO"/>
        </w:rPr>
        <w:t>biomonitoring</w:t>
      </w:r>
      <w:proofErr w:type="spellEnd"/>
      <w:r w:rsidRPr="000E1C77">
        <w:rPr>
          <w:lang w:val="es-CO"/>
        </w:rPr>
        <w:t xml:space="preserve"> </w:t>
      </w:r>
      <w:proofErr w:type="spellStart"/>
      <w:r w:rsidRPr="000E1C77">
        <w:rPr>
          <w:lang w:val="es-CO"/>
        </w:rPr>
        <w:t>of</w:t>
      </w:r>
      <w:proofErr w:type="spellEnd"/>
      <w:r w:rsidRPr="000E1C77">
        <w:rPr>
          <w:lang w:val="es-CO"/>
        </w:rPr>
        <w:t xml:space="preserve"> a </w:t>
      </w:r>
      <w:proofErr w:type="spellStart"/>
      <w:r w:rsidRPr="000E1C77">
        <w:rPr>
          <w:lang w:val="es-CO"/>
        </w:rPr>
        <w:t>floriculturist</w:t>
      </w:r>
      <w:proofErr w:type="spellEnd"/>
    </w:p>
    <w:p w14:paraId="177E7B8B" w14:textId="77777777" w:rsidR="009B71F2" w:rsidRPr="000E1C77" w:rsidRDefault="009B71F2" w:rsidP="009B71F2">
      <w:pPr>
        <w:pStyle w:val="MDPI71References"/>
        <w:numPr>
          <w:ilvl w:val="0"/>
          <w:numId w:val="0"/>
        </w:numPr>
        <w:ind w:left="360"/>
      </w:pPr>
      <w:r w:rsidRPr="000E1C77">
        <w:t>population in Italy: micronucleus analysis by fluorescence in situ hybridization (FISH) with an all-</w:t>
      </w:r>
    </w:p>
    <w:p w14:paraId="6A564415" w14:textId="77777777" w:rsidR="009B71F2" w:rsidRPr="000E1C77" w:rsidRDefault="009B71F2" w:rsidP="009B71F2">
      <w:pPr>
        <w:pStyle w:val="MDPI71References"/>
        <w:numPr>
          <w:ilvl w:val="0"/>
          <w:numId w:val="0"/>
        </w:numPr>
        <w:ind w:left="360"/>
        <w:rPr>
          <w:lang w:val="es-CO"/>
        </w:rPr>
      </w:pPr>
      <w:proofErr w:type="spellStart"/>
      <w:r w:rsidRPr="000E1C77">
        <w:rPr>
          <w:lang w:val="es-CO"/>
        </w:rPr>
        <w:t>chromosome</w:t>
      </w:r>
      <w:proofErr w:type="spellEnd"/>
      <w:r w:rsidRPr="000E1C77">
        <w:rPr>
          <w:lang w:val="es-CO"/>
        </w:rPr>
        <w:t xml:space="preserve"> </w:t>
      </w:r>
      <w:proofErr w:type="spellStart"/>
      <w:r w:rsidRPr="000E1C77">
        <w:rPr>
          <w:lang w:val="es-CO"/>
        </w:rPr>
        <w:t>centromeric</w:t>
      </w:r>
      <w:proofErr w:type="spellEnd"/>
      <w:r w:rsidRPr="000E1C77">
        <w:rPr>
          <w:lang w:val="es-CO"/>
        </w:rPr>
        <w:t xml:space="preserve"> probe. </w:t>
      </w:r>
      <w:proofErr w:type="spellStart"/>
      <w:r w:rsidRPr="000E1C77">
        <w:rPr>
          <w:lang w:val="es-CO"/>
        </w:rPr>
        <w:t>Mutat</w:t>
      </w:r>
      <w:proofErr w:type="spellEnd"/>
      <w:r w:rsidRPr="000E1C77">
        <w:rPr>
          <w:lang w:val="es-CO"/>
        </w:rPr>
        <w:t xml:space="preserve"> Res. 14 de febrero de 2004;557(2):109-17.</w:t>
      </w:r>
    </w:p>
    <w:p w14:paraId="0A7EC980" w14:textId="77777777" w:rsidR="009B71F2" w:rsidRPr="000E1C77" w:rsidRDefault="009B71F2" w:rsidP="009B71F2">
      <w:pPr>
        <w:pStyle w:val="MDPI71References"/>
        <w:numPr>
          <w:ilvl w:val="0"/>
          <w:numId w:val="0"/>
        </w:numPr>
        <w:ind w:left="360"/>
        <w:rPr>
          <w:lang w:val="es-CO"/>
        </w:rPr>
      </w:pPr>
      <w:r w:rsidRPr="000E1C77">
        <w:rPr>
          <w:lang w:val="es-CO"/>
        </w:rPr>
        <w:t xml:space="preserve">36. </w:t>
      </w:r>
      <w:proofErr w:type="spellStart"/>
      <w:r w:rsidRPr="000E1C77">
        <w:rPr>
          <w:lang w:val="es-CO"/>
        </w:rPr>
        <w:t>Simoniello</w:t>
      </w:r>
      <w:proofErr w:type="spellEnd"/>
      <w:r w:rsidRPr="000E1C77">
        <w:rPr>
          <w:lang w:val="es-CO"/>
        </w:rPr>
        <w:t xml:space="preserve"> MF, </w:t>
      </w:r>
      <w:proofErr w:type="spellStart"/>
      <w:r w:rsidRPr="000E1C77">
        <w:rPr>
          <w:lang w:val="es-CO"/>
        </w:rPr>
        <w:t>Kleinsorge</w:t>
      </w:r>
      <w:proofErr w:type="spellEnd"/>
      <w:r w:rsidRPr="000E1C77">
        <w:rPr>
          <w:lang w:val="es-CO"/>
        </w:rPr>
        <w:t xml:space="preserve"> EC, </w:t>
      </w:r>
      <w:proofErr w:type="spellStart"/>
      <w:r w:rsidRPr="000E1C77">
        <w:rPr>
          <w:lang w:val="es-CO"/>
        </w:rPr>
        <w:t>Scagnetti</w:t>
      </w:r>
      <w:proofErr w:type="spellEnd"/>
      <w:r w:rsidRPr="000E1C77">
        <w:rPr>
          <w:lang w:val="es-CO"/>
        </w:rPr>
        <w:t xml:space="preserve"> JA, </w:t>
      </w:r>
      <w:proofErr w:type="spellStart"/>
      <w:r w:rsidRPr="000E1C77">
        <w:rPr>
          <w:lang w:val="es-CO"/>
        </w:rPr>
        <w:t>Grigolato</w:t>
      </w:r>
      <w:proofErr w:type="spellEnd"/>
      <w:r w:rsidRPr="000E1C77">
        <w:rPr>
          <w:lang w:val="es-CO"/>
        </w:rPr>
        <w:t xml:space="preserve"> RA, </w:t>
      </w:r>
      <w:proofErr w:type="spellStart"/>
      <w:r w:rsidRPr="000E1C77">
        <w:rPr>
          <w:lang w:val="es-CO"/>
        </w:rPr>
        <w:t>Poletta</w:t>
      </w:r>
      <w:proofErr w:type="spellEnd"/>
      <w:r w:rsidRPr="000E1C77">
        <w:rPr>
          <w:lang w:val="es-CO"/>
        </w:rPr>
        <w:t xml:space="preserve"> GL, Carballo MA. DNA </w:t>
      </w:r>
      <w:proofErr w:type="spellStart"/>
      <w:r w:rsidRPr="000E1C77">
        <w:rPr>
          <w:lang w:val="es-CO"/>
        </w:rPr>
        <w:t>damage</w:t>
      </w:r>
      <w:proofErr w:type="spellEnd"/>
    </w:p>
    <w:p w14:paraId="3D04EE3F" w14:textId="77777777" w:rsidR="009B71F2" w:rsidRPr="000E1C77" w:rsidRDefault="009B71F2" w:rsidP="009B71F2">
      <w:pPr>
        <w:pStyle w:val="MDPI71References"/>
        <w:numPr>
          <w:ilvl w:val="0"/>
          <w:numId w:val="0"/>
        </w:numPr>
        <w:ind w:left="360"/>
        <w:rPr>
          <w:lang w:val="es-CO"/>
        </w:rPr>
      </w:pPr>
      <w:r w:rsidRPr="000E1C77">
        <w:t xml:space="preserve">in workers occupationally exposed to pesticide mixtures. </w:t>
      </w:r>
      <w:proofErr w:type="spellStart"/>
      <w:r w:rsidRPr="000E1C77">
        <w:rPr>
          <w:lang w:val="es-CO"/>
        </w:rPr>
        <w:t>Journal</w:t>
      </w:r>
      <w:proofErr w:type="spellEnd"/>
      <w:r w:rsidRPr="000E1C77">
        <w:rPr>
          <w:lang w:val="es-CO"/>
        </w:rPr>
        <w:t xml:space="preserve"> </w:t>
      </w:r>
      <w:proofErr w:type="spellStart"/>
      <w:r w:rsidRPr="000E1C77">
        <w:rPr>
          <w:lang w:val="es-CO"/>
        </w:rPr>
        <w:t>of</w:t>
      </w:r>
      <w:proofErr w:type="spellEnd"/>
      <w:r w:rsidRPr="000E1C77">
        <w:rPr>
          <w:lang w:val="es-CO"/>
        </w:rPr>
        <w:t xml:space="preserve"> </w:t>
      </w:r>
      <w:proofErr w:type="spellStart"/>
      <w:r w:rsidRPr="000E1C77">
        <w:rPr>
          <w:lang w:val="es-CO"/>
        </w:rPr>
        <w:t>Applied</w:t>
      </w:r>
      <w:proofErr w:type="spellEnd"/>
      <w:r w:rsidRPr="000E1C77">
        <w:rPr>
          <w:lang w:val="es-CO"/>
        </w:rPr>
        <w:t xml:space="preserve"> </w:t>
      </w:r>
      <w:proofErr w:type="spellStart"/>
      <w:r w:rsidRPr="000E1C77">
        <w:rPr>
          <w:lang w:val="es-CO"/>
        </w:rPr>
        <w:t>Toxicology</w:t>
      </w:r>
      <w:proofErr w:type="spellEnd"/>
      <w:r w:rsidRPr="000E1C77">
        <w:rPr>
          <w:lang w:val="es-CO"/>
        </w:rPr>
        <w:t>.</w:t>
      </w:r>
    </w:p>
    <w:p w14:paraId="0134A9F4" w14:textId="77777777" w:rsidR="009B71F2" w:rsidRPr="000E1C77" w:rsidRDefault="009B71F2" w:rsidP="009B71F2">
      <w:pPr>
        <w:pStyle w:val="MDPI71References"/>
        <w:numPr>
          <w:ilvl w:val="0"/>
          <w:numId w:val="0"/>
        </w:numPr>
        <w:ind w:left="360"/>
        <w:rPr>
          <w:lang w:val="es-CO"/>
        </w:rPr>
      </w:pPr>
      <w:r w:rsidRPr="000E1C77">
        <w:rPr>
          <w:lang w:val="es-CO"/>
        </w:rPr>
        <w:t>2008;28(8):957-65.</w:t>
      </w:r>
    </w:p>
    <w:p w14:paraId="5C68988E" w14:textId="77777777" w:rsidR="009B71F2" w:rsidRPr="000E1C77" w:rsidRDefault="009B71F2" w:rsidP="009B71F2">
      <w:pPr>
        <w:pStyle w:val="MDPI71References"/>
        <w:numPr>
          <w:ilvl w:val="0"/>
          <w:numId w:val="0"/>
        </w:numPr>
        <w:ind w:left="360"/>
      </w:pPr>
      <w:r w:rsidRPr="000E1C77">
        <w:t>37. Pastor S, Gutiérrez S, Creus A, Cebulska-Wasilewska A, Marcos R. Micronuclei in peripheral blood</w:t>
      </w:r>
    </w:p>
    <w:p w14:paraId="33B17227" w14:textId="77777777" w:rsidR="009B71F2" w:rsidRPr="000E1C77" w:rsidRDefault="009B71F2" w:rsidP="009B71F2">
      <w:pPr>
        <w:pStyle w:val="MDPI71References"/>
        <w:numPr>
          <w:ilvl w:val="0"/>
          <w:numId w:val="0"/>
        </w:numPr>
        <w:ind w:left="360"/>
        <w:rPr>
          <w:lang w:val="es-CO"/>
        </w:rPr>
      </w:pPr>
      <w:r w:rsidRPr="000E1C77">
        <w:t xml:space="preserve">lymphocytes and buccal epithelial cells of Polish farmers exposed to pesticides. </w:t>
      </w:r>
      <w:proofErr w:type="spellStart"/>
      <w:r w:rsidRPr="000E1C77">
        <w:rPr>
          <w:lang w:val="es-CO"/>
        </w:rPr>
        <w:t>Mutat</w:t>
      </w:r>
      <w:proofErr w:type="spellEnd"/>
      <w:r w:rsidRPr="000E1C77">
        <w:rPr>
          <w:lang w:val="es-CO"/>
        </w:rPr>
        <w:t xml:space="preserve"> Res. 22 de</w:t>
      </w:r>
    </w:p>
    <w:p w14:paraId="39751D0F" w14:textId="77777777" w:rsidR="009B71F2" w:rsidRPr="000E1C77" w:rsidRDefault="009B71F2" w:rsidP="009B71F2">
      <w:pPr>
        <w:pStyle w:val="MDPI71References"/>
        <w:numPr>
          <w:ilvl w:val="0"/>
          <w:numId w:val="0"/>
        </w:numPr>
        <w:ind w:left="360"/>
        <w:rPr>
          <w:lang w:val="es-CO"/>
        </w:rPr>
      </w:pPr>
      <w:r w:rsidRPr="000E1C77">
        <w:rPr>
          <w:lang w:val="es-CO"/>
        </w:rPr>
        <w:t>agosto de 2001;495(1-2):147-56.</w:t>
      </w:r>
    </w:p>
    <w:p w14:paraId="5CE88896" w14:textId="77777777" w:rsidR="009B71F2" w:rsidRPr="000E1C77" w:rsidRDefault="009B71F2" w:rsidP="009B71F2">
      <w:pPr>
        <w:pStyle w:val="MDPI71References"/>
        <w:numPr>
          <w:ilvl w:val="0"/>
          <w:numId w:val="0"/>
        </w:numPr>
        <w:ind w:left="425"/>
        <w:rPr>
          <w:lang w:val="es-CO"/>
        </w:rPr>
      </w:pPr>
    </w:p>
    <w:p w14:paraId="5FCCCEE9" w14:textId="77777777" w:rsidR="009B71F2" w:rsidRPr="00085574" w:rsidRDefault="009B71F2" w:rsidP="009B71F2">
      <w:pPr>
        <w:pStyle w:val="MDPI63Notes"/>
      </w:pPr>
      <w:r w:rsidRPr="000E1C77">
        <w:rPr>
          <w:b/>
        </w:rPr>
        <w:lastRenderedPageBreak/>
        <w:t>Disclaimer/Publisher’s Note:</w:t>
      </w:r>
      <w:r w:rsidRPr="000E1C77">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p w14:paraId="4F2ABA7A" w14:textId="77777777" w:rsidR="009B71F2" w:rsidRDefault="009B71F2" w:rsidP="009B71F2"/>
    <w:p w14:paraId="5B6C66ED" w14:textId="77777777" w:rsidR="003E0AC1" w:rsidRDefault="003E0AC1"/>
    <w:sectPr w:rsidR="003E0AC1" w:rsidSect="009B71F2">
      <w:headerReference w:type="even" r:id="rId25"/>
      <w:headerReference w:type="default" r:id="rId26"/>
      <w:footerReference w:type="even" r:id="rId27"/>
      <w:footerReference w:type="default" r:id="rId28"/>
      <w:headerReference w:type="first" r:id="rId29"/>
      <w:footerReference w:type="first" r:id="rId30"/>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F2F5" w14:textId="77777777" w:rsidR="008E4F33" w:rsidRDefault="008E4F33">
      <w:pPr>
        <w:spacing w:line="240" w:lineRule="auto"/>
      </w:pPr>
      <w:r>
        <w:separator/>
      </w:r>
    </w:p>
  </w:endnote>
  <w:endnote w:type="continuationSeparator" w:id="0">
    <w:p w14:paraId="3BCF6A4A" w14:textId="77777777" w:rsidR="008E4F33" w:rsidRDefault="008E4F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FC37D" w14:textId="77777777" w:rsidR="008C41D2" w:rsidRDefault="008C41D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11AB" w14:textId="77777777" w:rsidR="008C41D2" w:rsidRPr="00474080" w:rsidRDefault="008C41D2" w:rsidP="00FE6B8E">
    <w:pPr>
      <w:pStyle w:val="Piedepgina"/>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CFDF" w14:textId="77777777" w:rsidR="008C41D2" w:rsidRDefault="008C41D2" w:rsidP="00615C34">
    <w:pPr>
      <w:pStyle w:val="MDPIfooterfirstpage"/>
      <w:pBdr>
        <w:top w:val="single" w:sz="4" w:space="0" w:color="000000"/>
      </w:pBdr>
      <w:adjustRightInd w:val="0"/>
      <w:snapToGrid w:val="0"/>
      <w:spacing w:before="480" w:line="100" w:lineRule="exact"/>
      <w:rPr>
        <w:i/>
        <w:iCs/>
      </w:rPr>
    </w:pPr>
  </w:p>
  <w:p w14:paraId="17C1534A" w14:textId="77777777" w:rsidR="008C41D2" w:rsidRPr="008B308E" w:rsidRDefault="00000000" w:rsidP="006871F0">
    <w:pPr>
      <w:pStyle w:val="MDPIfooterfirstpage"/>
      <w:tabs>
        <w:tab w:val="clear" w:pos="8845"/>
        <w:tab w:val="right" w:pos="10466"/>
      </w:tabs>
      <w:spacing w:line="240" w:lineRule="auto"/>
      <w:jc w:val="both"/>
      <w:rPr>
        <w:lang w:val="fr-CH"/>
      </w:rPr>
    </w:pPr>
    <w:r w:rsidRPr="00CE35BE">
      <w:rPr>
        <w:i/>
        <w:iCs/>
      </w:rPr>
      <w:t>Safety</w:t>
    </w:r>
    <w:r w:rsidRPr="000B2E08">
      <w:rPr>
        <w:b/>
      </w:rPr>
      <w:t xml:space="preserve"> </w:t>
    </w:r>
    <w:r>
      <w:rPr>
        <w:b/>
      </w:rPr>
      <w:t>2024</w:t>
    </w:r>
    <w:r w:rsidRPr="000B2E08">
      <w:t>,</w:t>
    </w:r>
    <w:r>
      <w:rPr>
        <w:i/>
      </w:rPr>
      <w:t xml:space="preserve"> 10</w:t>
    </w:r>
    <w:r w:rsidRPr="000B2E08">
      <w:t xml:space="preserve">, </w:t>
    </w:r>
    <w:r>
      <w:t>x. https://doi.org/10.3390/xxxxx</w:t>
    </w:r>
    <w:bookmarkStart w:id="5" w:name="OLE_LINK3"/>
    <w:bookmarkStart w:id="6" w:name="OLE_LINK4"/>
    <w:r w:rsidRPr="008B308E">
      <w:rPr>
        <w:lang w:val="fr-CH"/>
      </w:rPr>
      <w:tab/>
      <w:t>www.mdpi.com/journal/</w:t>
    </w:r>
    <w:r w:rsidRPr="00C70813">
      <w:t>safety</w:t>
    </w:r>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7FC18" w14:textId="77777777" w:rsidR="008E4F33" w:rsidRDefault="008E4F33">
      <w:pPr>
        <w:spacing w:line="240" w:lineRule="auto"/>
      </w:pPr>
      <w:r>
        <w:separator/>
      </w:r>
    </w:p>
  </w:footnote>
  <w:footnote w:type="continuationSeparator" w:id="0">
    <w:p w14:paraId="6B04817B" w14:textId="77777777" w:rsidR="008E4F33" w:rsidRDefault="008E4F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AA828" w14:textId="77777777" w:rsidR="008C41D2" w:rsidRDefault="008C41D2" w:rsidP="00FE6B8E">
    <w:pPr>
      <w:pStyle w:val="Encabezad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510C" w14:textId="77777777" w:rsidR="008C41D2" w:rsidRDefault="00000000" w:rsidP="006871F0">
    <w:pPr>
      <w:tabs>
        <w:tab w:val="right" w:pos="10466"/>
      </w:tabs>
      <w:adjustRightInd w:val="0"/>
      <w:snapToGrid w:val="0"/>
      <w:spacing w:line="240" w:lineRule="auto"/>
      <w:rPr>
        <w:sz w:val="16"/>
      </w:rPr>
    </w:pPr>
    <w:r w:rsidRPr="00CE35BE">
      <w:rPr>
        <w:i/>
        <w:iCs/>
        <w:sz w:val="16"/>
        <w:szCs w:val="16"/>
      </w:rPr>
      <w:t>Safety</w:t>
    </w:r>
    <w:r w:rsidRPr="00CE35BE">
      <w:rPr>
        <w:b/>
        <w:sz w:val="16"/>
        <w:szCs w:val="16"/>
      </w:rPr>
      <w:t xml:space="preserve"> </w:t>
    </w:r>
    <w:r>
      <w:rPr>
        <w:b/>
        <w:sz w:val="16"/>
        <w:szCs w:val="16"/>
      </w:rPr>
      <w:t>2024</w:t>
    </w:r>
    <w:r w:rsidRPr="000B2E08">
      <w:rPr>
        <w:sz w:val="16"/>
      </w:rPr>
      <w:t>,</w:t>
    </w:r>
    <w:r>
      <w:rPr>
        <w:i/>
        <w:sz w:val="16"/>
      </w:rPr>
      <w:t xml:space="preserve"> 10</w:t>
    </w:r>
    <w:r>
      <w:rPr>
        <w:sz w:val="16"/>
      </w:rPr>
      <w:t>, x FOR PEER REVIEW</w:t>
    </w:r>
    <w:r>
      <w:rPr>
        <w:sz w:val="16"/>
      </w:rPr>
      <w:tab/>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of </w:t>
    </w:r>
    <w:r>
      <w:rPr>
        <w:sz w:val="16"/>
      </w:rPr>
      <w:fldChar w:fldCharType="begin"/>
    </w:r>
    <w:r>
      <w:rPr>
        <w:sz w:val="16"/>
      </w:rPr>
      <w:instrText xml:space="preserve"> NUMPAGES   \* MERGEFORMAT </w:instrText>
    </w:r>
    <w:r>
      <w:rPr>
        <w:sz w:val="16"/>
      </w:rPr>
      <w:fldChar w:fldCharType="separate"/>
    </w:r>
    <w:r>
      <w:rPr>
        <w:sz w:val="16"/>
      </w:rPr>
      <w:t>5</w:t>
    </w:r>
    <w:r>
      <w:rPr>
        <w:sz w:val="16"/>
      </w:rPr>
      <w:fldChar w:fldCharType="end"/>
    </w:r>
  </w:p>
  <w:p w14:paraId="661100FD" w14:textId="77777777" w:rsidR="008C41D2" w:rsidRPr="000B2E08" w:rsidRDefault="008C41D2" w:rsidP="00615C3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7A3CA5" w:rsidRPr="006871F0" w14:paraId="32A8E50F" w14:textId="77777777" w:rsidTr="00D53D48">
      <w:trPr>
        <w:trHeight w:val="686"/>
      </w:trPr>
      <w:tc>
        <w:tcPr>
          <w:tcW w:w="3679" w:type="dxa"/>
          <w:shd w:val="clear" w:color="auto" w:fill="auto"/>
          <w:vAlign w:val="center"/>
        </w:tcPr>
        <w:p w14:paraId="4BE3F2B1" w14:textId="77777777" w:rsidR="008C41D2" w:rsidRPr="00ED3691" w:rsidRDefault="00000000" w:rsidP="006871F0">
          <w:pPr>
            <w:pStyle w:val="Encabezado"/>
            <w:pBdr>
              <w:bottom w:val="none" w:sz="0" w:space="0" w:color="auto"/>
            </w:pBdr>
            <w:jc w:val="left"/>
            <w:rPr>
              <w:rFonts w:eastAsia="DengXian"/>
              <w:b/>
              <w:bCs/>
            </w:rPr>
          </w:pPr>
          <w:r>
            <w:rPr>
              <w:rFonts w:eastAsia="DengXian"/>
              <w:b/>
              <w:bCs/>
              <w:noProof/>
            </w:rPr>
            <w:drawing>
              <wp:inline distT="0" distB="0" distL="0" distR="0" wp14:anchorId="49A3BE65" wp14:editId="29CBFFFC">
                <wp:extent cx="1046535" cy="432000"/>
                <wp:effectExtent l="0" t="0" r="1270" b="6350"/>
                <wp:docPr id="31325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52652" name=""/>
                        <pic:cNvPicPr/>
                      </pic:nvPicPr>
                      <pic:blipFill>
                        <a:blip r:embed="rId1"/>
                        <a:stretch>
                          <a:fillRect/>
                        </a:stretch>
                      </pic:blipFill>
                      <pic:spPr>
                        <a:xfrm>
                          <a:off x="0" y="0"/>
                          <a:ext cx="1046535" cy="432000"/>
                        </a:xfrm>
                        <a:prstGeom prst="rect">
                          <a:avLst/>
                        </a:prstGeom>
                      </pic:spPr>
                    </pic:pic>
                  </a:graphicData>
                </a:graphic>
              </wp:inline>
            </w:drawing>
          </w:r>
        </w:p>
      </w:tc>
      <w:tc>
        <w:tcPr>
          <w:tcW w:w="4535" w:type="dxa"/>
          <w:shd w:val="clear" w:color="auto" w:fill="auto"/>
          <w:vAlign w:val="center"/>
        </w:tcPr>
        <w:p w14:paraId="02E25948" w14:textId="77777777" w:rsidR="008C41D2" w:rsidRPr="00ED3691" w:rsidRDefault="008C41D2" w:rsidP="006871F0">
          <w:pPr>
            <w:pStyle w:val="Encabezado"/>
            <w:pBdr>
              <w:bottom w:val="none" w:sz="0" w:space="0" w:color="auto"/>
            </w:pBdr>
            <w:rPr>
              <w:rFonts w:eastAsia="DengXian"/>
              <w:b/>
              <w:bCs/>
            </w:rPr>
          </w:pPr>
        </w:p>
      </w:tc>
      <w:tc>
        <w:tcPr>
          <w:tcW w:w="2273" w:type="dxa"/>
          <w:shd w:val="clear" w:color="auto" w:fill="auto"/>
          <w:vAlign w:val="center"/>
        </w:tcPr>
        <w:p w14:paraId="4087BEA0" w14:textId="77777777" w:rsidR="008C41D2" w:rsidRPr="00ED3691" w:rsidRDefault="00000000" w:rsidP="00D53D48">
          <w:pPr>
            <w:pStyle w:val="Encabezado"/>
            <w:pBdr>
              <w:bottom w:val="none" w:sz="0" w:space="0" w:color="auto"/>
            </w:pBdr>
            <w:jc w:val="right"/>
            <w:rPr>
              <w:rFonts w:eastAsia="DengXian"/>
              <w:b/>
              <w:bCs/>
            </w:rPr>
          </w:pPr>
          <w:r>
            <w:rPr>
              <w:rFonts w:eastAsia="DengXian"/>
              <w:b/>
              <w:bCs/>
              <w:noProof/>
            </w:rPr>
            <w:drawing>
              <wp:inline distT="0" distB="0" distL="0" distR="0" wp14:anchorId="1228317A" wp14:editId="2AFEE160">
                <wp:extent cx="540000" cy="360000"/>
                <wp:effectExtent l="0" t="0" r="0" b="2540"/>
                <wp:docPr id="654924516" name="Picture 1"/>
                <wp:cNvGraphicFramePr/>
                <a:graphic xmlns:a="http://schemas.openxmlformats.org/drawingml/2006/main">
                  <a:graphicData uri="http://schemas.openxmlformats.org/drawingml/2006/picture">
                    <pic:pic xmlns:pic="http://schemas.openxmlformats.org/drawingml/2006/picture">
                      <pic:nvPicPr>
                        <pic:cNvPr id="654924516" name=""/>
                        <pic:cNvPicPr/>
                      </pic:nvPicPr>
                      <pic:blipFill>
                        <a:blip r:embed="rId2"/>
                        <a:stretch>
                          <a:fillRect/>
                        </a:stretch>
                      </pic:blipFill>
                      <pic:spPr>
                        <a:xfrm>
                          <a:off x="0" y="0"/>
                          <a:ext cx="540000" cy="360000"/>
                        </a:xfrm>
                        <a:prstGeom prst="rect">
                          <a:avLst/>
                        </a:prstGeom>
                      </pic:spPr>
                    </pic:pic>
                  </a:graphicData>
                </a:graphic>
              </wp:inline>
            </w:drawing>
          </w:r>
        </w:p>
      </w:tc>
    </w:tr>
  </w:tbl>
  <w:p w14:paraId="14682E45" w14:textId="77777777" w:rsidR="008C41D2" w:rsidRPr="007A3CA5" w:rsidRDefault="008C41D2" w:rsidP="00615C34">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C12E5"/>
    <w:multiLevelType w:val="hybridMultilevel"/>
    <w:tmpl w:val="74CAC4E2"/>
    <w:lvl w:ilvl="0" w:tplc="080A000F">
      <w:start w:val="1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F4D1377"/>
    <w:multiLevelType w:val="hybridMultilevel"/>
    <w:tmpl w:val="DD3CEFFC"/>
    <w:lvl w:ilvl="0" w:tplc="518238A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ED00DA"/>
    <w:multiLevelType w:val="hybridMultilevel"/>
    <w:tmpl w:val="B53098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74751252">
    <w:abstractNumId w:val="1"/>
  </w:num>
  <w:num w:numId="2" w16cid:durableId="981737078">
    <w:abstractNumId w:val="2"/>
  </w:num>
  <w:num w:numId="3" w16cid:durableId="229578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F2"/>
    <w:rsid w:val="00323F74"/>
    <w:rsid w:val="003E0AC1"/>
    <w:rsid w:val="00410EEF"/>
    <w:rsid w:val="00496603"/>
    <w:rsid w:val="0055564C"/>
    <w:rsid w:val="00593A38"/>
    <w:rsid w:val="006239E9"/>
    <w:rsid w:val="007F7678"/>
    <w:rsid w:val="0089336F"/>
    <w:rsid w:val="008C41D2"/>
    <w:rsid w:val="008E4F33"/>
    <w:rsid w:val="009B71F2"/>
    <w:rsid w:val="009B7744"/>
    <w:rsid w:val="00B012B4"/>
    <w:rsid w:val="00B77E7E"/>
    <w:rsid w:val="00BB21FE"/>
    <w:rsid w:val="00C2547C"/>
    <w:rsid w:val="00D54D2A"/>
    <w:rsid w:val="00EB576E"/>
    <w:rsid w:val="00F973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FF8D716"/>
  <w15:chartTrackingRefBased/>
  <w15:docId w15:val="{19354DC8-7051-A348-BEB8-AEB5042B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1F2"/>
    <w:pPr>
      <w:spacing w:line="260" w:lineRule="atLeast"/>
      <w:jc w:val="both"/>
    </w:pPr>
    <w:rPr>
      <w:rFonts w:ascii="Palatino Linotype" w:eastAsia="SimSun" w:hAnsi="Palatino Linotype" w:cs="Times New Roman"/>
      <w:color w:val="000000"/>
      <w:kern w:val="0"/>
      <w:sz w:val="20"/>
      <w:szCs w:val="20"/>
      <w:lang w:val="en-US" w:eastAsia="zh-CN"/>
      <w14:ligatures w14:val="none"/>
    </w:rPr>
  </w:style>
  <w:style w:type="paragraph" w:styleId="Ttulo1">
    <w:name w:val="heading 1"/>
    <w:basedOn w:val="Normal"/>
    <w:next w:val="Normal"/>
    <w:link w:val="Ttulo1Car"/>
    <w:uiPriority w:val="9"/>
    <w:qFormat/>
    <w:rsid w:val="009B7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7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71F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71F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71F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71F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71F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71F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71F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71F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71F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71F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71F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71F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71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71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71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71F2"/>
    <w:rPr>
      <w:rFonts w:eastAsiaTheme="majorEastAsia" w:cstheme="majorBidi"/>
      <w:color w:val="272727" w:themeColor="text1" w:themeTint="D8"/>
    </w:rPr>
  </w:style>
  <w:style w:type="paragraph" w:styleId="Ttulo">
    <w:name w:val="Title"/>
    <w:basedOn w:val="Normal"/>
    <w:next w:val="Normal"/>
    <w:link w:val="TtuloCar"/>
    <w:uiPriority w:val="10"/>
    <w:qFormat/>
    <w:rsid w:val="009B71F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71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71F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71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71F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B71F2"/>
    <w:rPr>
      <w:i/>
      <w:iCs/>
      <w:color w:val="404040" w:themeColor="text1" w:themeTint="BF"/>
    </w:rPr>
  </w:style>
  <w:style w:type="paragraph" w:styleId="Prrafodelista">
    <w:name w:val="List Paragraph"/>
    <w:basedOn w:val="Normal"/>
    <w:uiPriority w:val="34"/>
    <w:qFormat/>
    <w:rsid w:val="009B71F2"/>
    <w:pPr>
      <w:ind w:left="720"/>
      <w:contextualSpacing/>
    </w:pPr>
  </w:style>
  <w:style w:type="character" w:styleId="nfasisintenso">
    <w:name w:val="Intense Emphasis"/>
    <w:basedOn w:val="Fuentedeprrafopredeter"/>
    <w:uiPriority w:val="21"/>
    <w:qFormat/>
    <w:rsid w:val="009B71F2"/>
    <w:rPr>
      <w:i/>
      <w:iCs/>
      <w:color w:val="0F4761" w:themeColor="accent1" w:themeShade="BF"/>
    </w:rPr>
  </w:style>
  <w:style w:type="paragraph" w:styleId="Citadestacada">
    <w:name w:val="Intense Quote"/>
    <w:basedOn w:val="Normal"/>
    <w:next w:val="Normal"/>
    <w:link w:val="CitadestacadaCar"/>
    <w:uiPriority w:val="30"/>
    <w:qFormat/>
    <w:rsid w:val="009B7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71F2"/>
    <w:rPr>
      <w:i/>
      <w:iCs/>
      <w:color w:val="0F4761" w:themeColor="accent1" w:themeShade="BF"/>
    </w:rPr>
  </w:style>
  <w:style w:type="character" w:styleId="Referenciaintensa">
    <w:name w:val="Intense Reference"/>
    <w:basedOn w:val="Fuentedeprrafopredeter"/>
    <w:uiPriority w:val="32"/>
    <w:qFormat/>
    <w:rsid w:val="009B71F2"/>
    <w:rPr>
      <w:b/>
      <w:bCs/>
      <w:smallCaps/>
      <w:color w:val="0F4761" w:themeColor="accent1" w:themeShade="BF"/>
      <w:spacing w:val="5"/>
    </w:rPr>
  </w:style>
  <w:style w:type="paragraph" w:customStyle="1" w:styleId="MDPI11articletype">
    <w:name w:val="MDPI_1.1_article_type"/>
    <w:next w:val="Normal"/>
    <w:qFormat/>
    <w:rsid w:val="009B71F2"/>
    <w:pPr>
      <w:adjustRightInd w:val="0"/>
      <w:snapToGrid w:val="0"/>
      <w:spacing w:before="240"/>
    </w:pPr>
    <w:rPr>
      <w:rFonts w:ascii="Palatino Linotype" w:eastAsia="Times New Roman" w:hAnsi="Palatino Linotype" w:cs="Times New Roman"/>
      <w:i/>
      <w:snapToGrid w:val="0"/>
      <w:color w:val="000000"/>
      <w:kern w:val="0"/>
      <w:sz w:val="20"/>
      <w:szCs w:val="22"/>
      <w:lang w:val="en-US" w:eastAsia="de-DE" w:bidi="en-US"/>
      <w14:ligatures w14:val="none"/>
    </w:rPr>
  </w:style>
  <w:style w:type="paragraph" w:customStyle="1" w:styleId="MDPI12title">
    <w:name w:val="MDPI_1.2_title"/>
    <w:next w:val="Normal"/>
    <w:qFormat/>
    <w:rsid w:val="009B71F2"/>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val="en-US" w:eastAsia="de-DE" w:bidi="en-US"/>
      <w14:ligatures w14:val="none"/>
    </w:rPr>
  </w:style>
  <w:style w:type="paragraph" w:customStyle="1" w:styleId="MDPI13authornames">
    <w:name w:val="MDPI_1.3_authornames"/>
    <w:next w:val="Normal"/>
    <w:qFormat/>
    <w:rsid w:val="009B71F2"/>
    <w:pPr>
      <w:adjustRightInd w:val="0"/>
      <w:snapToGrid w:val="0"/>
      <w:spacing w:after="360" w:line="260" w:lineRule="atLeast"/>
    </w:pPr>
    <w:rPr>
      <w:rFonts w:ascii="Palatino Linotype" w:eastAsia="Times New Roman" w:hAnsi="Palatino Linotype" w:cs="Times New Roman"/>
      <w:b/>
      <w:color w:val="000000"/>
      <w:kern w:val="0"/>
      <w:sz w:val="20"/>
      <w:szCs w:val="22"/>
      <w:lang w:val="en-US" w:eastAsia="de-DE" w:bidi="en-US"/>
      <w14:ligatures w14:val="none"/>
    </w:rPr>
  </w:style>
  <w:style w:type="paragraph" w:customStyle="1" w:styleId="MDPI14history">
    <w:name w:val="MDPI_1.4_history"/>
    <w:basedOn w:val="Normal"/>
    <w:next w:val="Normal"/>
    <w:qFormat/>
    <w:rsid w:val="009B71F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B71F2"/>
    <w:pPr>
      <w:adjustRightInd w:val="0"/>
      <w:snapToGrid w:val="0"/>
      <w:spacing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paragraph" w:customStyle="1" w:styleId="MDPI17abstract">
    <w:name w:val="MDPI_1.7_abstract"/>
    <w:next w:val="Normal"/>
    <w:qFormat/>
    <w:rsid w:val="009B71F2"/>
    <w:pPr>
      <w:adjustRightInd w:val="0"/>
      <w:snapToGrid w:val="0"/>
      <w:spacing w:before="240" w:line="260" w:lineRule="atLeast"/>
      <w:ind w:left="2608"/>
      <w:jc w:val="both"/>
    </w:pPr>
    <w:rPr>
      <w:rFonts w:ascii="Palatino Linotype" w:eastAsia="Times New Roman" w:hAnsi="Palatino Linotype" w:cs="Times New Roman"/>
      <w:color w:val="000000"/>
      <w:kern w:val="0"/>
      <w:sz w:val="18"/>
      <w:szCs w:val="22"/>
      <w:lang w:val="en-US" w:eastAsia="de-DE" w:bidi="en-US"/>
      <w14:ligatures w14:val="none"/>
    </w:rPr>
  </w:style>
  <w:style w:type="paragraph" w:customStyle="1" w:styleId="MDPI18keywords">
    <w:name w:val="MDPI_1.8_keywords"/>
    <w:next w:val="Normal"/>
    <w:qFormat/>
    <w:rsid w:val="009B71F2"/>
    <w:pPr>
      <w:adjustRightInd w:val="0"/>
      <w:snapToGrid w:val="0"/>
      <w:spacing w:before="240" w:line="260" w:lineRule="atLeast"/>
      <w:ind w:left="2608"/>
      <w:jc w:val="both"/>
    </w:pPr>
    <w:rPr>
      <w:rFonts w:ascii="Palatino Linotype" w:eastAsia="Times New Roman" w:hAnsi="Palatino Linotype" w:cs="Times New Roman"/>
      <w:snapToGrid w:val="0"/>
      <w:color w:val="000000"/>
      <w:kern w:val="0"/>
      <w:sz w:val="18"/>
      <w:szCs w:val="22"/>
      <w:lang w:val="en-US" w:eastAsia="de-DE" w:bidi="en-US"/>
      <w14:ligatures w14:val="none"/>
    </w:rPr>
  </w:style>
  <w:style w:type="paragraph" w:customStyle="1" w:styleId="MDPI19line">
    <w:name w:val="MDPI_1.9_line"/>
    <w:qFormat/>
    <w:rsid w:val="009B71F2"/>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kern w:val="0"/>
      <w:sz w:val="20"/>
      <w:lang w:val="en-US" w:eastAsia="de-DE" w:bidi="en-US"/>
      <w14:ligatures w14:val="none"/>
    </w:rPr>
  </w:style>
  <w:style w:type="table" w:styleId="Tablaconcuadrcula">
    <w:name w:val="Table Grid"/>
    <w:basedOn w:val="Tablanormal"/>
    <w:uiPriority w:val="39"/>
    <w:rsid w:val="009B71F2"/>
    <w:pPr>
      <w:spacing w:line="260" w:lineRule="atLeast"/>
      <w:jc w:val="both"/>
    </w:pPr>
    <w:rPr>
      <w:rFonts w:ascii="Palatino Linotype" w:eastAsia="SimSun" w:hAnsi="Palatino Linotype" w:cs="Times New Roman"/>
      <w:color w:val="000000"/>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9B71F2"/>
    <w:pPr>
      <w:tabs>
        <w:tab w:val="center" w:pos="4153"/>
        <w:tab w:val="right" w:pos="8306"/>
      </w:tabs>
      <w:snapToGrid w:val="0"/>
      <w:spacing w:line="240" w:lineRule="atLeast"/>
    </w:pPr>
    <w:rPr>
      <w:szCs w:val="18"/>
    </w:rPr>
  </w:style>
  <w:style w:type="character" w:customStyle="1" w:styleId="PiedepginaCar">
    <w:name w:val="Pie de página Car"/>
    <w:basedOn w:val="Fuentedeprrafopredeter"/>
    <w:link w:val="Piedepgina"/>
    <w:uiPriority w:val="99"/>
    <w:rsid w:val="009B71F2"/>
    <w:rPr>
      <w:rFonts w:ascii="Palatino Linotype" w:eastAsia="SimSun" w:hAnsi="Palatino Linotype" w:cs="Times New Roman"/>
      <w:color w:val="000000"/>
      <w:kern w:val="0"/>
      <w:sz w:val="20"/>
      <w:szCs w:val="18"/>
      <w:lang w:val="en-US" w:eastAsia="zh-CN"/>
      <w14:ligatures w14:val="none"/>
    </w:rPr>
  </w:style>
  <w:style w:type="paragraph" w:styleId="Encabezado">
    <w:name w:val="header"/>
    <w:basedOn w:val="Normal"/>
    <w:link w:val="EncabezadoCar"/>
    <w:uiPriority w:val="99"/>
    <w:rsid w:val="009B71F2"/>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basedOn w:val="Fuentedeprrafopredeter"/>
    <w:link w:val="Encabezado"/>
    <w:uiPriority w:val="99"/>
    <w:rsid w:val="009B71F2"/>
    <w:rPr>
      <w:rFonts w:ascii="Palatino Linotype" w:eastAsia="SimSun" w:hAnsi="Palatino Linotype" w:cs="Times New Roman"/>
      <w:color w:val="000000"/>
      <w:kern w:val="0"/>
      <w:sz w:val="20"/>
      <w:szCs w:val="18"/>
      <w:lang w:val="en-US" w:eastAsia="zh-CN"/>
      <w14:ligatures w14:val="none"/>
    </w:rPr>
  </w:style>
  <w:style w:type="paragraph" w:customStyle="1" w:styleId="MDPI31text">
    <w:name w:val="MDPI_3.1_text"/>
    <w:qFormat/>
    <w:rsid w:val="009B71F2"/>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footerfirstpage">
    <w:name w:val="MDPI_footer_firstpage"/>
    <w:qFormat/>
    <w:rsid w:val="009B71F2"/>
    <w:pPr>
      <w:tabs>
        <w:tab w:val="right" w:pos="8845"/>
      </w:tabs>
      <w:spacing w:line="160" w:lineRule="exact"/>
    </w:pPr>
    <w:rPr>
      <w:rFonts w:ascii="Palatino Linotype" w:eastAsia="Times New Roman" w:hAnsi="Palatino Linotype" w:cs="Times New Roman"/>
      <w:color w:val="000000"/>
      <w:kern w:val="0"/>
      <w:sz w:val="16"/>
      <w:szCs w:val="20"/>
      <w:lang w:val="en-US" w:eastAsia="de-DE"/>
      <w14:ligatures w14:val="none"/>
    </w:rPr>
  </w:style>
  <w:style w:type="paragraph" w:customStyle="1" w:styleId="MDPI21heading1">
    <w:name w:val="MDPI_2.1_heading1"/>
    <w:qFormat/>
    <w:rsid w:val="009B71F2"/>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kern w:val="0"/>
      <w:sz w:val="20"/>
      <w:szCs w:val="22"/>
      <w:lang w:val="en-US" w:eastAsia="de-DE" w:bidi="en-US"/>
      <w14:ligatures w14:val="none"/>
    </w:rPr>
  </w:style>
  <w:style w:type="paragraph" w:customStyle="1" w:styleId="MDPI22heading2">
    <w:name w:val="MDPI_2.2_heading2"/>
    <w:qFormat/>
    <w:rsid w:val="009B71F2"/>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kern w:val="0"/>
      <w:sz w:val="20"/>
      <w:szCs w:val="22"/>
      <w:lang w:val="en-US" w:eastAsia="de-DE" w:bidi="en-US"/>
      <w14:ligatures w14:val="none"/>
    </w:rPr>
  </w:style>
  <w:style w:type="paragraph" w:customStyle="1" w:styleId="MDPI71References">
    <w:name w:val="MDPI_7.1_References"/>
    <w:qFormat/>
    <w:rsid w:val="009B71F2"/>
    <w:pPr>
      <w:numPr>
        <w:numId w:val="1"/>
      </w:numPr>
      <w:adjustRightInd w:val="0"/>
      <w:snapToGrid w:val="0"/>
      <w:spacing w:line="228" w:lineRule="auto"/>
      <w:jc w:val="both"/>
    </w:pPr>
    <w:rPr>
      <w:rFonts w:ascii="Palatino Linotype" w:eastAsia="Times New Roman" w:hAnsi="Palatino Linotype" w:cs="Times New Roman"/>
      <w:color w:val="000000"/>
      <w:kern w:val="0"/>
      <w:sz w:val="18"/>
      <w:szCs w:val="20"/>
      <w:lang w:val="en-US" w:eastAsia="de-DE" w:bidi="en-US"/>
      <w14:ligatures w14:val="none"/>
    </w:rPr>
  </w:style>
  <w:style w:type="character" w:styleId="Hipervnculo">
    <w:name w:val="Hyperlink"/>
    <w:uiPriority w:val="99"/>
    <w:rsid w:val="009B71F2"/>
    <w:rPr>
      <w:color w:val="0000FF"/>
      <w:u w:val="single"/>
    </w:rPr>
  </w:style>
  <w:style w:type="paragraph" w:customStyle="1" w:styleId="MDPI61Citation">
    <w:name w:val="MDPI_6.1_Citation"/>
    <w:qFormat/>
    <w:rsid w:val="009B71F2"/>
    <w:pPr>
      <w:adjustRightInd w:val="0"/>
      <w:snapToGrid w:val="0"/>
      <w:spacing w:line="240" w:lineRule="atLeast"/>
      <w:ind w:right="113"/>
    </w:pPr>
    <w:rPr>
      <w:rFonts w:ascii="Palatino Linotype" w:eastAsia="SimSun" w:hAnsi="Palatino Linotype" w:cs="Cordia New"/>
      <w:kern w:val="0"/>
      <w:sz w:val="14"/>
      <w:szCs w:val="22"/>
      <w:lang w:val="en-US" w:eastAsia="zh-CN"/>
      <w14:ligatures w14:val="none"/>
    </w:rPr>
  </w:style>
  <w:style w:type="paragraph" w:customStyle="1" w:styleId="MDPI62BackMatter">
    <w:name w:val="MDPI_6.2_BackMatter"/>
    <w:qFormat/>
    <w:rsid w:val="009B71F2"/>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val="en-US" w:bidi="en-US"/>
      <w14:ligatures w14:val="none"/>
    </w:rPr>
  </w:style>
  <w:style w:type="paragraph" w:customStyle="1" w:styleId="MDPI63Notes">
    <w:name w:val="MDPI_6.3_Notes"/>
    <w:qFormat/>
    <w:rsid w:val="009B71F2"/>
    <w:pPr>
      <w:adjustRightInd w:val="0"/>
      <w:snapToGrid w:val="0"/>
      <w:spacing w:before="240" w:line="228" w:lineRule="auto"/>
      <w:jc w:val="both"/>
    </w:pPr>
    <w:rPr>
      <w:rFonts w:ascii="Palatino Linotype" w:eastAsia="SimSun" w:hAnsi="Palatino Linotype" w:cs="Times New Roman"/>
      <w:snapToGrid w:val="0"/>
      <w:color w:val="000000"/>
      <w:kern w:val="0"/>
      <w:sz w:val="18"/>
      <w:szCs w:val="20"/>
      <w:lang w:val="en-US" w:bidi="en-US"/>
      <w14:ligatures w14:val="none"/>
    </w:rPr>
  </w:style>
  <w:style w:type="paragraph" w:customStyle="1" w:styleId="MDPI15academiceditor">
    <w:name w:val="MDPI_1.5_academic_editor"/>
    <w:qFormat/>
    <w:rsid w:val="009B71F2"/>
    <w:pPr>
      <w:adjustRightInd w:val="0"/>
      <w:snapToGrid w:val="0"/>
      <w:spacing w:before="120" w:line="240" w:lineRule="atLeast"/>
      <w:ind w:right="113"/>
    </w:pPr>
    <w:rPr>
      <w:rFonts w:ascii="Palatino Linotype" w:eastAsia="Times New Roman" w:hAnsi="Palatino Linotype" w:cs="Times New Roman"/>
      <w:color w:val="000000"/>
      <w:kern w:val="0"/>
      <w:sz w:val="14"/>
      <w:szCs w:val="22"/>
      <w:lang w:val="en-US" w:eastAsia="de-DE" w:bidi="en-US"/>
      <w14:ligatures w14:val="none"/>
    </w:rPr>
  </w:style>
  <w:style w:type="paragraph" w:customStyle="1" w:styleId="MDPI72Copyright">
    <w:name w:val="MDPI_7.2_Copyright"/>
    <w:qFormat/>
    <w:rsid w:val="009B71F2"/>
    <w:pPr>
      <w:adjustRightInd w:val="0"/>
      <w:snapToGrid w:val="0"/>
      <w:spacing w:before="60" w:line="240" w:lineRule="atLeast"/>
      <w:ind w:right="113"/>
      <w:jc w:val="both"/>
    </w:pPr>
    <w:rPr>
      <w:rFonts w:ascii="Palatino Linotype" w:eastAsia="Times New Roman" w:hAnsi="Palatino Linotype" w:cs="Times New Roman"/>
      <w:noProof/>
      <w:snapToGrid w:val="0"/>
      <w:color w:val="000000"/>
      <w:kern w:val="0"/>
      <w:sz w:val="14"/>
      <w:szCs w:val="20"/>
      <w:lang w:val="en-GB" w:eastAsia="en-GB"/>
      <w14:ligatures w14:val="none"/>
    </w:rPr>
  </w:style>
  <w:style w:type="paragraph" w:styleId="Descripcin">
    <w:name w:val="caption"/>
    <w:basedOn w:val="Normal"/>
    <w:next w:val="Normal"/>
    <w:uiPriority w:val="35"/>
    <w:unhideWhenUsed/>
    <w:qFormat/>
    <w:rsid w:val="009B71F2"/>
    <w:pPr>
      <w:spacing w:after="200" w:line="240" w:lineRule="auto"/>
      <w:jc w:val="left"/>
    </w:pPr>
    <w:rPr>
      <w:rFonts w:ascii="Times New Roman" w:eastAsiaTheme="minorHAnsi" w:hAnsi="Times New Roman" w:cstheme="minorBidi"/>
      <w:i/>
      <w:iCs/>
      <w:color w:val="0E2841" w:themeColor="text2"/>
      <w:sz w:val="18"/>
      <w:szCs w:val="18"/>
      <w:lang w:val="en-GB" w:eastAsia="en-US"/>
    </w:rPr>
  </w:style>
  <w:style w:type="character" w:styleId="Textoennegrita">
    <w:name w:val="Strong"/>
    <w:basedOn w:val="Fuentedeprrafopredeter"/>
    <w:uiPriority w:val="22"/>
    <w:qFormat/>
    <w:rsid w:val="009B71F2"/>
    <w:rPr>
      <w:b/>
      <w:bCs/>
    </w:rPr>
  </w:style>
  <w:style w:type="character" w:styleId="Nmerodelnea">
    <w:name w:val="line number"/>
    <w:basedOn w:val="Fuentedeprrafopredeter"/>
    <w:uiPriority w:val="99"/>
    <w:semiHidden/>
    <w:unhideWhenUsed/>
    <w:rsid w:val="009B7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3701">
      <w:bodyDiv w:val="1"/>
      <w:marLeft w:val="0"/>
      <w:marRight w:val="0"/>
      <w:marTop w:val="0"/>
      <w:marBottom w:val="0"/>
      <w:divBdr>
        <w:top w:val="none" w:sz="0" w:space="0" w:color="auto"/>
        <w:left w:val="none" w:sz="0" w:space="0" w:color="auto"/>
        <w:bottom w:val="none" w:sz="0" w:space="0" w:color="auto"/>
        <w:right w:val="none" w:sz="0" w:space="0" w:color="auto"/>
      </w:divBdr>
    </w:div>
    <w:div w:id="347607812">
      <w:bodyDiv w:val="1"/>
      <w:marLeft w:val="0"/>
      <w:marRight w:val="0"/>
      <w:marTop w:val="0"/>
      <w:marBottom w:val="0"/>
      <w:divBdr>
        <w:top w:val="none" w:sz="0" w:space="0" w:color="auto"/>
        <w:left w:val="none" w:sz="0" w:space="0" w:color="auto"/>
        <w:bottom w:val="none" w:sz="0" w:space="0" w:color="auto"/>
        <w:right w:val="none" w:sz="0" w:space="0" w:color="auto"/>
      </w:divBdr>
    </w:div>
    <w:div w:id="427389237">
      <w:bodyDiv w:val="1"/>
      <w:marLeft w:val="0"/>
      <w:marRight w:val="0"/>
      <w:marTop w:val="0"/>
      <w:marBottom w:val="0"/>
      <w:divBdr>
        <w:top w:val="none" w:sz="0" w:space="0" w:color="auto"/>
        <w:left w:val="none" w:sz="0" w:space="0" w:color="auto"/>
        <w:bottom w:val="none" w:sz="0" w:space="0" w:color="auto"/>
        <w:right w:val="none" w:sz="0" w:space="0" w:color="auto"/>
      </w:divBdr>
    </w:div>
    <w:div w:id="499807278">
      <w:bodyDiv w:val="1"/>
      <w:marLeft w:val="0"/>
      <w:marRight w:val="0"/>
      <w:marTop w:val="0"/>
      <w:marBottom w:val="0"/>
      <w:divBdr>
        <w:top w:val="none" w:sz="0" w:space="0" w:color="auto"/>
        <w:left w:val="none" w:sz="0" w:space="0" w:color="auto"/>
        <w:bottom w:val="none" w:sz="0" w:space="0" w:color="auto"/>
        <w:right w:val="none" w:sz="0" w:space="0" w:color="auto"/>
      </w:divBdr>
    </w:div>
    <w:div w:id="538204417">
      <w:bodyDiv w:val="1"/>
      <w:marLeft w:val="0"/>
      <w:marRight w:val="0"/>
      <w:marTop w:val="0"/>
      <w:marBottom w:val="0"/>
      <w:divBdr>
        <w:top w:val="none" w:sz="0" w:space="0" w:color="auto"/>
        <w:left w:val="none" w:sz="0" w:space="0" w:color="auto"/>
        <w:bottom w:val="none" w:sz="0" w:space="0" w:color="auto"/>
        <w:right w:val="none" w:sz="0" w:space="0" w:color="auto"/>
      </w:divBdr>
    </w:div>
    <w:div w:id="704256435">
      <w:bodyDiv w:val="1"/>
      <w:marLeft w:val="0"/>
      <w:marRight w:val="0"/>
      <w:marTop w:val="0"/>
      <w:marBottom w:val="0"/>
      <w:divBdr>
        <w:top w:val="none" w:sz="0" w:space="0" w:color="auto"/>
        <w:left w:val="none" w:sz="0" w:space="0" w:color="auto"/>
        <w:bottom w:val="none" w:sz="0" w:space="0" w:color="auto"/>
        <w:right w:val="none" w:sz="0" w:space="0" w:color="auto"/>
      </w:divBdr>
    </w:div>
    <w:div w:id="718167354">
      <w:bodyDiv w:val="1"/>
      <w:marLeft w:val="0"/>
      <w:marRight w:val="0"/>
      <w:marTop w:val="0"/>
      <w:marBottom w:val="0"/>
      <w:divBdr>
        <w:top w:val="none" w:sz="0" w:space="0" w:color="auto"/>
        <w:left w:val="none" w:sz="0" w:space="0" w:color="auto"/>
        <w:bottom w:val="none" w:sz="0" w:space="0" w:color="auto"/>
        <w:right w:val="none" w:sz="0" w:space="0" w:color="auto"/>
      </w:divBdr>
    </w:div>
    <w:div w:id="1313217195">
      <w:bodyDiv w:val="1"/>
      <w:marLeft w:val="0"/>
      <w:marRight w:val="0"/>
      <w:marTop w:val="0"/>
      <w:marBottom w:val="0"/>
      <w:divBdr>
        <w:top w:val="none" w:sz="0" w:space="0" w:color="auto"/>
        <w:left w:val="none" w:sz="0" w:space="0" w:color="auto"/>
        <w:bottom w:val="none" w:sz="0" w:space="0" w:color="auto"/>
        <w:right w:val="none" w:sz="0" w:space="0" w:color="auto"/>
      </w:divBdr>
    </w:div>
    <w:div w:id="1413162085">
      <w:bodyDiv w:val="1"/>
      <w:marLeft w:val="0"/>
      <w:marRight w:val="0"/>
      <w:marTop w:val="0"/>
      <w:marBottom w:val="0"/>
      <w:divBdr>
        <w:top w:val="none" w:sz="0" w:space="0" w:color="auto"/>
        <w:left w:val="none" w:sz="0" w:space="0" w:color="auto"/>
        <w:bottom w:val="none" w:sz="0" w:space="0" w:color="auto"/>
        <w:right w:val="none" w:sz="0" w:space="0" w:color="auto"/>
      </w:divBdr>
    </w:div>
    <w:div w:id="1464081475">
      <w:bodyDiv w:val="1"/>
      <w:marLeft w:val="0"/>
      <w:marRight w:val="0"/>
      <w:marTop w:val="0"/>
      <w:marBottom w:val="0"/>
      <w:divBdr>
        <w:top w:val="none" w:sz="0" w:space="0" w:color="auto"/>
        <w:left w:val="none" w:sz="0" w:space="0" w:color="auto"/>
        <w:bottom w:val="none" w:sz="0" w:space="0" w:color="auto"/>
        <w:right w:val="none" w:sz="0" w:space="0" w:color="auto"/>
      </w:divBdr>
    </w:div>
    <w:div w:id="1478111548">
      <w:bodyDiv w:val="1"/>
      <w:marLeft w:val="0"/>
      <w:marRight w:val="0"/>
      <w:marTop w:val="0"/>
      <w:marBottom w:val="0"/>
      <w:divBdr>
        <w:top w:val="none" w:sz="0" w:space="0" w:color="auto"/>
        <w:left w:val="none" w:sz="0" w:space="0" w:color="auto"/>
        <w:bottom w:val="none" w:sz="0" w:space="0" w:color="auto"/>
        <w:right w:val="none" w:sz="0" w:space="0" w:color="auto"/>
      </w:divBdr>
    </w:div>
    <w:div w:id="1600942797">
      <w:bodyDiv w:val="1"/>
      <w:marLeft w:val="0"/>
      <w:marRight w:val="0"/>
      <w:marTop w:val="0"/>
      <w:marBottom w:val="0"/>
      <w:divBdr>
        <w:top w:val="none" w:sz="0" w:space="0" w:color="auto"/>
        <w:left w:val="none" w:sz="0" w:space="0" w:color="auto"/>
        <w:bottom w:val="none" w:sz="0" w:space="0" w:color="auto"/>
        <w:right w:val="none" w:sz="0" w:space="0" w:color="auto"/>
      </w:divBdr>
    </w:div>
    <w:div w:id="1668287008">
      <w:bodyDiv w:val="1"/>
      <w:marLeft w:val="0"/>
      <w:marRight w:val="0"/>
      <w:marTop w:val="0"/>
      <w:marBottom w:val="0"/>
      <w:divBdr>
        <w:top w:val="none" w:sz="0" w:space="0" w:color="auto"/>
        <w:left w:val="none" w:sz="0" w:space="0" w:color="auto"/>
        <w:bottom w:val="none" w:sz="0" w:space="0" w:color="auto"/>
        <w:right w:val="none" w:sz="0" w:space="0" w:color="auto"/>
      </w:divBdr>
    </w:div>
    <w:div w:id="1739786803">
      <w:bodyDiv w:val="1"/>
      <w:marLeft w:val="0"/>
      <w:marRight w:val="0"/>
      <w:marTop w:val="0"/>
      <w:marBottom w:val="0"/>
      <w:divBdr>
        <w:top w:val="none" w:sz="0" w:space="0" w:color="auto"/>
        <w:left w:val="none" w:sz="0" w:space="0" w:color="auto"/>
        <w:bottom w:val="none" w:sz="0" w:space="0" w:color="auto"/>
        <w:right w:val="none" w:sz="0" w:space="0" w:color="auto"/>
      </w:divBdr>
    </w:div>
    <w:div w:id="1760562268">
      <w:bodyDiv w:val="1"/>
      <w:marLeft w:val="0"/>
      <w:marRight w:val="0"/>
      <w:marTop w:val="0"/>
      <w:marBottom w:val="0"/>
      <w:divBdr>
        <w:top w:val="none" w:sz="0" w:space="0" w:color="auto"/>
        <w:left w:val="none" w:sz="0" w:space="0" w:color="auto"/>
        <w:bottom w:val="none" w:sz="0" w:space="0" w:color="auto"/>
        <w:right w:val="none" w:sz="0" w:space="0" w:color="auto"/>
      </w:divBdr>
    </w:div>
    <w:div w:id="20676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maldonadoladino@gmail.com" TargetMode="External"/><Relationship Id="rId13" Type="http://schemas.openxmlformats.org/officeDocument/2006/relationships/image" Target="media/image2.png"/><Relationship Id="rId18" Type="http://schemas.openxmlformats.org/officeDocument/2006/relationships/chart" Target="charts/chart4.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dane.gov.co/files/investigaciones/notas-estadisticas/oct-2021-nota-estadistica-situacion-mujeres-rurales-colombia-resumen.pdf" TargetMode="External"/><Relationship Id="rId7" Type="http://schemas.openxmlformats.org/officeDocument/2006/relationships/image" Target="media/image1.png"/><Relationship Id="rId12" Type="http://schemas.openxmlformats.org/officeDocument/2006/relationships/hyperlink" Target="mailto:alejandroboterocarvajal@gmail.com" TargetMode="External"/><Relationship Id="rId17" Type="http://schemas.openxmlformats.org/officeDocument/2006/relationships/chart" Target="charts/chart3.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hyperlink" Target="https://sdp.gov.co/sites/default/files/1._panorama_economico_ruralidad_digital.pdf"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an.villegas@sanmartin.edu.co" TargetMode="External"/><Relationship Id="rId24" Type="http://schemas.openxmlformats.org/officeDocument/2006/relationships/hyperlink" Target="https://pubchem.ncbi.nlm.nih.gov/compound/Difenoconazole"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hyperlink" Target="https://pubchem.ncbi.nlm.nih.gov/compound/mancozeb" TargetMode="External"/><Relationship Id="rId28" Type="http://schemas.openxmlformats.org/officeDocument/2006/relationships/footer" Target="footer2.xml"/><Relationship Id="rId10" Type="http://schemas.openxmlformats.org/officeDocument/2006/relationships/hyperlink" Target="mailto:dballen@uniminuto.edu" TargetMode="External"/><Relationship Id="rId19" Type="http://schemas.openxmlformats.org/officeDocument/2006/relationships/hyperlink" Target="https://www.ins.gov.co/buscador-eventos/Lineamientos/Pro_Intoxicaciones%20agudas%20por%20sustancias%20qu%C3%ADmicas%202024.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vestigacion.sst@sanmateo.edu.co" TargetMode="External"/><Relationship Id="rId14" Type="http://schemas.openxmlformats.org/officeDocument/2006/relationships/image" Target="media/image3.png"/><Relationship Id="rId22" Type="http://schemas.openxmlformats.org/officeDocument/2006/relationships/hyperlink" Target="https://www.ica.gov.co" TargetMode="External"/><Relationship Id="rId27" Type="http://schemas.openxmlformats.org/officeDocument/2006/relationships/footer" Target="footer1.xml"/><Relationship Id="rId30"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34281919280487"/>
          <c:y val="1.3875921466664698E-2"/>
          <c:w val="0.64273555011020911"/>
          <c:h val="0.83128318101511545"/>
        </c:manualLayout>
      </c:layout>
      <c:pieChart>
        <c:varyColors val="1"/>
        <c:ser>
          <c:idx val="0"/>
          <c:order val="0"/>
          <c:spPr>
            <a:solidFill>
              <a:srgbClr val="92D050"/>
            </a:solidFill>
          </c:spPr>
          <c:dPt>
            <c:idx val="0"/>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1-078E-0B4F-ACDF-C551AEB82E69}"/>
              </c:ext>
            </c:extLst>
          </c:dPt>
          <c:dPt>
            <c:idx val="1"/>
            <c:bubble3D val="0"/>
            <c:spPr>
              <a:solidFill>
                <a:srgbClr val="92D050"/>
              </a:solidFill>
              <a:ln w="19050">
                <a:solidFill>
                  <a:schemeClr val="lt1"/>
                </a:solidFill>
              </a:ln>
              <a:effectLst/>
            </c:spPr>
            <c:extLst>
              <c:ext xmlns:c16="http://schemas.microsoft.com/office/drawing/2014/chart" uri="{C3380CC4-5D6E-409C-BE32-E72D297353CC}">
                <c16:uniqueId val="{00000003-078E-0B4F-ACDF-C551AEB82E69}"/>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Hoja1!$B$20:$B$21</c:f>
              <c:strCache>
                <c:ptCount val="2"/>
                <c:pt idx="0">
                  <c:v>False Negatives (FN)</c:v>
                </c:pt>
                <c:pt idx="1">
                  <c:v>True Negatives (TN)</c:v>
                </c:pt>
              </c:strCache>
            </c:strRef>
          </c:cat>
          <c:val>
            <c:numRef>
              <c:f>Hoja1!$C$20:$C$21</c:f>
              <c:numCache>
                <c:formatCode>General</c:formatCode>
                <c:ptCount val="2"/>
                <c:pt idx="0">
                  <c:v>20</c:v>
                </c:pt>
                <c:pt idx="1">
                  <c:v>74</c:v>
                </c:pt>
              </c:numCache>
            </c:numRef>
          </c:val>
          <c:extLst>
            <c:ext xmlns:c16="http://schemas.microsoft.com/office/drawing/2014/chart" uri="{C3380CC4-5D6E-409C-BE32-E72D297353CC}">
              <c16:uniqueId val="{00000004-078E-0B4F-ACDF-C551AEB82E6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934281919280487"/>
          <c:y val="2.3256784506064321E-2"/>
          <c:w val="0.66307998159546488"/>
          <c:h val="0.8329827469627239"/>
        </c:manualLayout>
      </c:layout>
      <c:pieChart>
        <c:varyColors val="1"/>
        <c:ser>
          <c:idx val="0"/>
          <c:order val="0"/>
          <c:spPr>
            <a:solidFill>
              <a:schemeClr val="accent5">
                <a:lumMod val="40000"/>
                <a:lumOff val="60000"/>
              </a:schemeClr>
            </a:solidFill>
          </c:spPr>
          <c:dPt>
            <c:idx val="0"/>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1-D77C-244C-B268-1015F76FA595}"/>
              </c:ext>
            </c:extLst>
          </c:dPt>
          <c:dPt>
            <c:idx val="1"/>
            <c:bubble3D val="0"/>
            <c:spPr>
              <a:solidFill>
                <a:srgbClr val="92D050"/>
              </a:solidFill>
              <a:ln w="19050">
                <a:solidFill>
                  <a:schemeClr val="lt1"/>
                </a:solidFill>
              </a:ln>
              <a:effectLst/>
            </c:spPr>
            <c:extLst>
              <c:ext xmlns:c16="http://schemas.microsoft.com/office/drawing/2014/chart" uri="{C3380CC4-5D6E-409C-BE32-E72D297353CC}">
                <c16:uniqueId val="{00000003-D77C-244C-B268-1015F76FA595}"/>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Palatino Linotype" panose="02040502050505030304" pitchFamily="18" charset="0"/>
                    <a:ea typeface="+mn-ea"/>
                    <a:cs typeface="Times New Roman" panose="02020603050405020304" pitchFamily="18" charset="0"/>
                  </a:defRPr>
                </a:pPr>
                <a:endParaRPr lang="zh-CN"/>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Hoja1!$B$12:$B$13</c:f>
              <c:strCache>
                <c:ptCount val="2"/>
                <c:pt idx="0">
                  <c:v>False Positives (FP)</c:v>
                </c:pt>
                <c:pt idx="1">
                  <c:v>True Positives (TP)</c:v>
                </c:pt>
              </c:strCache>
            </c:strRef>
          </c:cat>
          <c:val>
            <c:numRef>
              <c:f>Hoja1!$C$12:$C$13</c:f>
              <c:numCache>
                <c:formatCode>General</c:formatCode>
                <c:ptCount val="2"/>
                <c:pt idx="0">
                  <c:v>3</c:v>
                </c:pt>
                <c:pt idx="1">
                  <c:v>1</c:v>
                </c:pt>
              </c:numCache>
            </c:numRef>
          </c:val>
          <c:extLst>
            <c:ext xmlns:c16="http://schemas.microsoft.com/office/drawing/2014/chart" uri="{C3380CC4-5D6E-409C-BE32-E72D297353CC}">
              <c16:uniqueId val="{00000004-D77C-244C-B268-1015F76FA59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7.5521100105044758E-2"/>
          <c:y val="0.89611664885379627"/>
          <c:w val="0.84895745253453025"/>
          <c:h val="7.44153580239618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125602271050186"/>
          <c:y val="6.8703009797398268E-3"/>
          <c:w val="0.54694389221192996"/>
          <c:h val="0.84857699321967239"/>
        </c:manualLayout>
      </c:layout>
      <c:pieChart>
        <c:varyColors val="1"/>
        <c:ser>
          <c:idx val="0"/>
          <c:order val="0"/>
          <c:spPr>
            <a:solidFill>
              <a:srgbClr val="92D050"/>
            </a:solidFill>
          </c:spPr>
          <c:explosion val="2"/>
          <c:dPt>
            <c:idx val="0"/>
            <c:bubble3D val="0"/>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1-2E64-7549-81E0-114CD3DBD9C9}"/>
              </c:ext>
            </c:extLst>
          </c:dPt>
          <c:dPt>
            <c:idx val="1"/>
            <c:bubble3D val="0"/>
            <c:spPr>
              <a:solidFill>
                <a:srgbClr val="92D050"/>
              </a:solidFill>
              <a:ln w="19050">
                <a:solidFill>
                  <a:schemeClr val="lt1"/>
                </a:solidFill>
              </a:ln>
              <a:effectLst/>
            </c:spPr>
            <c:extLst>
              <c:ext xmlns:c16="http://schemas.microsoft.com/office/drawing/2014/chart" uri="{C3380CC4-5D6E-409C-BE32-E72D297353CC}">
                <c16:uniqueId val="{00000003-2E64-7549-81E0-114CD3DBD9C9}"/>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Palatino Linotype" panose="02040502050505030304" pitchFamily="18" charset="0"/>
                    <a:ea typeface="+mn-ea"/>
                    <a:cs typeface="Times New Roman" panose="02020603050405020304" pitchFamily="18" charset="0"/>
                  </a:defRPr>
                </a:pPr>
                <a:endParaRPr lang="zh-CN"/>
              </a:p>
            </c:txPr>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 (2)'!$B$20:$B$21</c:f>
              <c:strCache>
                <c:ptCount val="2"/>
                <c:pt idx="0">
                  <c:v>False Negatives (FN)</c:v>
                </c:pt>
                <c:pt idx="1">
                  <c:v>True Negatives (TN)</c:v>
                </c:pt>
              </c:strCache>
            </c:strRef>
          </c:cat>
          <c:val>
            <c:numRef>
              <c:f>'Hoja1 (2)'!$C$20:$C$21</c:f>
              <c:numCache>
                <c:formatCode>General</c:formatCode>
                <c:ptCount val="2"/>
                <c:pt idx="0">
                  <c:v>7</c:v>
                </c:pt>
                <c:pt idx="1">
                  <c:v>17</c:v>
                </c:pt>
              </c:numCache>
            </c:numRef>
          </c:val>
          <c:extLst>
            <c:ext xmlns:c16="http://schemas.microsoft.com/office/drawing/2014/chart" uri="{C3380CC4-5D6E-409C-BE32-E72D297353CC}">
              <c16:uniqueId val="{00000004-2E64-7549-81E0-114CD3DBD9C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38501940289438"/>
          <c:y val="1.5150907494797439E-2"/>
          <c:w val="0.65481947060917278"/>
          <c:h val="0.84029606655704536"/>
        </c:manualLayout>
      </c:layout>
      <c:pieChart>
        <c:varyColors val="1"/>
        <c:ser>
          <c:idx val="0"/>
          <c:order val="0"/>
          <c:spPr>
            <a:solidFill>
              <a:schemeClr val="accent5">
                <a:lumMod val="40000"/>
                <a:lumOff val="60000"/>
              </a:schemeClr>
            </a:solidFill>
          </c:spPr>
          <c:dPt>
            <c:idx val="0"/>
            <c:bubble3D val="0"/>
            <c:explosion val="4"/>
            <c:spPr>
              <a:solidFill>
                <a:schemeClr val="accent6">
                  <a:lumMod val="20000"/>
                  <a:lumOff val="80000"/>
                </a:schemeClr>
              </a:solidFill>
              <a:ln w="19050">
                <a:solidFill>
                  <a:schemeClr val="lt1"/>
                </a:solidFill>
              </a:ln>
              <a:effectLst/>
            </c:spPr>
            <c:extLst>
              <c:ext xmlns:c16="http://schemas.microsoft.com/office/drawing/2014/chart" uri="{C3380CC4-5D6E-409C-BE32-E72D297353CC}">
                <c16:uniqueId val="{00000001-505F-4F45-92B0-1156B8BC5F22}"/>
              </c:ext>
            </c:extLst>
          </c:dPt>
          <c:dPt>
            <c:idx val="1"/>
            <c:bubble3D val="0"/>
            <c:spPr>
              <a:solidFill>
                <a:srgbClr val="92D050"/>
              </a:solidFill>
              <a:ln w="19050">
                <a:solidFill>
                  <a:schemeClr val="lt1"/>
                </a:solidFill>
              </a:ln>
              <a:effectLst/>
            </c:spPr>
            <c:extLst>
              <c:ext xmlns:c16="http://schemas.microsoft.com/office/drawing/2014/chart" uri="{C3380CC4-5D6E-409C-BE32-E72D297353CC}">
                <c16:uniqueId val="{00000003-505F-4F45-92B0-1156B8BC5F22}"/>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Palatino Linotype" panose="02040502050505030304" pitchFamily="18" charset="0"/>
                    <a:ea typeface="+mn-ea"/>
                    <a:cs typeface="Times New Roman" panose="02020603050405020304" pitchFamily="18" charset="0"/>
                  </a:defRPr>
                </a:pPr>
                <a:endParaRPr lang="zh-CN"/>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 (2)'!$B$12:$B$13</c:f>
              <c:strCache>
                <c:ptCount val="2"/>
                <c:pt idx="0">
                  <c:v>False Positives (FP)</c:v>
                </c:pt>
                <c:pt idx="1">
                  <c:v>True Positives (TP)</c:v>
                </c:pt>
              </c:strCache>
            </c:strRef>
          </c:cat>
          <c:val>
            <c:numRef>
              <c:f>'Hoja1 (2)'!$C$12:$C$13</c:f>
              <c:numCache>
                <c:formatCode>General</c:formatCode>
                <c:ptCount val="2"/>
                <c:pt idx="0">
                  <c:v>3</c:v>
                </c:pt>
                <c:pt idx="1">
                  <c:v>14</c:v>
                </c:pt>
              </c:numCache>
            </c:numRef>
          </c:val>
          <c:extLst>
            <c:ext xmlns:c16="http://schemas.microsoft.com/office/drawing/2014/chart" uri="{C3380CC4-5D6E-409C-BE32-E72D297353CC}">
              <c16:uniqueId val="{00000004-505F-4F45-92B0-1156B8BC5F2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13</Pages>
  <Words>6156</Words>
  <Characters>33861</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BOTERO</dc:creator>
  <cp:keywords/>
  <dc:description/>
  <cp:lastModifiedBy>ALEJANDRO BOTERO</cp:lastModifiedBy>
  <cp:revision>2</cp:revision>
  <dcterms:created xsi:type="dcterms:W3CDTF">2025-03-31T21:40:00Z</dcterms:created>
  <dcterms:modified xsi:type="dcterms:W3CDTF">2025-04-10T17:59:00Z</dcterms:modified>
</cp:coreProperties>
</file>