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EBB93" w14:textId="43606110" w:rsidR="009F5DCF" w:rsidRPr="00342B5C" w:rsidRDefault="009F5DCF" w:rsidP="009F5DCF">
      <w:pPr>
        <w:pStyle w:val="MDPI11articletype"/>
        <w:rPr>
          <w:color w:val="auto"/>
        </w:rPr>
      </w:pPr>
      <w:r w:rsidRPr="00342B5C">
        <w:rPr>
          <w:color w:val="auto"/>
        </w:rPr>
        <w:t>Article</w:t>
      </w:r>
    </w:p>
    <w:p w14:paraId="34909AB4" w14:textId="7A57FE2B" w:rsidR="005D05AF" w:rsidRPr="00342B5C" w:rsidRDefault="005D05AF" w:rsidP="009F5DCF">
      <w:pPr>
        <w:pStyle w:val="MDPI12title"/>
        <w:rPr>
          <w:color w:val="auto"/>
        </w:rPr>
      </w:pPr>
      <w:r w:rsidRPr="00342B5C">
        <w:rPr>
          <w:color w:val="auto"/>
        </w:rPr>
        <w:t>Breaking the Cycle: Perceived Control and Teacher-Student Relationships Shield Adolescents from Bullying Victimization Over Time</w:t>
      </w:r>
    </w:p>
    <w:p w14:paraId="5050AC23" w14:textId="7B6773CA" w:rsidR="005D05AF" w:rsidRPr="00342B5C" w:rsidRDefault="005D05AF" w:rsidP="009F5DCF">
      <w:pPr>
        <w:pStyle w:val="MDPI13authornames"/>
        <w:rPr>
          <w:color w:val="auto"/>
        </w:rPr>
      </w:pPr>
      <w:proofErr w:type="spellStart"/>
      <w:r w:rsidRPr="00342B5C">
        <w:rPr>
          <w:color w:val="auto"/>
        </w:rPr>
        <w:t>Zhongjie</w:t>
      </w:r>
      <w:proofErr w:type="spellEnd"/>
      <w:r w:rsidRPr="00342B5C">
        <w:rPr>
          <w:color w:val="auto"/>
        </w:rPr>
        <w:t xml:space="preserve"> Wang </w:t>
      </w:r>
      <w:r w:rsidRPr="00342B5C">
        <w:rPr>
          <w:color w:val="auto"/>
          <w:vertAlign w:val="superscript"/>
        </w:rPr>
        <w:t>1</w:t>
      </w:r>
      <w:r w:rsidRPr="00342B5C">
        <w:rPr>
          <w:color w:val="auto"/>
        </w:rPr>
        <w:t xml:space="preserve">, Kaiyuan Lu </w:t>
      </w:r>
      <w:r w:rsidRPr="00342B5C">
        <w:rPr>
          <w:color w:val="auto"/>
          <w:vertAlign w:val="superscript"/>
        </w:rPr>
        <w:t>1</w:t>
      </w:r>
      <w:r w:rsidRPr="00342B5C">
        <w:rPr>
          <w:color w:val="auto"/>
        </w:rPr>
        <w:t xml:space="preserve">, </w:t>
      </w:r>
      <w:proofErr w:type="spellStart"/>
      <w:r w:rsidRPr="00342B5C">
        <w:rPr>
          <w:color w:val="auto"/>
        </w:rPr>
        <w:t>Xuezhen</w:t>
      </w:r>
      <w:proofErr w:type="spellEnd"/>
      <w:r w:rsidRPr="00342B5C">
        <w:rPr>
          <w:color w:val="auto"/>
        </w:rPr>
        <w:t xml:space="preserve"> Wang </w:t>
      </w:r>
      <w:proofErr w:type="gramStart"/>
      <w:r w:rsidRPr="00342B5C">
        <w:rPr>
          <w:color w:val="auto"/>
          <w:vertAlign w:val="superscript"/>
        </w:rPr>
        <w:t>2</w:t>
      </w:r>
      <w:r w:rsidRPr="00342B5C">
        <w:rPr>
          <w:color w:val="auto"/>
        </w:rPr>
        <w:t xml:space="preserve"> ,</w:t>
      </w:r>
      <w:proofErr w:type="gramEnd"/>
      <w:r w:rsidRPr="00342B5C">
        <w:rPr>
          <w:color w:val="auto"/>
        </w:rPr>
        <w:t xml:space="preserve"> </w:t>
      </w:r>
      <w:proofErr w:type="spellStart"/>
      <w:r w:rsidRPr="00342B5C">
        <w:rPr>
          <w:color w:val="auto"/>
        </w:rPr>
        <w:t>Juanjuan</w:t>
      </w:r>
      <w:proofErr w:type="spellEnd"/>
      <w:r w:rsidRPr="00342B5C">
        <w:rPr>
          <w:color w:val="auto"/>
        </w:rPr>
        <w:t xml:space="preserve"> Zheng </w:t>
      </w:r>
      <w:r w:rsidRPr="00342B5C">
        <w:rPr>
          <w:color w:val="auto"/>
          <w:vertAlign w:val="superscript"/>
        </w:rPr>
        <w:t>1</w:t>
      </w:r>
      <w:r w:rsidR="003F7A71">
        <w:rPr>
          <w:rFonts w:eastAsia="宋体"/>
          <w:color w:val="auto"/>
          <w:lang w:eastAsia="zh-CN"/>
        </w:rPr>
        <w:t xml:space="preserve">, Xinyi Gao </w:t>
      </w:r>
      <w:r w:rsidR="003F7A71">
        <w:rPr>
          <w:rFonts w:eastAsia="宋体"/>
          <w:color w:val="auto"/>
          <w:vertAlign w:val="superscript"/>
          <w:lang w:eastAsia="zh-CN"/>
        </w:rPr>
        <w:t>1</w:t>
      </w:r>
      <w:r w:rsidR="003F7A71">
        <w:rPr>
          <w:rFonts w:eastAsia="宋体"/>
          <w:color w:val="auto"/>
          <w:lang w:eastAsia="zh-CN"/>
        </w:rPr>
        <w:t xml:space="preserve"> </w:t>
      </w:r>
      <w:r w:rsidRPr="00342B5C">
        <w:rPr>
          <w:color w:val="auto"/>
        </w:rPr>
        <w:t xml:space="preserve">and Qianqian Fan </w:t>
      </w:r>
      <w:r w:rsidRPr="00342B5C">
        <w:rPr>
          <w:color w:val="auto"/>
          <w:vertAlign w:val="superscript"/>
        </w:rPr>
        <w:t>1,</w:t>
      </w:r>
      <w:r w:rsidRPr="00342B5C">
        <w:rPr>
          <w:color w:val="auto"/>
        </w:rPr>
        <w:t>*</w:t>
      </w:r>
    </w:p>
    <w:p w14:paraId="41E8A364" w14:textId="77777777" w:rsidR="005D05AF" w:rsidRPr="00342B5C" w:rsidRDefault="005D05AF" w:rsidP="009F5DCF">
      <w:pPr>
        <w:pStyle w:val="MDPI16affiliation"/>
        <w:rPr>
          <w:color w:val="auto"/>
        </w:rPr>
      </w:pPr>
      <w:r w:rsidRPr="00342B5C">
        <w:rPr>
          <w:color w:val="auto"/>
          <w:vertAlign w:val="superscript"/>
        </w:rPr>
        <w:t>1</w:t>
      </w:r>
      <w:r w:rsidRPr="00342B5C">
        <w:rPr>
          <w:color w:val="auto"/>
        </w:rPr>
        <w:tab/>
        <w:t xml:space="preserve">School </w:t>
      </w:r>
      <w:proofErr w:type="gramStart"/>
      <w:r w:rsidRPr="00342B5C">
        <w:rPr>
          <w:color w:val="auto"/>
        </w:rPr>
        <w:t>of  Education</w:t>
      </w:r>
      <w:proofErr w:type="gramEnd"/>
      <w:r w:rsidRPr="00342B5C">
        <w:rPr>
          <w:color w:val="auto"/>
        </w:rPr>
        <w:t xml:space="preserve">, </w:t>
      </w:r>
      <w:proofErr w:type="spellStart"/>
      <w:r w:rsidRPr="00342B5C">
        <w:rPr>
          <w:color w:val="auto"/>
        </w:rPr>
        <w:t>Zhengzhzou</w:t>
      </w:r>
      <w:proofErr w:type="spellEnd"/>
      <w:r w:rsidRPr="00342B5C">
        <w:rPr>
          <w:color w:val="auto"/>
        </w:rPr>
        <w:t xml:space="preserve"> University, Zhengzhou, China, 450001</w:t>
      </w:r>
    </w:p>
    <w:p w14:paraId="14D103A7" w14:textId="77777777" w:rsidR="005D05AF" w:rsidRPr="00342B5C" w:rsidRDefault="005D05AF" w:rsidP="009F5DCF">
      <w:pPr>
        <w:pStyle w:val="MDPI16affiliation"/>
        <w:rPr>
          <w:color w:val="auto"/>
        </w:rPr>
      </w:pPr>
      <w:r w:rsidRPr="00342B5C">
        <w:rPr>
          <w:color w:val="auto"/>
          <w:vertAlign w:val="superscript"/>
        </w:rPr>
        <w:t>2</w:t>
      </w:r>
      <w:r w:rsidRPr="00342B5C">
        <w:rPr>
          <w:color w:val="auto"/>
        </w:rPr>
        <w:tab/>
        <w:t xml:space="preserve">School </w:t>
      </w:r>
      <w:proofErr w:type="gramStart"/>
      <w:r w:rsidRPr="00342B5C">
        <w:rPr>
          <w:color w:val="auto"/>
        </w:rPr>
        <w:t>of  Education</w:t>
      </w:r>
      <w:proofErr w:type="gramEnd"/>
      <w:r w:rsidRPr="00342B5C">
        <w:rPr>
          <w:color w:val="auto"/>
        </w:rPr>
        <w:t>, Renmin University of China, Beijing, China, 100872</w:t>
      </w:r>
    </w:p>
    <w:p w14:paraId="3185ECB8" w14:textId="77777777" w:rsidR="005D05AF" w:rsidRPr="00342B5C" w:rsidRDefault="005D05AF" w:rsidP="009F5DCF">
      <w:pPr>
        <w:pStyle w:val="MDPI16affiliation"/>
        <w:rPr>
          <w:color w:val="auto"/>
        </w:rPr>
      </w:pPr>
      <w:r w:rsidRPr="00342B5C">
        <w:rPr>
          <w:b/>
          <w:color w:val="auto"/>
        </w:rPr>
        <w:t>*</w:t>
      </w:r>
      <w:r w:rsidRPr="00342B5C">
        <w:rPr>
          <w:color w:val="auto"/>
        </w:rPr>
        <w:tab/>
        <w:t>Correspondence: fanqianqian@zzu.edu.cn</w:t>
      </w:r>
    </w:p>
    <w:p w14:paraId="4C214BB0" w14:textId="215D77D4" w:rsidR="005D05AF" w:rsidRPr="00342B5C" w:rsidRDefault="005D05AF" w:rsidP="009F5DCF">
      <w:pPr>
        <w:pStyle w:val="MDPI17abstract"/>
        <w:rPr>
          <w:color w:val="auto"/>
        </w:rPr>
      </w:pPr>
      <w:r w:rsidRPr="00342B5C">
        <w:rPr>
          <w:b/>
          <w:color w:val="auto"/>
        </w:rPr>
        <w:t>Abstract:</w:t>
      </w:r>
      <w:r w:rsidR="005C186D">
        <w:rPr>
          <w:rFonts w:eastAsiaTheme="minorEastAsia" w:hint="eastAsia"/>
          <w:b/>
          <w:color w:val="auto"/>
          <w:lang w:eastAsia="zh-CN"/>
        </w:rPr>
        <w:t xml:space="preserve"> </w:t>
      </w:r>
      <w:r w:rsidRPr="00342B5C">
        <w:rPr>
          <w:b/>
          <w:color w:val="auto"/>
        </w:rPr>
        <w:t xml:space="preserve">Background: </w:t>
      </w:r>
      <w:r w:rsidRPr="00342B5C">
        <w:rPr>
          <w:color w:val="auto"/>
        </w:rPr>
        <w:t>Bullying victimization remains a grave issue in early adolescence. However, existing research existing research lacks longitudinal perspectives and sufficient focus on protective factors and the dynamic role of teacher-student relationships. This study endeavors to explore the longitudinal protective mechanism of bullying victimization. Methods: The study recruited 1,454 adolescents (Mean age = 13.63 years, SD = 0.76, 51% female) in a year-long investigation. Utilizing latent growth models, the research probed the developmental trajectories of bullying victimization, perceived control, and teacher-student relationships, and further examined the longitudinal mediating role of teacher-student relationships in the relationship between perceived control and bullying victimization. Results: Both perceived control and teacher-student relationships exhibited a linear upward trend over time, while bullying victimization demonstrated a linear declining trend during early adolescence. The intercept of perceived control negatively predicted the intercept of bullying victimization, and this relationship was also mediated through the intercept of teacher-student relationships. Furthermore, the slope of perceived control indirectly affected the slope of bullying victimization solely through the slope of teacher-student relationships. Conclusions: The study shows that perceived control serves as a stable protective factor against bullying, while strong teacher-student relationships can further reduce bullying victimization. These findings suggest that enhancing students' perceived control and fostering supportive teacher-student relationships should be key components of anti-bullying interventions.</w:t>
      </w:r>
    </w:p>
    <w:p w14:paraId="34618404" w14:textId="7943A314" w:rsidR="005D05AF" w:rsidRPr="00342B5C" w:rsidRDefault="009F5DCF" w:rsidP="009F5DCF">
      <w:pPr>
        <w:pStyle w:val="MDPI18keywords"/>
        <w:rPr>
          <w:color w:val="auto"/>
        </w:rPr>
      </w:pPr>
      <w:r w:rsidRPr="00342B5C">
        <w:rPr>
          <w:b/>
          <w:color w:val="auto"/>
        </w:rPr>
        <w:t>Keywords</w:t>
      </w:r>
      <w:r w:rsidRPr="00342B5C">
        <w:rPr>
          <w:b/>
          <w:i/>
          <w:color w:val="auto"/>
        </w:rPr>
        <w:t>:</w:t>
      </w:r>
      <w:r w:rsidR="005D05AF" w:rsidRPr="00342B5C">
        <w:rPr>
          <w:b/>
          <w:color w:val="auto"/>
        </w:rPr>
        <w:t xml:space="preserve"> </w:t>
      </w:r>
      <w:r w:rsidRPr="00342B5C">
        <w:rPr>
          <w:color w:val="auto"/>
        </w:rPr>
        <w:t xml:space="preserve">early </w:t>
      </w:r>
      <w:r w:rsidR="005D05AF" w:rsidRPr="00342B5C">
        <w:rPr>
          <w:color w:val="auto"/>
        </w:rPr>
        <w:t>adolescence</w:t>
      </w:r>
      <w:r w:rsidRPr="00342B5C">
        <w:rPr>
          <w:color w:val="auto"/>
        </w:rPr>
        <w:t xml:space="preserve">; </w:t>
      </w:r>
      <w:r w:rsidR="005D05AF" w:rsidRPr="00342B5C">
        <w:rPr>
          <w:color w:val="auto"/>
        </w:rPr>
        <w:t>bullying victimization</w:t>
      </w:r>
      <w:r w:rsidRPr="00342B5C">
        <w:rPr>
          <w:color w:val="auto"/>
        </w:rPr>
        <w:t xml:space="preserve">; </w:t>
      </w:r>
      <w:r w:rsidR="005D05AF" w:rsidRPr="00342B5C">
        <w:rPr>
          <w:color w:val="auto"/>
        </w:rPr>
        <w:t>perceived control</w:t>
      </w:r>
      <w:r w:rsidRPr="00342B5C">
        <w:rPr>
          <w:color w:val="auto"/>
        </w:rPr>
        <w:t xml:space="preserve">; </w:t>
      </w:r>
      <w:r w:rsidR="005D05AF" w:rsidRPr="00342B5C">
        <w:rPr>
          <w:color w:val="auto"/>
        </w:rPr>
        <w:t>teacher-student relationships</w:t>
      </w:r>
      <w:r w:rsidRPr="00342B5C">
        <w:rPr>
          <w:color w:val="auto"/>
        </w:rPr>
        <w:t xml:space="preserve">; </w:t>
      </w:r>
      <w:r w:rsidR="005D05AF" w:rsidRPr="00342B5C">
        <w:rPr>
          <w:color w:val="auto"/>
        </w:rPr>
        <w:t>latent growth model</w:t>
      </w:r>
    </w:p>
    <w:p w14:paraId="1C126892" w14:textId="77777777" w:rsidR="005D05AF" w:rsidRPr="00342B5C" w:rsidRDefault="005D05AF" w:rsidP="009F5DCF">
      <w:pPr>
        <w:pStyle w:val="MDPI19line"/>
        <w:pBdr>
          <w:bottom w:val="single" w:sz="4" w:space="1" w:color="000000"/>
        </w:pBdr>
        <w:rPr>
          <w:color w:val="auto"/>
        </w:rPr>
      </w:pPr>
    </w:p>
    <w:p w14:paraId="094257B9" w14:textId="60B03A89" w:rsidR="005D05AF" w:rsidRPr="00342B5C" w:rsidRDefault="00112BA8" w:rsidP="00112BA8">
      <w:pPr>
        <w:pStyle w:val="MDPI21heading1"/>
        <w:rPr>
          <w:color w:val="auto"/>
        </w:rPr>
      </w:pPr>
      <w:r w:rsidRPr="00342B5C">
        <w:rPr>
          <w:color w:val="auto"/>
        </w:rPr>
        <w:t xml:space="preserve">1. </w:t>
      </w:r>
      <w:r w:rsidR="005D05AF" w:rsidRPr="00342B5C">
        <w:rPr>
          <w:color w:val="auto"/>
        </w:rPr>
        <w:t>Introduction</w:t>
      </w:r>
    </w:p>
    <w:p w14:paraId="512C0DE7" w14:textId="45747B47" w:rsidR="005D05AF" w:rsidRPr="00342B5C" w:rsidRDefault="005D05AF" w:rsidP="00112BA8">
      <w:pPr>
        <w:pStyle w:val="MDPI31text"/>
        <w:rPr>
          <w:color w:val="auto"/>
        </w:rPr>
      </w:pPr>
      <w:r w:rsidRPr="00342B5C">
        <w:rPr>
          <w:color w:val="auto"/>
        </w:rPr>
        <w:t xml:space="preserve">Bullying victimization refers to the phenomenon wherein an individual is subjected to prolonged or repetitive mistreatment or harm by one or more peers [1]. </w:t>
      </w:r>
      <w:r w:rsidR="00842E83" w:rsidRPr="00842E83">
        <w:rPr>
          <w:color w:val="auto"/>
          <w:highlight w:val="yellow"/>
        </w:rPr>
        <w:t>Early adolescence is a period of rapid physical and mental growth, making individuals particularly sensitive to social influences</w:t>
      </w:r>
      <w:r w:rsidRPr="00342B5C">
        <w:rPr>
          <w:color w:val="auto"/>
        </w:rPr>
        <w:t xml:space="preserve"> [2]. </w:t>
      </w:r>
      <w:r w:rsidR="00842E83" w:rsidRPr="00842E83">
        <w:rPr>
          <w:color w:val="auto"/>
          <w:highlight w:val="yellow"/>
        </w:rPr>
        <w:t>During this period, adolescents heavily rely on social relationships for validation and a sense of belonging, and undergo intense self-exploration</w:t>
      </w:r>
      <w:r w:rsidRPr="00342B5C">
        <w:rPr>
          <w:color w:val="auto"/>
        </w:rPr>
        <w:t xml:space="preserve"> [3]. When these needs for positive social connection are not fulfilled or when the process of self-exploration encounters setbacks, early adolescents may become more vulnerable to negative social experiences such as bullying [3]. This developmental stage also coincides with a peak in the prevalence of bullying behaviors, with approximately 30.4% of early adolescents experiencing bullying [4, 5].</w:t>
      </w:r>
      <w:r w:rsidR="00341DB3" w:rsidRPr="00341DB3">
        <w:rPr>
          <w:rFonts w:eastAsiaTheme="minorEastAsia" w:hint="eastAsia"/>
          <w:color w:val="auto"/>
          <w:highlight w:val="yellow"/>
          <w:lang w:eastAsia="zh-CN"/>
        </w:rPr>
        <w:t xml:space="preserve"> </w:t>
      </w:r>
      <w:r w:rsidR="00341DB3" w:rsidRPr="00341DB3">
        <w:rPr>
          <w:rFonts w:eastAsiaTheme="minorEastAsia"/>
          <w:color w:val="auto"/>
          <w:highlight w:val="yellow"/>
          <w:lang w:eastAsia="zh-CN"/>
        </w:rPr>
        <w:t>Especially</w:t>
      </w:r>
      <w:r w:rsidR="00341DB3" w:rsidRPr="00341DB3">
        <w:rPr>
          <w:color w:val="auto"/>
          <w:highlight w:val="yellow"/>
        </w:rPr>
        <w:t xml:space="preserve">, </w:t>
      </w:r>
      <w:r w:rsidR="00341DB3">
        <w:rPr>
          <w:rFonts w:eastAsiaTheme="minorEastAsia"/>
          <w:color w:val="auto"/>
          <w:highlight w:val="yellow"/>
          <w:lang w:eastAsia="zh-CN"/>
        </w:rPr>
        <w:t>Chinese</w:t>
      </w:r>
      <w:r w:rsidR="00341DB3">
        <w:rPr>
          <w:rFonts w:eastAsiaTheme="minorEastAsia" w:hint="eastAsia"/>
          <w:color w:val="auto"/>
          <w:highlight w:val="yellow"/>
          <w:lang w:eastAsia="zh-CN"/>
        </w:rPr>
        <w:t xml:space="preserve"> </w:t>
      </w:r>
      <w:r w:rsidR="00341DB3" w:rsidRPr="00341DB3">
        <w:rPr>
          <w:color w:val="auto"/>
          <w:highlight w:val="yellow"/>
        </w:rPr>
        <w:t xml:space="preserve">adolescence coincides with significant academic pressures, particularly the preparation for the </w:t>
      </w:r>
      <w:proofErr w:type="spellStart"/>
      <w:r w:rsidR="00341DB3" w:rsidRPr="00341DB3">
        <w:rPr>
          <w:color w:val="auto"/>
          <w:highlight w:val="yellow"/>
        </w:rPr>
        <w:t>Zhongkao</w:t>
      </w:r>
      <w:proofErr w:type="spellEnd"/>
      <w:r w:rsidR="00341DB3">
        <w:rPr>
          <w:rFonts w:eastAsiaTheme="minorEastAsia" w:hint="eastAsia"/>
          <w:color w:val="auto"/>
          <w:highlight w:val="yellow"/>
          <w:lang w:eastAsia="zh-CN"/>
        </w:rPr>
        <w:t xml:space="preserve"> </w:t>
      </w:r>
      <w:r w:rsidR="00341DB3" w:rsidRPr="00341DB3">
        <w:rPr>
          <w:color w:val="auto"/>
          <w:highlight w:val="yellow"/>
        </w:rPr>
        <w:t>(high school entrance exam).</w:t>
      </w:r>
      <w:r w:rsidR="00341DB3" w:rsidRPr="00341DB3">
        <w:rPr>
          <w:rFonts w:eastAsiaTheme="minorEastAsia" w:hint="eastAsia"/>
          <w:color w:val="auto"/>
          <w:highlight w:val="yellow"/>
          <w:lang w:eastAsia="zh-CN"/>
        </w:rPr>
        <w:t xml:space="preserve"> </w:t>
      </w:r>
      <w:r w:rsidR="00341DB3" w:rsidRPr="00341DB3">
        <w:rPr>
          <w:rFonts w:eastAsiaTheme="minorEastAsia"/>
          <w:color w:val="auto"/>
          <w:highlight w:val="yellow"/>
          <w:lang w:eastAsia="zh-CN"/>
        </w:rPr>
        <w:t xml:space="preserve">The competitive nature of the Chinese educational system, where academic performance is highly valued, often leads to increased social comparison among peers. Adolescents who do not perform as well academically are more likely to feel </w:t>
      </w:r>
      <w:r w:rsidR="00341DB3" w:rsidRPr="00341DB3">
        <w:rPr>
          <w:rFonts w:eastAsiaTheme="minorEastAsia"/>
          <w:color w:val="auto"/>
          <w:highlight w:val="yellow"/>
          <w:lang w:eastAsia="zh-CN"/>
        </w:rPr>
        <w:lastRenderedPageBreak/>
        <w:t>socially isolated, stigmatized, and may become targets of bullying by their peers.</w:t>
      </w:r>
      <w:r w:rsidR="00341DB3">
        <w:rPr>
          <w:rFonts w:eastAsiaTheme="minorEastAsia" w:hint="eastAsia"/>
          <w:color w:val="auto"/>
          <w:lang w:eastAsia="zh-CN"/>
        </w:rPr>
        <w:t xml:space="preserve"> </w:t>
      </w:r>
      <w:r w:rsidR="00341DB3">
        <w:rPr>
          <w:rFonts w:eastAsiaTheme="minorEastAsia"/>
          <w:color w:val="auto"/>
          <w:lang w:eastAsia="zh-CN"/>
        </w:rPr>
        <w:t>B</w:t>
      </w:r>
      <w:r w:rsidR="00341DB3">
        <w:rPr>
          <w:rFonts w:eastAsiaTheme="minorEastAsia" w:hint="eastAsia"/>
          <w:color w:val="auto"/>
          <w:lang w:eastAsia="zh-CN"/>
        </w:rPr>
        <w:t>ullying</w:t>
      </w:r>
      <w:r w:rsidRPr="00342B5C">
        <w:rPr>
          <w:color w:val="auto"/>
        </w:rPr>
        <w:t xml:space="preserve"> can lead to a range of adverse outcomes, including increased risks of depression, anxiety, social withdrawal, and even suicidal ideation [6,7]. Given these serious consequences, bullying victimization represents a critical social issue that demands comprehensive intervention and prevention efforts.</w:t>
      </w:r>
    </w:p>
    <w:p w14:paraId="221E2B84" w14:textId="11EBB7F9" w:rsidR="005D05AF" w:rsidRPr="00342B5C" w:rsidRDefault="005D05AF" w:rsidP="00112BA8">
      <w:pPr>
        <w:pStyle w:val="MDPI31text"/>
        <w:rPr>
          <w:color w:val="auto"/>
        </w:rPr>
      </w:pPr>
      <w:r w:rsidRPr="00342B5C">
        <w:rPr>
          <w:color w:val="auto"/>
        </w:rPr>
        <w:t xml:space="preserve">Existing research indicates that perceived control and teacher-student relationships may serve as effective predictive factors for bullying victimization [8,9]. </w:t>
      </w:r>
      <w:r w:rsidR="00905DBA" w:rsidRPr="00905DBA">
        <w:rPr>
          <w:color w:val="auto"/>
          <w:highlight w:val="yellow"/>
        </w:rPr>
        <w:t>While longitudinal studies on childhood have explored the role of perceived control in bullying victimization, research on early adolescence remains limited.</w:t>
      </w:r>
      <w:r w:rsidR="00CE3B3A">
        <w:rPr>
          <w:rFonts w:eastAsiaTheme="minorEastAsia" w:hint="eastAsia"/>
          <w:color w:val="auto"/>
          <w:lang w:eastAsia="zh-CN"/>
        </w:rPr>
        <w:t xml:space="preserve"> </w:t>
      </w:r>
      <w:r w:rsidRPr="00342B5C">
        <w:rPr>
          <w:color w:val="auto"/>
        </w:rPr>
        <w:t xml:space="preserve">For instance, children's perceived control at the age of 5 could significantly predict their experience of bullying victimization at the age of 6 [8]. </w:t>
      </w:r>
      <w:r w:rsidR="00905DBA" w:rsidRPr="00905DBA">
        <w:rPr>
          <w:color w:val="auto"/>
          <w:highlight w:val="yellow"/>
        </w:rPr>
        <w:t>However, there is a gap in similar research focusing on early adolescents, who differ from children in their social needs, cognitive abilities, and response to external stressors. These developmental differences likely influence how perceived control impacts bullying dynamics. Therefore, it is essential to investigate the role of perceived control in early adolescence, particularly within the context of the increasing academic and social pressures that shape this stage of development.</w:t>
      </w:r>
      <w:r w:rsidRPr="00342B5C">
        <w:rPr>
          <w:color w:val="auto"/>
        </w:rPr>
        <w:t xml:space="preserve"> </w:t>
      </w:r>
    </w:p>
    <w:p w14:paraId="7A781D33" w14:textId="07E00089" w:rsidR="005D05AF" w:rsidRPr="00342B5C" w:rsidRDefault="005D05AF" w:rsidP="00112BA8">
      <w:pPr>
        <w:pStyle w:val="MDPI31text"/>
        <w:rPr>
          <w:color w:val="auto"/>
        </w:rPr>
      </w:pPr>
      <w:r w:rsidRPr="00342B5C">
        <w:rPr>
          <w:color w:val="auto"/>
        </w:rPr>
        <w:t xml:space="preserve">The longitudinal relationship between teacher-student relationships and bullying victimization remains inconclusive. For example, teacher-student relationships among 13-year-old adolescents could predict their experience of bullying victimization three years later [9]. In contrast, another study found that teacher-student relationships among students in grades four to six did not significantly predict bullying victimization [10]. </w:t>
      </w:r>
      <w:r w:rsidR="0014127B" w:rsidRPr="0014127B">
        <w:rPr>
          <w:color w:val="auto"/>
          <w:highlight w:val="yellow"/>
        </w:rPr>
        <w:t>These mixed findings underline the need for further research, particularly on how teacher-student relationships influence bullying in early adolescence, a period characterized by significant shifts in both social and cognitive development. In the Chinese context, where teacher authority is emphasized, these relationships may play a unique role in shaping adolescents' experiences with bullying. Therefore, it is crucial to understand how teacher support and authoritative classroom environments impact adolescents' vulnerability to bullying in the context of Chinese educational pressures.</w:t>
      </w:r>
    </w:p>
    <w:p w14:paraId="666A2AA3" w14:textId="77777777" w:rsidR="0014127B" w:rsidRDefault="0014127B" w:rsidP="0014127B">
      <w:pPr>
        <w:pStyle w:val="MDPI31text"/>
        <w:rPr>
          <w:rFonts w:eastAsiaTheme="minorEastAsia"/>
          <w:color w:val="auto"/>
          <w:lang w:eastAsia="zh-CN"/>
        </w:rPr>
      </w:pPr>
      <w:r>
        <w:rPr>
          <w:rFonts w:eastAsiaTheme="minorEastAsia"/>
          <w:color w:val="auto"/>
          <w:lang w:eastAsia="zh-CN"/>
        </w:rPr>
        <w:t>W</w:t>
      </w:r>
      <w:r>
        <w:rPr>
          <w:rFonts w:eastAsiaTheme="minorEastAsia" w:hint="eastAsia"/>
          <w:color w:val="auto"/>
          <w:lang w:eastAsia="zh-CN"/>
        </w:rPr>
        <w:t>hile</w:t>
      </w:r>
      <w:r w:rsidR="005D05AF" w:rsidRPr="00342B5C">
        <w:rPr>
          <w:color w:val="auto"/>
        </w:rPr>
        <w:t xml:space="preserve"> some studies have examined the relationships among perceived control, teacher-student relationships, and bullying victimization, the </w:t>
      </w:r>
      <w:r w:rsidR="005D05AF" w:rsidRPr="00342B5C">
        <w:rPr>
          <w:color w:val="auto"/>
          <w:lang w:val="en-GB"/>
        </w:rPr>
        <w:t xml:space="preserve">underlying </w:t>
      </w:r>
      <w:r w:rsidR="005D05AF" w:rsidRPr="00342B5C">
        <w:rPr>
          <w:color w:val="auto"/>
        </w:rPr>
        <w:t xml:space="preserve">interaction mechanisms among these factors remain underexplored. Additionally, </w:t>
      </w:r>
      <w:r w:rsidRPr="0014127B">
        <w:rPr>
          <w:color w:val="auto"/>
          <w:highlight w:val="yellow"/>
        </w:rPr>
        <w:t>these factors change over time as adolescents mature</w:t>
      </w:r>
      <w:r w:rsidR="005D05AF" w:rsidRPr="00342B5C">
        <w:rPr>
          <w:color w:val="auto"/>
        </w:rPr>
        <w:t xml:space="preserve"> [11-13]. </w:t>
      </w:r>
      <w:r w:rsidRPr="0014127B">
        <w:rPr>
          <w:color w:val="auto"/>
          <w:highlight w:val="yellow"/>
        </w:rPr>
        <w:t>However, it is still unclear how the relationship between perceived control, teacher-student relationships, and bullying victimization evolves over the course of early adolescence. To address this gap, the present study aims to explore the developmental trajectories of these factors over one year using the Latent Growth Model (LGM). Furthermore, the study will examine the longitudinal mediating role of teacher-student relationships in the relationship between perceived control and bullying victimization. This research is particularly significant in the Chinese context, where high academic pressures and teacher authority may influence the development of perceived control and the dynamics of bullying victimization.</w:t>
      </w:r>
    </w:p>
    <w:p w14:paraId="0F7BF6BF" w14:textId="77777777" w:rsidR="0014127B" w:rsidRPr="0014127B" w:rsidRDefault="0014127B" w:rsidP="0014127B">
      <w:pPr>
        <w:pStyle w:val="MDPI31text"/>
        <w:rPr>
          <w:rFonts w:eastAsiaTheme="minorEastAsia"/>
          <w:color w:val="auto"/>
          <w:lang w:eastAsia="zh-CN"/>
        </w:rPr>
      </w:pPr>
    </w:p>
    <w:p w14:paraId="77E3D144" w14:textId="3E949D7A" w:rsidR="005D05AF" w:rsidRPr="00342B5C" w:rsidRDefault="00112BA8" w:rsidP="0014127B">
      <w:pPr>
        <w:pStyle w:val="MDPI31text"/>
        <w:ind w:left="0" w:firstLineChars="1300" w:firstLine="2600"/>
        <w:rPr>
          <w:color w:val="auto"/>
        </w:rPr>
      </w:pPr>
      <w:r w:rsidRPr="00342B5C">
        <w:rPr>
          <w:color w:val="auto"/>
        </w:rPr>
        <w:t xml:space="preserve">1.1. </w:t>
      </w:r>
      <w:r w:rsidR="005D05AF" w:rsidRPr="00342B5C">
        <w:rPr>
          <w:color w:val="auto"/>
        </w:rPr>
        <w:t xml:space="preserve">Perceived </w:t>
      </w:r>
      <w:r w:rsidR="00170E4D" w:rsidRPr="00342B5C">
        <w:rPr>
          <w:color w:val="auto"/>
        </w:rPr>
        <w:t xml:space="preserve">Control </w:t>
      </w:r>
      <w:r w:rsidR="005D05AF" w:rsidRPr="00342B5C">
        <w:rPr>
          <w:color w:val="auto"/>
        </w:rPr>
        <w:t xml:space="preserve">and </w:t>
      </w:r>
      <w:r w:rsidR="00170E4D" w:rsidRPr="00342B5C">
        <w:rPr>
          <w:color w:val="auto"/>
        </w:rPr>
        <w:t>Bullying Victimization</w:t>
      </w:r>
    </w:p>
    <w:p w14:paraId="79E02731" w14:textId="45D10A37" w:rsidR="005D05AF" w:rsidRPr="00342B5C" w:rsidRDefault="005D05AF" w:rsidP="00112BA8">
      <w:pPr>
        <w:pStyle w:val="MDPI31text"/>
        <w:rPr>
          <w:color w:val="auto"/>
        </w:rPr>
      </w:pPr>
      <w:r w:rsidRPr="00342B5C">
        <w:rPr>
          <w:color w:val="auto"/>
        </w:rPr>
        <w:t xml:space="preserve">Perceived control refers to an individual's belief in their ability to influence their environment and regulate their behavior [14]. </w:t>
      </w:r>
      <w:r w:rsidR="00025469" w:rsidRPr="00025469">
        <w:rPr>
          <w:color w:val="auto"/>
          <w:highlight w:val="yellow"/>
        </w:rPr>
        <w:t>It encompasses a sense of agency and mastery over external circumstances, which plays a vital role in psychological well-being.</w:t>
      </w:r>
      <w:r w:rsidRPr="00025469">
        <w:rPr>
          <w:color w:val="auto"/>
          <w:highlight w:val="yellow"/>
        </w:rPr>
        <w:t xml:space="preserve"> </w:t>
      </w:r>
      <w:r w:rsidR="00025469" w:rsidRPr="00025469">
        <w:rPr>
          <w:color w:val="auto"/>
          <w:highlight w:val="yellow"/>
        </w:rPr>
        <w:t>Adolescents with higher perceived control are better equipped to cope with challenges, leading to improved mental health, greater resilience, and reduced negative emotional responses to stressors</w:t>
      </w:r>
      <w:r w:rsidRPr="00342B5C">
        <w:rPr>
          <w:color w:val="auto"/>
        </w:rPr>
        <w:t xml:space="preserve"> [11]. </w:t>
      </w:r>
    </w:p>
    <w:p w14:paraId="274C8EFE" w14:textId="51434C83" w:rsidR="005D05AF" w:rsidRPr="00342B5C" w:rsidRDefault="005D05AF" w:rsidP="00112BA8">
      <w:pPr>
        <w:pStyle w:val="MDPI31text"/>
        <w:rPr>
          <w:color w:val="auto"/>
        </w:rPr>
      </w:pPr>
      <w:r w:rsidRPr="00342B5C">
        <w:rPr>
          <w:color w:val="auto"/>
        </w:rPr>
        <w:t xml:space="preserve">Adolescents </w:t>
      </w:r>
      <w:r w:rsidRPr="00025469">
        <w:rPr>
          <w:color w:val="auto"/>
          <w:highlight w:val="yellow"/>
        </w:rPr>
        <w:t xml:space="preserve">who </w:t>
      </w:r>
      <w:r w:rsidR="00025469" w:rsidRPr="00025469">
        <w:rPr>
          <w:rFonts w:eastAsiaTheme="minorEastAsia" w:hint="eastAsia"/>
          <w:color w:val="auto"/>
          <w:highlight w:val="yellow"/>
          <w:lang w:eastAsia="zh-CN"/>
        </w:rPr>
        <w:t>experience</w:t>
      </w:r>
      <w:r w:rsidRPr="00025469">
        <w:rPr>
          <w:color w:val="auto"/>
          <w:highlight w:val="yellow"/>
        </w:rPr>
        <w:t xml:space="preserve"> bull</w:t>
      </w:r>
      <w:r w:rsidR="00025469" w:rsidRPr="00025469">
        <w:rPr>
          <w:rFonts w:eastAsiaTheme="minorEastAsia" w:hint="eastAsia"/>
          <w:color w:val="auto"/>
          <w:highlight w:val="yellow"/>
          <w:lang w:eastAsia="zh-CN"/>
        </w:rPr>
        <w:t>ying</w:t>
      </w:r>
      <w:r w:rsidRPr="00025469">
        <w:rPr>
          <w:color w:val="auto"/>
          <w:highlight w:val="yellow"/>
        </w:rPr>
        <w:t xml:space="preserve"> </w:t>
      </w:r>
      <w:r w:rsidR="00025469" w:rsidRPr="00025469">
        <w:rPr>
          <w:rFonts w:eastAsiaTheme="minorEastAsia" w:hint="eastAsia"/>
          <w:color w:val="auto"/>
          <w:highlight w:val="yellow"/>
          <w:lang w:eastAsia="zh-CN"/>
        </w:rPr>
        <w:t>may develop</w:t>
      </w:r>
      <w:r w:rsidRPr="00342B5C">
        <w:rPr>
          <w:color w:val="auto"/>
        </w:rPr>
        <w:t xml:space="preserve"> anxiety, depression, and social withdrawal. Perceived control has been identified as an important factor in reducing the risk of bullying. According to the Conservation of Resources (COR) model, </w:t>
      </w:r>
      <w:r w:rsidR="00025469" w:rsidRPr="00025469">
        <w:rPr>
          <w:color w:val="auto"/>
          <w:highlight w:val="yellow"/>
        </w:rPr>
        <w:t>individuals with low perceived control lack critical resources, such as effective coping strategies and social support, making them more vulnerable to bullying</w:t>
      </w:r>
      <w:r w:rsidRPr="00342B5C">
        <w:rPr>
          <w:color w:val="auto"/>
        </w:rPr>
        <w:t xml:space="preserve"> [15]. Research shows that low perceived control is a risk factor for bullying victimization [16]. For example, a </w:t>
      </w:r>
      <w:r w:rsidRPr="00342B5C">
        <w:rPr>
          <w:color w:val="auto"/>
        </w:rPr>
        <w:lastRenderedPageBreak/>
        <w:t>longitudinal study found that adolescents with lower perceived control are more likely to experience bullying over time [17]. This suggests that perceived control affects both immediate and long-term vulnerability to bullying. A</w:t>
      </w:r>
      <w:r w:rsidRPr="00592BC6">
        <w:rPr>
          <w:color w:val="auto"/>
          <w:highlight w:val="yellow"/>
        </w:rPr>
        <w:t>dolescents with higher perceived control are more proactive</w:t>
      </w:r>
      <w:r w:rsidR="00592BC6" w:rsidRPr="00592BC6">
        <w:rPr>
          <w:rFonts w:eastAsiaTheme="minorEastAsia" w:hint="eastAsia"/>
          <w:color w:val="auto"/>
          <w:highlight w:val="yellow"/>
          <w:lang w:eastAsia="zh-CN"/>
        </w:rPr>
        <w:t xml:space="preserve"> in</w:t>
      </w:r>
      <w:r w:rsidRPr="00592BC6">
        <w:rPr>
          <w:color w:val="auto"/>
          <w:highlight w:val="yellow"/>
        </w:rPr>
        <w:t xml:space="preserve"> seeking solutions independently</w:t>
      </w:r>
      <w:r w:rsidR="00592BC6" w:rsidRPr="00592BC6">
        <w:rPr>
          <w:rFonts w:eastAsiaTheme="minorEastAsia" w:hint="eastAsia"/>
          <w:color w:val="auto"/>
          <w:highlight w:val="yellow"/>
          <w:lang w:eastAsia="zh-CN"/>
        </w:rPr>
        <w:t>,</w:t>
      </w:r>
      <w:r w:rsidRPr="00592BC6">
        <w:rPr>
          <w:color w:val="auto"/>
          <w:highlight w:val="yellow"/>
        </w:rPr>
        <w:t xml:space="preserve"> rather than relying on external intervention</w:t>
      </w:r>
      <w:r w:rsidRPr="00342B5C">
        <w:rPr>
          <w:color w:val="auto"/>
        </w:rPr>
        <w:t xml:space="preserve"> [18]. </w:t>
      </w:r>
      <w:r w:rsidR="00592BC6" w:rsidRPr="00592BC6">
        <w:rPr>
          <w:color w:val="auto"/>
          <w:highlight w:val="yellow"/>
        </w:rPr>
        <w:t>This sense of autonomy enables them to regain control and mitigate the harmful effects of bullying</w:t>
      </w:r>
      <w:r w:rsidRPr="00342B5C">
        <w:rPr>
          <w:color w:val="auto"/>
        </w:rPr>
        <w:t xml:space="preserve"> [19].</w:t>
      </w:r>
    </w:p>
    <w:p w14:paraId="3F167A6B" w14:textId="5F8B3EDF" w:rsidR="005D05AF" w:rsidRPr="00342B5C" w:rsidRDefault="00592BC6" w:rsidP="00112BA8">
      <w:pPr>
        <w:pStyle w:val="MDPI31text"/>
        <w:rPr>
          <w:color w:val="auto"/>
        </w:rPr>
      </w:pPr>
      <w:r w:rsidRPr="00592BC6">
        <w:rPr>
          <w:color w:val="auto"/>
          <w:highlight w:val="yellow"/>
        </w:rPr>
        <w:t>Despite the established link between perceived control and bullying, longitudinal studies on how perceived control protects against bullying over time are limited.</w:t>
      </w:r>
      <w:r w:rsidR="005D05AF" w:rsidRPr="00342B5C">
        <w:rPr>
          <w:color w:val="auto"/>
        </w:rPr>
        <w:t xml:space="preserve"> </w:t>
      </w:r>
      <w:r w:rsidRPr="00592BC6">
        <w:rPr>
          <w:color w:val="auto"/>
          <w:highlight w:val="yellow"/>
        </w:rPr>
        <w:t>Research suggests that perceived control typically increases as adolescents grow,</w:t>
      </w:r>
      <w:r w:rsidR="005D05AF" w:rsidRPr="00342B5C">
        <w:rPr>
          <w:color w:val="auto"/>
        </w:rPr>
        <w:t xml:space="preserve"> which may reduce </w:t>
      </w:r>
      <w:r>
        <w:rPr>
          <w:rFonts w:eastAsiaTheme="minorEastAsia" w:hint="eastAsia"/>
          <w:color w:val="auto"/>
          <w:lang w:eastAsia="zh-CN"/>
        </w:rPr>
        <w:t>issue</w:t>
      </w:r>
      <w:r w:rsidR="005D05AF" w:rsidRPr="00342B5C">
        <w:rPr>
          <w:color w:val="auto"/>
        </w:rPr>
        <w:t>s like depression, anxiety, and aggression related to bullying [20]. However, it remains unclear how perceived control and bullying victimization change together over time.</w:t>
      </w:r>
    </w:p>
    <w:p w14:paraId="5C633409" w14:textId="484E248D" w:rsidR="005D05AF" w:rsidRPr="00342B5C" w:rsidRDefault="005D05AF" w:rsidP="00112BA8">
      <w:pPr>
        <w:pStyle w:val="MDPI31text"/>
        <w:rPr>
          <w:color w:val="auto"/>
        </w:rPr>
      </w:pPr>
      <w:r w:rsidRPr="00905DBA">
        <w:rPr>
          <w:color w:val="auto"/>
          <w:highlight w:val="yellow"/>
        </w:rPr>
        <w:t xml:space="preserve">To </w:t>
      </w:r>
      <w:r w:rsidR="00905DBA" w:rsidRPr="00905DBA">
        <w:rPr>
          <w:rFonts w:eastAsiaTheme="minorEastAsia" w:hint="eastAsia"/>
          <w:color w:val="auto"/>
          <w:highlight w:val="yellow"/>
          <w:lang w:eastAsia="zh-CN"/>
        </w:rPr>
        <w:t>address</w:t>
      </w:r>
      <w:r w:rsidRPr="00905DBA">
        <w:rPr>
          <w:color w:val="auto"/>
          <w:highlight w:val="yellow"/>
        </w:rPr>
        <w:t xml:space="preserve"> these questions, it is</w:t>
      </w:r>
      <w:r w:rsidR="00905DBA" w:rsidRPr="00905DBA">
        <w:rPr>
          <w:rFonts w:eastAsiaTheme="minorEastAsia" w:hint="eastAsia"/>
          <w:color w:val="auto"/>
          <w:highlight w:val="yellow"/>
          <w:lang w:eastAsia="zh-CN"/>
        </w:rPr>
        <w:t xml:space="preserve"> crucial</w:t>
      </w:r>
      <w:r w:rsidRPr="00905DBA">
        <w:rPr>
          <w:color w:val="auto"/>
          <w:highlight w:val="yellow"/>
        </w:rPr>
        <w:t xml:space="preserve"> to examine both the average levels (intercepts)</w:t>
      </w:r>
      <w:r w:rsidR="00905DBA" w:rsidRPr="00905DBA">
        <w:rPr>
          <w:highlight w:val="yellow"/>
        </w:rPr>
        <w:t xml:space="preserve"> </w:t>
      </w:r>
      <w:r w:rsidR="00905DBA" w:rsidRPr="00905DBA">
        <w:rPr>
          <w:color w:val="auto"/>
          <w:highlight w:val="yellow"/>
        </w:rPr>
        <w:t>and changes over time (slopes) of perceived control and bullying.</w:t>
      </w:r>
      <w:r w:rsidRPr="00342B5C">
        <w:rPr>
          <w:color w:val="auto"/>
        </w:rPr>
        <w:t xml:space="preserve"> The intercept re</w:t>
      </w:r>
      <w:r w:rsidR="00905DBA">
        <w:rPr>
          <w:rFonts w:eastAsiaTheme="minorEastAsia" w:hint="eastAsia"/>
          <w:color w:val="auto"/>
          <w:lang w:eastAsia="zh-CN"/>
        </w:rPr>
        <w:t>flects</w:t>
      </w:r>
      <w:r w:rsidRPr="00342B5C">
        <w:rPr>
          <w:color w:val="auto"/>
        </w:rPr>
        <w:t xml:space="preserve"> the initial level of perceived control or bullying, while the slope </w:t>
      </w:r>
      <w:r w:rsidR="00905DBA">
        <w:rPr>
          <w:rFonts w:eastAsiaTheme="minorEastAsia" w:hint="eastAsia"/>
          <w:color w:val="auto"/>
          <w:lang w:eastAsia="zh-CN"/>
        </w:rPr>
        <w:t>indicates</w:t>
      </w:r>
      <w:r w:rsidRPr="00342B5C">
        <w:rPr>
          <w:color w:val="auto"/>
        </w:rPr>
        <w:t xml:space="preserve"> the rate of change. </w:t>
      </w:r>
      <w:r w:rsidR="00905DBA" w:rsidRPr="00905DBA">
        <w:rPr>
          <w:color w:val="auto"/>
          <w:highlight w:val="yellow"/>
        </w:rPr>
        <w:t>By studying these factors, researchers can better understand whether adolescents with lower initial perceived control are more likely to experience higher rates of bullying, and whether increases in perceived control are associated with reductions in bullying. This analysis can provide valuable insights for identifying effective intervention strategies during adolescence.</w:t>
      </w:r>
    </w:p>
    <w:p w14:paraId="64D01CF3" w14:textId="191A7D49" w:rsidR="005D05AF" w:rsidRPr="00342B5C" w:rsidRDefault="00112BA8" w:rsidP="00112BA8">
      <w:pPr>
        <w:pStyle w:val="MDPI22heading2"/>
        <w:spacing w:before="240"/>
        <w:rPr>
          <w:color w:val="auto"/>
        </w:rPr>
      </w:pPr>
      <w:r w:rsidRPr="00342B5C">
        <w:rPr>
          <w:color w:val="auto"/>
        </w:rPr>
        <w:t xml:space="preserve">1.2. </w:t>
      </w:r>
      <w:r w:rsidR="005D05AF" w:rsidRPr="00342B5C">
        <w:rPr>
          <w:color w:val="auto"/>
        </w:rPr>
        <w:t xml:space="preserve">Perceived </w:t>
      </w:r>
      <w:r w:rsidR="00170E4D" w:rsidRPr="00342B5C">
        <w:rPr>
          <w:color w:val="auto"/>
        </w:rPr>
        <w:t xml:space="preserve">Control </w:t>
      </w:r>
      <w:r w:rsidR="005D05AF" w:rsidRPr="00342B5C">
        <w:rPr>
          <w:color w:val="auto"/>
        </w:rPr>
        <w:t xml:space="preserve">and </w:t>
      </w:r>
      <w:r w:rsidR="00170E4D" w:rsidRPr="00342B5C">
        <w:rPr>
          <w:color w:val="auto"/>
        </w:rPr>
        <w:t>Teacher</w:t>
      </w:r>
      <w:r w:rsidR="005D05AF" w:rsidRPr="00342B5C">
        <w:rPr>
          <w:color w:val="auto"/>
        </w:rPr>
        <w:t>-</w:t>
      </w:r>
      <w:r w:rsidR="00170E4D" w:rsidRPr="00342B5C">
        <w:rPr>
          <w:color w:val="auto"/>
        </w:rPr>
        <w:t>Student Relationships</w:t>
      </w:r>
    </w:p>
    <w:p w14:paraId="1EF394C2" w14:textId="25321DF3" w:rsidR="005D05AF" w:rsidRPr="00342B5C" w:rsidRDefault="0014127B" w:rsidP="00112BA8">
      <w:pPr>
        <w:pStyle w:val="MDPI31text"/>
        <w:rPr>
          <w:color w:val="auto"/>
        </w:rPr>
      </w:pPr>
      <w:r w:rsidRPr="0014127B">
        <w:rPr>
          <w:color w:val="auto"/>
          <w:highlight w:val="yellow"/>
        </w:rPr>
        <w:t>According to Locus of Control theory, individuals are categorized as either internal or external in terms of their perceived control</w:t>
      </w:r>
      <w:r w:rsidR="005D05AF" w:rsidRPr="00342B5C">
        <w:rPr>
          <w:color w:val="auto"/>
        </w:rPr>
        <w:t xml:space="preserve"> [21]. Adolescents with a strong perceived control are typically internals, who trust that their actions can shape their academic achievements and interpersonal relationships. Perceived control motivates </w:t>
      </w:r>
      <w:r w:rsidR="005D05AF" w:rsidRPr="00342B5C">
        <w:rPr>
          <w:color w:val="auto"/>
          <w:lang w:val="en-GB"/>
        </w:rPr>
        <w:t>a</w:t>
      </w:r>
      <w:proofErr w:type="spellStart"/>
      <w:r w:rsidR="005D05AF" w:rsidRPr="00342B5C">
        <w:rPr>
          <w:color w:val="auto"/>
        </w:rPr>
        <w:t>dolescents</w:t>
      </w:r>
      <w:proofErr w:type="spellEnd"/>
      <w:r w:rsidR="005D05AF" w:rsidRPr="00342B5C">
        <w:rPr>
          <w:color w:val="auto"/>
        </w:rPr>
        <w:t xml:space="preserve"> to take initiative and </w:t>
      </w:r>
      <w:r w:rsidR="00744423" w:rsidRPr="00744423">
        <w:rPr>
          <w:color w:val="auto"/>
        </w:rPr>
        <w:t>engage proactively with their teachers, fostering positive, supportive interactions</w:t>
      </w:r>
      <w:r w:rsidR="005D05AF" w:rsidRPr="00342B5C">
        <w:rPr>
          <w:color w:val="auto"/>
        </w:rPr>
        <w:t xml:space="preserve"> [22]. </w:t>
      </w:r>
      <w:r w:rsidR="00744423">
        <w:rPr>
          <w:rFonts w:eastAsiaTheme="minorEastAsia"/>
          <w:color w:val="auto"/>
          <w:lang w:eastAsia="zh-CN"/>
        </w:rPr>
        <w:t>I</w:t>
      </w:r>
      <w:r w:rsidR="00744423">
        <w:rPr>
          <w:rFonts w:eastAsiaTheme="minorEastAsia" w:hint="eastAsia"/>
          <w:color w:val="auto"/>
          <w:lang w:eastAsia="zh-CN"/>
        </w:rPr>
        <w:t>n contrast, a</w:t>
      </w:r>
      <w:r w:rsidR="005D05AF" w:rsidRPr="00342B5C">
        <w:rPr>
          <w:color w:val="auto"/>
        </w:rPr>
        <w:t>dolescents with diminished perceived control</w:t>
      </w:r>
      <w:r w:rsidR="00744423">
        <w:rPr>
          <w:rFonts w:eastAsiaTheme="minorEastAsia" w:hint="eastAsia"/>
          <w:color w:val="auto"/>
          <w:lang w:eastAsia="zh-CN"/>
        </w:rPr>
        <w:t xml:space="preserve"> tend to</w:t>
      </w:r>
      <w:r w:rsidR="005D05AF" w:rsidRPr="00342B5C">
        <w:rPr>
          <w:color w:val="auto"/>
        </w:rPr>
        <w:t xml:space="preserve"> exhibit higher incidence of negative behaviors [23]</w:t>
      </w:r>
      <w:r w:rsidR="00744423">
        <w:rPr>
          <w:rFonts w:eastAsiaTheme="minorEastAsia" w:hint="eastAsia"/>
          <w:color w:val="auto"/>
          <w:lang w:eastAsia="zh-CN"/>
        </w:rPr>
        <w:t>,</w:t>
      </w:r>
      <w:r w:rsidR="005D05AF" w:rsidRPr="00342B5C">
        <w:rPr>
          <w:color w:val="auto"/>
        </w:rPr>
        <w:t xml:space="preserve"> </w:t>
      </w:r>
      <w:r w:rsidR="00744423" w:rsidRPr="00744423">
        <w:rPr>
          <w:color w:val="auto"/>
          <w:highlight w:val="yellow"/>
        </w:rPr>
        <w:t>struggle to receive positive feedback from teachers, and have difficulty developing supportive teacher-student relationships</w:t>
      </w:r>
      <w:r w:rsidR="005D05AF" w:rsidRPr="00342B5C">
        <w:rPr>
          <w:color w:val="auto"/>
        </w:rPr>
        <w:t xml:space="preserve"> [24]. A</w:t>
      </w:r>
      <w:r w:rsidR="00744423">
        <w:rPr>
          <w:rFonts w:eastAsiaTheme="minorEastAsia" w:hint="eastAsia"/>
          <w:color w:val="auto"/>
          <w:lang w:eastAsia="zh-CN"/>
        </w:rPr>
        <w:t>lthough</w:t>
      </w:r>
      <w:r w:rsidR="005D05AF" w:rsidRPr="00342B5C">
        <w:rPr>
          <w:color w:val="auto"/>
        </w:rPr>
        <w:t xml:space="preserve"> few studies have directly explored the impact of perceived control on teacher-student relationships, existing literature suggests that perceived control may play a facilitative role in fostering teacher-student relationships. According to Self-Determination Theory, adolescents with</w:t>
      </w:r>
      <w:r w:rsidR="00744423">
        <w:rPr>
          <w:rFonts w:eastAsiaTheme="minorEastAsia" w:hint="eastAsia"/>
          <w:color w:val="auto"/>
          <w:lang w:eastAsia="zh-CN"/>
        </w:rPr>
        <w:t xml:space="preserve"> higher</w:t>
      </w:r>
      <w:r w:rsidR="005D05AF" w:rsidRPr="00342B5C">
        <w:rPr>
          <w:color w:val="auto"/>
        </w:rPr>
        <w:t xml:space="preserve"> perceived control are more likely to experience autonomy and relatedness, </w:t>
      </w:r>
      <w:r w:rsidR="00744423" w:rsidRPr="00744423">
        <w:rPr>
          <w:color w:val="auto"/>
          <w:highlight w:val="yellow"/>
        </w:rPr>
        <w:t>both of which are critical for developing positive teacher-student relationships</w:t>
      </w:r>
      <w:r w:rsidR="005D05AF" w:rsidRPr="00342B5C">
        <w:rPr>
          <w:color w:val="auto"/>
        </w:rPr>
        <w:t xml:space="preserve"> [25]. Adolescents with </w:t>
      </w:r>
      <w:r w:rsidR="00744423">
        <w:rPr>
          <w:rFonts w:eastAsiaTheme="minorEastAsia" w:hint="eastAsia"/>
          <w:color w:val="auto"/>
          <w:lang w:eastAsia="zh-CN"/>
        </w:rPr>
        <w:t xml:space="preserve">higher </w:t>
      </w:r>
      <w:r w:rsidR="005D05AF" w:rsidRPr="00342B5C">
        <w:rPr>
          <w:color w:val="auto"/>
        </w:rPr>
        <w:t xml:space="preserve">perceived control engage more actively in classroom interactions and proactively seek help from their teachers [26]. Adolescent students with perceived control believe that they are valued and supported by their teachers, and they possess the confidence to strengthen these relationships [27]. Relatedness is a fundamental human need [28]. Teachers, as significant figures within the school environment, play a crucial role in facilitating academic engagement, emotional support, and positive social interactions for adolescents. </w:t>
      </w:r>
      <w:r w:rsidR="00744423" w:rsidRPr="00744423">
        <w:rPr>
          <w:color w:val="auto"/>
        </w:rPr>
        <w:t>Given adolescents' inherent need for relatedness</w:t>
      </w:r>
      <w:r w:rsidR="005D05AF" w:rsidRPr="00342B5C">
        <w:rPr>
          <w:color w:val="auto"/>
        </w:rPr>
        <w:t>, adolescents naturally seek to establish meaningful and supportive emotional connections with their teachers</w:t>
      </w:r>
      <w:r w:rsidR="00744423">
        <w:rPr>
          <w:rFonts w:eastAsiaTheme="minorEastAsia" w:hint="eastAsia"/>
          <w:color w:val="auto"/>
          <w:lang w:eastAsia="zh-CN"/>
        </w:rPr>
        <w:t>.</w:t>
      </w:r>
      <w:r w:rsidR="005D05AF" w:rsidRPr="00342B5C">
        <w:rPr>
          <w:color w:val="auto"/>
        </w:rPr>
        <w:t xml:space="preserve"> </w:t>
      </w:r>
      <w:r w:rsidR="00744423" w:rsidRPr="00BD0194">
        <w:rPr>
          <w:color w:val="auto"/>
          <w:highlight w:val="yellow"/>
        </w:rPr>
        <w:t>In supportive school environments, teachers can fulfill this need, helping students build a sense of belonging and improving their overall social and academic outcomes.</w:t>
      </w:r>
      <w:r w:rsidR="00744423">
        <w:rPr>
          <w:rFonts w:eastAsiaTheme="minorEastAsia" w:hint="eastAsia"/>
          <w:color w:val="auto"/>
          <w:lang w:eastAsia="zh-CN"/>
        </w:rPr>
        <w:t xml:space="preserve"> </w:t>
      </w:r>
      <w:r w:rsidR="005D05AF" w:rsidRPr="00342B5C">
        <w:rPr>
          <w:color w:val="auto"/>
        </w:rPr>
        <w:t xml:space="preserve">Thus, this study </w:t>
      </w:r>
      <w:r w:rsidR="00BD0194">
        <w:rPr>
          <w:rFonts w:eastAsiaTheme="minorEastAsia" w:hint="eastAsia"/>
          <w:color w:val="auto"/>
          <w:lang w:eastAsia="zh-CN"/>
        </w:rPr>
        <w:t>seek</w:t>
      </w:r>
      <w:r w:rsidR="005D05AF" w:rsidRPr="00342B5C">
        <w:rPr>
          <w:color w:val="auto"/>
        </w:rPr>
        <w:t xml:space="preserve">s to </w:t>
      </w:r>
      <w:r w:rsidR="00BD0194">
        <w:rPr>
          <w:rFonts w:eastAsiaTheme="minorEastAsia" w:hint="eastAsia"/>
          <w:color w:val="auto"/>
          <w:lang w:eastAsia="zh-CN"/>
        </w:rPr>
        <w:t>explore</w:t>
      </w:r>
      <w:r w:rsidR="005D05AF" w:rsidRPr="00342B5C">
        <w:rPr>
          <w:color w:val="auto"/>
        </w:rPr>
        <w:t xml:space="preserve"> how perceived control </w:t>
      </w:r>
      <w:r w:rsidR="00BD0194">
        <w:rPr>
          <w:rFonts w:eastAsiaTheme="minorEastAsia" w:hint="eastAsia"/>
          <w:color w:val="auto"/>
          <w:lang w:eastAsia="zh-CN"/>
        </w:rPr>
        <w:t xml:space="preserve">can </w:t>
      </w:r>
      <w:r w:rsidR="005D05AF" w:rsidRPr="00342B5C">
        <w:rPr>
          <w:color w:val="auto"/>
        </w:rPr>
        <w:t>enhances teacher-student relationships</w:t>
      </w:r>
      <w:r w:rsidR="00BD0194">
        <w:rPr>
          <w:rFonts w:eastAsiaTheme="minorEastAsia" w:hint="eastAsia"/>
          <w:color w:val="auto"/>
          <w:lang w:eastAsia="zh-CN"/>
        </w:rPr>
        <w:t>, particularly</w:t>
      </w:r>
      <w:r w:rsidR="005D05AF" w:rsidRPr="00342B5C">
        <w:rPr>
          <w:color w:val="auto"/>
        </w:rPr>
        <w:t xml:space="preserve"> by examining its influence on adolescent-teacher interactions.</w:t>
      </w:r>
    </w:p>
    <w:p w14:paraId="019EA156" w14:textId="14695377" w:rsidR="005D05AF" w:rsidRPr="00342B5C" w:rsidRDefault="00112BA8" w:rsidP="00112BA8">
      <w:pPr>
        <w:pStyle w:val="MDPI22heading2"/>
        <w:spacing w:before="240"/>
        <w:rPr>
          <w:color w:val="auto"/>
        </w:rPr>
      </w:pPr>
      <w:r w:rsidRPr="00342B5C">
        <w:rPr>
          <w:color w:val="auto"/>
        </w:rPr>
        <w:t xml:space="preserve">1.3. </w:t>
      </w:r>
      <w:r w:rsidR="005D05AF" w:rsidRPr="00342B5C">
        <w:rPr>
          <w:color w:val="auto"/>
        </w:rPr>
        <w:t>Teacher-</w:t>
      </w:r>
      <w:r w:rsidR="00170E4D" w:rsidRPr="00342B5C">
        <w:rPr>
          <w:color w:val="auto"/>
        </w:rPr>
        <w:t xml:space="preserve">Student Relationships </w:t>
      </w:r>
      <w:r w:rsidR="005D05AF" w:rsidRPr="00342B5C">
        <w:rPr>
          <w:color w:val="auto"/>
        </w:rPr>
        <w:t xml:space="preserve">and </w:t>
      </w:r>
      <w:r w:rsidR="00170E4D" w:rsidRPr="00342B5C">
        <w:rPr>
          <w:color w:val="auto"/>
        </w:rPr>
        <w:t>Bullying Victimization</w:t>
      </w:r>
    </w:p>
    <w:p w14:paraId="3D9FFEF7" w14:textId="4EE7B3AE" w:rsidR="005D05AF" w:rsidRPr="00342B5C" w:rsidRDefault="005D05AF" w:rsidP="00112BA8">
      <w:pPr>
        <w:pStyle w:val="MDPI31text"/>
        <w:rPr>
          <w:color w:val="auto"/>
        </w:rPr>
      </w:pPr>
      <w:r w:rsidRPr="00342B5C">
        <w:rPr>
          <w:color w:val="auto"/>
        </w:rPr>
        <w:t xml:space="preserve">Teachers play a </w:t>
      </w:r>
      <w:r w:rsidR="00BD0194">
        <w:rPr>
          <w:rFonts w:eastAsiaTheme="minorEastAsia" w:hint="eastAsia"/>
          <w:color w:val="auto"/>
          <w:lang w:eastAsia="zh-CN"/>
        </w:rPr>
        <w:t>central</w:t>
      </w:r>
      <w:r w:rsidRPr="00342B5C">
        <w:rPr>
          <w:color w:val="auto"/>
        </w:rPr>
        <w:t xml:space="preserve"> role in the preventi</w:t>
      </w:r>
      <w:r w:rsidR="00BD0194">
        <w:rPr>
          <w:rFonts w:eastAsiaTheme="minorEastAsia" w:hint="eastAsia"/>
          <w:color w:val="auto"/>
          <w:lang w:eastAsia="zh-CN"/>
        </w:rPr>
        <w:t>ng</w:t>
      </w:r>
      <w:r w:rsidRPr="00342B5C">
        <w:rPr>
          <w:color w:val="auto"/>
        </w:rPr>
        <w:t xml:space="preserve"> and interven</w:t>
      </w:r>
      <w:r w:rsidR="00BD0194">
        <w:rPr>
          <w:rFonts w:eastAsiaTheme="minorEastAsia" w:hint="eastAsia"/>
          <w:color w:val="auto"/>
          <w:lang w:eastAsia="zh-CN"/>
        </w:rPr>
        <w:t>ing</w:t>
      </w:r>
      <w:r w:rsidRPr="00342B5C">
        <w:rPr>
          <w:color w:val="auto"/>
        </w:rPr>
        <w:t xml:space="preserve"> of bullying victimization [29]. Grounded in attachment theory, teachers become significant adults in the lives of adolescents at school, partially assuming some of the roles of parents [30]. </w:t>
      </w:r>
      <w:r w:rsidRPr="00BD0194">
        <w:rPr>
          <w:color w:val="auto"/>
          <w:highlight w:val="yellow"/>
        </w:rPr>
        <w:t xml:space="preserve">As </w:t>
      </w:r>
      <w:r w:rsidRPr="00BD0194">
        <w:rPr>
          <w:color w:val="auto"/>
          <w:highlight w:val="yellow"/>
        </w:rPr>
        <w:lastRenderedPageBreak/>
        <w:t>attachment figures, teachers provide a sense of security</w:t>
      </w:r>
      <w:r w:rsidR="00BD0194" w:rsidRPr="00BD0194">
        <w:rPr>
          <w:rFonts w:eastAsiaTheme="minorEastAsia" w:hint="eastAsia"/>
          <w:color w:val="auto"/>
          <w:highlight w:val="yellow"/>
          <w:lang w:eastAsia="zh-CN"/>
        </w:rPr>
        <w:t>, which</w:t>
      </w:r>
      <w:r w:rsidRPr="00BD0194">
        <w:rPr>
          <w:color w:val="auto"/>
          <w:highlight w:val="yellow"/>
        </w:rPr>
        <w:t xml:space="preserve"> students may seek during times of distress, serving as a stable base </w:t>
      </w:r>
      <w:r w:rsidR="00BD0194" w:rsidRPr="00BD0194">
        <w:rPr>
          <w:rFonts w:eastAsiaTheme="minorEastAsia" w:hint="eastAsia"/>
          <w:color w:val="auto"/>
          <w:highlight w:val="yellow"/>
          <w:lang w:eastAsia="zh-CN"/>
        </w:rPr>
        <w:t xml:space="preserve">for </w:t>
      </w:r>
      <w:r w:rsidRPr="00BD0194">
        <w:rPr>
          <w:color w:val="auto"/>
          <w:highlight w:val="yellow"/>
        </w:rPr>
        <w:t xml:space="preserve">social </w:t>
      </w:r>
      <w:r w:rsidR="00BD0194" w:rsidRPr="00BD0194">
        <w:rPr>
          <w:rFonts w:eastAsiaTheme="minorEastAsia" w:hint="eastAsia"/>
          <w:color w:val="auto"/>
          <w:highlight w:val="yellow"/>
          <w:lang w:eastAsia="zh-CN"/>
        </w:rPr>
        <w:t>exploration</w:t>
      </w:r>
      <w:r w:rsidRPr="00BD0194">
        <w:rPr>
          <w:color w:val="auto"/>
          <w:highlight w:val="yellow"/>
        </w:rPr>
        <w:t>.</w:t>
      </w:r>
      <w:r w:rsidRPr="00342B5C">
        <w:rPr>
          <w:color w:val="auto"/>
        </w:rPr>
        <w:t xml:space="preserve"> This</w:t>
      </w:r>
      <w:r w:rsidR="00BD0194">
        <w:rPr>
          <w:rFonts w:eastAsiaTheme="minorEastAsia" w:hint="eastAsia"/>
          <w:color w:val="auto"/>
          <w:lang w:eastAsia="zh-CN"/>
        </w:rPr>
        <w:t xml:space="preserve"> </w:t>
      </w:r>
      <w:r w:rsidR="00BD0194" w:rsidRPr="00BD0194">
        <w:rPr>
          <w:color w:val="auto"/>
        </w:rPr>
        <w:t>sense of security</w:t>
      </w:r>
      <w:r w:rsidRPr="00342B5C">
        <w:rPr>
          <w:color w:val="auto"/>
        </w:rPr>
        <w:t xml:space="preserve"> helps foster peer relationships and mitigate bullying [31]. </w:t>
      </w:r>
      <w:r w:rsidR="00BD0194" w:rsidRPr="00BD0194">
        <w:rPr>
          <w:color w:val="auto"/>
          <w:highlight w:val="yellow"/>
        </w:rPr>
        <w:t>In China, where academic pressures are high, teachers also provide a sense of stability amidst the emotional challenges adolescents face due to academic and social expectations.</w:t>
      </w:r>
    </w:p>
    <w:p w14:paraId="3E050F57" w14:textId="7A72F8EE" w:rsidR="005D05AF" w:rsidRPr="00342B5C" w:rsidRDefault="005D05AF" w:rsidP="00112BA8">
      <w:pPr>
        <w:pStyle w:val="MDPI31text"/>
        <w:rPr>
          <w:color w:val="auto"/>
        </w:rPr>
      </w:pPr>
      <w:r w:rsidRPr="00342B5C">
        <w:rPr>
          <w:color w:val="auto"/>
        </w:rPr>
        <w:t xml:space="preserve">The quality of teacher-student relationships has been shown to correlate with levels of peer aggression. </w:t>
      </w:r>
      <w:r w:rsidR="00CE67B5">
        <w:rPr>
          <w:rFonts w:eastAsiaTheme="minorEastAsia" w:hint="eastAsia"/>
          <w:color w:val="auto"/>
          <w:lang w:eastAsia="zh-CN"/>
        </w:rPr>
        <w:t>P</w:t>
      </w:r>
      <w:r w:rsidRPr="00342B5C">
        <w:rPr>
          <w:color w:val="auto"/>
        </w:rPr>
        <w:t xml:space="preserve">ositive teacher-student relationships are often associated with lower levels of aggression, while negative relationships may exacerbate </w:t>
      </w:r>
      <w:r w:rsidR="00CE67B5">
        <w:rPr>
          <w:rFonts w:eastAsiaTheme="minorEastAsia" w:hint="eastAsia"/>
          <w:color w:val="auto"/>
          <w:lang w:eastAsia="zh-CN"/>
        </w:rPr>
        <w:t>bullying behaviors</w:t>
      </w:r>
      <w:r w:rsidRPr="00342B5C">
        <w:rPr>
          <w:color w:val="auto"/>
        </w:rPr>
        <w:t xml:space="preserve"> [32]. </w:t>
      </w:r>
      <w:r w:rsidR="00CE67B5" w:rsidRPr="00CE67B5">
        <w:rPr>
          <w:color w:val="auto"/>
          <w:highlight w:val="yellow"/>
        </w:rPr>
        <w:t>Teacher support is a strong predictor of whether a student is likely to be bullied. For example, perceived teacher care and support can significantly reduce the likelihood of bullying victimization</w:t>
      </w:r>
      <w:r w:rsidRPr="00342B5C">
        <w:rPr>
          <w:color w:val="auto"/>
        </w:rPr>
        <w:t xml:space="preserve"> [33]. However, it is still unclear whether these effects persist over time</w:t>
      </w:r>
      <w:r w:rsidR="00CE67B5" w:rsidRPr="00CE67B5">
        <w:rPr>
          <w:color w:val="auto"/>
        </w:rPr>
        <w:t xml:space="preserve">, </w:t>
      </w:r>
      <w:r w:rsidR="00CE67B5" w:rsidRPr="00CE67B5">
        <w:rPr>
          <w:color w:val="auto"/>
          <w:highlight w:val="yellow"/>
        </w:rPr>
        <w:t>particularly in culturally distinct educational settings like China, where teacher authority and academic pressures may influence the dynamics of teacher-student relationships</w:t>
      </w:r>
      <w:r w:rsidRPr="00342B5C">
        <w:rPr>
          <w:color w:val="auto"/>
        </w:rPr>
        <w:t xml:space="preserve">. </w:t>
      </w:r>
    </w:p>
    <w:p w14:paraId="16C2DCFB" w14:textId="11FE447E" w:rsidR="00CE67B5" w:rsidRDefault="005D05AF" w:rsidP="00112BA8">
      <w:pPr>
        <w:pStyle w:val="MDPI31text"/>
        <w:rPr>
          <w:rFonts w:eastAsiaTheme="minorEastAsia"/>
          <w:color w:val="auto"/>
          <w:lang w:eastAsia="zh-CN"/>
        </w:rPr>
      </w:pPr>
      <w:r w:rsidRPr="00342B5C">
        <w:rPr>
          <w:color w:val="auto"/>
        </w:rPr>
        <w:t xml:space="preserve">Previous research on the longitudinal impact of teacher-student relationships has yielded mixed findings. A cross-lagged study found that supportive teacher-student relationships predicted reduced victimization over time [32]. In contrast, other studies found no significant longitudinal impact, suggesting that teacher-student relationships might not consistently influence peer aggression [34]. Furthermore, </w:t>
      </w:r>
      <w:r w:rsidR="00CE67B5" w:rsidRPr="00CE67B5">
        <w:rPr>
          <w:color w:val="auto"/>
          <w:highlight w:val="yellow"/>
        </w:rPr>
        <w:t>teacher favoritism can lead to jealousy among peers, paradoxically increasing bullying victimization despite positive teacher-student relationships</w:t>
      </w:r>
      <w:r w:rsidRPr="00342B5C">
        <w:rPr>
          <w:color w:val="auto"/>
        </w:rPr>
        <w:t xml:space="preserve"> [35]. </w:t>
      </w:r>
      <w:r w:rsidR="00CE67B5" w:rsidRPr="00CE67B5">
        <w:rPr>
          <w:color w:val="auto"/>
          <w:highlight w:val="yellow"/>
        </w:rPr>
        <w:t>In China, where teacher authority is particularly strong, favoritism can create social divisions among students, exacerbating the risk of bullying.</w:t>
      </w:r>
      <w:r w:rsidR="00CE67B5" w:rsidRPr="00CE67B5">
        <w:t xml:space="preserve"> </w:t>
      </w:r>
      <w:r w:rsidR="00CE67B5" w:rsidRPr="00CE67B5">
        <w:rPr>
          <w:color w:val="auto"/>
          <w:highlight w:val="yellow"/>
        </w:rPr>
        <w:t>These conflicting findings suggest that the influence of teacher-student relationships on bullying victimization is complex and warrants further exploration across different cultural and developmental contexts. In the Chinese educational environment, where academic performance plays a significant role in social dynamics, teacher-student relationships may have unique implications for bullying victimization.</w:t>
      </w:r>
    </w:p>
    <w:p w14:paraId="6A82623D" w14:textId="6955AC60" w:rsidR="005D05AF" w:rsidRPr="00342B5C" w:rsidRDefault="005D05AF" w:rsidP="00112BA8">
      <w:pPr>
        <w:pStyle w:val="MDPI31text"/>
        <w:rPr>
          <w:color w:val="auto"/>
        </w:rPr>
      </w:pPr>
      <w:r w:rsidRPr="00342B5C">
        <w:rPr>
          <w:color w:val="auto"/>
        </w:rPr>
        <w:t>Many studies have utilized cross-lagged models to explore the relationship between teacher-student relationships and bullying</w:t>
      </w:r>
      <w:r w:rsidR="00CE67B5">
        <w:rPr>
          <w:rFonts w:eastAsiaTheme="minorEastAsia" w:hint="eastAsia"/>
          <w:color w:val="auto"/>
          <w:lang w:eastAsia="zh-CN"/>
        </w:rPr>
        <w:t xml:space="preserve"> </w:t>
      </w:r>
      <w:r w:rsidR="00CE67B5" w:rsidRPr="00CC0005">
        <w:rPr>
          <w:rFonts w:eastAsiaTheme="minorEastAsia" w:hint="eastAsia"/>
          <w:color w:val="auto"/>
          <w:highlight w:val="yellow"/>
          <w:lang w:eastAsia="zh-CN"/>
        </w:rPr>
        <w:t>[32-34]</w:t>
      </w:r>
      <w:r w:rsidRPr="00342B5C">
        <w:rPr>
          <w:color w:val="auto"/>
        </w:rPr>
        <w:t>. While these models provide insights into the direction of causality, they do not adequately address the specific roles of initial levels and growth rates of key variables. This gap in the literature highlights the need for a more nuanced understanding of how teacher-student relationships evolve over time and their differential effects on bullying. Specifically, initial levels of teacher support and the growth trajectory of these relationships may exert distinct influences, potentially explaining inconsistencies in prior findings.</w:t>
      </w:r>
    </w:p>
    <w:p w14:paraId="26FFAFFA" w14:textId="3428BD92" w:rsidR="005D05AF" w:rsidRPr="00342B5C" w:rsidRDefault="005D05AF" w:rsidP="00112BA8">
      <w:pPr>
        <w:pStyle w:val="MDPI31text"/>
        <w:rPr>
          <w:color w:val="auto"/>
        </w:rPr>
      </w:pPr>
      <w:r w:rsidRPr="00342B5C">
        <w:rPr>
          <w:color w:val="auto"/>
        </w:rPr>
        <w:t xml:space="preserve">Therefore, this study aims to explore the impact of teacher-student relationships on bullying victimization by analyzing both initial levels and growth rates using latent growth models. This approach will provide a deeper understanding of how the dynamics of teacher-student relationships contribute to bullying prevention and how these influences evolve </w:t>
      </w:r>
      <w:r w:rsidR="00AF2BBB">
        <w:rPr>
          <w:rFonts w:eastAsiaTheme="minorEastAsia" w:hint="eastAsia"/>
          <w:color w:val="auto"/>
          <w:lang w:eastAsia="zh-CN"/>
        </w:rPr>
        <w:t>over time</w:t>
      </w:r>
      <w:r w:rsidR="00AF2BBB" w:rsidRPr="00CC0005">
        <w:rPr>
          <w:rFonts w:eastAsiaTheme="minorEastAsia"/>
          <w:color w:val="auto"/>
          <w:highlight w:val="yellow"/>
          <w:lang w:eastAsia="zh-CN"/>
        </w:rPr>
        <w:t>, particularly in the context of China’s academic pressures and teacher authority</w:t>
      </w:r>
      <w:r w:rsidRPr="00CC0005">
        <w:rPr>
          <w:color w:val="auto"/>
          <w:highlight w:val="yellow"/>
        </w:rPr>
        <w:t>.</w:t>
      </w:r>
    </w:p>
    <w:p w14:paraId="3A0EE04A" w14:textId="6277CDC7" w:rsidR="005D05AF" w:rsidRPr="00342B5C" w:rsidRDefault="00112BA8" w:rsidP="00112BA8">
      <w:pPr>
        <w:pStyle w:val="MDPI22heading2"/>
        <w:spacing w:before="240"/>
        <w:rPr>
          <w:color w:val="auto"/>
        </w:rPr>
      </w:pPr>
      <w:r w:rsidRPr="00342B5C">
        <w:rPr>
          <w:color w:val="auto"/>
        </w:rPr>
        <w:t xml:space="preserve">1.4. </w:t>
      </w:r>
      <w:r w:rsidR="005D05AF" w:rsidRPr="00342B5C">
        <w:rPr>
          <w:color w:val="auto"/>
        </w:rPr>
        <w:t xml:space="preserve">The </w:t>
      </w:r>
      <w:r w:rsidR="00170E4D" w:rsidRPr="00342B5C">
        <w:rPr>
          <w:color w:val="auto"/>
        </w:rPr>
        <w:t>Current Research</w:t>
      </w:r>
    </w:p>
    <w:p w14:paraId="67BF41E2" w14:textId="3DB11F46" w:rsidR="005D05AF" w:rsidRPr="00342B5C" w:rsidRDefault="005D05AF" w:rsidP="00112BA8">
      <w:pPr>
        <w:pStyle w:val="MDPI31text"/>
        <w:rPr>
          <w:color w:val="auto"/>
        </w:rPr>
      </w:pPr>
      <w:r w:rsidRPr="00342B5C">
        <w:rPr>
          <w:color w:val="auto"/>
        </w:rPr>
        <w:t xml:space="preserve">In summary, our study fills a gap in the literature by </w:t>
      </w:r>
      <w:r w:rsidR="00CC0005">
        <w:rPr>
          <w:rFonts w:eastAsiaTheme="minorEastAsia" w:hint="eastAsia"/>
          <w:color w:val="auto"/>
          <w:lang w:eastAsia="zh-CN"/>
        </w:rPr>
        <w:t>examin</w:t>
      </w:r>
      <w:r w:rsidRPr="00342B5C">
        <w:rPr>
          <w:color w:val="auto"/>
        </w:rPr>
        <w:t xml:space="preserve">ing the longitudinal change trajectories of perceived control, teacher-student relationships, and bullying victimization among Chinese early adolescents. </w:t>
      </w:r>
      <w:r w:rsidR="00CC0005" w:rsidRPr="00CC0005">
        <w:rPr>
          <w:color w:val="auto"/>
          <w:highlight w:val="yellow"/>
        </w:rPr>
        <w:t>It specifically aims to investigate how teacher-student relationships mediate the relationship between perceived control and bullying victimization over time.</w:t>
      </w:r>
      <w:r w:rsidR="0027526F">
        <w:rPr>
          <w:rFonts w:eastAsiaTheme="minorEastAsia" w:hint="eastAsia"/>
          <w:color w:val="auto"/>
          <w:lang w:eastAsia="zh-CN"/>
        </w:rPr>
        <w:t xml:space="preserve"> </w:t>
      </w:r>
      <w:r w:rsidRPr="00342B5C">
        <w:rPr>
          <w:color w:val="auto"/>
        </w:rPr>
        <w:t xml:space="preserve">The hypotheses are as follows: (1) </w:t>
      </w:r>
      <w:r w:rsidR="00CC0005" w:rsidRPr="00CC0005">
        <w:rPr>
          <w:color w:val="auto"/>
          <w:highlight w:val="yellow"/>
        </w:rPr>
        <w:t>Bullying victimization in early adolescents will decrease over time, while perceived control and teacher-student relationships will increase.</w:t>
      </w:r>
      <w:r w:rsidRPr="00342B5C">
        <w:rPr>
          <w:color w:val="auto"/>
        </w:rPr>
        <w:t xml:space="preserve"> (2) Changes in perceived control will directly predict changes in bullying victimization,</w:t>
      </w:r>
      <w:r w:rsidR="00CC0005" w:rsidRPr="00CC0005">
        <w:t xml:space="preserve"> </w:t>
      </w:r>
      <w:r w:rsidR="00CC0005" w:rsidRPr="00CC0005">
        <w:rPr>
          <w:color w:val="auto"/>
          <w:highlight w:val="yellow"/>
        </w:rPr>
        <w:t>and this relationship will be mediated by teacher-student relationships.</w:t>
      </w:r>
      <w:r w:rsidRPr="00342B5C">
        <w:rPr>
          <w:color w:val="auto"/>
        </w:rPr>
        <w:t xml:space="preserve"> (3) The initial level of teacher-student relationships positively predicts adolescents' experiences of bullying victimization. (4) </w:t>
      </w:r>
      <w:r w:rsidR="00CC0005" w:rsidRPr="00CC0005">
        <w:rPr>
          <w:color w:val="auto"/>
          <w:highlight w:val="yellow"/>
        </w:rPr>
        <w:t>Over the long term, teacher-student relationships will negatively predict bullying victimization in early adolescents.</w:t>
      </w:r>
    </w:p>
    <w:p w14:paraId="16349CC8" w14:textId="0C0DD4BB" w:rsidR="005D05AF" w:rsidRPr="00342B5C" w:rsidRDefault="00112BA8" w:rsidP="00112BA8">
      <w:pPr>
        <w:pStyle w:val="MDPI21heading1"/>
        <w:rPr>
          <w:color w:val="auto"/>
        </w:rPr>
      </w:pPr>
      <w:r w:rsidRPr="00342B5C">
        <w:rPr>
          <w:color w:val="auto"/>
        </w:rPr>
        <w:lastRenderedPageBreak/>
        <w:t xml:space="preserve">2. </w:t>
      </w:r>
      <w:r w:rsidR="005D05AF" w:rsidRPr="00342B5C">
        <w:rPr>
          <w:color w:val="auto"/>
        </w:rPr>
        <w:t>Methods</w:t>
      </w:r>
    </w:p>
    <w:p w14:paraId="7B6F4F10" w14:textId="26930463" w:rsidR="005D05AF" w:rsidRPr="00342B5C" w:rsidRDefault="00112BA8" w:rsidP="00112BA8">
      <w:pPr>
        <w:pStyle w:val="MDPI22heading2"/>
        <w:rPr>
          <w:color w:val="auto"/>
        </w:rPr>
      </w:pPr>
      <w:r w:rsidRPr="00342B5C">
        <w:rPr>
          <w:color w:val="auto"/>
        </w:rPr>
        <w:t xml:space="preserve">2.1. </w:t>
      </w:r>
      <w:r w:rsidR="005D05AF" w:rsidRPr="00342B5C">
        <w:rPr>
          <w:color w:val="auto"/>
        </w:rPr>
        <w:t>Participants and Procedure</w:t>
      </w:r>
    </w:p>
    <w:p w14:paraId="783911AB" w14:textId="2482FB34" w:rsidR="005D05AF" w:rsidRPr="00342B5C" w:rsidRDefault="005D05AF" w:rsidP="00112BA8">
      <w:pPr>
        <w:pStyle w:val="MDPI31text"/>
        <w:rPr>
          <w:color w:val="auto"/>
        </w:rPr>
      </w:pPr>
      <w:r w:rsidRPr="00342B5C">
        <w:rPr>
          <w:color w:val="auto"/>
        </w:rPr>
        <w:t xml:space="preserve">  A total of 1454 adolescents from the seventh and eighth grades of a middle school were selected for a three-wave longitudinal study, with assessments conducted every six months over a year-long period. The number of participants was 1414(June 2022), 1328(December 2022), and 1246(June 2023), respectively, for each wave. </w:t>
      </w:r>
      <w:r w:rsidR="007354CD" w:rsidRPr="007354CD">
        <w:rPr>
          <w:color w:val="auto"/>
          <w:highlight w:val="yellow"/>
        </w:rPr>
        <w:t xml:space="preserve">A total of </w:t>
      </w:r>
      <w:r w:rsidR="007354CD" w:rsidRPr="007354CD">
        <w:rPr>
          <w:rFonts w:eastAsiaTheme="minorEastAsia" w:hint="eastAsia"/>
          <w:color w:val="auto"/>
          <w:highlight w:val="yellow"/>
          <w:lang w:eastAsia="zh-CN"/>
        </w:rPr>
        <w:t>208</w:t>
      </w:r>
      <w:r w:rsidR="007354CD" w:rsidRPr="007354CD">
        <w:rPr>
          <w:color w:val="auto"/>
          <w:highlight w:val="yellow"/>
        </w:rPr>
        <w:t xml:space="preserve"> students were unable to complete the full assessment due to illness, temporary withdrawal, transfer, or other related reasons.</w:t>
      </w:r>
      <w:r w:rsidR="007354CD">
        <w:rPr>
          <w:rFonts w:eastAsiaTheme="minorEastAsia" w:hint="eastAsia"/>
          <w:color w:val="auto"/>
          <w:lang w:eastAsia="zh-CN"/>
        </w:rPr>
        <w:t xml:space="preserve"> </w:t>
      </w:r>
      <w:r w:rsidRPr="00342B5C">
        <w:rPr>
          <w:color w:val="auto"/>
        </w:rPr>
        <w:t xml:space="preserve">Little's MCAR test was applied to missing data of the study variables, indicating that the missing data pattern was completely random (χ2=33.20, </w:t>
      </w:r>
      <w:r w:rsidRPr="00342B5C">
        <w:rPr>
          <w:i/>
          <w:color w:val="auto"/>
        </w:rPr>
        <w:t>p</w:t>
      </w:r>
      <w:r w:rsidRPr="00342B5C">
        <w:rPr>
          <w:color w:val="auto"/>
        </w:rPr>
        <w:t>=0.31). Therefore, Full Information Maximum Likelihood Estimation was employed to address the missing data. A total of 1246 participants</w:t>
      </w:r>
      <w:r w:rsidR="00A50103">
        <w:rPr>
          <w:rFonts w:eastAsiaTheme="minorEastAsia" w:hint="eastAsia"/>
          <w:color w:val="auto"/>
          <w:lang w:eastAsia="zh-CN"/>
        </w:rPr>
        <w:t xml:space="preserve"> </w:t>
      </w:r>
      <w:r w:rsidR="00A50103" w:rsidRPr="00A50103">
        <w:rPr>
          <w:rFonts w:eastAsiaTheme="minorEastAsia"/>
          <w:color w:val="auto"/>
          <w:highlight w:val="yellow"/>
          <w:lang w:eastAsia="zh-CN"/>
        </w:rPr>
        <w:t>(</w:t>
      </w:r>
      <w:r w:rsidR="00A50103" w:rsidRPr="00A50103">
        <w:rPr>
          <w:rFonts w:eastAsiaTheme="minorEastAsia"/>
          <w:i/>
          <w:iCs/>
          <w:color w:val="auto"/>
          <w:highlight w:val="yellow"/>
          <w:lang w:eastAsia="zh-CN"/>
        </w:rPr>
        <w:t>Mage</w:t>
      </w:r>
      <w:r w:rsidR="00A50103" w:rsidRPr="00A50103">
        <w:rPr>
          <w:rFonts w:eastAsiaTheme="minorEastAsia"/>
          <w:color w:val="auto"/>
          <w:highlight w:val="yellow"/>
          <w:lang w:eastAsia="zh-CN"/>
        </w:rPr>
        <w:t xml:space="preserve"> = 13.58 years, </w:t>
      </w:r>
      <w:r w:rsidR="00A50103" w:rsidRPr="00A50103">
        <w:rPr>
          <w:rFonts w:eastAsiaTheme="minorEastAsia"/>
          <w:i/>
          <w:iCs/>
          <w:color w:val="auto"/>
          <w:highlight w:val="yellow"/>
          <w:lang w:eastAsia="zh-CN"/>
        </w:rPr>
        <w:t>SD</w:t>
      </w:r>
      <w:r w:rsidR="00A50103" w:rsidRPr="00A50103">
        <w:rPr>
          <w:rFonts w:eastAsiaTheme="minorEastAsia"/>
          <w:color w:val="auto"/>
          <w:highlight w:val="yellow"/>
          <w:lang w:eastAsia="zh-CN"/>
        </w:rPr>
        <w:t xml:space="preserve"> = 0.75)</w:t>
      </w:r>
      <w:r w:rsidR="00A50103">
        <w:rPr>
          <w:rFonts w:eastAsiaTheme="minorEastAsia" w:hint="eastAsia"/>
          <w:color w:val="auto"/>
          <w:lang w:eastAsia="zh-CN"/>
        </w:rPr>
        <w:t xml:space="preserve"> </w:t>
      </w:r>
      <w:r w:rsidRPr="00342B5C">
        <w:rPr>
          <w:color w:val="auto"/>
        </w:rPr>
        <w:t>who completed all three assessments were retained, including 601 males (48.23%) and 645 females (51.77%).</w:t>
      </w:r>
    </w:p>
    <w:p w14:paraId="4067CCE0" w14:textId="5AE37FE4" w:rsidR="005D05AF" w:rsidRPr="00342B5C" w:rsidRDefault="005D05AF" w:rsidP="00112BA8">
      <w:pPr>
        <w:pStyle w:val="MDPI31text"/>
        <w:rPr>
          <w:color w:val="auto"/>
        </w:rPr>
      </w:pPr>
      <w:r w:rsidRPr="00342B5C">
        <w:rPr>
          <w:color w:val="auto"/>
        </w:rPr>
        <w:t>This study was approved by the Ethics Committee of the first author’s University</w:t>
      </w:r>
      <w:r w:rsidR="00394C97" w:rsidRPr="00394C97">
        <w:t xml:space="preserve"> </w:t>
      </w:r>
      <w:r w:rsidR="00394C97" w:rsidRPr="00394C97">
        <w:rPr>
          <w:color w:val="auto"/>
          <w:highlight w:val="yellow"/>
        </w:rPr>
        <w:t>(Ethical Approval No. ZZUIRB2020-021)</w:t>
      </w:r>
      <w:r w:rsidRPr="00342B5C">
        <w:rPr>
          <w:color w:val="auto"/>
        </w:rPr>
        <w:t xml:space="preserve">. Consent was obtained from both parents and students prior to the survey. </w:t>
      </w:r>
      <w:r w:rsidR="00F145C6" w:rsidRPr="00F145C6">
        <w:rPr>
          <w:color w:val="auto"/>
          <w:highlight w:val="yellow"/>
        </w:rPr>
        <w:t>At each wave, questionnaires were administered in classrooms during regular class sessions, with students completing them independently under the guidance of two trained graduate students in psychology. The students were supervised during the process, which lasted no more than 30 minutes.</w:t>
      </w:r>
      <w:r w:rsidR="00F145C6" w:rsidRPr="00F145C6">
        <w:rPr>
          <w:rFonts w:eastAsiaTheme="minorEastAsia" w:hint="eastAsia"/>
          <w:color w:val="auto"/>
          <w:highlight w:val="yellow"/>
          <w:lang w:eastAsia="zh-CN"/>
        </w:rPr>
        <w:t xml:space="preserve"> </w:t>
      </w:r>
      <w:r w:rsidR="00F145C6" w:rsidRPr="00F145C6">
        <w:rPr>
          <w:rFonts w:eastAsiaTheme="minorEastAsia"/>
          <w:color w:val="auto"/>
          <w:highlight w:val="yellow"/>
          <w:lang w:eastAsia="zh-CN"/>
        </w:rPr>
        <w:t>Participants were informed that they could withdraw from the study at any time without penalty.</w:t>
      </w:r>
      <w:r w:rsidR="00F145C6" w:rsidRPr="00F145C6">
        <w:rPr>
          <w:rFonts w:eastAsiaTheme="minorEastAsia"/>
          <w:color w:val="auto"/>
          <w:lang w:eastAsia="zh-CN"/>
        </w:rPr>
        <w:t xml:space="preserve"> </w:t>
      </w:r>
      <w:r w:rsidRPr="00342B5C">
        <w:rPr>
          <w:color w:val="auto"/>
        </w:rPr>
        <w:t>All collected data were directly encrypted and stored by the first author.</w:t>
      </w:r>
    </w:p>
    <w:p w14:paraId="692B7BAC" w14:textId="113AD5E3" w:rsidR="005D05AF" w:rsidRPr="00342B5C" w:rsidRDefault="00112BA8" w:rsidP="00112BA8">
      <w:pPr>
        <w:pStyle w:val="MDPI22heading2"/>
        <w:spacing w:before="240"/>
        <w:rPr>
          <w:color w:val="auto"/>
        </w:rPr>
      </w:pPr>
      <w:r w:rsidRPr="00342B5C">
        <w:rPr>
          <w:color w:val="auto"/>
        </w:rPr>
        <w:t xml:space="preserve">2.2. </w:t>
      </w:r>
      <w:r w:rsidR="005D05AF" w:rsidRPr="00342B5C">
        <w:rPr>
          <w:color w:val="auto"/>
        </w:rPr>
        <w:t>Measurement Instruments</w:t>
      </w:r>
    </w:p>
    <w:p w14:paraId="44346E92" w14:textId="5BEFC2D0" w:rsidR="005D05AF" w:rsidRPr="00342B5C" w:rsidRDefault="00112BA8" w:rsidP="00112BA8">
      <w:pPr>
        <w:pStyle w:val="MDPI23heading3"/>
        <w:rPr>
          <w:color w:val="auto"/>
        </w:rPr>
      </w:pPr>
      <w:r w:rsidRPr="00342B5C">
        <w:rPr>
          <w:color w:val="auto"/>
        </w:rPr>
        <w:t xml:space="preserve">2.2.1. </w:t>
      </w:r>
      <w:r w:rsidR="005D05AF" w:rsidRPr="00342B5C">
        <w:rPr>
          <w:color w:val="auto"/>
        </w:rPr>
        <w:t>Bullying Victimization</w:t>
      </w:r>
    </w:p>
    <w:p w14:paraId="2A829EE6" w14:textId="77777777" w:rsidR="005D05AF" w:rsidRPr="00342B5C" w:rsidRDefault="005D05AF" w:rsidP="00112BA8">
      <w:pPr>
        <w:pStyle w:val="MDPI31text"/>
        <w:rPr>
          <w:color w:val="auto"/>
        </w:rPr>
      </w:pPr>
      <w:r w:rsidRPr="00342B5C">
        <w:rPr>
          <w:color w:val="auto"/>
        </w:rPr>
        <w:t xml:space="preserve">Bullying victimization was assessed using the Chinese version of the Delaware Bullying Victimization </w:t>
      </w:r>
      <w:proofErr w:type="gramStart"/>
      <w:r w:rsidRPr="00342B5C">
        <w:rPr>
          <w:color w:val="auto"/>
        </w:rPr>
        <w:t>Scale(</w:t>
      </w:r>
      <w:proofErr w:type="gramEnd"/>
      <w:r w:rsidRPr="00342B5C">
        <w:rPr>
          <w:color w:val="auto"/>
        </w:rPr>
        <w:t>DBVS). The original DBVS was developed in English by Bear [36], and the revised version was validated for use among Chinese adolescents by Xie [37]. It consists of 17 items, scoring on a 6-point Likert scale ranging from 1 (never) to 6 (every day). A higher total score indicates a more severe level of bullying victimization. The scale demonstrated good internal consistency across the three waves of testing, with Cronbach's α coefficients of 0.91, 0.94, and 0.94, respectively.</w:t>
      </w:r>
    </w:p>
    <w:p w14:paraId="70169872" w14:textId="43D62707" w:rsidR="005D05AF" w:rsidRPr="00342B5C" w:rsidRDefault="00112BA8" w:rsidP="00112BA8">
      <w:pPr>
        <w:pStyle w:val="MDPI23heading3"/>
        <w:spacing w:before="240"/>
        <w:rPr>
          <w:color w:val="auto"/>
        </w:rPr>
      </w:pPr>
      <w:r w:rsidRPr="00342B5C">
        <w:rPr>
          <w:color w:val="auto"/>
        </w:rPr>
        <w:t xml:space="preserve">2.2.2. </w:t>
      </w:r>
      <w:r w:rsidR="005D05AF" w:rsidRPr="00342B5C">
        <w:rPr>
          <w:color w:val="auto"/>
        </w:rPr>
        <w:t>Perceived Control</w:t>
      </w:r>
    </w:p>
    <w:p w14:paraId="2DE344C7" w14:textId="77777777" w:rsidR="005D05AF" w:rsidRPr="00342B5C" w:rsidRDefault="005D05AF" w:rsidP="00112BA8">
      <w:pPr>
        <w:pStyle w:val="MDPI31text"/>
        <w:rPr>
          <w:color w:val="auto"/>
        </w:rPr>
      </w:pPr>
      <w:r w:rsidRPr="00342B5C">
        <w:rPr>
          <w:color w:val="auto"/>
        </w:rPr>
        <w:t>The Sense of Control Scale (SCS) was used to assess adolescents' sense of personal control and perceived constraints. The original SCS was developed in English by Lachman [38], and the revised version was validated for use among Chinese adolescents by Li [39]. It consists of 12 items scored on a 7-point Likert scale (1=strongly disagree, 7=strongly agree). A higher total score indicates stronger perceived control. In this study, the Cronbach's α reliability coefficients of the scale at the three time points were 0.72, 0.80, and 0.82, respectively.</w:t>
      </w:r>
    </w:p>
    <w:p w14:paraId="02D24769" w14:textId="073A48C5" w:rsidR="005D05AF" w:rsidRPr="00342B5C" w:rsidRDefault="00112BA8" w:rsidP="00112BA8">
      <w:pPr>
        <w:pStyle w:val="MDPI23heading3"/>
        <w:spacing w:before="240"/>
        <w:rPr>
          <w:color w:val="auto"/>
        </w:rPr>
      </w:pPr>
      <w:r w:rsidRPr="00342B5C">
        <w:rPr>
          <w:color w:val="auto"/>
        </w:rPr>
        <w:t xml:space="preserve">2.2.3. </w:t>
      </w:r>
      <w:r w:rsidR="005D05AF" w:rsidRPr="00342B5C">
        <w:rPr>
          <w:color w:val="auto"/>
        </w:rPr>
        <w:t>Teacher-Student Relationship</w:t>
      </w:r>
    </w:p>
    <w:p w14:paraId="580A34B3" w14:textId="57964269" w:rsidR="005D05AF" w:rsidRPr="00342B5C" w:rsidRDefault="005D05AF" w:rsidP="00112BA8">
      <w:pPr>
        <w:pStyle w:val="MDPI31text"/>
        <w:rPr>
          <w:color w:val="auto"/>
        </w:rPr>
      </w:pPr>
      <w:r w:rsidRPr="00342B5C">
        <w:rPr>
          <w:color w:val="auto"/>
        </w:rPr>
        <w:t>The Teacher-Student Relationship Scale</w:t>
      </w:r>
      <w:r w:rsidR="00292EFB">
        <w:rPr>
          <w:rFonts w:eastAsiaTheme="minorEastAsia" w:hint="eastAsia"/>
          <w:color w:val="auto"/>
          <w:lang w:eastAsia="zh-CN"/>
        </w:rPr>
        <w:t xml:space="preserve"> </w:t>
      </w:r>
      <w:r w:rsidRPr="00342B5C">
        <w:rPr>
          <w:color w:val="auto"/>
        </w:rPr>
        <w:t>(TSRS) was employed for assessment</w:t>
      </w:r>
      <w:r w:rsidR="00A50103">
        <w:rPr>
          <w:rFonts w:eastAsiaTheme="minorEastAsia" w:hint="eastAsia"/>
          <w:color w:val="auto"/>
          <w:lang w:eastAsia="zh-CN"/>
        </w:rPr>
        <w:t>,</w:t>
      </w:r>
      <w:r w:rsidR="00A50103">
        <w:rPr>
          <w:rFonts w:eastAsiaTheme="minorEastAsia" w:hint="eastAsia"/>
          <w:lang w:eastAsia="zh-CN"/>
        </w:rPr>
        <w:t xml:space="preserve"> </w:t>
      </w:r>
      <w:r w:rsidR="00A50103" w:rsidRPr="00A50103">
        <w:rPr>
          <w:rFonts w:eastAsiaTheme="minorEastAsia"/>
          <w:color w:val="auto"/>
          <w:highlight w:val="yellow"/>
          <w:lang w:eastAsia="zh-CN"/>
        </w:rPr>
        <w:t>with students reporting their responses through self-assessment.</w:t>
      </w:r>
      <w:r w:rsidRPr="00342B5C">
        <w:rPr>
          <w:color w:val="auto"/>
        </w:rPr>
        <w:t xml:space="preserve"> The original TSRS was developed in English by Pianta [40], and the revised version was adapted and validated for use among Chinese adolescents by Yuan [41].</w:t>
      </w:r>
      <w:r w:rsidR="008B615D">
        <w:rPr>
          <w:rFonts w:eastAsiaTheme="minorEastAsia" w:hint="eastAsia"/>
          <w:color w:val="auto"/>
          <w:lang w:eastAsia="zh-CN"/>
        </w:rPr>
        <w:t xml:space="preserve"> </w:t>
      </w:r>
      <w:r w:rsidRPr="00342B5C">
        <w:rPr>
          <w:color w:val="auto"/>
        </w:rPr>
        <w:t>This scale includes dimensions of closeness, conflict</w:t>
      </w:r>
      <w:r w:rsidR="00F91E92">
        <w:rPr>
          <w:rFonts w:eastAsiaTheme="minorEastAsia" w:hint="eastAsia"/>
          <w:color w:val="auto"/>
          <w:lang w:eastAsia="zh-CN"/>
        </w:rPr>
        <w:t xml:space="preserve"> </w:t>
      </w:r>
      <w:r w:rsidR="00F91E92" w:rsidRPr="00F91E92">
        <w:rPr>
          <w:rFonts w:eastAsiaTheme="minorEastAsia"/>
          <w:color w:val="auto"/>
          <w:highlight w:val="yellow"/>
          <w:lang w:eastAsia="zh-CN"/>
        </w:rPr>
        <w:t>(reverse-scored)</w:t>
      </w:r>
      <w:r w:rsidRPr="00342B5C">
        <w:rPr>
          <w:color w:val="auto"/>
        </w:rPr>
        <w:t xml:space="preserve">, support, and satisfaction, comprising 23 items scored on a 5-point Likert scale ranging from 1 (totally disagree) to 5 (totally agree). A higher total score indicates a better teacher-student relationship. In this study, the Cronbach's α reliability coefficients of the scale at the three time points were 0.73, 0.74, and 0.74, respectively.  </w:t>
      </w:r>
    </w:p>
    <w:p w14:paraId="1A94A1A8" w14:textId="2BB127CD" w:rsidR="005D05AF" w:rsidRPr="00342B5C" w:rsidRDefault="00112BA8" w:rsidP="00112BA8">
      <w:pPr>
        <w:pStyle w:val="MDPI22heading2"/>
        <w:spacing w:before="240"/>
        <w:rPr>
          <w:color w:val="auto"/>
        </w:rPr>
      </w:pPr>
      <w:r w:rsidRPr="00342B5C">
        <w:rPr>
          <w:color w:val="auto"/>
        </w:rPr>
        <w:t xml:space="preserve">2.3. </w:t>
      </w:r>
      <w:r w:rsidR="005D05AF" w:rsidRPr="00342B5C">
        <w:rPr>
          <w:color w:val="auto"/>
        </w:rPr>
        <w:t>Data Analysis</w:t>
      </w:r>
    </w:p>
    <w:p w14:paraId="530A605A" w14:textId="223B65C9" w:rsidR="005D05AF" w:rsidRPr="00342B5C" w:rsidRDefault="005D05AF" w:rsidP="00112BA8">
      <w:pPr>
        <w:pStyle w:val="MDPI31text"/>
        <w:rPr>
          <w:color w:val="auto"/>
        </w:rPr>
      </w:pPr>
      <w:r w:rsidRPr="00342B5C">
        <w:rPr>
          <w:color w:val="auto"/>
        </w:rPr>
        <w:lastRenderedPageBreak/>
        <w:t xml:space="preserve">SPSS 25.0 was utilized for reliability, descriptive, and correlational analyses. Latent growth models were constructed using </w:t>
      </w:r>
      <w:proofErr w:type="spellStart"/>
      <w:r w:rsidRPr="00342B5C">
        <w:rPr>
          <w:color w:val="auto"/>
        </w:rPr>
        <w:t>Mplus</w:t>
      </w:r>
      <w:proofErr w:type="spellEnd"/>
      <w:r w:rsidRPr="00342B5C">
        <w:rPr>
          <w:color w:val="auto"/>
        </w:rPr>
        <w:t xml:space="preserve"> Version 8.3. </w:t>
      </w:r>
      <w:r w:rsidRPr="00342B5C">
        <w:rPr>
          <w:color w:val="auto"/>
          <w:lang w:val="en-GB"/>
        </w:rPr>
        <w:t xml:space="preserve">Analyses were performed in the following steps. </w:t>
      </w:r>
      <w:r w:rsidRPr="00342B5C">
        <w:rPr>
          <w:color w:val="auto"/>
        </w:rPr>
        <w:t>Initially, linear unconditional latent growth models will be constructed for bullying victimization, perceived control and teacher-student relationships, respectively. For these models, the latent intercept factor across the three time points will be set to 1, 1, 1, and the latent slope factor will be set to 0, 1, 2, in order to explore the developmental trajectories of each variable. Subsequently, a latent growth mediation model will be established to examine the longitudinal mediation mechanism between the initial levels and growth rates of these variables. The Bootstrap method (with 5,000 resamples) will be used to estimate the regression coefficients and their 95% confidence intervals. If the confidence interval does not contain zero, it indicates that the regression coefficient is statistically significant.</w:t>
      </w:r>
      <w:r w:rsidR="00B604FA">
        <w:rPr>
          <w:rFonts w:eastAsiaTheme="minorEastAsia" w:hint="eastAsia"/>
          <w:color w:val="auto"/>
          <w:lang w:eastAsia="zh-CN"/>
        </w:rPr>
        <w:t xml:space="preserve"> </w:t>
      </w:r>
      <w:r w:rsidR="00B604FA" w:rsidRPr="00B604FA">
        <w:rPr>
          <w:rFonts w:eastAsiaTheme="minorEastAsia"/>
          <w:color w:val="auto"/>
          <w:highlight w:val="yellow"/>
          <w:lang w:eastAsia="zh-CN"/>
        </w:rPr>
        <w:t>Gender (0 = male, 1 = female) was incorporated as a control variable in all models.</w:t>
      </w:r>
      <w:r w:rsidR="00B604FA">
        <w:rPr>
          <w:rFonts w:eastAsiaTheme="minorEastAsia" w:hint="eastAsia"/>
          <w:color w:val="auto"/>
          <w:lang w:eastAsia="zh-CN"/>
        </w:rPr>
        <w:t xml:space="preserve"> </w:t>
      </w:r>
      <w:r w:rsidRPr="00342B5C">
        <w:rPr>
          <w:color w:val="auto"/>
        </w:rPr>
        <w:t xml:space="preserve">Model fit will be evaluated using the criteria of </w:t>
      </w:r>
      <w:r w:rsidRPr="00342B5C">
        <w:rPr>
          <w:i/>
          <w:iCs/>
          <w:color w:val="auto"/>
        </w:rPr>
        <w:t>χ²</w:t>
      </w:r>
      <w:r w:rsidRPr="00342B5C">
        <w:rPr>
          <w:color w:val="auto"/>
        </w:rPr>
        <w:t>/</w:t>
      </w:r>
      <w:proofErr w:type="spellStart"/>
      <w:r w:rsidRPr="00342B5C">
        <w:rPr>
          <w:i/>
          <w:iCs/>
          <w:color w:val="auto"/>
        </w:rPr>
        <w:t>df</w:t>
      </w:r>
      <w:proofErr w:type="spellEnd"/>
      <w:r w:rsidRPr="00342B5C">
        <w:rPr>
          <w:color w:val="auto"/>
        </w:rPr>
        <w:t xml:space="preserve"> &lt; 5, CFI/TLI &gt; 0.90, and RMSEA/SRMR &lt; 0.08 for good model fit. </w:t>
      </w:r>
    </w:p>
    <w:p w14:paraId="501F50FC" w14:textId="30E677E6" w:rsidR="005D05AF" w:rsidRPr="00342B5C" w:rsidRDefault="00112BA8" w:rsidP="00112BA8">
      <w:pPr>
        <w:pStyle w:val="MDPI21heading1"/>
        <w:rPr>
          <w:color w:val="auto"/>
        </w:rPr>
      </w:pPr>
      <w:r w:rsidRPr="00342B5C">
        <w:rPr>
          <w:color w:val="auto"/>
        </w:rPr>
        <w:t xml:space="preserve">3. </w:t>
      </w:r>
      <w:r w:rsidR="005D05AF" w:rsidRPr="00342B5C">
        <w:rPr>
          <w:color w:val="auto"/>
        </w:rPr>
        <w:t>Results</w:t>
      </w:r>
    </w:p>
    <w:p w14:paraId="5C72A9CA" w14:textId="13EBD148" w:rsidR="005D05AF" w:rsidRPr="00342B5C" w:rsidRDefault="00112BA8" w:rsidP="00112BA8">
      <w:pPr>
        <w:pStyle w:val="MDPI22heading2"/>
        <w:rPr>
          <w:color w:val="auto"/>
        </w:rPr>
      </w:pPr>
      <w:r w:rsidRPr="00342B5C">
        <w:rPr>
          <w:color w:val="auto"/>
        </w:rPr>
        <w:t xml:space="preserve">3.1. </w:t>
      </w:r>
      <w:r w:rsidR="005D05AF" w:rsidRPr="00342B5C">
        <w:rPr>
          <w:color w:val="auto"/>
        </w:rPr>
        <w:t>Descriptive Statistics and Correlational Analysis</w:t>
      </w:r>
    </w:p>
    <w:p w14:paraId="35E886D8" w14:textId="77777777" w:rsidR="005D05AF" w:rsidRPr="005948CD" w:rsidRDefault="005D05AF" w:rsidP="00112BA8">
      <w:pPr>
        <w:pStyle w:val="MDPI31text"/>
        <w:rPr>
          <w:rStyle w:val="af0"/>
          <w:rFonts w:eastAsia="等线"/>
          <w:color w:val="auto"/>
        </w:rPr>
      </w:pPr>
      <w:r w:rsidRPr="00342B5C">
        <w:rPr>
          <w:color w:val="auto"/>
        </w:rPr>
        <w:t>The mean, standard deviation, and correlation matrix of bullying victimization, perceived control, and teacher-student relationships across three assessments are presented in Table 1. Bullying victimization from T1 to T3 was found to be significantly negatively correlated with perceived control from T1 to T3 (</w:t>
      </w:r>
      <w:r w:rsidRPr="00342B5C">
        <w:rPr>
          <w:i/>
          <w:iCs/>
          <w:color w:val="auto"/>
        </w:rPr>
        <w:t>r</w:t>
      </w:r>
      <w:r w:rsidRPr="00342B5C">
        <w:rPr>
          <w:color w:val="auto"/>
        </w:rPr>
        <w:t xml:space="preserve"> = -0.16 to -0.33, </w:t>
      </w:r>
      <w:r w:rsidRPr="00342B5C">
        <w:rPr>
          <w:i/>
          <w:iCs/>
          <w:color w:val="auto"/>
        </w:rPr>
        <w:t>p</w:t>
      </w:r>
      <w:r w:rsidRPr="00342B5C">
        <w:rPr>
          <w:color w:val="auto"/>
        </w:rPr>
        <w:t>&lt;0.001), as well as with teacher-student relationship from T1 to T3 (</w:t>
      </w:r>
      <w:r w:rsidRPr="00342B5C">
        <w:rPr>
          <w:i/>
          <w:iCs/>
          <w:color w:val="auto"/>
        </w:rPr>
        <w:t xml:space="preserve">r </w:t>
      </w:r>
      <w:r w:rsidRPr="00342B5C">
        <w:rPr>
          <w:color w:val="auto"/>
        </w:rPr>
        <w:t xml:space="preserve">= -0.07 to -0.20, </w:t>
      </w:r>
      <w:r w:rsidRPr="00342B5C">
        <w:rPr>
          <w:i/>
          <w:iCs/>
          <w:color w:val="auto"/>
        </w:rPr>
        <w:t>p</w:t>
      </w:r>
      <w:r w:rsidRPr="00342B5C">
        <w:rPr>
          <w:color w:val="auto"/>
        </w:rPr>
        <w:t>&lt;0.001). Furthermore, a significant positive correlation was observed between perceived control and teacher-student relationship from T1 to T3 (</w:t>
      </w:r>
      <w:r w:rsidRPr="00342B5C">
        <w:rPr>
          <w:i/>
          <w:iCs/>
          <w:color w:val="auto"/>
        </w:rPr>
        <w:t>r</w:t>
      </w:r>
      <w:r w:rsidRPr="00342B5C">
        <w:rPr>
          <w:color w:val="auto"/>
        </w:rPr>
        <w:t xml:space="preserve"> = 0.18 to 0.42, </w:t>
      </w:r>
      <w:r w:rsidRPr="00342B5C">
        <w:rPr>
          <w:i/>
          <w:iCs/>
          <w:color w:val="auto"/>
        </w:rPr>
        <w:t>p</w:t>
      </w:r>
      <w:r w:rsidRPr="00342B5C">
        <w:rPr>
          <w:color w:val="auto"/>
        </w:rPr>
        <w:t>&lt;0.001).</w:t>
      </w:r>
    </w:p>
    <w:p w14:paraId="3489EBDA" w14:textId="489490F2" w:rsidR="005D05AF" w:rsidRPr="005948CD" w:rsidRDefault="00112BA8" w:rsidP="00112BA8">
      <w:pPr>
        <w:pStyle w:val="MDPI41tablecaption"/>
        <w:rPr>
          <w:color w:val="auto"/>
        </w:rPr>
      </w:pPr>
      <w:r w:rsidRPr="005948CD">
        <w:rPr>
          <w:b/>
          <w:color w:val="auto"/>
        </w:rPr>
        <w:t xml:space="preserve">Table 1. </w:t>
      </w:r>
      <w:r w:rsidR="005D05AF" w:rsidRPr="005948CD">
        <w:rPr>
          <w:color w:val="auto"/>
        </w:rPr>
        <w:t>The Mean, Standard Deviation, and Correlation Matrix for Each Variable</w:t>
      </w:r>
      <w:r w:rsidRPr="005948CD">
        <w:rPr>
          <w:color w:val="auto"/>
        </w:rPr>
        <w:t>.</w:t>
      </w:r>
    </w:p>
    <w:tbl>
      <w:tblPr>
        <w:tblW w:w="4997" w:type="pct"/>
        <w:jc w:val="center"/>
        <w:tblLook w:val="04A0" w:firstRow="1" w:lastRow="0" w:firstColumn="1" w:lastColumn="0" w:noHBand="0" w:noVBand="1"/>
      </w:tblPr>
      <w:tblGrid>
        <w:gridCol w:w="2409"/>
        <w:gridCol w:w="675"/>
        <w:gridCol w:w="595"/>
        <w:gridCol w:w="880"/>
        <w:gridCol w:w="880"/>
        <w:gridCol w:w="881"/>
        <w:gridCol w:w="828"/>
        <w:gridCol w:w="828"/>
        <w:gridCol w:w="828"/>
        <w:gridCol w:w="828"/>
        <w:gridCol w:w="828"/>
      </w:tblGrid>
      <w:tr w:rsidR="00342B5C" w:rsidRPr="00342B5C" w14:paraId="2CE234F1" w14:textId="77777777" w:rsidTr="00112BA8">
        <w:trPr>
          <w:jc w:val="center"/>
        </w:trPr>
        <w:tc>
          <w:tcPr>
            <w:tcW w:w="1150" w:type="pct"/>
            <w:tcBorders>
              <w:top w:val="single" w:sz="12" w:space="0" w:color="auto"/>
              <w:bottom w:val="single" w:sz="6" w:space="0" w:color="auto"/>
            </w:tcBorders>
            <w:shd w:val="clear" w:color="auto" w:fill="auto"/>
          </w:tcPr>
          <w:p w14:paraId="2A29ECCD" w14:textId="77777777" w:rsidR="005D05AF" w:rsidRPr="00342B5C" w:rsidRDefault="005D05AF" w:rsidP="00DA3AA0">
            <w:pPr>
              <w:spacing w:line="300" w:lineRule="auto"/>
              <w:rPr>
                <w:color w:val="auto"/>
                <w:sz w:val="18"/>
                <w:szCs w:val="18"/>
              </w:rPr>
            </w:pPr>
            <w:r w:rsidRPr="00342B5C">
              <w:rPr>
                <w:color w:val="auto"/>
                <w:sz w:val="18"/>
                <w:szCs w:val="18"/>
              </w:rPr>
              <w:t>Variable</w:t>
            </w:r>
          </w:p>
        </w:tc>
        <w:tc>
          <w:tcPr>
            <w:tcW w:w="322" w:type="pct"/>
            <w:tcBorders>
              <w:top w:val="single" w:sz="12" w:space="0" w:color="auto"/>
              <w:bottom w:val="single" w:sz="6" w:space="0" w:color="auto"/>
            </w:tcBorders>
            <w:shd w:val="clear" w:color="auto" w:fill="auto"/>
          </w:tcPr>
          <w:p w14:paraId="256E4FD0" w14:textId="77777777" w:rsidR="005D05AF" w:rsidRPr="00342B5C" w:rsidRDefault="005D05AF" w:rsidP="00DA3AA0">
            <w:pPr>
              <w:spacing w:line="300" w:lineRule="auto"/>
              <w:rPr>
                <w:i/>
                <w:color w:val="auto"/>
                <w:sz w:val="18"/>
                <w:szCs w:val="18"/>
              </w:rPr>
            </w:pPr>
            <w:r w:rsidRPr="00342B5C">
              <w:rPr>
                <w:i/>
                <w:color w:val="auto"/>
                <w:sz w:val="18"/>
                <w:szCs w:val="18"/>
              </w:rPr>
              <w:t>M</w:t>
            </w:r>
          </w:p>
        </w:tc>
        <w:tc>
          <w:tcPr>
            <w:tcW w:w="285" w:type="pct"/>
            <w:tcBorders>
              <w:top w:val="single" w:sz="12" w:space="0" w:color="auto"/>
              <w:bottom w:val="single" w:sz="6" w:space="0" w:color="auto"/>
            </w:tcBorders>
            <w:shd w:val="clear" w:color="auto" w:fill="auto"/>
          </w:tcPr>
          <w:p w14:paraId="13F8A227" w14:textId="77777777" w:rsidR="005D05AF" w:rsidRPr="00342B5C" w:rsidRDefault="005D05AF" w:rsidP="00DA3AA0">
            <w:pPr>
              <w:spacing w:line="300" w:lineRule="auto"/>
              <w:rPr>
                <w:i/>
                <w:color w:val="auto"/>
                <w:sz w:val="18"/>
                <w:szCs w:val="18"/>
              </w:rPr>
            </w:pPr>
            <w:r w:rsidRPr="00342B5C">
              <w:rPr>
                <w:i/>
                <w:color w:val="auto"/>
                <w:sz w:val="18"/>
                <w:szCs w:val="18"/>
              </w:rPr>
              <w:t>SD</w:t>
            </w:r>
          </w:p>
        </w:tc>
        <w:tc>
          <w:tcPr>
            <w:tcW w:w="420" w:type="pct"/>
            <w:tcBorders>
              <w:top w:val="single" w:sz="12" w:space="0" w:color="auto"/>
              <w:bottom w:val="single" w:sz="6" w:space="0" w:color="auto"/>
            </w:tcBorders>
            <w:shd w:val="clear" w:color="auto" w:fill="auto"/>
          </w:tcPr>
          <w:p w14:paraId="44715F80" w14:textId="77777777" w:rsidR="005D05AF" w:rsidRPr="00342B5C" w:rsidRDefault="005D05AF" w:rsidP="00DA3AA0">
            <w:pPr>
              <w:spacing w:line="300" w:lineRule="auto"/>
              <w:rPr>
                <w:color w:val="auto"/>
                <w:sz w:val="18"/>
                <w:szCs w:val="18"/>
              </w:rPr>
            </w:pPr>
            <w:r w:rsidRPr="00342B5C">
              <w:rPr>
                <w:color w:val="auto"/>
                <w:sz w:val="18"/>
                <w:szCs w:val="18"/>
              </w:rPr>
              <w:t>1</w:t>
            </w:r>
          </w:p>
        </w:tc>
        <w:tc>
          <w:tcPr>
            <w:tcW w:w="420" w:type="pct"/>
            <w:tcBorders>
              <w:top w:val="single" w:sz="12" w:space="0" w:color="auto"/>
              <w:bottom w:val="single" w:sz="6" w:space="0" w:color="auto"/>
            </w:tcBorders>
            <w:shd w:val="clear" w:color="auto" w:fill="auto"/>
          </w:tcPr>
          <w:p w14:paraId="4C698738" w14:textId="77777777" w:rsidR="005D05AF" w:rsidRPr="00342B5C" w:rsidRDefault="005D05AF" w:rsidP="00DA3AA0">
            <w:pPr>
              <w:spacing w:line="300" w:lineRule="auto"/>
              <w:rPr>
                <w:color w:val="auto"/>
                <w:sz w:val="18"/>
                <w:szCs w:val="18"/>
              </w:rPr>
            </w:pPr>
            <w:r w:rsidRPr="00342B5C">
              <w:rPr>
                <w:color w:val="auto"/>
                <w:sz w:val="18"/>
                <w:szCs w:val="18"/>
              </w:rPr>
              <w:t>2</w:t>
            </w:r>
          </w:p>
        </w:tc>
        <w:tc>
          <w:tcPr>
            <w:tcW w:w="420" w:type="pct"/>
            <w:tcBorders>
              <w:top w:val="single" w:sz="12" w:space="0" w:color="auto"/>
              <w:bottom w:val="single" w:sz="6" w:space="0" w:color="auto"/>
            </w:tcBorders>
            <w:shd w:val="clear" w:color="auto" w:fill="auto"/>
          </w:tcPr>
          <w:p w14:paraId="07754165" w14:textId="77777777" w:rsidR="005D05AF" w:rsidRPr="00342B5C" w:rsidRDefault="005D05AF" w:rsidP="00DA3AA0">
            <w:pPr>
              <w:spacing w:line="300" w:lineRule="auto"/>
              <w:rPr>
                <w:color w:val="auto"/>
                <w:sz w:val="18"/>
                <w:szCs w:val="18"/>
              </w:rPr>
            </w:pPr>
            <w:r w:rsidRPr="00342B5C">
              <w:rPr>
                <w:color w:val="auto"/>
                <w:sz w:val="18"/>
                <w:szCs w:val="18"/>
              </w:rPr>
              <w:t>3</w:t>
            </w:r>
          </w:p>
        </w:tc>
        <w:tc>
          <w:tcPr>
            <w:tcW w:w="395" w:type="pct"/>
            <w:tcBorders>
              <w:top w:val="single" w:sz="12" w:space="0" w:color="auto"/>
              <w:bottom w:val="single" w:sz="6" w:space="0" w:color="auto"/>
            </w:tcBorders>
            <w:shd w:val="clear" w:color="auto" w:fill="auto"/>
          </w:tcPr>
          <w:p w14:paraId="385A6F32" w14:textId="77777777" w:rsidR="005D05AF" w:rsidRPr="00342B5C" w:rsidRDefault="005D05AF" w:rsidP="00DA3AA0">
            <w:pPr>
              <w:spacing w:line="300" w:lineRule="auto"/>
              <w:rPr>
                <w:color w:val="auto"/>
                <w:sz w:val="18"/>
                <w:szCs w:val="18"/>
              </w:rPr>
            </w:pPr>
            <w:r w:rsidRPr="00342B5C">
              <w:rPr>
                <w:color w:val="auto"/>
                <w:sz w:val="18"/>
                <w:szCs w:val="18"/>
              </w:rPr>
              <w:t>4</w:t>
            </w:r>
          </w:p>
        </w:tc>
        <w:tc>
          <w:tcPr>
            <w:tcW w:w="395" w:type="pct"/>
            <w:tcBorders>
              <w:top w:val="single" w:sz="12" w:space="0" w:color="auto"/>
              <w:bottom w:val="single" w:sz="6" w:space="0" w:color="auto"/>
            </w:tcBorders>
            <w:shd w:val="clear" w:color="auto" w:fill="auto"/>
          </w:tcPr>
          <w:p w14:paraId="0068B127" w14:textId="77777777" w:rsidR="005D05AF" w:rsidRPr="00342B5C" w:rsidRDefault="005D05AF" w:rsidP="00DA3AA0">
            <w:pPr>
              <w:spacing w:line="300" w:lineRule="auto"/>
              <w:rPr>
                <w:color w:val="auto"/>
                <w:sz w:val="18"/>
                <w:szCs w:val="18"/>
              </w:rPr>
            </w:pPr>
            <w:r w:rsidRPr="00342B5C">
              <w:rPr>
                <w:color w:val="auto"/>
                <w:sz w:val="18"/>
                <w:szCs w:val="18"/>
              </w:rPr>
              <w:t>5</w:t>
            </w:r>
          </w:p>
        </w:tc>
        <w:tc>
          <w:tcPr>
            <w:tcW w:w="395" w:type="pct"/>
            <w:tcBorders>
              <w:top w:val="single" w:sz="12" w:space="0" w:color="auto"/>
              <w:bottom w:val="single" w:sz="6" w:space="0" w:color="auto"/>
            </w:tcBorders>
            <w:shd w:val="clear" w:color="auto" w:fill="auto"/>
          </w:tcPr>
          <w:p w14:paraId="4B60CC6E" w14:textId="77777777" w:rsidR="005D05AF" w:rsidRPr="00342B5C" w:rsidRDefault="005D05AF" w:rsidP="00DA3AA0">
            <w:pPr>
              <w:spacing w:line="300" w:lineRule="auto"/>
              <w:rPr>
                <w:color w:val="auto"/>
                <w:sz w:val="18"/>
                <w:szCs w:val="18"/>
              </w:rPr>
            </w:pPr>
            <w:r w:rsidRPr="00342B5C">
              <w:rPr>
                <w:color w:val="auto"/>
                <w:sz w:val="18"/>
                <w:szCs w:val="18"/>
              </w:rPr>
              <w:t>6</w:t>
            </w:r>
          </w:p>
        </w:tc>
        <w:tc>
          <w:tcPr>
            <w:tcW w:w="395" w:type="pct"/>
            <w:tcBorders>
              <w:top w:val="single" w:sz="12" w:space="0" w:color="auto"/>
              <w:bottom w:val="single" w:sz="6" w:space="0" w:color="auto"/>
            </w:tcBorders>
            <w:shd w:val="clear" w:color="auto" w:fill="auto"/>
          </w:tcPr>
          <w:p w14:paraId="5B8F78B2" w14:textId="77777777" w:rsidR="005D05AF" w:rsidRPr="00342B5C" w:rsidRDefault="005D05AF" w:rsidP="00DA3AA0">
            <w:pPr>
              <w:spacing w:line="300" w:lineRule="auto"/>
              <w:rPr>
                <w:color w:val="auto"/>
                <w:sz w:val="18"/>
                <w:szCs w:val="18"/>
              </w:rPr>
            </w:pPr>
            <w:r w:rsidRPr="00342B5C">
              <w:rPr>
                <w:color w:val="auto"/>
                <w:sz w:val="18"/>
                <w:szCs w:val="18"/>
              </w:rPr>
              <w:t>7</w:t>
            </w:r>
          </w:p>
        </w:tc>
        <w:tc>
          <w:tcPr>
            <w:tcW w:w="395" w:type="pct"/>
            <w:tcBorders>
              <w:top w:val="single" w:sz="12" w:space="0" w:color="auto"/>
              <w:bottom w:val="single" w:sz="6" w:space="0" w:color="auto"/>
            </w:tcBorders>
            <w:shd w:val="clear" w:color="auto" w:fill="auto"/>
          </w:tcPr>
          <w:p w14:paraId="2A1619A2" w14:textId="77777777" w:rsidR="005D05AF" w:rsidRPr="00342B5C" w:rsidRDefault="005D05AF" w:rsidP="00DA3AA0">
            <w:pPr>
              <w:spacing w:line="300" w:lineRule="auto"/>
              <w:rPr>
                <w:color w:val="auto"/>
                <w:sz w:val="18"/>
                <w:szCs w:val="18"/>
              </w:rPr>
            </w:pPr>
            <w:r w:rsidRPr="00342B5C">
              <w:rPr>
                <w:color w:val="auto"/>
                <w:sz w:val="18"/>
                <w:szCs w:val="18"/>
              </w:rPr>
              <w:t>8</w:t>
            </w:r>
          </w:p>
        </w:tc>
      </w:tr>
      <w:tr w:rsidR="00342B5C" w:rsidRPr="00342B5C" w14:paraId="4ECE888A" w14:textId="77777777" w:rsidTr="00112BA8">
        <w:trPr>
          <w:jc w:val="center"/>
        </w:trPr>
        <w:tc>
          <w:tcPr>
            <w:tcW w:w="1150" w:type="pct"/>
            <w:tcBorders>
              <w:top w:val="single" w:sz="6" w:space="0" w:color="auto"/>
            </w:tcBorders>
            <w:shd w:val="clear" w:color="auto" w:fill="auto"/>
          </w:tcPr>
          <w:p w14:paraId="7D15DA43" w14:textId="77777777" w:rsidR="005D05AF" w:rsidRPr="00342B5C" w:rsidRDefault="005D05AF" w:rsidP="00DA3AA0">
            <w:pPr>
              <w:spacing w:line="300" w:lineRule="auto"/>
              <w:rPr>
                <w:color w:val="auto"/>
                <w:sz w:val="18"/>
                <w:szCs w:val="18"/>
              </w:rPr>
            </w:pPr>
            <w:r w:rsidRPr="00342B5C">
              <w:rPr>
                <w:color w:val="auto"/>
                <w:sz w:val="18"/>
                <w:szCs w:val="18"/>
              </w:rPr>
              <w:t>1.bullying victimization T1</w:t>
            </w:r>
          </w:p>
        </w:tc>
        <w:tc>
          <w:tcPr>
            <w:tcW w:w="322" w:type="pct"/>
            <w:tcBorders>
              <w:top w:val="single" w:sz="6" w:space="0" w:color="auto"/>
            </w:tcBorders>
            <w:shd w:val="clear" w:color="auto" w:fill="auto"/>
          </w:tcPr>
          <w:p w14:paraId="4A633EF1" w14:textId="77777777" w:rsidR="005D05AF" w:rsidRPr="00342B5C" w:rsidRDefault="005D05AF" w:rsidP="00DA3AA0">
            <w:pPr>
              <w:spacing w:line="300" w:lineRule="auto"/>
              <w:rPr>
                <w:color w:val="auto"/>
                <w:sz w:val="18"/>
                <w:szCs w:val="18"/>
              </w:rPr>
            </w:pPr>
            <w:r w:rsidRPr="00342B5C">
              <w:rPr>
                <w:color w:val="auto"/>
                <w:sz w:val="18"/>
                <w:szCs w:val="18"/>
              </w:rPr>
              <w:t>21.83</w:t>
            </w:r>
          </w:p>
        </w:tc>
        <w:tc>
          <w:tcPr>
            <w:tcW w:w="285" w:type="pct"/>
            <w:tcBorders>
              <w:top w:val="single" w:sz="6" w:space="0" w:color="auto"/>
            </w:tcBorders>
            <w:shd w:val="clear" w:color="auto" w:fill="auto"/>
          </w:tcPr>
          <w:p w14:paraId="5C726E1A" w14:textId="77777777" w:rsidR="005D05AF" w:rsidRPr="00342B5C" w:rsidRDefault="005D05AF" w:rsidP="00DA3AA0">
            <w:pPr>
              <w:spacing w:line="300" w:lineRule="auto"/>
              <w:rPr>
                <w:color w:val="auto"/>
                <w:sz w:val="18"/>
                <w:szCs w:val="18"/>
              </w:rPr>
            </w:pPr>
            <w:r w:rsidRPr="00342B5C">
              <w:rPr>
                <w:color w:val="auto"/>
                <w:sz w:val="18"/>
                <w:szCs w:val="18"/>
              </w:rPr>
              <w:t>8.28</w:t>
            </w:r>
          </w:p>
        </w:tc>
        <w:tc>
          <w:tcPr>
            <w:tcW w:w="420" w:type="pct"/>
            <w:tcBorders>
              <w:top w:val="single" w:sz="6" w:space="0" w:color="auto"/>
            </w:tcBorders>
            <w:shd w:val="clear" w:color="auto" w:fill="auto"/>
          </w:tcPr>
          <w:p w14:paraId="2CF6D162" w14:textId="77777777" w:rsidR="005D05AF" w:rsidRPr="00342B5C" w:rsidRDefault="005D05AF" w:rsidP="00DA3AA0">
            <w:pPr>
              <w:spacing w:line="300" w:lineRule="auto"/>
              <w:rPr>
                <w:color w:val="auto"/>
                <w:sz w:val="18"/>
                <w:szCs w:val="18"/>
              </w:rPr>
            </w:pPr>
          </w:p>
        </w:tc>
        <w:tc>
          <w:tcPr>
            <w:tcW w:w="420" w:type="pct"/>
            <w:tcBorders>
              <w:top w:val="single" w:sz="6" w:space="0" w:color="auto"/>
            </w:tcBorders>
            <w:shd w:val="clear" w:color="auto" w:fill="auto"/>
          </w:tcPr>
          <w:p w14:paraId="13CB72B2" w14:textId="77777777" w:rsidR="005D05AF" w:rsidRPr="00342B5C" w:rsidRDefault="005D05AF" w:rsidP="00DA3AA0">
            <w:pPr>
              <w:spacing w:line="300" w:lineRule="auto"/>
              <w:rPr>
                <w:color w:val="auto"/>
                <w:sz w:val="18"/>
                <w:szCs w:val="18"/>
              </w:rPr>
            </w:pPr>
          </w:p>
        </w:tc>
        <w:tc>
          <w:tcPr>
            <w:tcW w:w="420" w:type="pct"/>
            <w:tcBorders>
              <w:top w:val="single" w:sz="6" w:space="0" w:color="auto"/>
            </w:tcBorders>
            <w:shd w:val="clear" w:color="auto" w:fill="auto"/>
          </w:tcPr>
          <w:p w14:paraId="7EFBE52F" w14:textId="77777777" w:rsidR="005D05AF" w:rsidRPr="00342B5C" w:rsidRDefault="005D05AF" w:rsidP="00DA3AA0">
            <w:pPr>
              <w:spacing w:line="300" w:lineRule="auto"/>
              <w:rPr>
                <w:color w:val="auto"/>
                <w:sz w:val="18"/>
                <w:szCs w:val="18"/>
              </w:rPr>
            </w:pPr>
          </w:p>
        </w:tc>
        <w:tc>
          <w:tcPr>
            <w:tcW w:w="395" w:type="pct"/>
            <w:tcBorders>
              <w:top w:val="single" w:sz="6" w:space="0" w:color="auto"/>
            </w:tcBorders>
            <w:shd w:val="clear" w:color="auto" w:fill="auto"/>
          </w:tcPr>
          <w:p w14:paraId="20944A11" w14:textId="77777777" w:rsidR="005D05AF" w:rsidRPr="00342B5C" w:rsidRDefault="005D05AF" w:rsidP="00DA3AA0">
            <w:pPr>
              <w:spacing w:line="300" w:lineRule="auto"/>
              <w:rPr>
                <w:color w:val="auto"/>
                <w:sz w:val="18"/>
                <w:szCs w:val="18"/>
              </w:rPr>
            </w:pPr>
          </w:p>
        </w:tc>
        <w:tc>
          <w:tcPr>
            <w:tcW w:w="395" w:type="pct"/>
            <w:tcBorders>
              <w:top w:val="single" w:sz="6" w:space="0" w:color="auto"/>
            </w:tcBorders>
            <w:shd w:val="clear" w:color="auto" w:fill="auto"/>
          </w:tcPr>
          <w:p w14:paraId="73EA29BE" w14:textId="77777777" w:rsidR="005D05AF" w:rsidRPr="00342B5C" w:rsidRDefault="005D05AF" w:rsidP="00DA3AA0">
            <w:pPr>
              <w:spacing w:line="300" w:lineRule="auto"/>
              <w:rPr>
                <w:color w:val="auto"/>
                <w:sz w:val="18"/>
                <w:szCs w:val="18"/>
              </w:rPr>
            </w:pPr>
          </w:p>
        </w:tc>
        <w:tc>
          <w:tcPr>
            <w:tcW w:w="395" w:type="pct"/>
            <w:tcBorders>
              <w:top w:val="single" w:sz="6" w:space="0" w:color="auto"/>
            </w:tcBorders>
            <w:shd w:val="clear" w:color="auto" w:fill="auto"/>
          </w:tcPr>
          <w:p w14:paraId="7950475F" w14:textId="77777777" w:rsidR="005D05AF" w:rsidRPr="00342B5C" w:rsidRDefault="005D05AF" w:rsidP="00DA3AA0">
            <w:pPr>
              <w:spacing w:line="300" w:lineRule="auto"/>
              <w:rPr>
                <w:color w:val="auto"/>
                <w:sz w:val="18"/>
                <w:szCs w:val="18"/>
              </w:rPr>
            </w:pPr>
          </w:p>
        </w:tc>
        <w:tc>
          <w:tcPr>
            <w:tcW w:w="395" w:type="pct"/>
            <w:tcBorders>
              <w:top w:val="single" w:sz="6" w:space="0" w:color="auto"/>
            </w:tcBorders>
            <w:shd w:val="clear" w:color="auto" w:fill="auto"/>
          </w:tcPr>
          <w:p w14:paraId="17CEF057" w14:textId="77777777" w:rsidR="005D05AF" w:rsidRPr="00342B5C" w:rsidRDefault="005D05AF" w:rsidP="00DA3AA0">
            <w:pPr>
              <w:spacing w:line="300" w:lineRule="auto"/>
              <w:rPr>
                <w:color w:val="auto"/>
                <w:sz w:val="18"/>
                <w:szCs w:val="18"/>
              </w:rPr>
            </w:pPr>
          </w:p>
        </w:tc>
        <w:tc>
          <w:tcPr>
            <w:tcW w:w="395" w:type="pct"/>
            <w:tcBorders>
              <w:top w:val="single" w:sz="6" w:space="0" w:color="auto"/>
            </w:tcBorders>
            <w:shd w:val="clear" w:color="auto" w:fill="auto"/>
          </w:tcPr>
          <w:p w14:paraId="78E6F193" w14:textId="77777777" w:rsidR="005D05AF" w:rsidRPr="00342B5C" w:rsidRDefault="005D05AF" w:rsidP="00DA3AA0">
            <w:pPr>
              <w:spacing w:line="300" w:lineRule="auto"/>
              <w:rPr>
                <w:color w:val="auto"/>
                <w:sz w:val="18"/>
                <w:szCs w:val="18"/>
              </w:rPr>
            </w:pPr>
          </w:p>
        </w:tc>
      </w:tr>
      <w:tr w:rsidR="00342B5C" w:rsidRPr="00342B5C" w14:paraId="1CE4C838" w14:textId="77777777" w:rsidTr="00112BA8">
        <w:trPr>
          <w:jc w:val="center"/>
        </w:trPr>
        <w:tc>
          <w:tcPr>
            <w:tcW w:w="1150" w:type="pct"/>
            <w:shd w:val="clear" w:color="auto" w:fill="auto"/>
          </w:tcPr>
          <w:p w14:paraId="645904F3" w14:textId="77777777" w:rsidR="005D05AF" w:rsidRPr="00342B5C" w:rsidRDefault="005D05AF" w:rsidP="00DA3AA0">
            <w:pPr>
              <w:spacing w:line="300" w:lineRule="auto"/>
              <w:rPr>
                <w:color w:val="auto"/>
                <w:sz w:val="18"/>
                <w:szCs w:val="18"/>
              </w:rPr>
            </w:pPr>
            <w:r w:rsidRPr="00342B5C">
              <w:rPr>
                <w:color w:val="auto"/>
                <w:sz w:val="18"/>
                <w:szCs w:val="18"/>
              </w:rPr>
              <w:t>2.bullying victimization T2</w:t>
            </w:r>
          </w:p>
        </w:tc>
        <w:tc>
          <w:tcPr>
            <w:tcW w:w="322" w:type="pct"/>
            <w:shd w:val="clear" w:color="auto" w:fill="auto"/>
          </w:tcPr>
          <w:p w14:paraId="461FD0EB" w14:textId="77777777" w:rsidR="005D05AF" w:rsidRPr="00342B5C" w:rsidRDefault="005D05AF" w:rsidP="00DA3AA0">
            <w:pPr>
              <w:spacing w:line="300" w:lineRule="auto"/>
              <w:rPr>
                <w:color w:val="auto"/>
                <w:sz w:val="18"/>
                <w:szCs w:val="18"/>
              </w:rPr>
            </w:pPr>
            <w:r w:rsidRPr="00342B5C">
              <w:rPr>
                <w:color w:val="auto"/>
                <w:sz w:val="18"/>
                <w:szCs w:val="18"/>
              </w:rPr>
              <w:t>19.67</w:t>
            </w:r>
          </w:p>
        </w:tc>
        <w:tc>
          <w:tcPr>
            <w:tcW w:w="285" w:type="pct"/>
            <w:shd w:val="clear" w:color="auto" w:fill="auto"/>
          </w:tcPr>
          <w:p w14:paraId="4D9E9DC3" w14:textId="77777777" w:rsidR="005D05AF" w:rsidRPr="00342B5C" w:rsidRDefault="005D05AF" w:rsidP="00DA3AA0">
            <w:pPr>
              <w:spacing w:line="300" w:lineRule="auto"/>
              <w:rPr>
                <w:color w:val="auto"/>
                <w:sz w:val="18"/>
                <w:szCs w:val="18"/>
              </w:rPr>
            </w:pPr>
            <w:r w:rsidRPr="00342B5C">
              <w:rPr>
                <w:color w:val="auto"/>
                <w:sz w:val="18"/>
                <w:szCs w:val="18"/>
              </w:rPr>
              <w:t>7.31</w:t>
            </w:r>
          </w:p>
        </w:tc>
        <w:tc>
          <w:tcPr>
            <w:tcW w:w="420" w:type="pct"/>
            <w:shd w:val="clear" w:color="auto" w:fill="auto"/>
          </w:tcPr>
          <w:p w14:paraId="59172C3D" w14:textId="77777777" w:rsidR="005D05AF" w:rsidRPr="00342B5C" w:rsidRDefault="005D05AF" w:rsidP="00DA3AA0">
            <w:pPr>
              <w:spacing w:line="300" w:lineRule="auto"/>
              <w:rPr>
                <w:color w:val="auto"/>
                <w:sz w:val="18"/>
                <w:szCs w:val="18"/>
              </w:rPr>
            </w:pPr>
            <w:r w:rsidRPr="00342B5C">
              <w:rPr>
                <w:color w:val="auto"/>
                <w:sz w:val="18"/>
                <w:szCs w:val="18"/>
              </w:rPr>
              <w:t>0.46***</w:t>
            </w:r>
          </w:p>
        </w:tc>
        <w:tc>
          <w:tcPr>
            <w:tcW w:w="420" w:type="pct"/>
            <w:shd w:val="clear" w:color="auto" w:fill="auto"/>
          </w:tcPr>
          <w:p w14:paraId="6908F74D" w14:textId="77777777" w:rsidR="005D05AF" w:rsidRPr="00342B5C" w:rsidRDefault="005D05AF" w:rsidP="00DA3AA0">
            <w:pPr>
              <w:spacing w:line="300" w:lineRule="auto"/>
              <w:rPr>
                <w:color w:val="auto"/>
                <w:sz w:val="18"/>
                <w:szCs w:val="18"/>
              </w:rPr>
            </w:pPr>
          </w:p>
        </w:tc>
        <w:tc>
          <w:tcPr>
            <w:tcW w:w="420" w:type="pct"/>
            <w:shd w:val="clear" w:color="auto" w:fill="auto"/>
          </w:tcPr>
          <w:p w14:paraId="18042855" w14:textId="77777777" w:rsidR="005D05AF" w:rsidRPr="00342B5C" w:rsidRDefault="005D05AF" w:rsidP="00DA3AA0">
            <w:pPr>
              <w:spacing w:line="300" w:lineRule="auto"/>
              <w:rPr>
                <w:color w:val="auto"/>
                <w:sz w:val="18"/>
                <w:szCs w:val="18"/>
              </w:rPr>
            </w:pPr>
          </w:p>
        </w:tc>
        <w:tc>
          <w:tcPr>
            <w:tcW w:w="395" w:type="pct"/>
            <w:shd w:val="clear" w:color="auto" w:fill="auto"/>
          </w:tcPr>
          <w:p w14:paraId="728BF2CF" w14:textId="77777777" w:rsidR="005D05AF" w:rsidRPr="00342B5C" w:rsidRDefault="005D05AF" w:rsidP="00DA3AA0">
            <w:pPr>
              <w:spacing w:line="300" w:lineRule="auto"/>
              <w:rPr>
                <w:color w:val="auto"/>
                <w:sz w:val="18"/>
                <w:szCs w:val="18"/>
              </w:rPr>
            </w:pPr>
          </w:p>
        </w:tc>
        <w:tc>
          <w:tcPr>
            <w:tcW w:w="395" w:type="pct"/>
            <w:shd w:val="clear" w:color="auto" w:fill="auto"/>
          </w:tcPr>
          <w:p w14:paraId="7DEED64C" w14:textId="77777777" w:rsidR="005D05AF" w:rsidRPr="00342B5C" w:rsidRDefault="005D05AF" w:rsidP="00DA3AA0">
            <w:pPr>
              <w:spacing w:line="300" w:lineRule="auto"/>
              <w:rPr>
                <w:color w:val="auto"/>
                <w:sz w:val="18"/>
                <w:szCs w:val="18"/>
              </w:rPr>
            </w:pPr>
          </w:p>
        </w:tc>
        <w:tc>
          <w:tcPr>
            <w:tcW w:w="395" w:type="pct"/>
            <w:shd w:val="clear" w:color="auto" w:fill="auto"/>
          </w:tcPr>
          <w:p w14:paraId="4EA01F6A" w14:textId="77777777" w:rsidR="005D05AF" w:rsidRPr="00342B5C" w:rsidRDefault="005D05AF" w:rsidP="00DA3AA0">
            <w:pPr>
              <w:spacing w:line="300" w:lineRule="auto"/>
              <w:rPr>
                <w:color w:val="auto"/>
                <w:sz w:val="18"/>
                <w:szCs w:val="18"/>
              </w:rPr>
            </w:pPr>
          </w:p>
        </w:tc>
        <w:tc>
          <w:tcPr>
            <w:tcW w:w="395" w:type="pct"/>
            <w:shd w:val="clear" w:color="auto" w:fill="auto"/>
          </w:tcPr>
          <w:p w14:paraId="6FE1FE72" w14:textId="77777777" w:rsidR="005D05AF" w:rsidRPr="00342B5C" w:rsidRDefault="005D05AF" w:rsidP="00DA3AA0">
            <w:pPr>
              <w:spacing w:line="300" w:lineRule="auto"/>
              <w:rPr>
                <w:color w:val="auto"/>
                <w:sz w:val="18"/>
                <w:szCs w:val="18"/>
              </w:rPr>
            </w:pPr>
          </w:p>
        </w:tc>
        <w:tc>
          <w:tcPr>
            <w:tcW w:w="395" w:type="pct"/>
            <w:shd w:val="clear" w:color="auto" w:fill="auto"/>
          </w:tcPr>
          <w:p w14:paraId="4BEB4C8E" w14:textId="77777777" w:rsidR="005D05AF" w:rsidRPr="00342B5C" w:rsidRDefault="005D05AF" w:rsidP="00DA3AA0">
            <w:pPr>
              <w:spacing w:line="300" w:lineRule="auto"/>
              <w:rPr>
                <w:color w:val="auto"/>
                <w:sz w:val="18"/>
                <w:szCs w:val="18"/>
              </w:rPr>
            </w:pPr>
          </w:p>
        </w:tc>
      </w:tr>
      <w:tr w:rsidR="00342B5C" w:rsidRPr="00342B5C" w14:paraId="77458C80" w14:textId="77777777" w:rsidTr="00112BA8">
        <w:trPr>
          <w:jc w:val="center"/>
        </w:trPr>
        <w:tc>
          <w:tcPr>
            <w:tcW w:w="1150" w:type="pct"/>
            <w:shd w:val="clear" w:color="auto" w:fill="auto"/>
          </w:tcPr>
          <w:p w14:paraId="0FE1BDA6" w14:textId="77777777" w:rsidR="005D05AF" w:rsidRPr="00342B5C" w:rsidRDefault="005D05AF" w:rsidP="00DA3AA0">
            <w:pPr>
              <w:spacing w:line="300" w:lineRule="auto"/>
              <w:rPr>
                <w:color w:val="auto"/>
                <w:sz w:val="18"/>
                <w:szCs w:val="18"/>
              </w:rPr>
            </w:pPr>
            <w:r w:rsidRPr="00342B5C">
              <w:rPr>
                <w:color w:val="auto"/>
                <w:sz w:val="18"/>
                <w:szCs w:val="18"/>
              </w:rPr>
              <w:t>3.bullying victimization T3</w:t>
            </w:r>
          </w:p>
        </w:tc>
        <w:tc>
          <w:tcPr>
            <w:tcW w:w="322" w:type="pct"/>
            <w:shd w:val="clear" w:color="auto" w:fill="auto"/>
          </w:tcPr>
          <w:p w14:paraId="623550B6" w14:textId="77777777" w:rsidR="005D05AF" w:rsidRPr="00342B5C" w:rsidRDefault="005D05AF" w:rsidP="00DA3AA0">
            <w:pPr>
              <w:spacing w:line="300" w:lineRule="auto"/>
              <w:rPr>
                <w:color w:val="auto"/>
                <w:sz w:val="18"/>
                <w:szCs w:val="18"/>
              </w:rPr>
            </w:pPr>
            <w:r w:rsidRPr="00342B5C">
              <w:rPr>
                <w:color w:val="auto"/>
                <w:sz w:val="18"/>
                <w:szCs w:val="18"/>
              </w:rPr>
              <w:t>19.23</w:t>
            </w:r>
          </w:p>
        </w:tc>
        <w:tc>
          <w:tcPr>
            <w:tcW w:w="285" w:type="pct"/>
            <w:shd w:val="clear" w:color="auto" w:fill="auto"/>
          </w:tcPr>
          <w:p w14:paraId="326633EE" w14:textId="77777777" w:rsidR="005D05AF" w:rsidRPr="00342B5C" w:rsidRDefault="005D05AF" w:rsidP="00DA3AA0">
            <w:pPr>
              <w:spacing w:line="300" w:lineRule="auto"/>
              <w:rPr>
                <w:color w:val="auto"/>
                <w:sz w:val="18"/>
                <w:szCs w:val="18"/>
              </w:rPr>
            </w:pPr>
            <w:r w:rsidRPr="00342B5C">
              <w:rPr>
                <w:color w:val="auto"/>
                <w:sz w:val="18"/>
                <w:szCs w:val="18"/>
              </w:rPr>
              <w:t>6.82</w:t>
            </w:r>
          </w:p>
        </w:tc>
        <w:tc>
          <w:tcPr>
            <w:tcW w:w="420" w:type="pct"/>
            <w:shd w:val="clear" w:color="auto" w:fill="auto"/>
          </w:tcPr>
          <w:p w14:paraId="15E2F4D3" w14:textId="77777777" w:rsidR="005D05AF" w:rsidRPr="00342B5C" w:rsidRDefault="005D05AF" w:rsidP="00DA3AA0">
            <w:pPr>
              <w:spacing w:line="300" w:lineRule="auto"/>
              <w:rPr>
                <w:color w:val="auto"/>
                <w:sz w:val="18"/>
                <w:szCs w:val="18"/>
              </w:rPr>
            </w:pPr>
            <w:r w:rsidRPr="00342B5C">
              <w:rPr>
                <w:color w:val="auto"/>
                <w:sz w:val="18"/>
                <w:szCs w:val="18"/>
              </w:rPr>
              <w:t>0.36***</w:t>
            </w:r>
          </w:p>
        </w:tc>
        <w:tc>
          <w:tcPr>
            <w:tcW w:w="420" w:type="pct"/>
            <w:shd w:val="clear" w:color="auto" w:fill="auto"/>
          </w:tcPr>
          <w:p w14:paraId="3ED70171" w14:textId="77777777" w:rsidR="005D05AF" w:rsidRPr="00342B5C" w:rsidRDefault="005D05AF" w:rsidP="00DA3AA0">
            <w:pPr>
              <w:spacing w:line="300" w:lineRule="auto"/>
              <w:rPr>
                <w:color w:val="auto"/>
                <w:sz w:val="18"/>
                <w:szCs w:val="18"/>
              </w:rPr>
            </w:pPr>
            <w:r w:rsidRPr="00342B5C">
              <w:rPr>
                <w:color w:val="auto"/>
                <w:sz w:val="18"/>
                <w:szCs w:val="18"/>
              </w:rPr>
              <w:t>0.46***</w:t>
            </w:r>
          </w:p>
        </w:tc>
        <w:tc>
          <w:tcPr>
            <w:tcW w:w="420" w:type="pct"/>
            <w:shd w:val="clear" w:color="auto" w:fill="auto"/>
          </w:tcPr>
          <w:p w14:paraId="595F2E21" w14:textId="77777777" w:rsidR="005D05AF" w:rsidRPr="00342B5C" w:rsidRDefault="005D05AF" w:rsidP="00DA3AA0">
            <w:pPr>
              <w:spacing w:line="300" w:lineRule="auto"/>
              <w:rPr>
                <w:color w:val="auto"/>
                <w:sz w:val="18"/>
                <w:szCs w:val="18"/>
              </w:rPr>
            </w:pPr>
          </w:p>
        </w:tc>
        <w:tc>
          <w:tcPr>
            <w:tcW w:w="395" w:type="pct"/>
            <w:shd w:val="clear" w:color="auto" w:fill="auto"/>
          </w:tcPr>
          <w:p w14:paraId="33799F46" w14:textId="77777777" w:rsidR="005D05AF" w:rsidRPr="00342B5C" w:rsidRDefault="005D05AF" w:rsidP="00DA3AA0">
            <w:pPr>
              <w:spacing w:line="300" w:lineRule="auto"/>
              <w:rPr>
                <w:color w:val="auto"/>
                <w:sz w:val="18"/>
                <w:szCs w:val="18"/>
              </w:rPr>
            </w:pPr>
          </w:p>
        </w:tc>
        <w:tc>
          <w:tcPr>
            <w:tcW w:w="395" w:type="pct"/>
            <w:shd w:val="clear" w:color="auto" w:fill="auto"/>
          </w:tcPr>
          <w:p w14:paraId="5BE020DC" w14:textId="77777777" w:rsidR="005D05AF" w:rsidRPr="00342B5C" w:rsidRDefault="005D05AF" w:rsidP="00DA3AA0">
            <w:pPr>
              <w:spacing w:line="300" w:lineRule="auto"/>
              <w:rPr>
                <w:color w:val="auto"/>
                <w:sz w:val="18"/>
                <w:szCs w:val="18"/>
              </w:rPr>
            </w:pPr>
          </w:p>
        </w:tc>
        <w:tc>
          <w:tcPr>
            <w:tcW w:w="395" w:type="pct"/>
            <w:shd w:val="clear" w:color="auto" w:fill="auto"/>
          </w:tcPr>
          <w:p w14:paraId="40598F5C" w14:textId="77777777" w:rsidR="005D05AF" w:rsidRPr="00342B5C" w:rsidRDefault="005D05AF" w:rsidP="00DA3AA0">
            <w:pPr>
              <w:spacing w:line="300" w:lineRule="auto"/>
              <w:rPr>
                <w:color w:val="auto"/>
                <w:sz w:val="18"/>
                <w:szCs w:val="18"/>
              </w:rPr>
            </w:pPr>
          </w:p>
        </w:tc>
        <w:tc>
          <w:tcPr>
            <w:tcW w:w="395" w:type="pct"/>
            <w:shd w:val="clear" w:color="auto" w:fill="auto"/>
          </w:tcPr>
          <w:p w14:paraId="46DD846E" w14:textId="77777777" w:rsidR="005D05AF" w:rsidRPr="00342B5C" w:rsidRDefault="005D05AF" w:rsidP="00DA3AA0">
            <w:pPr>
              <w:spacing w:line="300" w:lineRule="auto"/>
              <w:rPr>
                <w:color w:val="auto"/>
                <w:sz w:val="18"/>
                <w:szCs w:val="18"/>
              </w:rPr>
            </w:pPr>
          </w:p>
        </w:tc>
        <w:tc>
          <w:tcPr>
            <w:tcW w:w="395" w:type="pct"/>
            <w:shd w:val="clear" w:color="auto" w:fill="auto"/>
          </w:tcPr>
          <w:p w14:paraId="3B2E38CB" w14:textId="77777777" w:rsidR="005D05AF" w:rsidRPr="00342B5C" w:rsidRDefault="005D05AF" w:rsidP="00DA3AA0">
            <w:pPr>
              <w:spacing w:line="300" w:lineRule="auto"/>
              <w:rPr>
                <w:color w:val="auto"/>
                <w:sz w:val="18"/>
                <w:szCs w:val="18"/>
              </w:rPr>
            </w:pPr>
          </w:p>
        </w:tc>
      </w:tr>
      <w:tr w:rsidR="00342B5C" w:rsidRPr="00342B5C" w14:paraId="19B3F6B0" w14:textId="77777777" w:rsidTr="00112BA8">
        <w:trPr>
          <w:jc w:val="center"/>
        </w:trPr>
        <w:tc>
          <w:tcPr>
            <w:tcW w:w="1150" w:type="pct"/>
            <w:shd w:val="clear" w:color="auto" w:fill="auto"/>
          </w:tcPr>
          <w:p w14:paraId="422BF2A7" w14:textId="77777777" w:rsidR="005D05AF" w:rsidRPr="00342B5C" w:rsidRDefault="005D05AF" w:rsidP="00DA3AA0">
            <w:pPr>
              <w:spacing w:line="300" w:lineRule="auto"/>
              <w:rPr>
                <w:color w:val="auto"/>
                <w:sz w:val="18"/>
                <w:szCs w:val="18"/>
              </w:rPr>
            </w:pPr>
            <w:r w:rsidRPr="00342B5C">
              <w:rPr>
                <w:color w:val="auto"/>
                <w:sz w:val="18"/>
                <w:szCs w:val="18"/>
              </w:rPr>
              <w:t>4.perceived control T1</w:t>
            </w:r>
          </w:p>
        </w:tc>
        <w:tc>
          <w:tcPr>
            <w:tcW w:w="322" w:type="pct"/>
            <w:shd w:val="clear" w:color="auto" w:fill="auto"/>
          </w:tcPr>
          <w:p w14:paraId="2B08B6BA" w14:textId="77777777" w:rsidR="005D05AF" w:rsidRPr="00342B5C" w:rsidRDefault="005D05AF" w:rsidP="00DA3AA0">
            <w:pPr>
              <w:spacing w:line="300" w:lineRule="auto"/>
              <w:rPr>
                <w:color w:val="auto"/>
                <w:sz w:val="18"/>
                <w:szCs w:val="18"/>
              </w:rPr>
            </w:pPr>
            <w:r w:rsidRPr="00342B5C">
              <w:rPr>
                <w:color w:val="auto"/>
                <w:sz w:val="18"/>
                <w:szCs w:val="18"/>
              </w:rPr>
              <w:t>55.34</w:t>
            </w:r>
          </w:p>
        </w:tc>
        <w:tc>
          <w:tcPr>
            <w:tcW w:w="285" w:type="pct"/>
            <w:shd w:val="clear" w:color="auto" w:fill="auto"/>
          </w:tcPr>
          <w:p w14:paraId="0856D10B" w14:textId="77777777" w:rsidR="005D05AF" w:rsidRPr="00342B5C" w:rsidRDefault="005D05AF" w:rsidP="00DA3AA0">
            <w:pPr>
              <w:spacing w:line="300" w:lineRule="auto"/>
              <w:rPr>
                <w:color w:val="auto"/>
                <w:sz w:val="18"/>
                <w:szCs w:val="18"/>
              </w:rPr>
            </w:pPr>
            <w:r w:rsidRPr="00342B5C">
              <w:rPr>
                <w:color w:val="auto"/>
                <w:sz w:val="18"/>
                <w:szCs w:val="18"/>
              </w:rPr>
              <w:t>9.09</w:t>
            </w:r>
          </w:p>
        </w:tc>
        <w:tc>
          <w:tcPr>
            <w:tcW w:w="420" w:type="pct"/>
            <w:shd w:val="clear" w:color="auto" w:fill="auto"/>
          </w:tcPr>
          <w:p w14:paraId="059E53D0" w14:textId="77777777" w:rsidR="005D05AF" w:rsidRPr="00342B5C" w:rsidRDefault="005D05AF" w:rsidP="00DA3AA0">
            <w:pPr>
              <w:spacing w:line="300" w:lineRule="auto"/>
              <w:rPr>
                <w:color w:val="auto"/>
                <w:sz w:val="18"/>
                <w:szCs w:val="18"/>
              </w:rPr>
            </w:pPr>
            <w:r w:rsidRPr="00342B5C">
              <w:rPr>
                <w:color w:val="auto"/>
                <w:sz w:val="18"/>
                <w:szCs w:val="18"/>
              </w:rPr>
              <w:t>-0.33***</w:t>
            </w:r>
          </w:p>
        </w:tc>
        <w:tc>
          <w:tcPr>
            <w:tcW w:w="420" w:type="pct"/>
            <w:shd w:val="clear" w:color="auto" w:fill="auto"/>
          </w:tcPr>
          <w:p w14:paraId="26020A9C" w14:textId="77777777" w:rsidR="005D05AF" w:rsidRPr="00342B5C" w:rsidRDefault="005D05AF" w:rsidP="00DA3AA0">
            <w:pPr>
              <w:spacing w:line="300" w:lineRule="auto"/>
              <w:rPr>
                <w:color w:val="auto"/>
                <w:sz w:val="18"/>
                <w:szCs w:val="18"/>
              </w:rPr>
            </w:pPr>
            <w:r w:rsidRPr="00342B5C">
              <w:rPr>
                <w:color w:val="auto"/>
                <w:sz w:val="18"/>
                <w:szCs w:val="18"/>
              </w:rPr>
              <w:t>-0.21***</w:t>
            </w:r>
          </w:p>
        </w:tc>
        <w:tc>
          <w:tcPr>
            <w:tcW w:w="420" w:type="pct"/>
            <w:shd w:val="clear" w:color="auto" w:fill="auto"/>
          </w:tcPr>
          <w:p w14:paraId="375DD76B" w14:textId="77777777" w:rsidR="005D05AF" w:rsidRPr="00342B5C" w:rsidRDefault="005D05AF" w:rsidP="00DA3AA0">
            <w:pPr>
              <w:spacing w:line="300" w:lineRule="auto"/>
              <w:rPr>
                <w:color w:val="auto"/>
                <w:sz w:val="18"/>
                <w:szCs w:val="18"/>
              </w:rPr>
            </w:pPr>
            <w:r w:rsidRPr="00342B5C">
              <w:rPr>
                <w:color w:val="auto"/>
                <w:sz w:val="18"/>
                <w:szCs w:val="18"/>
              </w:rPr>
              <w:t>-0.16***</w:t>
            </w:r>
          </w:p>
        </w:tc>
        <w:tc>
          <w:tcPr>
            <w:tcW w:w="395" w:type="pct"/>
            <w:shd w:val="clear" w:color="auto" w:fill="auto"/>
          </w:tcPr>
          <w:p w14:paraId="261DE80F" w14:textId="77777777" w:rsidR="005D05AF" w:rsidRPr="00342B5C" w:rsidRDefault="005D05AF" w:rsidP="00DA3AA0">
            <w:pPr>
              <w:spacing w:line="300" w:lineRule="auto"/>
              <w:rPr>
                <w:color w:val="auto"/>
                <w:sz w:val="18"/>
                <w:szCs w:val="18"/>
              </w:rPr>
            </w:pPr>
          </w:p>
        </w:tc>
        <w:tc>
          <w:tcPr>
            <w:tcW w:w="395" w:type="pct"/>
            <w:shd w:val="clear" w:color="auto" w:fill="auto"/>
          </w:tcPr>
          <w:p w14:paraId="645C462A" w14:textId="77777777" w:rsidR="005D05AF" w:rsidRPr="00342B5C" w:rsidRDefault="005D05AF" w:rsidP="00DA3AA0">
            <w:pPr>
              <w:spacing w:line="300" w:lineRule="auto"/>
              <w:rPr>
                <w:color w:val="auto"/>
                <w:sz w:val="18"/>
                <w:szCs w:val="18"/>
              </w:rPr>
            </w:pPr>
          </w:p>
        </w:tc>
        <w:tc>
          <w:tcPr>
            <w:tcW w:w="395" w:type="pct"/>
            <w:shd w:val="clear" w:color="auto" w:fill="auto"/>
          </w:tcPr>
          <w:p w14:paraId="42FC945F" w14:textId="77777777" w:rsidR="005D05AF" w:rsidRPr="00342B5C" w:rsidRDefault="005D05AF" w:rsidP="00DA3AA0">
            <w:pPr>
              <w:spacing w:line="300" w:lineRule="auto"/>
              <w:rPr>
                <w:color w:val="auto"/>
                <w:sz w:val="18"/>
                <w:szCs w:val="18"/>
              </w:rPr>
            </w:pPr>
          </w:p>
        </w:tc>
        <w:tc>
          <w:tcPr>
            <w:tcW w:w="395" w:type="pct"/>
            <w:shd w:val="clear" w:color="auto" w:fill="auto"/>
          </w:tcPr>
          <w:p w14:paraId="6ED4D58E" w14:textId="77777777" w:rsidR="005D05AF" w:rsidRPr="00342B5C" w:rsidRDefault="005D05AF" w:rsidP="00DA3AA0">
            <w:pPr>
              <w:spacing w:line="300" w:lineRule="auto"/>
              <w:rPr>
                <w:color w:val="auto"/>
                <w:sz w:val="18"/>
                <w:szCs w:val="18"/>
              </w:rPr>
            </w:pPr>
          </w:p>
        </w:tc>
        <w:tc>
          <w:tcPr>
            <w:tcW w:w="395" w:type="pct"/>
            <w:shd w:val="clear" w:color="auto" w:fill="auto"/>
          </w:tcPr>
          <w:p w14:paraId="761188A4" w14:textId="77777777" w:rsidR="005D05AF" w:rsidRPr="00342B5C" w:rsidRDefault="005D05AF" w:rsidP="00DA3AA0">
            <w:pPr>
              <w:spacing w:line="300" w:lineRule="auto"/>
              <w:rPr>
                <w:color w:val="auto"/>
                <w:sz w:val="18"/>
                <w:szCs w:val="18"/>
              </w:rPr>
            </w:pPr>
          </w:p>
        </w:tc>
      </w:tr>
      <w:tr w:rsidR="00342B5C" w:rsidRPr="00342B5C" w14:paraId="45099CD0" w14:textId="77777777" w:rsidTr="00112BA8">
        <w:trPr>
          <w:jc w:val="center"/>
        </w:trPr>
        <w:tc>
          <w:tcPr>
            <w:tcW w:w="1150" w:type="pct"/>
            <w:shd w:val="clear" w:color="auto" w:fill="auto"/>
          </w:tcPr>
          <w:p w14:paraId="280B8233" w14:textId="77777777" w:rsidR="005D05AF" w:rsidRPr="00342B5C" w:rsidRDefault="005D05AF" w:rsidP="00DA3AA0">
            <w:pPr>
              <w:spacing w:line="300" w:lineRule="auto"/>
              <w:rPr>
                <w:color w:val="auto"/>
                <w:sz w:val="18"/>
                <w:szCs w:val="18"/>
              </w:rPr>
            </w:pPr>
            <w:r w:rsidRPr="00342B5C">
              <w:rPr>
                <w:color w:val="auto"/>
                <w:sz w:val="18"/>
                <w:szCs w:val="18"/>
              </w:rPr>
              <w:t>5.perceived control T2</w:t>
            </w:r>
          </w:p>
        </w:tc>
        <w:tc>
          <w:tcPr>
            <w:tcW w:w="322" w:type="pct"/>
            <w:shd w:val="clear" w:color="auto" w:fill="auto"/>
          </w:tcPr>
          <w:p w14:paraId="5C8EA436" w14:textId="77777777" w:rsidR="005D05AF" w:rsidRPr="00342B5C" w:rsidRDefault="005D05AF" w:rsidP="00DA3AA0">
            <w:pPr>
              <w:spacing w:line="300" w:lineRule="auto"/>
              <w:rPr>
                <w:color w:val="auto"/>
                <w:sz w:val="18"/>
                <w:szCs w:val="18"/>
              </w:rPr>
            </w:pPr>
            <w:r w:rsidRPr="00342B5C">
              <w:rPr>
                <w:color w:val="auto"/>
                <w:sz w:val="18"/>
                <w:szCs w:val="18"/>
              </w:rPr>
              <w:t>55.72</w:t>
            </w:r>
          </w:p>
        </w:tc>
        <w:tc>
          <w:tcPr>
            <w:tcW w:w="285" w:type="pct"/>
            <w:shd w:val="clear" w:color="auto" w:fill="auto"/>
          </w:tcPr>
          <w:p w14:paraId="673E829B" w14:textId="77777777" w:rsidR="005D05AF" w:rsidRPr="00342B5C" w:rsidRDefault="005D05AF" w:rsidP="00DA3AA0">
            <w:pPr>
              <w:spacing w:line="300" w:lineRule="auto"/>
              <w:rPr>
                <w:color w:val="auto"/>
                <w:sz w:val="18"/>
                <w:szCs w:val="18"/>
              </w:rPr>
            </w:pPr>
            <w:r w:rsidRPr="00342B5C">
              <w:rPr>
                <w:color w:val="auto"/>
                <w:sz w:val="18"/>
                <w:szCs w:val="18"/>
              </w:rPr>
              <w:t>9.74</w:t>
            </w:r>
          </w:p>
        </w:tc>
        <w:tc>
          <w:tcPr>
            <w:tcW w:w="420" w:type="pct"/>
            <w:shd w:val="clear" w:color="auto" w:fill="auto"/>
          </w:tcPr>
          <w:p w14:paraId="64257017" w14:textId="77777777" w:rsidR="005D05AF" w:rsidRPr="00342B5C" w:rsidRDefault="005D05AF" w:rsidP="00DA3AA0">
            <w:pPr>
              <w:spacing w:line="300" w:lineRule="auto"/>
              <w:rPr>
                <w:color w:val="auto"/>
                <w:sz w:val="18"/>
                <w:szCs w:val="18"/>
              </w:rPr>
            </w:pPr>
            <w:r w:rsidRPr="00342B5C">
              <w:rPr>
                <w:color w:val="auto"/>
                <w:sz w:val="18"/>
                <w:szCs w:val="18"/>
              </w:rPr>
              <w:t>-0.31***</w:t>
            </w:r>
          </w:p>
        </w:tc>
        <w:tc>
          <w:tcPr>
            <w:tcW w:w="420" w:type="pct"/>
            <w:shd w:val="clear" w:color="auto" w:fill="auto"/>
          </w:tcPr>
          <w:p w14:paraId="0B49FEE5" w14:textId="77777777" w:rsidR="005D05AF" w:rsidRPr="00342B5C" w:rsidRDefault="005D05AF" w:rsidP="00DA3AA0">
            <w:pPr>
              <w:spacing w:line="300" w:lineRule="auto"/>
              <w:rPr>
                <w:color w:val="auto"/>
                <w:sz w:val="18"/>
                <w:szCs w:val="18"/>
              </w:rPr>
            </w:pPr>
            <w:r w:rsidRPr="00342B5C">
              <w:rPr>
                <w:color w:val="auto"/>
                <w:sz w:val="18"/>
                <w:szCs w:val="18"/>
              </w:rPr>
              <w:t>-0.28***</w:t>
            </w:r>
          </w:p>
        </w:tc>
        <w:tc>
          <w:tcPr>
            <w:tcW w:w="420" w:type="pct"/>
            <w:shd w:val="clear" w:color="auto" w:fill="auto"/>
          </w:tcPr>
          <w:p w14:paraId="30C4572E" w14:textId="77777777" w:rsidR="005D05AF" w:rsidRPr="00342B5C" w:rsidRDefault="005D05AF" w:rsidP="00DA3AA0">
            <w:pPr>
              <w:spacing w:line="300" w:lineRule="auto"/>
              <w:rPr>
                <w:color w:val="auto"/>
                <w:sz w:val="18"/>
                <w:szCs w:val="18"/>
              </w:rPr>
            </w:pPr>
            <w:r w:rsidRPr="00342B5C">
              <w:rPr>
                <w:color w:val="auto"/>
                <w:sz w:val="18"/>
                <w:szCs w:val="18"/>
              </w:rPr>
              <w:t>-0.28***</w:t>
            </w:r>
          </w:p>
        </w:tc>
        <w:tc>
          <w:tcPr>
            <w:tcW w:w="395" w:type="pct"/>
            <w:shd w:val="clear" w:color="auto" w:fill="auto"/>
          </w:tcPr>
          <w:p w14:paraId="77515E31" w14:textId="77777777" w:rsidR="005D05AF" w:rsidRPr="00342B5C" w:rsidRDefault="005D05AF" w:rsidP="00DA3AA0">
            <w:pPr>
              <w:spacing w:line="300" w:lineRule="auto"/>
              <w:rPr>
                <w:color w:val="auto"/>
                <w:sz w:val="18"/>
                <w:szCs w:val="18"/>
              </w:rPr>
            </w:pPr>
            <w:r w:rsidRPr="00342B5C">
              <w:rPr>
                <w:color w:val="auto"/>
                <w:sz w:val="18"/>
                <w:szCs w:val="18"/>
              </w:rPr>
              <w:t>0.56***</w:t>
            </w:r>
          </w:p>
        </w:tc>
        <w:tc>
          <w:tcPr>
            <w:tcW w:w="395" w:type="pct"/>
            <w:shd w:val="clear" w:color="auto" w:fill="auto"/>
          </w:tcPr>
          <w:p w14:paraId="07977FE1" w14:textId="77777777" w:rsidR="005D05AF" w:rsidRPr="00342B5C" w:rsidRDefault="005D05AF" w:rsidP="00DA3AA0">
            <w:pPr>
              <w:spacing w:line="300" w:lineRule="auto"/>
              <w:rPr>
                <w:color w:val="auto"/>
                <w:sz w:val="18"/>
                <w:szCs w:val="18"/>
              </w:rPr>
            </w:pPr>
          </w:p>
        </w:tc>
        <w:tc>
          <w:tcPr>
            <w:tcW w:w="395" w:type="pct"/>
            <w:shd w:val="clear" w:color="auto" w:fill="auto"/>
          </w:tcPr>
          <w:p w14:paraId="5A119ACD" w14:textId="77777777" w:rsidR="005D05AF" w:rsidRPr="00342B5C" w:rsidRDefault="005D05AF" w:rsidP="00DA3AA0">
            <w:pPr>
              <w:spacing w:line="300" w:lineRule="auto"/>
              <w:rPr>
                <w:color w:val="auto"/>
                <w:sz w:val="18"/>
                <w:szCs w:val="18"/>
              </w:rPr>
            </w:pPr>
          </w:p>
        </w:tc>
        <w:tc>
          <w:tcPr>
            <w:tcW w:w="395" w:type="pct"/>
            <w:shd w:val="clear" w:color="auto" w:fill="auto"/>
          </w:tcPr>
          <w:p w14:paraId="706C8FEC" w14:textId="77777777" w:rsidR="005D05AF" w:rsidRPr="00342B5C" w:rsidRDefault="005D05AF" w:rsidP="00DA3AA0">
            <w:pPr>
              <w:spacing w:line="300" w:lineRule="auto"/>
              <w:rPr>
                <w:color w:val="auto"/>
                <w:sz w:val="18"/>
                <w:szCs w:val="18"/>
              </w:rPr>
            </w:pPr>
          </w:p>
        </w:tc>
        <w:tc>
          <w:tcPr>
            <w:tcW w:w="395" w:type="pct"/>
            <w:shd w:val="clear" w:color="auto" w:fill="auto"/>
          </w:tcPr>
          <w:p w14:paraId="0FDA4EB1" w14:textId="77777777" w:rsidR="005D05AF" w:rsidRPr="00342B5C" w:rsidRDefault="005D05AF" w:rsidP="00DA3AA0">
            <w:pPr>
              <w:spacing w:line="300" w:lineRule="auto"/>
              <w:rPr>
                <w:color w:val="auto"/>
                <w:sz w:val="18"/>
                <w:szCs w:val="18"/>
              </w:rPr>
            </w:pPr>
          </w:p>
        </w:tc>
      </w:tr>
      <w:tr w:rsidR="00342B5C" w:rsidRPr="00342B5C" w14:paraId="6C72C502" w14:textId="77777777" w:rsidTr="00112BA8">
        <w:trPr>
          <w:jc w:val="center"/>
        </w:trPr>
        <w:tc>
          <w:tcPr>
            <w:tcW w:w="1150" w:type="pct"/>
            <w:shd w:val="clear" w:color="auto" w:fill="auto"/>
          </w:tcPr>
          <w:p w14:paraId="1CD1C077" w14:textId="77777777" w:rsidR="005D05AF" w:rsidRPr="00342B5C" w:rsidRDefault="005D05AF" w:rsidP="00DA3AA0">
            <w:pPr>
              <w:spacing w:line="300" w:lineRule="auto"/>
              <w:rPr>
                <w:color w:val="auto"/>
                <w:sz w:val="18"/>
                <w:szCs w:val="18"/>
              </w:rPr>
            </w:pPr>
            <w:r w:rsidRPr="00342B5C">
              <w:rPr>
                <w:color w:val="auto"/>
                <w:sz w:val="18"/>
                <w:szCs w:val="18"/>
              </w:rPr>
              <w:t>6.perceived control T3</w:t>
            </w:r>
          </w:p>
        </w:tc>
        <w:tc>
          <w:tcPr>
            <w:tcW w:w="322" w:type="pct"/>
            <w:shd w:val="clear" w:color="auto" w:fill="auto"/>
          </w:tcPr>
          <w:p w14:paraId="35D15419" w14:textId="77777777" w:rsidR="005D05AF" w:rsidRPr="00342B5C" w:rsidRDefault="005D05AF" w:rsidP="00DA3AA0">
            <w:pPr>
              <w:spacing w:line="300" w:lineRule="auto"/>
              <w:rPr>
                <w:color w:val="auto"/>
                <w:sz w:val="18"/>
                <w:szCs w:val="18"/>
              </w:rPr>
            </w:pPr>
            <w:r w:rsidRPr="00342B5C">
              <w:rPr>
                <w:color w:val="auto"/>
                <w:sz w:val="18"/>
                <w:szCs w:val="18"/>
              </w:rPr>
              <w:t>55.92</w:t>
            </w:r>
          </w:p>
        </w:tc>
        <w:tc>
          <w:tcPr>
            <w:tcW w:w="285" w:type="pct"/>
            <w:shd w:val="clear" w:color="auto" w:fill="auto"/>
          </w:tcPr>
          <w:p w14:paraId="3A9405C5" w14:textId="77777777" w:rsidR="005D05AF" w:rsidRPr="00342B5C" w:rsidRDefault="005D05AF" w:rsidP="00DA3AA0">
            <w:pPr>
              <w:spacing w:line="300" w:lineRule="auto"/>
              <w:rPr>
                <w:color w:val="auto"/>
                <w:sz w:val="18"/>
                <w:szCs w:val="18"/>
              </w:rPr>
            </w:pPr>
            <w:r w:rsidRPr="00342B5C">
              <w:rPr>
                <w:color w:val="auto"/>
                <w:sz w:val="18"/>
                <w:szCs w:val="18"/>
              </w:rPr>
              <w:t>9.69</w:t>
            </w:r>
          </w:p>
        </w:tc>
        <w:tc>
          <w:tcPr>
            <w:tcW w:w="420" w:type="pct"/>
            <w:shd w:val="clear" w:color="auto" w:fill="auto"/>
          </w:tcPr>
          <w:p w14:paraId="5BAE235E" w14:textId="77777777" w:rsidR="005D05AF" w:rsidRPr="00342B5C" w:rsidRDefault="005D05AF" w:rsidP="00DA3AA0">
            <w:pPr>
              <w:spacing w:line="300" w:lineRule="auto"/>
              <w:rPr>
                <w:color w:val="auto"/>
                <w:sz w:val="18"/>
                <w:szCs w:val="18"/>
              </w:rPr>
            </w:pPr>
            <w:r w:rsidRPr="00342B5C">
              <w:rPr>
                <w:color w:val="auto"/>
                <w:sz w:val="18"/>
                <w:szCs w:val="18"/>
              </w:rPr>
              <w:t>-0.28***</w:t>
            </w:r>
          </w:p>
        </w:tc>
        <w:tc>
          <w:tcPr>
            <w:tcW w:w="420" w:type="pct"/>
            <w:shd w:val="clear" w:color="auto" w:fill="auto"/>
          </w:tcPr>
          <w:p w14:paraId="428FADF5" w14:textId="77777777" w:rsidR="005D05AF" w:rsidRPr="00342B5C" w:rsidRDefault="005D05AF" w:rsidP="00DA3AA0">
            <w:pPr>
              <w:spacing w:line="300" w:lineRule="auto"/>
              <w:rPr>
                <w:color w:val="auto"/>
                <w:sz w:val="18"/>
                <w:szCs w:val="18"/>
              </w:rPr>
            </w:pPr>
            <w:r w:rsidRPr="00342B5C">
              <w:rPr>
                <w:color w:val="auto"/>
                <w:sz w:val="18"/>
                <w:szCs w:val="18"/>
              </w:rPr>
              <w:t>-0.24***</w:t>
            </w:r>
          </w:p>
        </w:tc>
        <w:tc>
          <w:tcPr>
            <w:tcW w:w="420" w:type="pct"/>
            <w:shd w:val="clear" w:color="auto" w:fill="auto"/>
          </w:tcPr>
          <w:p w14:paraId="1D115D8F" w14:textId="77777777" w:rsidR="005D05AF" w:rsidRPr="00342B5C" w:rsidRDefault="005D05AF" w:rsidP="00DA3AA0">
            <w:pPr>
              <w:spacing w:line="300" w:lineRule="auto"/>
              <w:rPr>
                <w:color w:val="auto"/>
                <w:sz w:val="18"/>
                <w:szCs w:val="18"/>
              </w:rPr>
            </w:pPr>
            <w:r w:rsidRPr="00342B5C">
              <w:rPr>
                <w:color w:val="auto"/>
                <w:sz w:val="18"/>
                <w:szCs w:val="18"/>
              </w:rPr>
              <w:t>-0.27***</w:t>
            </w:r>
          </w:p>
        </w:tc>
        <w:tc>
          <w:tcPr>
            <w:tcW w:w="395" w:type="pct"/>
            <w:shd w:val="clear" w:color="auto" w:fill="auto"/>
          </w:tcPr>
          <w:p w14:paraId="3E3EEA5A" w14:textId="77777777" w:rsidR="005D05AF" w:rsidRPr="00342B5C" w:rsidRDefault="005D05AF" w:rsidP="00DA3AA0">
            <w:pPr>
              <w:spacing w:line="300" w:lineRule="auto"/>
              <w:rPr>
                <w:color w:val="auto"/>
                <w:sz w:val="18"/>
                <w:szCs w:val="18"/>
              </w:rPr>
            </w:pPr>
            <w:r w:rsidRPr="00342B5C">
              <w:rPr>
                <w:color w:val="auto"/>
                <w:sz w:val="18"/>
                <w:szCs w:val="18"/>
              </w:rPr>
              <w:t>0.46***</w:t>
            </w:r>
          </w:p>
        </w:tc>
        <w:tc>
          <w:tcPr>
            <w:tcW w:w="395" w:type="pct"/>
            <w:shd w:val="clear" w:color="auto" w:fill="auto"/>
          </w:tcPr>
          <w:p w14:paraId="0EB14967" w14:textId="77777777" w:rsidR="005D05AF" w:rsidRPr="00342B5C" w:rsidRDefault="005D05AF" w:rsidP="00DA3AA0">
            <w:pPr>
              <w:spacing w:line="300" w:lineRule="auto"/>
              <w:rPr>
                <w:color w:val="auto"/>
                <w:sz w:val="18"/>
                <w:szCs w:val="18"/>
              </w:rPr>
            </w:pPr>
            <w:r w:rsidRPr="00342B5C">
              <w:rPr>
                <w:color w:val="auto"/>
                <w:sz w:val="18"/>
                <w:szCs w:val="18"/>
              </w:rPr>
              <w:t>0.60***</w:t>
            </w:r>
          </w:p>
        </w:tc>
        <w:tc>
          <w:tcPr>
            <w:tcW w:w="395" w:type="pct"/>
            <w:shd w:val="clear" w:color="auto" w:fill="auto"/>
          </w:tcPr>
          <w:p w14:paraId="4259AB91" w14:textId="77777777" w:rsidR="005D05AF" w:rsidRPr="00342B5C" w:rsidRDefault="005D05AF" w:rsidP="00DA3AA0">
            <w:pPr>
              <w:spacing w:line="300" w:lineRule="auto"/>
              <w:rPr>
                <w:color w:val="auto"/>
                <w:sz w:val="18"/>
                <w:szCs w:val="18"/>
              </w:rPr>
            </w:pPr>
          </w:p>
        </w:tc>
        <w:tc>
          <w:tcPr>
            <w:tcW w:w="395" w:type="pct"/>
            <w:shd w:val="clear" w:color="auto" w:fill="auto"/>
          </w:tcPr>
          <w:p w14:paraId="0517A788" w14:textId="77777777" w:rsidR="005D05AF" w:rsidRPr="00342B5C" w:rsidRDefault="005D05AF" w:rsidP="00DA3AA0">
            <w:pPr>
              <w:spacing w:line="300" w:lineRule="auto"/>
              <w:rPr>
                <w:color w:val="auto"/>
                <w:sz w:val="18"/>
                <w:szCs w:val="18"/>
              </w:rPr>
            </w:pPr>
          </w:p>
        </w:tc>
        <w:tc>
          <w:tcPr>
            <w:tcW w:w="395" w:type="pct"/>
            <w:shd w:val="clear" w:color="auto" w:fill="auto"/>
          </w:tcPr>
          <w:p w14:paraId="7782B550" w14:textId="77777777" w:rsidR="005D05AF" w:rsidRPr="00342B5C" w:rsidRDefault="005D05AF" w:rsidP="00DA3AA0">
            <w:pPr>
              <w:spacing w:line="300" w:lineRule="auto"/>
              <w:rPr>
                <w:color w:val="auto"/>
                <w:sz w:val="18"/>
                <w:szCs w:val="18"/>
              </w:rPr>
            </w:pPr>
          </w:p>
        </w:tc>
      </w:tr>
      <w:tr w:rsidR="00342B5C" w:rsidRPr="00342B5C" w14:paraId="5BC32385" w14:textId="77777777" w:rsidTr="00112BA8">
        <w:trPr>
          <w:jc w:val="center"/>
        </w:trPr>
        <w:tc>
          <w:tcPr>
            <w:tcW w:w="1150" w:type="pct"/>
            <w:shd w:val="clear" w:color="auto" w:fill="auto"/>
          </w:tcPr>
          <w:p w14:paraId="09FCBCD0" w14:textId="77777777" w:rsidR="005D05AF" w:rsidRPr="00342B5C" w:rsidRDefault="005D05AF" w:rsidP="00DA3AA0">
            <w:pPr>
              <w:spacing w:line="300" w:lineRule="auto"/>
              <w:rPr>
                <w:color w:val="auto"/>
                <w:sz w:val="18"/>
                <w:szCs w:val="18"/>
              </w:rPr>
            </w:pPr>
            <w:r w:rsidRPr="00342B5C">
              <w:rPr>
                <w:color w:val="auto"/>
                <w:sz w:val="18"/>
                <w:szCs w:val="18"/>
              </w:rPr>
              <w:t>7.teacher-student relationships T1</w:t>
            </w:r>
          </w:p>
        </w:tc>
        <w:tc>
          <w:tcPr>
            <w:tcW w:w="322" w:type="pct"/>
            <w:shd w:val="clear" w:color="auto" w:fill="auto"/>
          </w:tcPr>
          <w:p w14:paraId="3FE43E5F" w14:textId="77777777" w:rsidR="005D05AF" w:rsidRPr="00342B5C" w:rsidRDefault="005D05AF" w:rsidP="00DA3AA0">
            <w:pPr>
              <w:spacing w:line="300" w:lineRule="auto"/>
              <w:rPr>
                <w:color w:val="auto"/>
                <w:sz w:val="18"/>
                <w:szCs w:val="18"/>
              </w:rPr>
            </w:pPr>
            <w:r w:rsidRPr="00342B5C">
              <w:rPr>
                <w:color w:val="auto"/>
                <w:sz w:val="18"/>
                <w:szCs w:val="18"/>
              </w:rPr>
              <w:t>68.77</w:t>
            </w:r>
          </w:p>
        </w:tc>
        <w:tc>
          <w:tcPr>
            <w:tcW w:w="285" w:type="pct"/>
            <w:shd w:val="clear" w:color="auto" w:fill="auto"/>
          </w:tcPr>
          <w:p w14:paraId="32398EF1" w14:textId="77777777" w:rsidR="005D05AF" w:rsidRPr="00342B5C" w:rsidRDefault="005D05AF" w:rsidP="00DA3AA0">
            <w:pPr>
              <w:spacing w:line="300" w:lineRule="auto"/>
              <w:rPr>
                <w:color w:val="auto"/>
                <w:sz w:val="18"/>
                <w:szCs w:val="18"/>
              </w:rPr>
            </w:pPr>
            <w:r w:rsidRPr="00342B5C">
              <w:rPr>
                <w:color w:val="auto"/>
                <w:sz w:val="18"/>
                <w:szCs w:val="18"/>
              </w:rPr>
              <w:t>9.52</w:t>
            </w:r>
          </w:p>
        </w:tc>
        <w:tc>
          <w:tcPr>
            <w:tcW w:w="420" w:type="pct"/>
            <w:shd w:val="clear" w:color="auto" w:fill="auto"/>
          </w:tcPr>
          <w:p w14:paraId="652D7184" w14:textId="77777777" w:rsidR="005D05AF" w:rsidRPr="00342B5C" w:rsidRDefault="005D05AF" w:rsidP="00DA3AA0">
            <w:pPr>
              <w:spacing w:line="300" w:lineRule="auto"/>
              <w:rPr>
                <w:color w:val="auto"/>
                <w:sz w:val="18"/>
                <w:szCs w:val="18"/>
              </w:rPr>
            </w:pPr>
            <w:r w:rsidRPr="00342B5C">
              <w:rPr>
                <w:color w:val="auto"/>
                <w:sz w:val="18"/>
                <w:szCs w:val="18"/>
              </w:rPr>
              <w:t>-0.20***</w:t>
            </w:r>
          </w:p>
        </w:tc>
        <w:tc>
          <w:tcPr>
            <w:tcW w:w="420" w:type="pct"/>
            <w:shd w:val="clear" w:color="auto" w:fill="auto"/>
          </w:tcPr>
          <w:p w14:paraId="1B68B71D" w14:textId="77777777" w:rsidR="005D05AF" w:rsidRPr="00342B5C" w:rsidRDefault="005D05AF" w:rsidP="00DA3AA0">
            <w:pPr>
              <w:spacing w:line="300" w:lineRule="auto"/>
              <w:rPr>
                <w:color w:val="auto"/>
                <w:sz w:val="18"/>
                <w:szCs w:val="18"/>
              </w:rPr>
            </w:pPr>
            <w:r w:rsidRPr="00342B5C">
              <w:rPr>
                <w:color w:val="auto"/>
                <w:sz w:val="18"/>
                <w:szCs w:val="18"/>
              </w:rPr>
              <w:t>-0.12***</w:t>
            </w:r>
          </w:p>
        </w:tc>
        <w:tc>
          <w:tcPr>
            <w:tcW w:w="420" w:type="pct"/>
            <w:shd w:val="clear" w:color="auto" w:fill="auto"/>
          </w:tcPr>
          <w:p w14:paraId="1B458511" w14:textId="77777777" w:rsidR="005D05AF" w:rsidRPr="00342B5C" w:rsidRDefault="005D05AF" w:rsidP="00DA3AA0">
            <w:pPr>
              <w:spacing w:line="300" w:lineRule="auto"/>
              <w:rPr>
                <w:color w:val="auto"/>
                <w:sz w:val="18"/>
                <w:szCs w:val="18"/>
              </w:rPr>
            </w:pPr>
            <w:r w:rsidRPr="00342B5C">
              <w:rPr>
                <w:color w:val="auto"/>
                <w:sz w:val="18"/>
                <w:szCs w:val="18"/>
              </w:rPr>
              <w:t>-0.07***</w:t>
            </w:r>
          </w:p>
        </w:tc>
        <w:tc>
          <w:tcPr>
            <w:tcW w:w="395" w:type="pct"/>
            <w:shd w:val="clear" w:color="auto" w:fill="auto"/>
          </w:tcPr>
          <w:p w14:paraId="550E9320" w14:textId="77777777" w:rsidR="005D05AF" w:rsidRPr="00342B5C" w:rsidRDefault="005D05AF" w:rsidP="00DA3AA0">
            <w:pPr>
              <w:spacing w:line="300" w:lineRule="auto"/>
              <w:rPr>
                <w:color w:val="auto"/>
                <w:sz w:val="18"/>
                <w:szCs w:val="18"/>
              </w:rPr>
            </w:pPr>
            <w:r w:rsidRPr="00342B5C">
              <w:rPr>
                <w:color w:val="auto"/>
                <w:sz w:val="18"/>
                <w:szCs w:val="18"/>
              </w:rPr>
              <w:t>0.31***</w:t>
            </w:r>
          </w:p>
        </w:tc>
        <w:tc>
          <w:tcPr>
            <w:tcW w:w="395" w:type="pct"/>
            <w:shd w:val="clear" w:color="auto" w:fill="auto"/>
          </w:tcPr>
          <w:p w14:paraId="2B2F0413" w14:textId="77777777" w:rsidR="005D05AF" w:rsidRPr="00342B5C" w:rsidRDefault="005D05AF" w:rsidP="00DA3AA0">
            <w:pPr>
              <w:spacing w:line="300" w:lineRule="auto"/>
              <w:rPr>
                <w:color w:val="auto"/>
                <w:sz w:val="18"/>
                <w:szCs w:val="18"/>
              </w:rPr>
            </w:pPr>
            <w:r w:rsidRPr="00342B5C">
              <w:rPr>
                <w:color w:val="auto"/>
                <w:sz w:val="18"/>
                <w:szCs w:val="18"/>
              </w:rPr>
              <w:t>0.24***</w:t>
            </w:r>
          </w:p>
        </w:tc>
        <w:tc>
          <w:tcPr>
            <w:tcW w:w="395" w:type="pct"/>
            <w:shd w:val="clear" w:color="auto" w:fill="auto"/>
          </w:tcPr>
          <w:p w14:paraId="45BC1163" w14:textId="77777777" w:rsidR="005D05AF" w:rsidRPr="00342B5C" w:rsidRDefault="005D05AF" w:rsidP="00DA3AA0">
            <w:pPr>
              <w:spacing w:line="300" w:lineRule="auto"/>
              <w:rPr>
                <w:color w:val="auto"/>
                <w:sz w:val="18"/>
                <w:szCs w:val="18"/>
              </w:rPr>
            </w:pPr>
            <w:r w:rsidRPr="00342B5C">
              <w:rPr>
                <w:color w:val="auto"/>
                <w:sz w:val="18"/>
                <w:szCs w:val="18"/>
              </w:rPr>
              <w:t>0.23***</w:t>
            </w:r>
          </w:p>
        </w:tc>
        <w:tc>
          <w:tcPr>
            <w:tcW w:w="395" w:type="pct"/>
            <w:shd w:val="clear" w:color="auto" w:fill="auto"/>
          </w:tcPr>
          <w:p w14:paraId="5AF3DD8D" w14:textId="77777777" w:rsidR="005D05AF" w:rsidRPr="00342B5C" w:rsidRDefault="005D05AF" w:rsidP="00DA3AA0">
            <w:pPr>
              <w:spacing w:line="300" w:lineRule="auto"/>
              <w:rPr>
                <w:color w:val="auto"/>
                <w:sz w:val="18"/>
                <w:szCs w:val="18"/>
              </w:rPr>
            </w:pPr>
          </w:p>
        </w:tc>
        <w:tc>
          <w:tcPr>
            <w:tcW w:w="395" w:type="pct"/>
            <w:shd w:val="clear" w:color="auto" w:fill="auto"/>
          </w:tcPr>
          <w:p w14:paraId="58875B37" w14:textId="77777777" w:rsidR="005D05AF" w:rsidRPr="00342B5C" w:rsidRDefault="005D05AF" w:rsidP="00DA3AA0">
            <w:pPr>
              <w:spacing w:line="300" w:lineRule="auto"/>
              <w:rPr>
                <w:color w:val="auto"/>
                <w:sz w:val="18"/>
                <w:szCs w:val="18"/>
              </w:rPr>
            </w:pPr>
          </w:p>
        </w:tc>
      </w:tr>
      <w:tr w:rsidR="00342B5C" w:rsidRPr="00342B5C" w14:paraId="30EAB443" w14:textId="77777777" w:rsidTr="00112BA8">
        <w:trPr>
          <w:jc w:val="center"/>
        </w:trPr>
        <w:tc>
          <w:tcPr>
            <w:tcW w:w="1150" w:type="pct"/>
            <w:shd w:val="clear" w:color="auto" w:fill="auto"/>
          </w:tcPr>
          <w:p w14:paraId="68369DA6" w14:textId="77777777" w:rsidR="005D05AF" w:rsidRPr="00342B5C" w:rsidRDefault="005D05AF" w:rsidP="00DA3AA0">
            <w:pPr>
              <w:spacing w:line="300" w:lineRule="auto"/>
              <w:rPr>
                <w:color w:val="auto"/>
                <w:sz w:val="18"/>
                <w:szCs w:val="18"/>
              </w:rPr>
            </w:pPr>
            <w:r w:rsidRPr="00342B5C">
              <w:rPr>
                <w:color w:val="auto"/>
                <w:sz w:val="18"/>
                <w:szCs w:val="18"/>
              </w:rPr>
              <w:t>8.teacher-student relationships T2</w:t>
            </w:r>
          </w:p>
        </w:tc>
        <w:tc>
          <w:tcPr>
            <w:tcW w:w="322" w:type="pct"/>
            <w:shd w:val="clear" w:color="auto" w:fill="auto"/>
          </w:tcPr>
          <w:p w14:paraId="124ADE92" w14:textId="77777777" w:rsidR="005D05AF" w:rsidRPr="00342B5C" w:rsidRDefault="005D05AF" w:rsidP="00DA3AA0">
            <w:pPr>
              <w:spacing w:line="300" w:lineRule="auto"/>
              <w:rPr>
                <w:color w:val="auto"/>
                <w:sz w:val="18"/>
                <w:szCs w:val="18"/>
              </w:rPr>
            </w:pPr>
            <w:r w:rsidRPr="00342B5C">
              <w:rPr>
                <w:color w:val="auto"/>
                <w:sz w:val="18"/>
                <w:szCs w:val="18"/>
              </w:rPr>
              <w:t>70.41</w:t>
            </w:r>
          </w:p>
        </w:tc>
        <w:tc>
          <w:tcPr>
            <w:tcW w:w="285" w:type="pct"/>
            <w:shd w:val="clear" w:color="auto" w:fill="auto"/>
          </w:tcPr>
          <w:p w14:paraId="5D4944C7" w14:textId="77777777" w:rsidR="005D05AF" w:rsidRPr="00342B5C" w:rsidRDefault="005D05AF" w:rsidP="00DA3AA0">
            <w:pPr>
              <w:spacing w:line="300" w:lineRule="auto"/>
              <w:rPr>
                <w:color w:val="auto"/>
                <w:sz w:val="18"/>
                <w:szCs w:val="18"/>
              </w:rPr>
            </w:pPr>
            <w:r w:rsidRPr="00342B5C">
              <w:rPr>
                <w:color w:val="auto"/>
                <w:sz w:val="18"/>
                <w:szCs w:val="18"/>
              </w:rPr>
              <w:t>9.27</w:t>
            </w:r>
          </w:p>
        </w:tc>
        <w:tc>
          <w:tcPr>
            <w:tcW w:w="420" w:type="pct"/>
            <w:shd w:val="clear" w:color="auto" w:fill="auto"/>
          </w:tcPr>
          <w:p w14:paraId="5EE079E8" w14:textId="77777777" w:rsidR="005D05AF" w:rsidRPr="00342B5C" w:rsidRDefault="005D05AF" w:rsidP="00DA3AA0">
            <w:pPr>
              <w:spacing w:line="300" w:lineRule="auto"/>
              <w:rPr>
                <w:color w:val="auto"/>
                <w:sz w:val="18"/>
                <w:szCs w:val="18"/>
              </w:rPr>
            </w:pPr>
            <w:r w:rsidRPr="00342B5C">
              <w:rPr>
                <w:color w:val="auto"/>
                <w:sz w:val="18"/>
                <w:szCs w:val="18"/>
              </w:rPr>
              <w:t>-0.13***</w:t>
            </w:r>
          </w:p>
        </w:tc>
        <w:tc>
          <w:tcPr>
            <w:tcW w:w="420" w:type="pct"/>
            <w:shd w:val="clear" w:color="auto" w:fill="auto"/>
          </w:tcPr>
          <w:p w14:paraId="64B19D89" w14:textId="77777777" w:rsidR="005D05AF" w:rsidRPr="00342B5C" w:rsidRDefault="005D05AF" w:rsidP="00DA3AA0">
            <w:pPr>
              <w:spacing w:line="300" w:lineRule="auto"/>
              <w:rPr>
                <w:color w:val="auto"/>
                <w:sz w:val="18"/>
                <w:szCs w:val="18"/>
              </w:rPr>
            </w:pPr>
            <w:r w:rsidRPr="00342B5C">
              <w:rPr>
                <w:color w:val="auto"/>
                <w:sz w:val="18"/>
                <w:szCs w:val="18"/>
              </w:rPr>
              <w:t>-0.19***</w:t>
            </w:r>
          </w:p>
        </w:tc>
        <w:tc>
          <w:tcPr>
            <w:tcW w:w="420" w:type="pct"/>
            <w:shd w:val="clear" w:color="auto" w:fill="auto"/>
          </w:tcPr>
          <w:p w14:paraId="0CF56BF6" w14:textId="77777777" w:rsidR="005D05AF" w:rsidRPr="00342B5C" w:rsidRDefault="005D05AF" w:rsidP="00DA3AA0">
            <w:pPr>
              <w:spacing w:line="300" w:lineRule="auto"/>
              <w:rPr>
                <w:color w:val="auto"/>
                <w:sz w:val="18"/>
                <w:szCs w:val="18"/>
              </w:rPr>
            </w:pPr>
            <w:r w:rsidRPr="00342B5C">
              <w:rPr>
                <w:color w:val="auto"/>
                <w:sz w:val="18"/>
                <w:szCs w:val="18"/>
              </w:rPr>
              <w:t>-0.14***</w:t>
            </w:r>
          </w:p>
        </w:tc>
        <w:tc>
          <w:tcPr>
            <w:tcW w:w="395" w:type="pct"/>
            <w:shd w:val="clear" w:color="auto" w:fill="auto"/>
          </w:tcPr>
          <w:p w14:paraId="3E3B7204" w14:textId="77777777" w:rsidR="005D05AF" w:rsidRPr="00342B5C" w:rsidRDefault="005D05AF" w:rsidP="00DA3AA0">
            <w:pPr>
              <w:spacing w:line="300" w:lineRule="auto"/>
              <w:rPr>
                <w:color w:val="auto"/>
                <w:sz w:val="18"/>
                <w:szCs w:val="18"/>
              </w:rPr>
            </w:pPr>
            <w:r w:rsidRPr="00342B5C">
              <w:rPr>
                <w:color w:val="auto"/>
                <w:sz w:val="18"/>
                <w:szCs w:val="18"/>
              </w:rPr>
              <w:t>0.22***</w:t>
            </w:r>
          </w:p>
        </w:tc>
        <w:tc>
          <w:tcPr>
            <w:tcW w:w="395" w:type="pct"/>
            <w:shd w:val="clear" w:color="auto" w:fill="auto"/>
          </w:tcPr>
          <w:p w14:paraId="0991DF65" w14:textId="77777777" w:rsidR="005D05AF" w:rsidRPr="00342B5C" w:rsidRDefault="005D05AF" w:rsidP="00DA3AA0">
            <w:pPr>
              <w:spacing w:line="300" w:lineRule="auto"/>
              <w:rPr>
                <w:color w:val="auto"/>
                <w:sz w:val="18"/>
                <w:szCs w:val="18"/>
              </w:rPr>
            </w:pPr>
            <w:r w:rsidRPr="00342B5C">
              <w:rPr>
                <w:color w:val="auto"/>
                <w:sz w:val="18"/>
                <w:szCs w:val="18"/>
              </w:rPr>
              <w:t>0.32***</w:t>
            </w:r>
          </w:p>
        </w:tc>
        <w:tc>
          <w:tcPr>
            <w:tcW w:w="395" w:type="pct"/>
            <w:shd w:val="clear" w:color="auto" w:fill="auto"/>
          </w:tcPr>
          <w:p w14:paraId="3C33D44C" w14:textId="77777777" w:rsidR="005D05AF" w:rsidRPr="00342B5C" w:rsidRDefault="005D05AF" w:rsidP="00DA3AA0">
            <w:pPr>
              <w:spacing w:line="300" w:lineRule="auto"/>
              <w:rPr>
                <w:color w:val="auto"/>
                <w:sz w:val="18"/>
                <w:szCs w:val="18"/>
              </w:rPr>
            </w:pPr>
            <w:r w:rsidRPr="00342B5C">
              <w:rPr>
                <w:color w:val="auto"/>
                <w:sz w:val="18"/>
                <w:szCs w:val="18"/>
              </w:rPr>
              <w:t>0.32***</w:t>
            </w:r>
          </w:p>
        </w:tc>
        <w:tc>
          <w:tcPr>
            <w:tcW w:w="395" w:type="pct"/>
            <w:shd w:val="clear" w:color="auto" w:fill="auto"/>
          </w:tcPr>
          <w:p w14:paraId="2B6440B3" w14:textId="77777777" w:rsidR="005D05AF" w:rsidRPr="00342B5C" w:rsidRDefault="005D05AF" w:rsidP="00DA3AA0">
            <w:pPr>
              <w:spacing w:line="300" w:lineRule="auto"/>
              <w:rPr>
                <w:color w:val="auto"/>
                <w:sz w:val="18"/>
                <w:szCs w:val="18"/>
              </w:rPr>
            </w:pPr>
            <w:r w:rsidRPr="00342B5C">
              <w:rPr>
                <w:color w:val="auto"/>
                <w:sz w:val="18"/>
                <w:szCs w:val="18"/>
              </w:rPr>
              <w:t>0.43***</w:t>
            </w:r>
          </w:p>
        </w:tc>
        <w:tc>
          <w:tcPr>
            <w:tcW w:w="395" w:type="pct"/>
            <w:shd w:val="clear" w:color="auto" w:fill="auto"/>
          </w:tcPr>
          <w:p w14:paraId="4012EBBE" w14:textId="77777777" w:rsidR="005D05AF" w:rsidRPr="00342B5C" w:rsidRDefault="005D05AF" w:rsidP="00DA3AA0">
            <w:pPr>
              <w:spacing w:line="300" w:lineRule="auto"/>
              <w:rPr>
                <w:color w:val="auto"/>
                <w:sz w:val="18"/>
                <w:szCs w:val="18"/>
              </w:rPr>
            </w:pPr>
          </w:p>
        </w:tc>
      </w:tr>
      <w:tr w:rsidR="00342B5C" w:rsidRPr="00342B5C" w14:paraId="55D2BE29" w14:textId="77777777" w:rsidTr="00112BA8">
        <w:trPr>
          <w:jc w:val="center"/>
        </w:trPr>
        <w:tc>
          <w:tcPr>
            <w:tcW w:w="1150" w:type="pct"/>
            <w:tcBorders>
              <w:bottom w:val="single" w:sz="12" w:space="0" w:color="auto"/>
            </w:tcBorders>
            <w:shd w:val="clear" w:color="auto" w:fill="auto"/>
          </w:tcPr>
          <w:p w14:paraId="371238D2" w14:textId="77777777" w:rsidR="005D05AF" w:rsidRPr="00342B5C" w:rsidRDefault="005D05AF" w:rsidP="00DA3AA0">
            <w:pPr>
              <w:spacing w:line="300" w:lineRule="auto"/>
              <w:rPr>
                <w:color w:val="auto"/>
                <w:sz w:val="18"/>
                <w:szCs w:val="18"/>
              </w:rPr>
            </w:pPr>
            <w:r w:rsidRPr="00342B5C">
              <w:rPr>
                <w:color w:val="auto"/>
                <w:sz w:val="18"/>
                <w:szCs w:val="18"/>
              </w:rPr>
              <w:t>9.teacher-student relationships T3</w:t>
            </w:r>
          </w:p>
        </w:tc>
        <w:tc>
          <w:tcPr>
            <w:tcW w:w="322" w:type="pct"/>
            <w:tcBorders>
              <w:bottom w:val="single" w:sz="12" w:space="0" w:color="auto"/>
            </w:tcBorders>
            <w:shd w:val="clear" w:color="auto" w:fill="auto"/>
          </w:tcPr>
          <w:p w14:paraId="511A98E5" w14:textId="77777777" w:rsidR="005D05AF" w:rsidRPr="00342B5C" w:rsidRDefault="005D05AF" w:rsidP="00DA3AA0">
            <w:pPr>
              <w:spacing w:line="300" w:lineRule="auto"/>
              <w:rPr>
                <w:color w:val="auto"/>
                <w:sz w:val="18"/>
                <w:szCs w:val="18"/>
              </w:rPr>
            </w:pPr>
            <w:r w:rsidRPr="00342B5C">
              <w:rPr>
                <w:color w:val="auto"/>
                <w:sz w:val="18"/>
                <w:szCs w:val="18"/>
              </w:rPr>
              <w:t>71.22</w:t>
            </w:r>
          </w:p>
        </w:tc>
        <w:tc>
          <w:tcPr>
            <w:tcW w:w="285" w:type="pct"/>
            <w:tcBorders>
              <w:bottom w:val="single" w:sz="12" w:space="0" w:color="auto"/>
            </w:tcBorders>
            <w:shd w:val="clear" w:color="auto" w:fill="auto"/>
          </w:tcPr>
          <w:p w14:paraId="04686369" w14:textId="77777777" w:rsidR="005D05AF" w:rsidRPr="00342B5C" w:rsidRDefault="005D05AF" w:rsidP="00DA3AA0">
            <w:pPr>
              <w:spacing w:line="300" w:lineRule="auto"/>
              <w:rPr>
                <w:color w:val="auto"/>
                <w:sz w:val="18"/>
                <w:szCs w:val="18"/>
              </w:rPr>
            </w:pPr>
            <w:r w:rsidRPr="00342B5C">
              <w:rPr>
                <w:color w:val="auto"/>
                <w:sz w:val="18"/>
                <w:szCs w:val="18"/>
              </w:rPr>
              <w:t>9.22</w:t>
            </w:r>
          </w:p>
        </w:tc>
        <w:tc>
          <w:tcPr>
            <w:tcW w:w="420" w:type="pct"/>
            <w:tcBorders>
              <w:bottom w:val="single" w:sz="12" w:space="0" w:color="auto"/>
            </w:tcBorders>
            <w:shd w:val="clear" w:color="auto" w:fill="auto"/>
          </w:tcPr>
          <w:p w14:paraId="33BA5AEF" w14:textId="77777777" w:rsidR="005D05AF" w:rsidRPr="00342B5C" w:rsidRDefault="005D05AF" w:rsidP="00DA3AA0">
            <w:pPr>
              <w:spacing w:line="300" w:lineRule="auto"/>
              <w:rPr>
                <w:color w:val="auto"/>
                <w:sz w:val="18"/>
                <w:szCs w:val="18"/>
              </w:rPr>
            </w:pPr>
            <w:r w:rsidRPr="00342B5C">
              <w:rPr>
                <w:color w:val="auto"/>
                <w:sz w:val="18"/>
                <w:szCs w:val="18"/>
              </w:rPr>
              <w:t>-0.17***</w:t>
            </w:r>
          </w:p>
        </w:tc>
        <w:tc>
          <w:tcPr>
            <w:tcW w:w="420" w:type="pct"/>
            <w:tcBorders>
              <w:bottom w:val="single" w:sz="12" w:space="0" w:color="auto"/>
            </w:tcBorders>
            <w:shd w:val="clear" w:color="auto" w:fill="auto"/>
          </w:tcPr>
          <w:p w14:paraId="0F3F479D" w14:textId="77777777" w:rsidR="005D05AF" w:rsidRPr="00342B5C" w:rsidRDefault="005D05AF" w:rsidP="00DA3AA0">
            <w:pPr>
              <w:spacing w:line="300" w:lineRule="auto"/>
              <w:rPr>
                <w:color w:val="auto"/>
                <w:sz w:val="18"/>
                <w:szCs w:val="18"/>
              </w:rPr>
            </w:pPr>
            <w:r w:rsidRPr="00342B5C">
              <w:rPr>
                <w:color w:val="auto"/>
                <w:sz w:val="18"/>
                <w:szCs w:val="18"/>
              </w:rPr>
              <w:t>-0.17***</w:t>
            </w:r>
          </w:p>
        </w:tc>
        <w:tc>
          <w:tcPr>
            <w:tcW w:w="420" w:type="pct"/>
            <w:tcBorders>
              <w:bottom w:val="single" w:sz="12" w:space="0" w:color="auto"/>
            </w:tcBorders>
            <w:shd w:val="clear" w:color="auto" w:fill="auto"/>
          </w:tcPr>
          <w:p w14:paraId="09AAFBC6" w14:textId="77777777" w:rsidR="005D05AF" w:rsidRPr="00342B5C" w:rsidRDefault="005D05AF" w:rsidP="00DA3AA0">
            <w:pPr>
              <w:spacing w:line="300" w:lineRule="auto"/>
              <w:rPr>
                <w:color w:val="auto"/>
                <w:sz w:val="18"/>
                <w:szCs w:val="18"/>
              </w:rPr>
            </w:pPr>
            <w:r w:rsidRPr="00342B5C">
              <w:rPr>
                <w:color w:val="auto"/>
                <w:sz w:val="18"/>
                <w:szCs w:val="18"/>
              </w:rPr>
              <w:t>-0.14***</w:t>
            </w:r>
          </w:p>
        </w:tc>
        <w:tc>
          <w:tcPr>
            <w:tcW w:w="395" w:type="pct"/>
            <w:tcBorders>
              <w:bottom w:val="single" w:sz="12" w:space="0" w:color="auto"/>
            </w:tcBorders>
            <w:shd w:val="clear" w:color="auto" w:fill="auto"/>
          </w:tcPr>
          <w:p w14:paraId="7F899512" w14:textId="77777777" w:rsidR="005D05AF" w:rsidRPr="00342B5C" w:rsidRDefault="005D05AF" w:rsidP="00DA3AA0">
            <w:pPr>
              <w:spacing w:line="300" w:lineRule="auto"/>
              <w:rPr>
                <w:color w:val="auto"/>
                <w:sz w:val="18"/>
                <w:szCs w:val="18"/>
              </w:rPr>
            </w:pPr>
            <w:r w:rsidRPr="00342B5C">
              <w:rPr>
                <w:color w:val="auto"/>
                <w:sz w:val="18"/>
                <w:szCs w:val="18"/>
              </w:rPr>
              <w:t>0.18***</w:t>
            </w:r>
          </w:p>
        </w:tc>
        <w:tc>
          <w:tcPr>
            <w:tcW w:w="395" w:type="pct"/>
            <w:tcBorders>
              <w:bottom w:val="single" w:sz="12" w:space="0" w:color="auto"/>
            </w:tcBorders>
            <w:shd w:val="clear" w:color="auto" w:fill="auto"/>
          </w:tcPr>
          <w:p w14:paraId="5C28D1F1" w14:textId="77777777" w:rsidR="005D05AF" w:rsidRPr="00342B5C" w:rsidRDefault="005D05AF" w:rsidP="00DA3AA0">
            <w:pPr>
              <w:spacing w:line="300" w:lineRule="auto"/>
              <w:rPr>
                <w:color w:val="auto"/>
                <w:sz w:val="18"/>
                <w:szCs w:val="18"/>
              </w:rPr>
            </w:pPr>
            <w:r w:rsidRPr="00342B5C">
              <w:rPr>
                <w:color w:val="auto"/>
                <w:sz w:val="18"/>
                <w:szCs w:val="18"/>
              </w:rPr>
              <w:t>0.26***</w:t>
            </w:r>
          </w:p>
        </w:tc>
        <w:tc>
          <w:tcPr>
            <w:tcW w:w="395" w:type="pct"/>
            <w:tcBorders>
              <w:bottom w:val="single" w:sz="12" w:space="0" w:color="auto"/>
            </w:tcBorders>
            <w:shd w:val="clear" w:color="auto" w:fill="auto"/>
          </w:tcPr>
          <w:p w14:paraId="250AF4E0" w14:textId="77777777" w:rsidR="005D05AF" w:rsidRPr="00342B5C" w:rsidRDefault="005D05AF" w:rsidP="00DA3AA0">
            <w:pPr>
              <w:spacing w:line="300" w:lineRule="auto"/>
              <w:rPr>
                <w:color w:val="auto"/>
                <w:sz w:val="18"/>
                <w:szCs w:val="18"/>
              </w:rPr>
            </w:pPr>
            <w:r w:rsidRPr="00342B5C">
              <w:rPr>
                <w:color w:val="auto"/>
                <w:sz w:val="18"/>
                <w:szCs w:val="18"/>
              </w:rPr>
              <w:t>0.42***</w:t>
            </w:r>
          </w:p>
        </w:tc>
        <w:tc>
          <w:tcPr>
            <w:tcW w:w="395" w:type="pct"/>
            <w:tcBorders>
              <w:bottom w:val="single" w:sz="12" w:space="0" w:color="auto"/>
            </w:tcBorders>
            <w:shd w:val="clear" w:color="auto" w:fill="auto"/>
          </w:tcPr>
          <w:p w14:paraId="3061058D" w14:textId="77777777" w:rsidR="005D05AF" w:rsidRPr="00342B5C" w:rsidRDefault="005D05AF" w:rsidP="00DA3AA0">
            <w:pPr>
              <w:spacing w:line="300" w:lineRule="auto"/>
              <w:rPr>
                <w:color w:val="auto"/>
                <w:sz w:val="18"/>
                <w:szCs w:val="18"/>
              </w:rPr>
            </w:pPr>
            <w:r w:rsidRPr="00342B5C">
              <w:rPr>
                <w:color w:val="auto"/>
                <w:sz w:val="18"/>
                <w:szCs w:val="18"/>
              </w:rPr>
              <w:t>0.36***</w:t>
            </w:r>
          </w:p>
        </w:tc>
        <w:tc>
          <w:tcPr>
            <w:tcW w:w="395" w:type="pct"/>
            <w:tcBorders>
              <w:bottom w:val="single" w:sz="12" w:space="0" w:color="auto"/>
            </w:tcBorders>
            <w:shd w:val="clear" w:color="auto" w:fill="auto"/>
          </w:tcPr>
          <w:p w14:paraId="151EB357" w14:textId="77777777" w:rsidR="005D05AF" w:rsidRPr="00342B5C" w:rsidRDefault="005D05AF" w:rsidP="00DA3AA0">
            <w:pPr>
              <w:spacing w:line="300" w:lineRule="auto"/>
              <w:rPr>
                <w:color w:val="auto"/>
                <w:sz w:val="18"/>
                <w:szCs w:val="18"/>
              </w:rPr>
            </w:pPr>
            <w:r w:rsidRPr="00342B5C">
              <w:rPr>
                <w:color w:val="auto"/>
                <w:sz w:val="18"/>
                <w:szCs w:val="18"/>
              </w:rPr>
              <w:t>0.51***</w:t>
            </w:r>
          </w:p>
        </w:tc>
      </w:tr>
    </w:tbl>
    <w:p w14:paraId="10D61585" w14:textId="538D10D4" w:rsidR="005D05AF" w:rsidRPr="00342B5C" w:rsidRDefault="00112BA8" w:rsidP="00112BA8">
      <w:pPr>
        <w:pStyle w:val="MDPI22heading2"/>
        <w:spacing w:before="240"/>
        <w:rPr>
          <w:color w:val="auto"/>
        </w:rPr>
      </w:pPr>
      <w:r w:rsidRPr="00342B5C">
        <w:rPr>
          <w:color w:val="auto"/>
        </w:rPr>
        <w:t xml:space="preserve">3.2. </w:t>
      </w:r>
      <w:r w:rsidR="005D05AF" w:rsidRPr="00342B5C">
        <w:rPr>
          <w:color w:val="auto"/>
        </w:rPr>
        <w:t>Trajectories of Bullying Victimization, Perceived Control, and Teacher-Student Relationships Development</w:t>
      </w:r>
    </w:p>
    <w:p w14:paraId="00045501" w14:textId="18E151FF" w:rsidR="005D05AF" w:rsidRPr="00B604FA" w:rsidRDefault="005D05AF" w:rsidP="00D776C9">
      <w:pPr>
        <w:pStyle w:val="MDPI31text"/>
        <w:rPr>
          <w:rFonts w:eastAsiaTheme="minorEastAsia"/>
          <w:color w:val="auto"/>
          <w:lang w:eastAsia="zh-CN"/>
        </w:rPr>
      </w:pPr>
      <w:r w:rsidRPr="00342B5C">
        <w:rPr>
          <w:color w:val="auto"/>
        </w:rPr>
        <w:t xml:space="preserve">Unconditional linear growth models for bullying victimization, perceived control, and teacher-student relationships were constructed separately. The results indicate (see Table 2) that the unconditional linear growth model for bullying victimization fits well, </w:t>
      </w:r>
      <w:r w:rsidRPr="00342B5C">
        <w:rPr>
          <w:color w:val="auto"/>
        </w:rPr>
        <w:lastRenderedPageBreak/>
        <w:t xml:space="preserve">indicated by </w:t>
      </w:r>
      <w:r w:rsidRPr="005971E0">
        <w:rPr>
          <w:i/>
          <w:iCs/>
          <w:color w:val="auto"/>
        </w:rPr>
        <w:sym w:font="Symbol" w:char="F063"/>
      </w:r>
      <w:r w:rsidRPr="005971E0">
        <w:rPr>
          <w:i/>
          <w:iCs/>
          <w:color w:val="auto"/>
          <w:vertAlign w:val="superscript"/>
        </w:rPr>
        <w:sym w:font="Symbol" w:char="F032"/>
      </w:r>
      <w:r w:rsidRPr="005971E0">
        <w:rPr>
          <w:i/>
          <w:iCs/>
          <w:color w:val="auto"/>
        </w:rPr>
        <w:t>/</w:t>
      </w:r>
      <w:proofErr w:type="spellStart"/>
      <w:r w:rsidRPr="005971E0">
        <w:rPr>
          <w:i/>
          <w:iCs/>
          <w:color w:val="auto"/>
        </w:rPr>
        <w:t>df</w:t>
      </w:r>
      <w:proofErr w:type="spellEnd"/>
      <w:r w:rsidRPr="00342B5C">
        <w:rPr>
          <w:color w:val="auto"/>
        </w:rPr>
        <w:t xml:space="preserve">=4.37, </w:t>
      </w:r>
      <w:r w:rsidRPr="00342B5C">
        <w:rPr>
          <w:i/>
          <w:iCs/>
          <w:color w:val="auto"/>
        </w:rPr>
        <w:t>p</w:t>
      </w:r>
      <w:r w:rsidRPr="00342B5C">
        <w:rPr>
          <w:color w:val="auto"/>
        </w:rPr>
        <w:t>&lt;0.05, CFI=0.98, TLI=0.92, RMSEA=0.05, SRMR=0.02. The intercept, representing the initial level of bullying victimization, was 21.29 (</w:t>
      </w:r>
      <w:r w:rsidRPr="00342B5C">
        <w:rPr>
          <w:i/>
          <w:color w:val="auto"/>
        </w:rPr>
        <w:t>p</w:t>
      </w:r>
      <w:r w:rsidRPr="00342B5C">
        <w:rPr>
          <w:color w:val="auto"/>
        </w:rPr>
        <w:t>&lt;0.001), with a slope mean of -0.69 (</w:t>
      </w:r>
      <w:r w:rsidRPr="00342B5C">
        <w:rPr>
          <w:i/>
          <w:color w:val="auto"/>
        </w:rPr>
        <w:t>p</w:t>
      </w:r>
      <w:r w:rsidRPr="00342B5C">
        <w:rPr>
          <w:color w:val="auto"/>
        </w:rPr>
        <w:t>&lt;0.001), indicating a significant decreasing trend in bullying victimization among early adolescents over time. The variance of the intercept was 36.4 (</w:t>
      </w:r>
      <w:r w:rsidRPr="00342B5C">
        <w:rPr>
          <w:i/>
          <w:color w:val="auto"/>
        </w:rPr>
        <w:t>p</w:t>
      </w:r>
      <w:r w:rsidRPr="00342B5C">
        <w:rPr>
          <w:color w:val="auto"/>
        </w:rPr>
        <w:t>&lt;0.001), and the variance of the slope was 6.69 (</w:t>
      </w:r>
      <w:r w:rsidRPr="00342B5C">
        <w:rPr>
          <w:i/>
          <w:color w:val="auto"/>
        </w:rPr>
        <w:t>p</w:t>
      </w:r>
      <w:r w:rsidRPr="00342B5C">
        <w:rPr>
          <w:color w:val="auto"/>
        </w:rPr>
        <w:t>&gt;0.05), suggesting individual differences in the initial levels of bullying victimization but not in the rates of development. The correlation between the intercept and slope was not significant (</w:t>
      </w:r>
      <w:r w:rsidRPr="00342B5C">
        <w:rPr>
          <w:i/>
          <w:color w:val="auto"/>
        </w:rPr>
        <w:t xml:space="preserve">r </w:t>
      </w:r>
      <w:r w:rsidRPr="00342B5C">
        <w:rPr>
          <w:color w:val="auto"/>
        </w:rPr>
        <w:t>= -0.15,</w:t>
      </w:r>
      <w:r w:rsidRPr="00342B5C">
        <w:rPr>
          <w:i/>
          <w:color w:val="auto"/>
        </w:rPr>
        <w:t xml:space="preserve"> p</w:t>
      </w:r>
      <w:r w:rsidRPr="00342B5C">
        <w:rPr>
          <w:color w:val="auto"/>
        </w:rPr>
        <w:t>&gt;0.05), indicating that the initial level of bullying victimization was not strongly related to its rate of change.</w:t>
      </w:r>
      <w:r w:rsidR="00B604FA">
        <w:rPr>
          <w:rFonts w:eastAsiaTheme="minorEastAsia" w:hint="eastAsia"/>
          <w:color w:val="auto"/>
          <w:lang w:eastAsia="zh-CN"/>
        </w:rPr>
        <w:t xml:space="preserve"> </w:t>
      </w:r>
      <w:r w:rsidR="00B604FA" w:rsidRPr="00151D1A">
        <w:rPr>
          <w:rFonts w:eastAsiaTheme="minorEastAsia"/>
          <w:color w:val="auto"/>
          <w:highlight w:val="yellow"/>
          <w:lang w:eastAsia="zh-CN"/>
        </w:rPr>
        <w:t>After incorporating the control variables, the model fit remains satisfactory</w:t>
      </w:r>
      <w:r w:rsidR="00B604FA" w:rsidRPr="00151D1A">
        <w:rPr>
          <w:rFonts w:eastAsiaTheme="minorEastAsia" w:hint="eastAsia"/>
          <w:color w:val="auto"/>
          <w:highlight w:val="yellow"/>
          <w:lang w:eastAsia="zh-CN"/>
        </w:rPr>
        <w:t xml:space="preserve">, with </w:t>
      </w:r>
      <w:r w:rsidR="00B604FA" w:rsidRPr="005971E0">
        <w:rPr>
          <w:i/>
          <w:iCs/>
          <w:color w:val="auto"/>
          <w:highlight w:val="yellow"/>
        </w:rPr>
        <w:sym w:font="Symbol" w:char="F063"/>
      </w:r>
      <w:r w:rsidR="00B604FA" w:rsidRPr="005971E0">
        <w:rPr>
          <w:i/>
          <w:iCs/>
          <w:color w:val="auto"/>
          <w:highlight w:val="yellow"/>
          <w:vertAlign w:val="superscript"/>
        </w:rPr>
        <w:sym w:font="Symbol" w:char="F032"/>
      </w:r>
      <w:r w:rsidR="00B604FA" w:rsidRPr="005971E0">
        <w:rPr>
          <w:i/>
          <w:iCs/>
          <w:color w:val="auto"/>
          <w:highlight w:val="yellow"/>
        </w:rPr>
        <w:t>/</w:t>
      </w:r>
      <w:proofErr w:type="spellStart"/>
      <w:r w:rsidR="00B604FA" w:rsidRPr="005971E0">
        <w:rPr>
          <w:i/>
          <w:iCs/>
          <w:color w:val="auto"/>
          <w:highlight w:val="yellow"/>
        </w:rPr>
        <w:t>df</w:t>
      </w:r>
      <w:proofErr w:type="spellEnd"/>
      <w:r w:rsidR="00B604FA" w:rsidRPr="00151D1A">
        <w:rPr>
          <w:color w:val="auto"/>
          <w:highlight w:val="yellow"/>
        </w:rPr>
        <w:t>=</w:t>
      </w:r>
      <w:r w:rsidR="00B604FA" w:rsidRPr="00151D1A">
        <w:rPr>
          <w:rFonts w:eastAsiaTheme="minorEastAsia" w:hint="eastAsia"/>
          <w:color w:val="auto"/>
          <w:highlight w:val="yellow"/>
          <w:lang w:eastAsia="zh-CN"/>
        </w:rPr>
        <w:t>2.16</w:t>
      </w:r>
      <w:r w:rsidR="00B604FA" w:rsidRPr="00151D1A">
        <w:rPr>
          <w:color w:val="auto"/>
          <w:highlight w:val="yellow"/>
        </w:rPr>
        <w:t xml:space="preserve">, </w:t>
      </w:r>
      <w:r w:rsidR="00B604FA" w:rsidRPr="00151D1A">
        <w:rPr>
          <w:i/>
          <w:iCs/>
          <w:color w:val="auto"/>
          <w:highlight w:val="yellow"/>
        </w:rPr>
        <w:t>p</w:t>
      </w:r>
      <w:r w:rsidR="00B604FA" w:rsidRPr="00151D1A">
        <w:rPr>
          <w:rFonts w:eastAsiaTheme="minorEastAsia" w:hint="eastAsia"/>
          <w:color w:val="auto"/>
          <w:highlight w:val="yellow"/>
          <w:lang w:eastAsia="zh-CN"/>
        </w:rPr>
        <w:t>=0.12</w:t>
      </w:r>
      <w:r w:rsidR="00B604FA" w:rsidRPr="00151D1A">
        <w:rPr>
          <w:color w:val="auto"/>
          <w:highlight w:val="yellow"/>
        </w:rPr>
        <w:t>, CFI=0.9</w:t>
      </w:r>
      <w:r w:rsidR="00B604FA" w:rsidRPr="00151D1A">
        <w:rPr>
          <w:rFonts w:eastAsiaTheme="minorEastAsia" w:hint="eastAsia"/>
          <w:color w:val="auto"/>
          <w:highlight w:val="yellow"/>
          <w:lang w:eastAsia="zh-CN"/>
        </w:rPr>
        <w:t>7</w:t>
      </w:r>
      <w:r w:rsidR="00B604FA" w:rsidRPr="00151D1A">
        <w:rPr>
          <w:color w:val="auto"/>
          <w:highlight w:val="yellow"/>
        </w:rPr>
        <w:t>, TLI=0.92, RMSEA=0.0</w:t>
      </w:r>
      <w:r w:rsidR="00B604FA" w:rsidRPr="00151D1A">
        <w:rPr>
          <w:rFonts w:eastAsiaTheme="minorEastAsia" w:hint="eastAsia"/>
          <w:color w:val="auto"/>
          <w:highlight w:val="yellow"/>
          <w:lang w:eastAsia="zh-CN"/>
        </w:rPr>
        <w:t>3</w:t>
      </w:r>
      <w:r w:rsidR="00B604FA" w:rsidRPr="00151D1A">
        <w:rPr>
          <w:color w:val="auto"/>
          <w:highlight w:val="yellow"/>
        </w:rPr>
        <w:t>, SRMR=0.0</w:t>
      </w:r>
      <w:r w:rsidR="00B604FA" w:rsidRPr="00151D1A">
        <w:rPr>
          <w:rFonts w:eastAsiaTheme="minorEastAsia" w:hint="eastAsia"/>
          <w:color w:val="auto"/>
          <w:highlight w:val="yellow"/>
          <w:lang w:eastAsia="zh-CN"/>
        </w:rPr>
        <w:t>8</w:t>
      </w:r>
      <w:r w:rsidR="00B604FA" w:rsidRPr="00151D1A">
        <w:rPr>
          <w:rFonts w:eastAsiaTheme="minorEastAsia"/>
          <w:color w:val="auto"/>
          <w:highlight w:val="yellow"/>
          <w:lang w:eastAsia="zh-CN"/>
        </w:rPr>
        <w:t>.</w:t>
      </w:r>
      <w:r w:rsidR="00B604FA" w:rsidRPr="00151D1A">
        <w:rPr>
          <w:rFonts w:eastAsiaTheme="minorEastAsia" w:hint="eastAsia"/>
          <w:color w:val="auto"/>
          <w:highlight w:val="yellow"/>
          <w:lang w:eastAsia="zh-CN"/>
        </w:rPr>
        <w:t xml:space="preserve"> </w:t>
      </w:r>
      <w:r w:rsidR="00D776C9" w:rsidRPr="00151D1A">
        <w:rPr>
          <w:rFonts w:eastAsiaTheme="minorEastAsia"/>
          <w:color w:val="auto"/>
          <w:highlight w:val="yellow"/>
          <w:lang w:eastAsia="zh-CN"/>
        </w:rPr>
        <w:t xml:space="preserve">Gender had no statistically significant effect on the intercept of bullying victimization (β=0.014, </w:t>
      </w:r>
      <w:r w:rsidR="00D776C9" w:rsidRPr="00151D1A">
        <w:rPr>
          <w:rFonts w:eastAsiaTheme="minorEastAsia"/>
          <w:i/>
          <w:iCs/>
          <w:color w:val="auto"/>
          <w:highlight w:val="yellow"/>
          <w:lang w:eastAsia="zh-CN"/>
        </w:rPr>
        <w:t>p</w:t>
      </w:r>
      <w:r w:rsidR="00D776C9" w:rsidRPr="00151D1A">
        <w:rPr>
          <w:rFonts w:eastAsiaTheme="minorEastAsia"/>
          <w:color w:val="auto"/>
          <w:highlight w:val="yellow"/>
          <w:lang w:eastAsia="zh-CN"/>
        </w:rPr>
        <w:t>=0.7</w:t>
      </w:r>
      <w:r w:rsidR="00D776C9" w:rsidRPr="00151D1A">
        <w:rPr>
          <w:rFonts w:eastAsiaTheme="minorEastAsia" w:hint="eastAsia"/>
          <w:color w:val="auto"/>
          <w:highlight w:val="yellow"/>
          <w:lang w:eastAsia="zh-CN"/>
        </w:rPr>
        <w:t>6</w:t>
      </w:r>
      <w:r w:rsidR="00D776C9" w:rsidRPr="00151D1A">
        <w:rPr>
          <w:rFonts w:eastAsiaTheme="minorEastAsia"/>
          <w:color w:val="auto"/>
          <w:highlight w:val="yellow"/>
          <w:lang w:eastAsia="zh-CN"/>
        </w:rPr>
        <w:t>).</w:t>
      </w:r>
      <w:r w:rsidR="00D776C9" w:rsidRPr="00151D1A">
        <w:rPr>
          <w:rFonts w:eastAsiaTheme="minorEastAsia" w:hint="eastAsia"/>
          <w:color w:val="auto"/>
          <w:highlight w:val="yellow"/>
          <w:lang w:eastAsia="zh-CN"/>
        </w:rPr>
        <w:t xml:space="preserve"> </w:t>
      </w:r>
      <w:r w:rsidR="00D776C9" w:rsidRPr="00151D1A">
        <w:rPr>
          <w:rFonts w:eastAsiaTheme="minorEastAsia"/>
          <w:color w:val="auto"/>
          <w:highlight w:val="yellow"/>
          <w:lang w:eastAsia="zh-CN"/>
        </w:rPr>
        <w:t xml:space="preserve">Gender had a significant positive effect on the slope of bullying victimization (β=0.130, </w:t>
      </w:r>
      <w:r w:rsidR="00D776C9" w:rsidRPr="00151D1A">
        <w:rPr>
          <w:rFonts w:eastAsiaTheme="minorEastAsia"/>
          <w:i/>
          <w:iCs/>
          <w:color w:val="auto"/>
          <w:highlight w:val="yellow"/>
          <w:lang w:eastAsia="zh-CN"/>
        </w:rPr>
        <w:t>p</w:t>
      </w:r>
      <w:r w:rsidR="00D776C9" w:rsidRPr="00151D1A">
        <w:rPr>
          <w:rFonts w:eastAsiaTheme="minorEastAsia"/>
          <w:color w:val="auto"/>
          <w:highlight w:val="yellow"/>
          <w:lang w:eastAsia="zh-CN"/>
        </w:rPr>
        <w:t xml:space="preserve">&lt;0.001), </w:t>
      </w:r>
      <w:r w:rsidR="00151D1A" w:rsidRPr="00151D1A">
        <w:rPr>
          <w:rFonts w:eastAsiaTheme="minorEastAsia"/>
          <w:color w:val="auto"/>
          <w:highlight w:val="yellow"/>
          <w:lang w:eastAsia="zh-CN"/>
        </w:rPr>
        <w:t>suggesting that females experience a higher rate of decrease in bullying victimization compared to males.</w:t>
      </w:r>
    </w:p>
    <w:p w14:paraId="413DB7FE" w14:textId="6075B0DD" w:rsidR="005D05AF" w:rsidRPr="00151D1A" w:rsidRDefault="005D05AF" w:rsidP="00997EE6">
      <w:pPr>
        <w:pStyle w:val="MDPI31text"/>
        <w:rPr>
          <w:rFonts w:eastAsiaTheme="minorEastAsia"/>
          <w:color w:val="auto"/>
          <w:lang w:eastAsia="zh-CN"/>
        </w:rPr>
      </w:pPr>
      <w:r w:rsidRPr="00342B5C">
        <w:rPr>
          <w:color w:val="auto"/>
        </w:rPr>
        <w:t>The unconditional linear growth model for perceived control also demonstrated a good fit, with</w:t>
      </w:r>
      <w:r w:rsidRPr="005971E0">
        <w:rPr>
          <w:i/>
          <w:iCs/>
          <w:color w:val="auto"/>
        </w:rPr>
        <w:t xml:space="preserve"> </w:t>
      </w:r>
      <w:r w:rsidRPr="005971E0">
        <w:rPr>
          <w:i/>
          <w:iCs/>
          <w:color w:val="auto"/>
          <w:highlight w:val="yellow"/>
        </w:rPr>
        <w:sym w:font="Symbol" w:char="F063"/>
      </w:r>
      <w:r w:rsidRPr="005971E0">
        <w:rPr>
          <w:i/>
          <w:iCs/>
          <w:color w:val="auto"/>
          <w:highlight w:val="yellow"/>
          <w:vertAlign w:val="superscript"/>
        </w:rPr>
        <w:sym w:font="Symbol" w:char="F032"/>
      </w:r>
      <w:r w:rsidRPr="005971E0">
        <w:rPr>
          <w:i/>
          <w:iCs/>
          <w:color w:val="auto"/>
          <w:highlight w:val="yellow"/>
        </w:rPr>
        <w:t>/</w:t>
      </w:r>
      <w:proofErr w:type="spellStart"/>
      <w:r w:rsidRPr="005971E0">
        <w:rPr>
          <w:i/>
          <w:iCs/>
          <w:color w:val="auto"/>
          <w:highlight w:val="yellow"/>
        </w:rPr>
        <w:t>df</w:t>
      </w:r>
      <w:proofErr w:type="spellEnd"/>
      <w:r w:rsidRPr="00997EE6">
        <w:rPr>
          <w:color w:val="auto"/>
          <w:highlight w:val="yellow"/>
        </w:rPr>
        <w:t>=</w:t>
      </w:r>
      <w:r w:rsidR="00997EE6" w:rsidRPr="00997EE6">
        <w:rPr>
          <w:rFonts w:eastAsiaTheme="minorEastAsia" w:hint="eastAsia"/>
          <w:color w:val="auto"/>
          <w:highlight w:val="yellow"/>
          <w:lang w:eastAsia="zh-CN"/>
        </w:rPr>
        <w:t>0.81</w:t>
      </w:r>
      <w:r w:rsidRPr="00997EE6">
        <w:rPr>
          <w:color w:val="auto"/>
          <w:highlight w:val="yellow"/>
        </w:rPr>
        <w:t xml:space="preserve">, </w:t>
      </w:r>
      <w:r w:rsidRPr="00997EE6">
        <w:rPr>
          <w:i/>
          <w:iCs/>
          <w:color w:val="auto"/>
          <w:highlight w:val="yellow"/>
        </w:rPr>
        <w:t>p</w:t>
      </w:r>
      <w:r w:rsidR="00997EE6" w:rsidRPr="00997EE6">
        <w:rPr>
          <w:rFonts w:eastAsiaTheme="minorEastAsia" w:hint="eastAsia"/>
          <w:color w:val="auto"/>
          <w:highlight w:val="yellow"/>
          <w:lang w:eastAsia="zh-CN"/>
        </w:rPr>
        <w:t>=0.37</w:t>
      </w:r>
      <w:r w:rsidRPr="00997EE6">
        <w:rPr>
          <w:color w:val="auto"/>
          <w:highlight w:val="yellow"/>
        </w:rPr>
        <w:t>,</w:t>
      </w:r>
      <w:r w:rsidRPr="00342B5C">
        <w:rPr>
          <w:color w:val="auto"/>
        </w:rPr>
        <w:t xml:space="preserve"> CFI=1.00, TLI=1.00, RMSEA&lt;0.01, SRMR=0.01. The intercept for perceived control, representing the initial level, was 54.73 (</w:t>
      </w:r>
      <w:r w:rsidRPr="00342B5C">
        <w:rPr>
          <w:i/>
          <w:color w:val="auto"/>
        </w:rPr>
        <w:t>p</w:t>
      </w:r>
      <w:r w:rsidRPr="00342B5C">
        <w:rPr>
          <w:color w:val="auto"/>
        </w:rPr>
        <w:t>&lt;0.001), with a slope mean of 0.57 (</w:t>
      </w:r>
      <w:r w:rsidRPr="00342B5C">
        <w:rPr>
          <w:i/>
          <w:color w:val="auto"/>
        </w:rPr>
        <w:t>p</w:t>
      </w:r>
      <w:r w:rsidRPr="00342B5C">
        <w:rPr>
          <w:color w:val="auto"/>
        </w:rPr>
        <w:t>&lt;0.001), indicating that early adolescents’ perceived control started from a high level and significantly increased over time. The variance of the intercept was 47.86 (</w:t>
      </w:r>
      <w:r w:rsidRPr="00342B5C">
        <w:rPr>
          <w:i/>
          <w:color w:val="auto"/>
        </w:rPr>
        <w:t>p</w:t>
      </w:r>
      <w:r w:rsidRPr="00342B5C">
        <w:rPr>
          <w:color w:val="auto"/>
        </w:rPr>
        <w:t>&lt;0.001), and the variance of the slope was 15.68 (</w:t>
      </w:r>
      <w:r w:rsidRPr="00342B5C">
        <w:rPr>
          <w:i/>
          <w:color w:val="auto"/>
        </w:rPr>
        <w:t>p</w:t>
      </w:r>
      <w:r w:rsidRPr="00342B5C">
        <w:rPr>
          <w:color w:val="auto"/>
        </w:rPr>
        <w:t>&lt;0.001), indicating individual differences in both the initial levels and the rates of development for perceived control. The correlation between the intercept and slope was not significant (</w:t>
      </w:r>
      <w:r w:rsidRPr="00342B5C">
        <w:rPr>
          <w:i/>
          <w:color w:val="auto"/>
        </w:rPr>
        <w:t xml:space="preserve">r </w:t>
      </w:r>
      <w:r w:rsidRPr="00342B5C">
        <w:rPr>
          <w:color w:val="auto"/>
        </w:rPr>
        <w:t xml:space="preserve">= -0.26, </w:t>
      </w:r>
      <w:r w:rsidRPr="00342B5C">
        <w:rPr>
          <w:i/>
          <w:color w:val="auto"/>
        </w:rPr>
        <w:t>p</w:t>
      </w:r>
      <w:r w:rsidRPr="00342B5C">
        <w:rPr>
          <w:color w:val="auto"/>
        </w:rPr>
        <w:t>&gt;0.05), indicating that the initial level of perceived control was not strongly related to its rate of change.</w:t>
      </w:r>
      <w:r w:rsidR="00151D1A" w:rsidRPr="00151D1A">
        <w:rPr>
          <w:rFonts w:eastAsiaTheme="minorEastAsia"/>
          <w:color w:val="auto"/>
          <w:highlight w:val="yellow"/>
          <w:lang w:eastAsia="zh-CN"/>
        </w:rPr>
        <w:t xml:space="preserve"> </w:t>
      </w:r>
      <w:r w:rsidR="00151D1A" w:rsidRPr="00997EE6">
        <w:rPr>
          <w:rFonts w:eastAsiaTheme="minorEastAsia"/>
          <w:color w:val="auto"/>
          <w:highlight w:val="yellow"/>
          <w:lang w:eastAsia="zh-CN"/>
        </w:rPr>
        <w:t>After incorporating the control variables, the model fit remains satisfactory</w:t>
      </w:r>
      <w:r w:rsidR="00151D1A" w:rsidRPr="00997EE6">
        <w:rPr>
          <w:rFonts w:eastAsiaTheme="minorEastAsia" w:hint="eastAsia"/>
          <w:color w:val="auto"/>
          <w:highlight w:val="yellow"/>
          <w:lang w:eastAsia="zh-CN"/>
        </w:rPr>
        <w:t>,</w:t>
      </w:r>
      <w:r w:rsidR="00576C6B">
        <w:rPr>
          <w:rFonts w:eastAsiaTheme="minorEastAsia" w:hint="eastAsia"/>
          <w:color w:val="auto"/>
          <w:highlight w:val="yellow"/>
          <w:lang w:eastAsia="zh-CN"/>
        </w:rPr>
        <w:t xml:space="preserve"> </w:t>
      </w:r>
      <w:r w:rsidR="00151D1A" w:rsidRPr="00997EE6">
        <w:rPr>
          <w:rFonts w:eastAsiaTheme="minorEastAsia" w:hint="eastAsia"/>
          <w:color w:val="auto"/>
          <w:highlight w:val="yellow"/>
          <w:lang w:eastAsia="zh-CN"/>
        </w:rPr>
        <w:t xml:space="preserve">with </w:t>
      </w:r>
      <w:r w:rsidR="00151D1A" w:rsidRPr="005971E0">
        <w:rPr>
          <w:i/>
          <w:iCs/>
          <w:color w:val="auto"/>
          <w:highlight w:val="yellow"/>
        </w:rPr>
        <w:sym w:font="Symbol" w:char="F063"/>
      </w:r>
      <w:r w:rsidR="00151D1A" w:rsidRPr="005971E0">
        <w:rPr>
          <w:i/>
          <w:iCs/>
          <w:color w:val="auto"/>
          <w:highlight w:val="yellow"/>
          <w:vertAlign w:val="superscript"/>
        </w:rPr>
        <w:sym w:font="Symbol" w:char="F032"/>
      </w:r>
      <w:r w:rsidR="00151D1A" w:rsidRPr="005971E0">
        <w:rPr>
          <w:i/>
          <w:iCs/>
          <w:color w:val="auto"/>
          <w:highlight w:val="yellow"/>
        </w:rPr>
        <w:t>/</w:t>
      </w:r>
      <w:proofErr w:type="spellStart"/>
      <w:r w:rsidR="00151D1A" w:rsidRPr="005971E0">
        <w:rPr>
          <w:i/>
          <w:iCs/>
          <w:color w:val="auto"/>
          <w:highlight w:val="yellow"/>
        </w:rPr>
        <w:t>df</w:t>
      </w:r>
      <w:proofErr w:type="spellEnd"/>
      <w:r w:rsidR="00151D1A" w:rsidRPr="00997EE6">
        <w:rPr>
          <w:color w:val="auto"/>
          <w:highlight w:val="yellow"/>
        </w:rPr>
        <w:t>=</w:t>
      </w:r>
      <w:r w:rsidR="00151D1A" w:rsidRPr="00997EE6">
        <w:rPr>
          <w:rFonts w:eastAsiaTheme="minorEastAsia" w:hint="eastAsia"/>
          <w:color w:val="auto"/>
          <w:highlight w:val="yellow"/>
          <w:lang w:eastAsia="zh-CN"/>
        </w:rPr>
        <w:t>1.97</w:t>
      </w:r>
      <w:r w:rsidR="00151D1A" w:rsidRPr="00997EE6">
        <w:rPr>
          <w:color w:val="auto"/>
          <w:highlight w:val="yellow"/>
        </w:rPr>
        <w:t xml:space="preserve">, </w:t>
      </w:r>
      <w:r w:rsidR="00151D1A" w:rsidRPr="00997EE6">
        <w:rPr>
          <w:i/>
          <w:iCs/>
          <w:color w:val="auto"/>
          <w:highlight w:val="yellow"/>
        </w:rPr>
        <w:t>p</w:t>
      </w:r>
      <w:r w:rsidR="00151D1A" w:rsidRPr="00997EE6">
        <w:rPr>
          <w:rFonts w:eastAsiaTheme="minorEastAsia" w:hint="eastAsia"/>
          <w:color w:val="auto"/>
          <w:highlight w:val="yellow"/>
          <w:lang w:eastAsia="zh-CN"/>
        </w:rPr>
        <w:t>=0.14</w:t>
      </w:r>
      <w:r w:rsidR="00151D1A" w:rsidRPr="00997EE6">
        <w:rPr>
          <w:color w:val="auto"/>
          <w:highlight w:val="yellow"/>
        </w:rPr>
        <w:t>, CFI=0.9</w:t>
      </w:r>
      <w:r w:rsidR="00151D1A" w:rsidRPr="00997EE6">
        <w:rPr>
          <w:rFonts w:eastAsiaTheme="minorEastAsia" w:hint="eastAsia"/>
          <w:color w:val="auto"/>
          <w:highlight w:val="yellow"/>
          <w:lang w:eastAsia="zh-CN"/>
        </w:rPr>
        <w:t>8</w:t>
      </w:r>
      <w:r w:rsidR="00151D1A" w:rsidRPr="00997EE6">
        <w:rPr>
          <w:color w:val="auto"/>
          <w:highlight w:val="yellow"/>
        </w:rPr>
        <w:t>, TLI=0.9</w:t>
      </w:r>
      <w:r w:rsidR="00151D1A" w:rsidRPr="00997EE6">
        <w:rPr>
          <w:rFonts w:eastAsiaTheme="minorEastAsia" w:hint="eastAsia"/>
          <w:color w:val="auto"/>
          <w:highlight w:val="yellow"/>
          <w:lang w:eastAsia="zh-CN"/>
        </w:rPr>
        <w:t>3</w:t>
      </w:r>
      <w:r w:rsidR="00151D1A" w:rsidRPr="00997EE6">
        <w:rPr>
          <w:color w:val="auto"/>
          <w:highlight w:val="yellow"/>
        </w:rPr>
        <w:t>, RMSEA=0.0</w:t>
      </w:r>
      <w:r w:rsidR="00151D1A" w:rsidRPr="00997EE6">
        <w:rPr>
          <w:rFonts w:eastAsiaTheme="minorEastAsia" w:hint="eastAsia"/>
          <w:color w:val="auto"/>
          <w:highlight w:val="yellow"/>
          <w:lang w:eastAsia="zh-CN"/>
        </w:rPr>
        <w:t>3</w:t>
      </w:r>
      <w:r w:rsidR="00151D1A" w:rsidRPr="00997EE6">
        <w:rPr>
          <w:color w:val="auto"/>
          <w:highlight w:val="yellow"/>
        </w:rPr>
        <w:t>, SRMR=0.0</w:t>
      </w:r>
      <w:r w:rsidR="00151D1A" w:rsidRPr="00997EE6">
        <w:rPr>
          <w:rFonts w:eastAsiaTheme="minorEastAsia" w:hint="eastAsia"/>
          <w:color w:val="auto"/>
          <w:highlight w:val="yellow"/>
          <w:lang w:eastAsia="zh-CN"/>
        </w:rPr>
        <w:t>5</w:t>
      </w:r>
      <w:r w:rsidR="00151D1A" w:rsidRPr="00997EE6">
        <w:rPr>
          <w:rFonts w:eastAsiaTheme="minorEastAsia"/>
          <w:color w:val="auto"/>
          <w:highlight w:val="yellow"/>
          <w:lang w:eastAsia="zh-CN"/>
        </w:rPr>
        <w:t>.</w:t>
      </w:r>
      <w:r w:rsidR="00151D1A" w:rsidRPr="00997EE6">
        <w:rPr>
          <w:rFonts w:eastAsiaTheme="minorEastAsia" w:hint="eastAsia"/>
          <w:color w:val="auto"/>
          <w:highlight w:val="yellow"/>
          <w:lang w:eastAsia="zh-CN"/>
        </w:rPr>
        <w:t xml:space="preserve"> </w:t>
      </w:r>
      <w:r w:rsidR="00997EE6" w:rsidRPr="00997EE6">
        <w:rPr>
          <w:rFonts w:eastAsiaTheme="minorEastAsia"/>
          <w:color w:val="auto"/>
          <w:highlight w:val="yellow"/>
          <w:lang w:eastAsia="zh-CN"/>
        </w:rPr>
        <w:t>Gender had a significant negative effect on the intercept of perceived control (β=-0.2</w:t>
      </w:r>
      <w:r w:rsidR="00997EE6" w:rsidRPr="00997EE6">
        <w:rPr>
          <w:rFonts w:eastAsiaTheme="minorEastAsia" w:hint="eastAsia"/>
          <w:color w:val="auto"/>
          <w:highlight w:val="yellow"/>
          <w:lang w:eastAsia="zh-CN"/>
        </w:rPr>
        <w:t>4</w:t>
      </w:r>
      <w:r w:rsidR="00997EE6" w:rsidRPr="00997EE6">
        <w:rPr>
          <w:rFonts w:eastAsiaTheme="minorEastAsia"/>
          <w:color w:val="auto"/>
          <w:highlight w:val="yellow"/>
          <w:lang w:eastAsia="zh-CN"/>
        </w:rPr>
        <w:t xml:space="preserve">, </w:t>
      </w:r>
      <w:r w:rsidR="00997EE6" w:rsidRPr="00997EE6">
        <w:rPr>
          <w:rFonts w:eastAsiaTheme="minorEastAsia"/>
          <w:i/>
          <w:iCs/>
          <w:color w:val="auto"/>
          <w:highlight w:val="yellow"/>
          <w:lang w:eastAsia="zh-CN"/>
        </w:rPr>
        <w:t>p</w:t>
      </w:r>
      <w:r w:rsidR="00997EE6" w:rsidRPr="00997EE6">
        <w:rPr>
          <w:rFonts w:eastAsiaTheme="minorEastAsia"/>
          <w:color w:val="auto"/>
          <w:highlight w:val="yellow"/>
          <w:lang w:eastAsia="zh-CN"/>
        </w:rPr>
        <w:t>&lt;0.001), indicating that females have a lower initial level of perceived control compared to males.</w:t>
      </w:r>
      <w:r w:rsidR="00997EE6" w:rsidRPr="00997EE6">
        <w:rPr>
          <w:rFonts w:eastAsiaTheme="minorEastAsia" w:hint="eastAsia"/>
          <w:color w:val="auto"/>
          <w:highlight w:val="yellow"/>
          <w:lang w:eastAsia="zh-CN"/>
        </w:rPr>
        <w:t xml:space="preserve"> </w:t>
      </w:r>
      <w:r w:rsidR="00997EE6" w:rsidRPr="00997EE6">
        <w:rPr>
          <w:rFonts w:eastAsiaTheme="minorEastAsia"/>
          <w:color w:val="auto"/>
          <w:highlight w:val="yellow"/>
          <w:lang w:eastAsia="zh-CN"/>
        </w:rPr>
        <w:t>Gender had a significant positive effect on the slope of perceived control (β=0.1</w:t>
      </w:r>
      <w:r w:rsidR="00997EE6" w:rsidRPr="00997EE6">
        <w:rPr>
          <w:rFonts w:eastAsiaTheme="minorEastAsia" w:hint="eastAsia"/>
          <w:color w:val="auto"/>
          <w:highlight w:val="yellow"/>
          <w:lang w:eastAsia="zh-CN"/>
        </w:rPr>
        <w:t>2</w:t>
      </w:r>
      <w:r w:rsidR="00997EE6" w:rsidRPr="00997EE6">
        <w:rPr>
          <w:rFonts w:eastAsiaTheme="minorEastAsia"/>
          <w:color w:val="auto"/>
          <w:highlight w:val="yellow"/>
          <w:lang w:eastAsia="zh-CN"/>
        </w:rPr>
        <w:t xml:space="preserve">, </w:t>
      </w:r>
      <w:r w:rsidR="00997EE6" w:rsidRPr="00997EE6">
        <w:rPr>
          <w:rFonts w:eastAsiaTheme="minorEastAsia"/>
          <w:i/>
          <w:iCs/>
          <w:color w:val="auto"/>
          <w:highlight w:val="yellow"/>
          <w:lang w:eastAsia="zh-CN"/>
        </w:rPr>
        <w:t>p</w:t>
      </w:r>
      <w:r w:rsidR="00997EE6" w:rsidRPr="00997EE6">
        <w:rPr>
          <w:rFonts w:eastAsiaTheme="minorEastAsia"/>
          <w:color w:val="auto"/>
          <w:highlight w:val="yellow"/>
          <w:lang w:eastAsia="zh-CN"/>
        </w:rPr>
        <w:t>&lt;0.001), suggesting that females have a higher rate of increase in perceived control compared to males.</w:t>
      </w:r>
    </w:p>
    <w:p w14:paraId="77C860B1" w14:textId="6F4E1C12" w:rsidR="005D05AF" w:rsidRPr="00342B5C" w:rsidRDefault="005D05AF" w:rsidP="00112BA8">
      <w:pPr>
        <w:pStyle w:val="MDPI31text"/>
        <w:rPr>
          <w:color w:val="auto"/>
        </w:rPr>
      </w:pPr>
      <w:r w:rsidRPr="00342B5C">
        <w:rPr>
          <w:color w:val="auto"/>
        </w:rPr>
        <w:t xml:space="preserve">The unconditional linear growth model for teacher-student relationships also fitted well, with </w:t>
      </w:r>
      <w:r w:rsidRPr="005971E0">
        <w:rPr>
          <w:i/>
          <w:iCs/>
          <w:color w:val="auto"/>
          <w:highlight w:val="yellow"/>
        </w:rPr>
        <w:sym w:font="Symbol" w:char="F063"/>
      </w:r>
      <w:r w:rsidRPr="005971E0">
        <w:rPr>
          <w:i/>
          <w:iCs/>
          <w:color w:val="auto"/>
          <w:highlight w:val="yellow"/>
          <w:vertAlign w:val="superscript"/>
        </w:rPr>
        <w:sym w:font="Symbol" w:char="F032"/>
      </w:r>
      <w:r w:rsidRPr="005971E0">
        <w:rPr>
          <w:i/>
          <w:iCs/>
          <w:color w:val="auto"/>
          <w:highlight w:val="yellow"/>
        </w:rPr>
        <w:t>/</w:t>
      </w:r>
      <w:proofErr w:type="spellStart"/>
      <w:r w:rsidRPr="005971E0">
        <w:rPr>
          <w:i/>
          <w:iCs/>
          <w:color w:val="auto"/>
          <w:highlight w:val="yellow"/>
        </w:rPr>
        <w:t>df</w:t>
      </w:r>
      <w:proofErr w:type="spellEnd"/>
      <w:r w:rsidRPr="00997EE6">
        <w:rPr>
          <w:color w:val="auto"/>
          <w:highlight w:val="yellow"/>
        </w:rPr>
        <w:t>=</w:t>
      </w:r>
      <w:r w:rsidR="00997EE6" w:rsidRPr="00997EE6">
        <w:rPr>
          <w:rFonts w:eastAsiaTheme="minorEastAsia" w:hint="eastAsia"/>
          <w:color w:val="auto"/>
          <w:highlight w:val="yellow"/>
          <w:lang w:eastAsia="zh-CN"/>
        </w:rPr>
        <w:t>6.16</w:t>
      </w:r>
      <w:r w:rsidRPr="00997EE6">
        <w:rPr>
          <w:color w:val="auto"/>
          <w:highlight w:val="yellow"/>
        </w:rPr>
        <w:t xml:space="preserve">, </w:t>
      </w:r>
      <w:r w:rsidRPr="00997EE6">
        <w:rPr>
          <w:i/>
          <w:iCs/>
          <w:color w:val="auto"/>
          <w:highlight w:val="yellow"/>
        </w:rPr>
        <w:t>p</w:t>
      </w:r>
      <w:r w:rsidR="00997EE6" w:rsidRPr="00997EE6">
        <w:rPr>
          <w:color w:val="auto"/>
          <w:highlight w:val="yellow"/>
        </w:rPr>
        <w:t>&lt;</w:t>
      </w:r>
      <w:r w:rsidRPr="00997EE6">
        <w:rPr>
          <w:color w:val="auto"/>
          <w:highlight w:val="yellow"/>
        </w:rPr>
        <w:t>0.05,</w:t>
      </w:r>
      <w:r w:rsidRPr="00342B5C">
        <w:rPr>
          <w:color w:val="auto"/>
        </w:rPr>
        <w:t xml:space="preserve"> CFI=0.98, TLI=0.95, RMSEA=0.07, SRMR=0.02. The intercept for teacher-student relationships, indicating the initial level, was 68.98 (</w:t>
      </w:r>
      <w:r w:rsidRPr="00342B5C">
        <w:rPr>
          <w:i/>
          <w:color w:val="auto"/>
        </w:rPr>
        <w:t>p</w:t>
      </w:r>
      <w:r w:rsidRPr="00342B5C">
        <w:rPr>
          <w:color w:val="auto"/>
        </w:rPr>
        <w:t>&lt;0.001), with a slope mean of 0.98 (</w:t>
      </w:r>
      <w:r w:rsidRPr="00342B5C">
        <w:rPr>
          <w:i/>
          <w:color w:val="auto"/>
        </w:rPr>
        <w:t>p</w:t>
      </w:r>
      <w:r w:rsidRPr="00342B5C">
        <w:rPr>
          <w:color w:val="auto"/>
        </w:rPr>
        <w:t>&lt;0.001), signifying a significant upward trend in teacher-student relationships among early adolescents over time. The variance of the intercept was 43.94 (</w:t>
      </w:r>
      <w:r w:rsidRPr="00342B5C">
        <w:rPr>
          <w:i/>
          <w:color w:val="auto"/>
        </w:rPr>
        <w:t>p</w:t>
      </w:r>
      <w:r w:rsidRPr="00342B5C">
        <w:rPr>
          <w:color w:val="auto"/>
        </w:rPr>
        <w:t>&lt;0.001), and the variance of the slope was 8.64 (</w:t>
      </w:r>
      <w:r w:rsidRPr="00342B5C">
        <w:rPr>
          <w:i/>
          <w:color w:val="auto"/>
        </w:rPr>
        <w:t>p</w:t>
      </w:r>
      <w:r w:rsidRPr="00342B5C">
        <w:rPr>
          <w:color w:val="auto"/>
        </w:rPr>
        <w:t>&lt;0.001), indicating individual differences in both the initial levels and the rates of development for teacher-student relationships. The correlation between the intercept and slope was significant (</w:t>
      </w:r>
      <w:r w:rsidRPr="00342B5C">
        <w:rPr>
          <w:i/>
          <w:color w:val="auto"/>
        </w:rPr>
        <w:t xml:space="preserve">r </w:t>
      </w:r>
      <w:r w:rsidRPr="00342B5C">
        <w:rPr>
          <w:color w:val="auto"/>
        </w:rPr>
        <w:t xml:space="preserve">= -0.31, </w:t>
      </w:r>
      <w:r w:rsidRPr="00342B5C">
        <w:rPr>
          <w:i/>
          <w:color w:val="auto"/>
        </w:rPr>
        <w:t>p</w:t>
      </w:r>
      <w:r w:rsidRPr="00342B5C">
        <w:rPr>
          <w:color w:val="auto"/>
        </w:rPr>
        <w:t>&lt;0.01), suggesting that a higher initial level of teacher-student relationships was associated with a slower rate of improvement.</w:t>
      </w:r>
      <w:r w:rsidR="00576C6B" w:rsidRPr="00576C6B">
        <w:t xml:space="preserve"> </w:t>
      </w:r>
      <w:r w:rsidR="00576C6B" w:rsidRPr="00576C6B">
        <w:rPr>
          <w:color w:val="auto"/>
          <w:highlight w:val="yellow"/>
        </w:rPr>
        <w:t>After incorporating the control variables, the model fit significantly declined</w:t>
      </w:r>
      <w:r w:rsidR="00576C6B" w:rsidRPr="00576C6B">
        <w:rPr>
          <w:rFonts w:eastAsiaTheme="minorEastAsia" w:hint="eastAsia"/>
          <w:color w:val="auto"/>
          <w:highlight w:val="yellow"/>
          <w:lang w:eastAsia="zh-CN"/>
        </w:rPr>
        <w:t xml:space="preserve">, with </w:t>
      </w:r>
      <w:r w:rsidR="00576C6B" w:rsidRPr="005971E0">
        <w:rPr>
          <w:i/>
          <w:iCs/>
          <w:color w:val="auto"/>
          <w:highlight w:val="yellow"/>
        </w:rPr>
        <w:sym w:font="Symbol" w:char="F063"/>
      </w:r>
      <w:r w:rsidR="00576C6B" w:rsidRPr="005971E0">
        <w:rPr>
          <w:i/>
          <w:iCs/>
          <w:color w:val="auto"/>
          <w:highlight w:val="yellow"/>
          <w:vertAlign w:val="superscript"/>
        </w:rPr>
        <w:sym w:font="Symbol" w:char="F032"/>
      </w:r>
      <w:r w:rsidR="00576C6B" w:rsidRPr="005971E0">
        <w:rPr>
          <w:i/>
          <w:iCs/>
          <w:color w:val="auto"/>
          <w:highlight w:val="yellow"/>
        </w:rPr>
        <w:t>/</w:t>
      </w:r>
      <w:proofErr w:type="spellStart"/>
      <w:r w:rsidR="00576C6B" w:rsidRPr="005971E0">
        <w:rPr>
          <w:i/>
          <w:iCs/>
          <w:color w:val="auto"/>
          <w:highlight w:val="yellow"/>
        </w:rPr>
        <w:t>df</w:t>
      </w:r>
      <w:proofErr w:type="spellEnd"/>
      <w:r w:rsidR="00576C6B" w:rsidRPr="00576C6B">
        <w:rPr>
          <w:color w:val="auto"/>
          <w:highlight w:val="yellow"/>
        </w:rPr>
        <w:t>=</w:t>
      </w:r>
      <w:r w:rsidR="00576C6B" w:rsidRPr="00576C6B">
        <w:rPr>
          <w:rFonts w:eastAsiaTheme="minorEastAsia" w:hint="eastAsia"/>
          <w:color w:val="auto"/>
          <w:highlight w:val="yellow"/>
          <w:lang w:eastAsia="zh-CN"/>
        </w:rPr>
        <w:t>22.61</w:t>
      </w:r>
      <w:r w:rsidR="00576C6B" w:rsidRPr="00576C6B">
        <w:rPr>
          <w:color w:val="auto"/>
          <w:highlight w:val="yellow"/>
        </w:rPr>
        <w:t xml:space="preserve">, </w:t>
      </w:r>
      <w:r w:rsidR="00576C6B" w:rsidRPr="00576C6B">
        <w:rPr>
          <w:i/>
          <w:iCs/>
          <w:color w:val="auto"/>
          <w:highlight w:val="yellow"/>
        </w:rPr>
        <w:t>p</w:t>
      </w:r>
      <w:r w:rsidR="00576C6B" w:rsidRPr="00576C6B">
        <w:rPr>
          <w:color w:val="auto"/>
          <w:highlight w:val="yellow"/>
        </w:rPr>
        <w:t>&lt;0.05, CFI=0.9</w:t>
      </w:r>
      <w:r w:rsidR="00576C6B" w:rsidRPr="00576C6B">
        <w:rPr>
          <w:rFonts w:eastAsiaTheme="minorEastAsia" w:hint="eastAsia"/>
          <w:color w:val="auto"/>
          <w:highlight w:val="yellow"/>
          <w:lang w:eastAsia="zh-CN"/>
        </w:rPr>
        <w:t>0</w:t>
      </w:r>
      <w:r w:rsidR="00576C6B" w:rsidRPr="00576C6B">
        <w:rPr>
          <w:color w:val="auto"/>
          <w:highlight w:val="yellow"/>
        </w:rPr>
        <w:t>, TLI=0.</w:t>
      </w:r>
      <w:r w:rsidR="00576C6B" w:rsidRPr="00576C6B">
        <w:rPr>
          <w:rFonts w:eastAsiaTheme="minorEastAsia" w:hint="eastAsia"/>
          <w:color w:val="auto"/>
          <w:highlight w:val="yellow"/>
          <w:lang w:eastAsia="zh-CN"/>
        </w:rPr>
        <w:t>71</w:t>
      </w:r>
      <w:r w:rsidR="00576C6B" w:rsidRPr="00576C6B">
        <w:rPr>
          <w:color w:val="auto"/>
          <w:highlight w:val="yellow"/>
        </w:rPr>
        <w:t>, RMSEA=0.</w:t>
      </w:r>
      <w:r w:rsidR="00576C6B" w:rsidRPr="00576C6B">
        <w:rPr>
          <w:rFonts w:eastAsiaTheme="minorEastAsia" w:hint="eastAsia"/>
          <w:color w:val="auto"/>
          <w:highlight w:val="yellow"/>
          <w:lang w:eastAsia="zh-CN"/>
        </w:rPr>
        <w:t>13</w:t>
      </w:r>
      <w:r w:rsidR="00576C6B" w:rsidRPr="00576C6B">
        <w:rPr>
          <w:color w:val="auto"/>
          <w:highlight w:val="yellow"/>
        </w:rPr>
        <w:t>, SRMR=0.0</w:t>
      </w:r>
      <w:r w:rsidR="00576C6B" w:rsidRPr="00576C6B">
        <w:rPr>
          <w:rFonts w:eastAsiaTheme="minorEastAsia" w:hint="eastAsia"/>
          <w:color w:val="auto"/>
          <w:highlight w:val="yellow"/>
          <w:lang w:eastAsia="zh-CN"/>
        </w:rPr>
        <w:t>6</w:t>
      </w:r>
      <w:r w:rsidR="00576C6B" w:rsidRPr="00576C6B">
        <w:rPr>
          <w:color w:val="auto"/>
          <w:highlight w:val="yellow"/>
        </w:rPr>
        <w:t>.</w:t>
      </w:r>
    </w:p>
    <w:p w14:paraId="5D3250B3" w14:textId="08E231FA" w:rsidR="005D05AF" w:rsidRPr="00342B5C" w:rsidRDefault="00112BA8" w:rsidP="00112BA8">
      <w:pPr>
        <w:pStyle w:val="MDPI41tablecaption"/>
        <w:rPr>
          <w:color w:val="auto"/>
        </w:rPr>
      </w:pPr>
      <w:r w:rsidRPr="00342B5C">
        <w:rPr>
          <w:b/>
          <w:color w:val="auto"/>
        </w:rPr>
        <w:t xml:space="preserve">Table 2. </w:t>
      </w:r>
      <w:r w:rsidR="005D05AF" w:rsidRPr="00342B5C">
        <w:rPr>
          <w:color w:val="auto"/>
        </w:rPr>
        <w:t>Unconditional linear growth model for each variable</w:t>
      </w:r>
      <w:r w:rsidRPr="00342B5C">
        <w:rPr>
          <w:color w:val="auto"/>
        </w:rPr>
        <w:t>.</w:t>
      </w:r>
    </w:p>
    <w:tbl>
      <w:tblPr>
        <w:tblW w:w="5000" w:type="pct"/>
        <w:jc w:val="center"/>
        <w:tblLook w:val="04A0" w:firstRow="1" w:lastRow="0" w:firstColumn="1" w:lastColumn="0" w:noHBand="0" w:noVBand="1"/>
      </w:tblPr>
      <w:tblGrid>
        <w:gridCol w:w="2276"/>
        <w:gridCol w:w="1002"/>
        <w:gridCol w:w="1002"/>
        <w:gridCol w:w="970"/>
        <w:gridCol w:w="1001"/>
        <w:gridCol w:w="1245"/>
        <w:gridCol w:w="607"/>
        <w:gridCol w:w="607"/>
        <w:gridCol w:w="942"/>
        <w:gridCol w:w="814"/>
      </w:tblGrid>
      <w:tr w:rsidR="00342B5C" w:rsidRPr="00342B5C" w14:paraId="640F0E4D" w14:textId="77777777" w:rsidTr="00112BA8">
        <w:trPr>
          <w:jc w:val="center"/>
        </w:trPr>
        <w:tc>
          <w:tcPr>
            <w:tcW w:w="1086" w:type="pct"/>
            <w:tcBorders>
              <w:top w:val="single" w:sz="12" w:space="0" w:color="auto"/>
            </w:tcBorders>
            <w:shd w:val="clear" w:color="auto" w:fill="auto"/>
          </w:tcPr>
          <w:p w14:paraId="6E4EBA2B" w14:textId="77777777" w:rsidR="005D05AF" w:rsidRPr="00342B5C" w:rsidRDefault="005D05AF" w:rsidP="00DA3AA0">
            <w:pPr>
              <w:spacing w:line="300" w:lineRule="auto"/>
              <w:rPr>
                <w:color w:val="auto"/>
                <w:sz w:val="16"/>
                <w:szCs w:val="16"/>
              </w:rPr>
            </w:pPr>
          </w:p>
        </w:tc>
        <w:tc>
          <w:tcPr>
            <w:tcW w:w="956" w:type="pct"/>
            <w:gridSpan w:val="2"/>
            <w:tcBorders>
              <w:top w:val="single" w:sz="12" w:space="0" w:color="auto"/>
              <w:right w:val="single" w:sz="48" w:space="0" w:color="FFFFFF"/>
            </w:tcBorders>
            <w:shd w:val="clear" w:color="auto" w:fill="auto"/>
          </w:tcPr>
          <w:p w14:paraId="5D48E6F9"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intercept</w:t>
            </w:r>
          </w:p>
        </w:tc>
        <w:tc>
          <w:tcPr>
            <w:tcW w:w="941" w:type="pct"/>
            <w:gridSpan w:val="2"/>
            <w:tcBorders>
              <w:top w:val="single" w:sz="12" w:space="0" w:color="auto"/>
              <w:left w:val="single" w:sz="48" w:space="0" w:color="FFFFFF"/>
            </w:tcBorders>
            <w:shd w:val="clear" w:color="auto" w:fill="auto"/>
          </w:tcPr>
          <w:p w14:paraId="50D1D944"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slope</w:t>
            </w:r>
          </w:p>
        </w:tc>
        <w:tc>
          <w:tcPr>
            <w:tcW w:w="595" w:type="pct"/>
            <w:tcBorders>
              <w:top w:val="single" w:sz="12" w:space="0" w:color="auto"/>
            </w:tcBorders>
            <w:shd w:val="clear" w:color="auto" w:fill="auto"/>
          </w:tcPr>
          <w:p w14:paraId="1D88D461" w14:textId="77777777" w:rsidR="005D05AF" w:rsidRPr="00342B5C" w:rsidRDefault="005D05AF" w:rsidP="00DA3AA0">
            <w:pPr>
              <w:tabs>
                <w:tab w:val="left" w:pos="435"/>
              </w:tabs>
              <w:spacing w:line="300" w:lineRule="auto"/>
              <w:rPr>
                <w:color w:val="auto"/>
                <w:sz w:val="16"/>
                <w:szCs w:val="16"/>
              </w:rPr>
            </w:pPr>
            <w:r w:rsidRPr="00342B5C">
              <w:rPr>
                <w:i/>
                <w:color w:val="auto"/>
                <w:sz w:val="16"/>
                <w:szCs w:val="16"/>
              </w:rPr>
              <w:t>r</w:t>
            </w:r>
            <w:r w:rsidRPr="00342B5C">
              <w:rPr>
                <w:color w:val="auto"/>
                <w:sz w:val="16"/>
                <w:szCs w:val="16"/>
              </w:rPr>
              <w:t>（</w:t>
            </w:r>
            <w:r w:rsidRPr="00342B5C">
              <w:rPr>
                <w:color w:val="auto"/>
                <w:sz w:val="16"/>
                <w:szCs w:val="16"/>
              </w:rPr>
              <w:t>intercept</w:t>
            </w:r>
          </w:p>
        </w:tc>
        <w:tc>
          <w:tcPr>
            <w:tcW w:w="1419" w:type="pct"/>
            <w:gridSpan w:val="4"/>
            <w:tcBorders>
              <w:top w:val="single" w:sz="12" w:space="0" w:color="auto"/>
            </w:tcBorders>
            <w:shd w:val="clear" w:color="auto" w:fill="auto"/>
          </w:tcPr>
          <w:p w14:paraId="25485C70"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Model Fit</w:t>
            </w:r>
          </w:p>
        </w:tc>
      </w:tr>
      <w:tr w:rsidR="00342B5C" w:rsidRPr="00342B5C" w14:paraId="7018CDE8" w14:textId="77777777" w:rsidTr="00112BA8">
        <w:trPr>
          <w:jc w:val="center"/>
        </w:trPr>
        <w:tc>
          <w:tcPr>
            <w:tcW w:w="1086" w:type="pct"/>
            <w:tcBorders>
              <w:bottom w:val="single" w:sz="6" w:space="0" w:color="auto"/>
            </w:tcBorders>
            <w:shd w:val="clear" w:color="auto" w:fill="auto"/>
          </w:tcPr>
          <w:p w14:paraId="30A4831B" w14:textId="77777777" w:rsidR="005D05AF" w:rsidRPr="00342B5C" w:rsidRDefault="005D05AF" w:rsidP="00DA3AA0">
            <w:pPr>
              <w:spacing w:line="300" w:lineRule="auto"/>
              <w:rPr>
                <w:color w:val="auto"/>
                <w:sz w:val="16"/>
                <w:szCs w:val="16"/>
              </w:rPr>
            </w:pPr>
          </w:p>
        </w:tc>
        <w:tc>
          <w:tcPr>
            <w:tcW w:w="478" w:type="pct"/>
            <w:tcBorders>
              <w:top w:val="single" w:sz="6" w:space="0" w:color="auto"/>
              <w:bottom w:val="single" w:sz="6" w:space="0" w:color="auto"/>
            </w:tcBorders>
            <w:shd w:val="clear" w:color="auto" w:fill="auto"/>
          </w:tcPr>
          <w:p w14:paraId="32466233" w14:textId="77777777" w:rsidR="005D05AF" w:rsidRPr="00342B5C" w:rsidRDefault="005D05AF" w:rsidP="00DA3AA0">
            <w:pPr>
              <w:spacing w:line="300" w:lineRule="auto"/>
              <w:rPr>
                <w:color w:val="auto"/>
                <w:sz w:val="16"/>
                <w:szCs w:val="16"/>
              </w:rPr>
            </w:pPr>
            <w:r w:rsidRPr="00342B5C">
              <w:rPr>
                <w:color w:val="auto"/>
                <w:sz w:val="16"/>
                <w:szCs w:val="16"/>
              </w:rPr>
              <w:t>mean</w:t>
            </w:r>
          </w:p>
        </w:tc>
        <w:tc>
          <w:tcPr>
            <w:tcW w:w="478" w:type="pct"/>
            <w:tcBorders>
              <w:top w:val="single" w:sz="6" w:space="0" w:color="auto"/>
              <w:bottom w:val="single" w:sz="6" w:space="0" w:color="auto"/>
              <w:right w:val="single" w:sz="48" w:space="0" w:color="FFFFFF"/>
            </w:tcBorders>
            <w:shd w:val="clear" w:color="auto" w:fill="auto"/>
          </w:tcPr>
          <w:p w14:paraId="51320BA1" w14:textId="77777777" w:rsidR="005D05AF" w:rsidRPr="00342B5C" w:rsidRDefault="005D05AF" w:rsidP="00DA3AA0">
            <w:pPr>
              <w:spacing w:line="300" w:lineRule="auto"/>
              <w:rPr>
                <w:color w:val="auto"/>
                <w:sz w:val="16"/>
                <w:szCs w:val="16"/>
              </w:rPr>
            </w:pPr>
            <w:r w:rsidRPr="00342B5C">
              <w:rPr>
                <w:color w:val="auto"/>
                <w:sz w:val="16"/>
                <w:szCs w:val="16"/>
              </w:rPr>
              <w:t>variance</w:t>
            </w:r>
          </w:p>
        </w:tc>
        <w:tc>
          <w:tcPr>
            <w:tcW w:w="463" w:type="pct"/>
            <w:tcBorders>
              <w:top w:val="single" w:sz="6" w:space="0" w:color="auto"/>
              <w:left w:val="single" w:sz="48" w:space="0" w:color="FFFFFF"/>
              <w:bottom w:val="single" w:sz="6" w:space="0" w:color="auto"/>
            </w:tcBorders>
            <w:shd w:val="clear" w:color="auto" w:fill="auto"/>
          </w:tcPr>
          <w:p w14:paraId="07F4F5CF" w14:textId="77777777" w:rsidR="005D05AF" w:rsidRPr="00342B5C" w:rsidRDefault="005D05AF" w:rsidP="00DA3AA0">
            <w:pPr>
              <w:spacing w:line="300" w:lineRule="auto"/>
              <w:rPr>
                <w:color w:val="auto"/>
                <w:sz w:val="16"/>
                <w:szCs w:val="16"/>
              </w:rPr>
            </w:pPr>
            <w:r w:rsidRPr="00342B5C">
              <w:rPr>
                <w:color w:val="auto"/>
                <w:sz w:val="16"/>
                <w:szCs w:val="16"/>
              </w:rPr>
              <w:t>mean</w:t>
            </w:r>
          </w:p>
        </w:tc>
        <w:tc>
          <w:tcPr>
            <w:tcW w:w="478" w:type="pct"/>
            <w:tcBorders>
              <w:top w:val="single" w:sz="6" w:space="0" w:color="auto"/>
              <w:bottom w:val="single" w:sz="6" w:space="0" w:color="auto"/>
            </w:tcBorders>
            <w:shd w:val="clear" w:color="auto" w:fill="auto"/>
          </w:tcPr>
          <w:p w14:paraId="5B86C344" w14:textId="77777777" w:rsidR="005D05AF" w:rsidRPr="00342B5C" w:rsidRDefault="005D05AF" w:rsidP="00DA3AA0">
            <w:pPr>
              <w:spacing w:line="300" w:lineRule="auto"/>
              <w:rPr>
                <w:color w:val="auto"/>
                <w:sz w:val="16"/>
                <w:szCs w:val="16"/>
              </w:rPr>
            </w:pPr>
            <w:r w:rsidRPr="00342B5C">
              <w:rPr>
                <w:color w:val="auto"/>
                <w:sz w:val="16"/>
                <w:szCs w:val="16"/>
              </w:rPr>
              <w:t>variance</w:t>
            </w:r>
          </w:p>
        </w:tc>
        <w:tc>
          <w:tcPr>
            <w:tcW w:w="595" w:type="pct"/>
            <w:tcBorders>
              <w:bottom w:val="single" w:sz="6" w:space="0" w:color="auto"/>
            </w:tcBorders>
            <w:shd w:val="clear" w:color="auto" w:fill="auto"/>
          </w:tcPr>
          <w:p w14:paraId="5BFDE2F7"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with slope</w:t>
            </w:r>
            <w:r w:rsidRPr="00342B5C">
              <w:rPr>
                <w:color w:val="auto"/>
                <w:sz w:val="16"/>
                <w:szCs w:val="16"/>
              </w:rPr>
              <w:t>）</w:t>
            </w:r>
          </w:p>
        </w:tc>
        <w:tc>
          <w:tcPr>
            <w:tcW w:w="290" w:type="pct"/>
            <w:tcBorders>
              <w:top w:val="single" w:sz="6" w:space="0" w:color="auto"/>
              <w:bottom w:val="single" w:sz="6" w:space="0" w:color="auto"/>
            </w:tcBorders>
            <w:shd w:val="clear" w:color="auto" w:fill="auto"/>
          </w:tcPr>
          <w:p w14:paraId="35F900B6"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CFI</w:t>
            </w:r>
          </w:p>
        </w:tc>
        <w:tc>
          <w:tcPr>
            <w:tcW w:w="290" w:type="pct"/>
            <w:tcBorders>
              <w:top w:val="single" w:sz="6" w:space="0" w:color="auto"/>
              <w:bottom w:val="single" w:sz="6" w:space="0" w:color="auto"/>
            </w:tcBorders>
            <w:shd w:val="clear" w:color="auto" w:fill="auto"/>
          </w:tcPr>
          <w:p w14:paraId="2C9D1DEF"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TLI</w:t>
            </w:r>
          </w:p>
        </w:tc>
        <w:tc>
          <w:tcPr>
            <w:tcW w:w="450" w:type="pct"/>
            <w:tcBorders>
              <w:top w:val="single" w:sz="6" w:space="0" w:color="auto"/>
              <w:bottom w:val="single" w:sz="6" w:space="0" w:color="auto"/>
            </w:tcBorders>
            <w:shd w:val="clear" w:color="auto" w:fill="auto"/>
          </w:tcPr>
          <w:p w14:paraId="22922F2B"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RMSEA</w:t>
            </w:r>
          </w:p>
        </w:tc>
        <w:tc>
          <w:tcPr>
            <w:tcW w:w="387" w:type="pct"/>
            <w:tcBorders>
              <w:top w:val="single" w:sz="6" w:space="0" w:color="auto"/>
              <w:bottom w:val="single" w:sz="6" w:space="0" w:color="auto"/>
            </w:tcBorders>
            <w:shd w:val="clear" w:color="auto" w:fill="auto"/>
          </w:tcPr>
          <w:p w14:paraId="5D285A30"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SRMR</w:t>
            </w:r>
          </w:p>
        </w:tc>
      </w:tr>
      <w:tr w:rsidR="00342B5C" w:rsidRPr="00342B5C" w14:paraId="6E946796" w14:textId="77777777" w:rsidTr="00112BA8">
        <w:trPr>
          <w:jc w:val="center"/>
        </w:trPr>
        <w:tc>
          <w:tcPr>
            <w:tcW w:w="1086" w:type="pct"/>
            <w:tcBorders>
              <w:top w:val="single" w:sz="6" w:space="0" w:color="auto"/>
            </w:tcBorders>
            <w:shd w:val="clear" w:color="auto" w:fill="auto"/>
          </w:tcPr>
          <w:p w14:paraId="02A041C2"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bullying victimization</w:t>
            </w:r>
          </w:p>
        </w:tc>
        <w:tc>
          <w:tcPr>
            <w:tcW w:w="478" w:type="pct"/>
            <w:tcBorders>
              <w:top w:val="single" w:sz="6" w:space="0" w:color="auto"/>
            </w:tcBorders>
            <w:shd w:val="clear" w:color="auto" w:fill="auto"/>
          </w:tcPr>
          <w:p w14:paraId="59076859"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21.29***</w:t>
            </w:r>
          </w:p>
        </w:tc>
        <w:tc>
          <w:tcPr>
            <w:tcW w:w="478" w:type="pct"/>
            <w:tcBorders>
              <w:top w:val="single" w:sz="6" w:space="0" w:color="auto"/>
            </w:tcBorders>
            <w:shd w:val="clear" w:color="auto" w:fill="auto"/>
          </w:tcPr>
          <w:p w14:paraId="0C3AF302"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36.40***</w:t>
            </w:r>
          </w:p>
        </w:tc>
        <w:tc>
          <w:tcPr>
            <w:tcW w:w="463" w:type="pct"/>
            <w:tcBorders>
              <w:top w:val="single" w:sz="6" w:space="0" w:color="auto"/>
            </w:tcBorders>
            <w:shd w:val="clear" w:color="auto" w:fill="auto"/>
          </w:tcPr>
          <w:p w14:paraId="4C894195"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-0.69***</w:t>
            </w:r>
          </w:p>
        </w:tc>
        <w:tc>
          <w:tcPr>
            <w:tcW w:w="478" w:type="pct"/>
            <w:tcBorders>
              <w:top w:val="single" w:sz="6" w:space="0" w:color="auto"/>
            </w:tcBorders>
            <w:shd w:val="clear" w:color="auto" w:fill="auto"/>
          </w:tcPr>
          <w:p w14:paraId="48A5D143"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6.69</w:t>
            </w:r>
          </w:p>
        </w:tc>
        <w:tc>
          <w:tcPr>
            <w:tcW w:w="595" w:type="pct"/>
            <w:tcBorders>
              <w:top w:val="single" w:sz="6" w:space="0" w:color="auto"/>
            </w:tcBorders>
            <w:shd w:val="clear" w:color="auto" w:fill="auto"/>
          </w:tcPr>
          <w:p w14:paraId="1C59D2E8"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-0.15</w:t>
            </w:r>
          </w:p>
        </w:tc>
        <w:tc>
          <w:tcPr>
            <w:tcW w:w="290" w:type="pct"/>
            <w:tcBorders>
              <w:top w:val="single" w:sz="6" w:space="0" w:color="auto"/>
            </w:tcBorders>
            <w:shd w:val="clear" w:color="auto" w:fill="auto"/>
          </w:tcPr>
          <w:p w14:paraId="3CFCC069"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0.98</w:t>
            </w:r>
          </w:p>
        </w:tc>
        <w:tc>
          <w:tcPr>
            <w:tcW w:w="290" w:type="pct"/>
            <w:tcBorders>
              <w:top w:val="single" w:sz="6" w:space="0" w:color="auto"/>
            </w:tcBorders>
            <w:shd w:val="clear" w:color="auto" w:fill="auto"/>
          </w:tcPr>
          <w:p w14:paraId="476E437A"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0.92</w:t>
            </w:r>
          </w:p>
        </w:tc>
        <w:tc>
          <w:tcPr>
            <w:tcW w:w="450" w:type="pct"/>
            <w:tcBorders>
              <w:top w:val="single" w:sz="6" w:space="0" w:color="auto"/>
            </w:tcBorders>
            <w:shd w:val="clear" w:color="auto" w:fill="auto"/>
          </w:tcPr>
          <w:p w14:paraId="6C1F7629"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0.05</w:t>
            </w:r>
          </w:p>
        </w:tc>
        <w:tc>
          <w:tcPr>
            <w:tcW w:w="387" w:type="pct"/>
            <w:tcBorders>
              <w:top w:val="single" w:sz="6" w:space="0" w:color="auto"/>
            </w:tcBorders>
            <w:shd w:val="clear" w:color="auto" w:fill="auto"/>
          </w:tcPr>
          <w:p w14:paraId="0E04F0BE" w14:textId="77777777" w:rsidR="005D05AF" w:rsidRPr="00342B5C" w:rsidRDefault="005D05AF" w:rsidP="00DA3AA0">
            <w:pPr>
              <w:tabs>
                <w:tab w:val="left" w:pos="435"/>
              </w:tabs>
              <w:spacing w:line="300" w:lineRule="auto"/>
              <w:rPr>
                <w:color w:val="auto"/>
                <w:sz w:val="16"/>
                <w:szCs w:val="16"/>
              </w:rPr>
            </w:pPr>
            <w:r w:rsidRPr="00342B5C">
              <w:rPr>
                <w:color w:val="auto"/>
                <w:sz w:val="16"/>
                <w:szCs w:val="16"/>
              </w:rPr>
              <w:t>0.02</w:t>
            </w:r>
          </w:p>
        </w:tc>
      </w:tr>
      <w:tr w:rsidR="00342B5C" w:rsidRPr="00342B5C" w14:paraId="1D917F20" w14:textId="77777777" w:rsidTr="00112BA8">
        <w:trPr>
          <w:jc w:val="center"/>
        </w:trPr>
        <w:tc>
          <w:tcPr>
            <w:tcW w:w="1086" w:type="pct"/>
            <w:shd w:val="clear" w:color="auto" w:fill="auto"/>
          </w:tcPr>
          <w:p w14:paraId="4E56D908" w14:textId="77777777" w:rsidR="005D05AF" w:rsidRPr="00342B5C" w:rsidRDefault="005D05AF" w:rsidP="00DA3AA0">
            <w:pPr>
              <w:spacing w:line="300" w:lineRule="auto"/>
              <w:rPr>
                <w:color w:val="auto"/>
                <w:sz w:val="16"/>
                <w:szCs w:val="16"/>
              </w:rPr>
            </w:pPr>
            <w:r w:rsidRPr="00342B5C">
              <w:rPr>
                <w:color w:val="auto"/>
                <w:sz w:val="16"/>
                <w:szCs w:val="16"/>
              </w:rPr>
              <w:t>perceived control</w:t>
            </w:r>
          </w:p>
        </w:tc>
        <w:tc>
          <w:tcPr>
            <w:tcW w:w="478" w:type="pct"/>
            <w:shd w:val="clear" w:color="auto" w:fill="auto"/>
          </w:tcPr>
          <w:p w14:paraId="74D0E557" w14:textId="77777777" w:rsidR="005D05AF" w:rsidRPr="00342B5C" w:rsidRDefault="005D05AF" w:rsidP="00DA3AA0">
            <w:pPr>
              <w:spacing w:line="300" w:lineRule="auto"/>
              <w:rPr>
                <w:color w:val="auto"/>
                <w:sz w:val="16"/>
                <w:szCs w:val="16"/>
              </w:rPr>
            </w:pPr>
            <w:r w:rsidRPr="00342B5C">
              <w:rPr>
                <w:color w:val="auto"/>
                <w:sz w:val="16"/>
                <w:szCs w:val="16"/>
              </w:rPr>
              <w:t>54.73***</w:t>
            </w:r>
          </w:p>
        </w:tc>
        <w:tc>
          <w:tcPr>
            <w:tcW w:w="478" w:type="pct"/>
            <w:shd w:val="clear" w:color="auto" w:fill="auto"/>
          </w:tcPr>
          <w:p w14:paraId="0CFB27DB" w14:textId="77777777" w:rsidR="005D05AF" w:rsidRPr="00342B5C" w:rsidRDefault="005D05AF" w:rsidP="00DA3AA0">
            <w:pPr>
              <w:spacing w:line="300" w:lineRule="auto"/>
              <w:rPr>
                <w:color w:val="auto"/>
                <w:sz w:val="16"/>
                <w:szCs w:val="16"/>
              </w:rPr>
            </w:pPr>
            <w:r w:rsidRPr="00342B5C">
              <w:rPr>
                <w:color w:val="auto"/>
                <w:sz w:val="16"/>
                <w:szCs w:val="16"/>
              </w:rPr>
              <w:t>47.86***</w:t>
            </w:r>
          </w:p>
        </w:tc>
        <w:tc>
          <w:tcPr>
            <w:tcW w:w="463" w:type="pct"/>
            <w:shd w:val="clear" w:color="auto" w:fill="auto"/>
          </w:tcPr>
          <w:p w14:paraId="1A34A9BE" w14:textId="77777777" w:rsidR="005D05AF" w:rsidRPr="00342B5C" w:rsidRDefault="005D05AF" w:rsidP="00DA3AA0">
            <w:pPr>
              <w:spacing w:line="300" w:lineRule="auto"/>
              <w:rPr>
                <w:color w:val="auto"/>
                <w:sz w:val="16"/>
                <w:szCs w:val="16"/>
              </w:rPr>
            </w:pPr>
            <w:r w:rsidRPr="00342B5C">
              <w:rPr>
                <w:color w:val="auto"/>
                <w:sz w:val="16"/>
                <w:szCs w:val="16"/>
              </w:rPr>
              <w:t>0.57***</w:t>
            </w:r>
          </w:p>
        </w:tc>
        <w:tc>
          <w:tcPr>
            <w:tcW w:w="478" w:type="pct"/>
            <w:shd w:val="clear" w:color="auto" w:fill="auto"/>
          </w:tcPr>
          <w:p w14:paraId="7160A5CD" w14:textId="77777777" w:rsidR="005D05AF" w:rsidRPr="00342B5C" w:rsidRDefault="005D05AF" w:rsidP="00DA3AA0">
            <w:pPr>
              <w:spacing w:line="300" w:lineRule="auto"/>
              <w:rPr>
                <w:color w:val="auto"/>
                <w:sz w:val="16"/>
                <w:szCs w:val="16"/>
              </w:rPr>
            </w:pPr>
            <w:r w:rsidRPr="00342B5C">
              <w:rPr>
                <w:color w:val="auto"/>
                <w:sz w:val="16"/>
                <w:szCs w:val="16"/>
              </w:rPr>
              <w:t>15.68***</w:t>
            </w:r>
          </w:p>
        </w:tc>
        <w:tc>
          <w:tcPr>
            <w:tcW w:w="595" w:type="pct"/>
            <w:shd w:val="clear" w:color="auto" w:fill="auto"/>
          </w:tcPr>
          <w:p w14:paraId="23C5AA20" w14:textId="77777777" w:rsidR="005D05AF" w:rsidRPr="00342B5C" w:rsidRDefault="005D05AF" w:rsidP="00DA3AA0">
            <w:pPr>
              <w:spacing w:line="300" w:lineRule="auto"/>
              <w:rPr>
                <w:color w:val="auto"/>
                <w:sz w:val="16"/>
                <w:szCs w:val="16"/>
              </w:rPr>
            </w:pPr>
            <w:r w:rsidRPr="00342B5C">
              <w:rPr>
                <w:color w:val="auto"/>
                <w:sz w:val="16"/>
                <w:szCs w:val="16"/>
              </w:rPr>
              <w:t>-0.26</w:t>
            </w:r>
          </w:p>
        </w:tc>
        <w:tc>
          <w:tcPr>
            <w:tcW w:w="290" w:type="pct"/>
            <w:shd w:val="clear" w:color="auto" w:fill="auto"/>
          </w:tcPr>
          <w:p w14:paraId="711C62D1" w14:textId="77777777" w:rsidR="005D05AF" w:rsidRPr="00342B5C" w:rsidRDefault="005D05AF" w:rsidP="00DA3AA0">
            <w:pPr>
              <w:spacing w:line="300" w:lineRule="auto"/>
              <w:rPr>
                <w:color w:val="auto"/>
                <w:sz w:val="16"/>
                <w:szCs w:val="16"/>
              </w:rPr>
            </w:pPr>
            <w:r w:rsidRPr="00342B5C">
              <w:rPr>
                <w:color w:val="auto"/>
                <w:sz w:val="16"/>
                <w:szCs w:val="16"/>
              </w:rPr>
              <w:t>1.00</w:t>
            </w:r>
          </w:p>
        </w:tc>
        <w:tc>
          <w:tcPr>
            <w:tcW w:w="290" w:type="pct"/>
            <w:shd w:val="clear" w:color="auto" w:fill="auto"/>
          </w:tcPr>
          <w:p w14:paraId="6907D9EB" w14:textId="77777777" w:rsidR="005D05AF" w:rsidRPr="00342B5C" w:rsidRDefault="005D05AF" w:rsidP="00DA3AA0">
            <w:pPr>
              <w:spacing w:line="300" w:lineRule="auto"/>
              <w:rPr>
                <w:color w:val="auto"/>
                <w:sz w:val="16"/>
                <w:szCs w:val="16"/>
              </w:rPr>
            </w:pPr>
            <w:r w:rsidRPr="00342B5C">
              <w:rPr>
                <w:color w:val="auto"/>
                <w:sz w:val="16"/>
                <w:szCs w:val="16"/>
              </w:rPr>
              <w:t>1.00</w:t>
            </w:r>
          </w:p>
        </w:tc>
        <w:tc>
          <w:tcPr>
            <w:tcW w:w="450" w:type="pct"/>
            <w:shd w:val="clear" w:color="auto" w:fill="auto"/>
          </w:tcPr>
          <w:p w14:paraId="6D3FFF15" w14:textId="77777777" w:rsidR="005D05AF" w:rsidRPr="00342B5C" w:rsidRDefault="005D05AF" w:rsidP="00DA3AA0">
            <w:pPr>
              <w:spacing w:line="300" w:lineRule="auto"/>
              <w:rPr>
                <w:color w:val="auto"/>
                <w:sz w:val="16"/>
                <w:szCs w:val="16"/>
              </w:rPr>
            </w:pPr>
            <w:r w:rsidRPr="00342B5C">
              <w:rPr>
                <w:color w:val="auto"/>
                <w:sz w:val="16"/>
                <w:szCs w:val="16"/>
              </w:rPr>
              <w:t>&lt;0.01</w:t>
            </w:r>
          </w:p>
        </w:tc>
        <w:tc>
          <w:tcPr>
            <w:tcW w:w="387" w:type="pct"/>
            <w:shd w:val="clear" w:color="auto" w:fill="auto"/>
          </w:tcPr>
          <w:p w14:paraId="4B29CC5A" w14:textId="77777777" w:rsidR="005D05AF" w:rsidRPr="00342B5C" w:rsidRDefault="005D05AF" w:rsidP="00DA3AA0">
            <w:pPr>
              <w:spacing w:line="300" w:lineRule="auto"/>
              <w:rPr>
                <w:color w:val="auto"/>
                <w:sz w:val="16"/>
                <w:szCs w:val="16"/>
              </w:rPr>
            </w:pPr>
            <w:r w:rsidRPr="00342B5C">
              <w:rPr>
                <w:color w:val="auto"/>
                <w:sz w:val="16"/>
                <w:szCs w:val="16"/>
              </w:rPr>
              <w:t>0.01</w:t>
            </w:r>
          </w:p>
        </w:tc>
      </w:tr>
      <w:tr w:rsidR="00342B5C" w:rsidRPr="00342B5C" w14:paraId="07EDEC2D" w14:textId="77777777" w:rsidTr="00112BA8">
        <w:trPr>
          <w:jc w:val="center"/>
        </w:trPr>
        <w:tc>
          <w:tcPr>
            <w:tcW w:w="1086" w:type="pct"/>
            <w:tcBorders>
              <w:bottom w:val="single" w:sz="12" w:space="0" w:color="auto"/>
            </w:tcBorders>
            <w:shd w:val="clear" w:color="auto" w:fill="auto"/>
          </w:tcPr>
          <w:p w14:paraId="71C6ADB6" w14:textId="77777777" w:rsidR="005D05AF" w:rsidRPr="00342B5C" w:rsidRDefault="005D05AF" w:rsidP="00DA3AA0">
            <w:pPr>
              <w:spacing w:line="300" w:lineRule="auto"/>
              <w:rPr>
                <w:color w:val="auto"/>
                <w:sz w:val="16"/>
                <w:szCs w:val="16"/>
              </w:rPr>
            </w:pPr>
            <w:r w:rsidRPr="00342B5C">
              <w:rPr>
                <w:color w:val="auto"/>
                <w:sz w:val="16"/>
                <w:szCs w:val="16"/>
              </w:rPr>
              <w:t>teacher-student relationships</w:t>
            </w:r>
          </w:p>
        </w:tc>
        <w:tc>
          <w:tcPr>
            <w:tcW w:w="478" w:type="pct"/>
            <w:tcBorders>
              <w:bottom w:val="single" w:sz="12" w:space="0" w:color="auto"/>
            </w:tcBorders>
            <w:shd w:val="clear" w:color="auto" w:fill="auto"/>
          </w:tcPr>
          <w:p w14:paraId="6E031D12" w14:textId="77777777" w:rsidR="005D05AF" w:rsidRPr="00342B5C" w:rsidRDefault="005D05AF" w:rsidP="00DA3AA0">
            <w:pPr>
              <w:spacing w:line="300" w:lineRule="auto"/>
              <w:rPr>
                <w:color w:val="auto"/>
                <w:sz w:val="16"/>
                <w:szCs w:val="16"/>
              </w:rPr>
            </w:pPr>
            <w:r w:rsidRPr="00342B5C">
              <w:rPr>
                <w:color w:val="auto"/>
                <w:sz w:val="16"/>
                <w:szCs w:val="16"/>
              </w:rPr>
              <w:t>68.98***</w:t>
            </w:r>
          </w:p>
        </w:tc>
        <w:tc>
          <w:tcPr>
            <w:tcW w:w="478" w:type="pct"/>
            <w:tcBorders>
              <w:bottom w:val="single" w:sz="12" w:space="0" w:color="auto"/>
            </w:tcBorders>
            <w:shd w:val="clear" w:color="auto" w:fill="auto"/>
          </w:tcPr>
          <w:p w14:paraId="087F226B" w14:textId="77777777" w:rsidR="005D05AF" w:rsidRPr="00342B5C" w:rsidRDefault="005D05AF" w:rsidP="00DA3AA0">
            <w:pPr>
              <w:spacing w:line="300" w:lineRule="auto"/>
              <w:rPr>
                <w:color w:val="auto"/>
                <w:sz w:val="16"/>
                <w:szCs w:val="16"/>
              </w:rPr>
            </w:pPr>
            <w:r w:rsidRPr="00342B5C">
              <w:rPr>
                <w:color w:val="auto"/>
                <w:sz w:val="16"/>
                <w:szCs w:val="16"/>
              </w:rPr>
              <w:t>43.94***</w:t>
            </w:r>
          </w:p>
        </w:tc>
        <w:tc>
          <w:tcPr>
            <w:tcW w:w="463" w:type="pct"/>
            <w:tcBorders>
              <w:bottom w:val="single" w:sz="12" w:space="0" w:color="auto"/>
            </w:tcBorders>
            <w:shd w:val="clear" w:color="auto" w:fill="auto"/>
          </w:tcPr>
          <w:p w14:paraId="1058257C" w14:textId="77777777" w:rsidR="005D05AF" w:rsidRPr="00342B5C" w:rsidRDefault="005D05AF" w:rsidP="00DA3AA0">
            <w:pPr>
              <w:spacing w:line="300" w:lineRule="auto"/>
              <w:rPr>
                <w:color w:val="auto"/>
                <w:sz w:val="16"/>
                <w:szCs w:val="16"/>
              </w:rPr>
            </w:pPr>
            <w:r w:rsidRPr="00342B5C">
              <w:rPr>
                <w:color w:val="auto"/>
                <w:sz w:val="16"/>
                <w:szCs w:val="16"/>
              </w:rPr>
              <w:t>0.98***</w:t>
            </w:r>
          </w:p>
        </w:tc>
        <w:tc>
          <w:tcPr>
            <w:tcW w:w="478" w:type="pct"/>
            <w:tcBorders>
              <w:bottom w:val="single" w:sz="12" w:space="0" w:color="auto"/>
            </w:tcBorders>
            <w:shd w:val="clear" w:color="auto" w:fill="auto"/>
          </w:tcPr>
          <w:p w14:paraId="20A2CBE2" w14:textId="77777777" w:rsidR="005D05AF" w:rsidRPr="00342B5C" w:rsidRDefault="005D05AF" w:rsidP="00DA3AA0">
            <w:pPr>
              <w:spacing w:line="300" w:lineRule="auto"/>
              <w:rPr>
                <w:color w:val="auto"/>
                <w:sz w:val="16"/>
                <w:szCs w:val="16"/>
              </w:rPr>
            </w:pPr>
            <w:r w:rsidRPr="00342B5C">
              <w:rPr>
                <w:color w:val="auto"/>
                <w:sz w:val="16"/>
                <w:szCs w:val="16"/>
              </w:rPr>
              <w:t>8.64***</w:t>
            </w:r>
          </w:p>
        </w:tc>
        <w:tc>
          <w:tcPr>
            <w:tcW w:w="595" w:type="pct"/>
            <w:tcBorders>
              <w:bottom w:val="single" w:sz="12" w:space="0" w:color="auto"/>
            </w:tcBorders>
            <w:shd w:val="clear" w:color="auto" w:fill="auto"/>
          </w:tcPr>
          <w:p w14:paraId="20745BAB" w14:textId="77777777" w:rsidR="005D05AF" w:rsidRPr="00342B5C" w:rsidRDefault="005D05AF" w:rsidP="00DA3AA0">
            <w:pPr>
              <w:spacing w:line="300" w:lineRule="auto"/>
              <w:rPr>
                <w:color w:val="auto"/>
                <w:sz w:val="16"/>
                <w:szCs w:val="16"/>
              </w:rPr>
            </w:pPr>
            <w:r w:rsidRPr="00342B5C">
              <w:rPr>
                <w:color w:val="auto"/>
                <w:sz w:val="16"/>
                <w:szCs w:val="16"/>
              </w:rPr>
              <w:t>-0.31**</w:t>
            </w:r>
          </w:p>
        </w:tc>
        <w:tc>
          <w:tcPr>
            <w:tcW w:w="290" w:type="pct"/>
            <w:tcBorders>
              <w:bottom w:val="single" w:sz="12" w:space="0" w:color="auto"/>
            </w:tcBorders>
            <w:shd w:val="clear" w:color="auto" w:fill="auto"/>
          </w:tcPr>
          <w:p w14:paraId="2AED7C4D" w14:textId="77777777" w:rsidR="005D05AF" w:rsidRPr="00342B5C" w:rsidRDefault="005D05AF" w:rsidP="00DA3AA0">
            <w:pPr>
              <w:spacing w:line="300" w:lineRule="auto"/>
              <w:rPr>
                <w:color w:val="auto"/>
                <w:sz w:val="16"/>
                <w:szCs w:val="16"/>
              </w:rPr>
            </w:pPr>
            <w:r w:rsidRPr="00342B5C">
              <w:rPr>
                <w:color w:val="auto"/>
                <w:sz w:val="16"/>
                <w:szCs w:val="16"/>
              </w:rPr>
              <w:t>0.98</w:t>
            </w:r>
          </w:p>
        </w:tc>
        <w:tc>
          <w:tcPr>
            <w:tcW w:w="290" w:type="pct"/>
            <w:tcBorders>
              <w:bottom w:val="single" w:sz="12" w:space="0" w:color="auto"/>
            </w:tcBorders>
            <w:shd w:val="clear" w:color="auto" w:fill="auto"/>
          </w:tcPr>
          <w:p w14:paraId="73C64CE4" w14:textId="77777777" w:rsidR="005D05AF" w:rsidRPr="00342B5C" w:rsidRDefault="005D05AF" w:rsidP="00DA3AA0">
            <w:pPr>
              <w:spacing w:line="300" w:lineRule="auto"/>
              <w:rPr>
                <w:color w:val="auto"/>
                <w:sz w:val="16"/>
                <w:szCs w:val="16"/>
              </w:rPr>
            </w:pPr>
            <w:r w:rsidRPr="00342B5C">
              <w:rPr>
                <w:color w:val="auto"/>
                <w:sz w:val="16"/>
                <w:szCs w:val="16"/>
              </w:rPr>
              <w:t>0.95</w:t>
            </w:r>
          </w:p>
        </w:tc>
        <w:tc>
          <w:tcPr>
            <w:tcW w:w="450" w:type="pct"/>
            <w:tcBorders>
              <w:bottom w:val="single" w:sz="12" w:space="0" w:color="auto"/>
            </w:tcBorders>
            <w:shd w:val="clear" w:color="auto" w:fill="auto"/>
          </w:tcPr>
          <w:p w14:paraId="1980CC81" w14:textId="77777777" w:rsidR="005D05AF" w:rsidRPr="00342B5C" w:rsidRDefault="005D05AF" w:rsidP="00DA3AA0">
            <w:pPr>
              <w:spacing w:line="300" w:lineRule="auto"/>
              <w:rPr>
                <w:color w:val="auto"/>
                <w:sz w:val="16"/>
                <w:szCs w:val="16"/>
              </w:rPr>
            </w:pPr>
            <w:r w:rsidRPr="00342B5C">
              <w:rPr>
                <w:color w:val="auto"/>
                <w:sz w:val="16"/>
                <w:szCs w:val="16"/>
              </w:rPr>
              <w:t>0.07</w:t>
            </w:r>
          </w:p>
        </w:tc>
        <w:tc>
          <w:tcPr>
            <w:tcW w:w="387" w:type="pct"/>
            <w:tcBorders>
              <w:bottom w:val="single" w:sz="12" w:space="0" w:color="auto"/>
            </w:tcBorders>
            <w:shd w:val="clear" w:color="auto" w:fill="auto"/>
          </w:tcPr>
          <w:p w14:paraId="7D322622" w14:textId="77777777" w:rsidR="005D05AF" w:rsidRPr="00342B5C" w:rsidRDefault="005D05AF" w:rsidP="00DA3AA0">
            <w:pPr>
              <w:spacing w:line="300" w:lineRule="auto"/>
              <w:rPr>
                <w:color w:val="auto"/>
                <w:sz w:val="16"/>
                <w:szCs w:val="16"/>
              </w:rPr>
            </w:pPr>
            <w:r w:rsidRPr="00342B5C">
              <w:rPr>
                <w:color w:val="auto"/>
                <w:sz w:val="16"/>
                <w:szCs w:val="16"/>
              </w:rPr>
              <w:t>0.02</w:t>
            </w:r>
          </w:p>
        </w:tc>
      </w:tr>
    </w:tbl>
    <w:p w14:paraId="4D8A3DB5" w14:textId="43AAB5E0" w:rsidR="005D05AF" w:rsidRPr="00342B5C" w:rsidRDefault="00112BA8" w:rsidP="00112BA8">
      <w:pPr>
        <w:pStyle w:val="MDPI22heading2"/>
        <w:spacing w:before="240"/>
        <w:rPr>
          <w:color w:val="auto"/>
        </w:rPr>
      </w:pPr>
      <w:r w:rsidRPr="00342B5C">
        <w:rPr>
          <w:color w:val="auto"/>
        </w:rPr>
        <w:t xml:space="preserve">3.3. </w:t>
      </w:r>
      <w:r w:rsidR="005D05AF" w:rsidRPr="00342B5C">
        <w:rPr>
          <w:color w:val="auto"/>
        </w:rPr>
        <w:t>The Longitudinal Mediating Role of Teacher-Student Relationships Between Perceived Control and Bullying Victimization</w:t>
      </w:r>
    </w:p>
    <w:p w14:paraId="4B6E2DE8" w14:textId="2A4F6E09" w:rsidR="005D05AF" w:rsidRPr="00342B5C" w:rsidRDefault="005D05AF" w:rsidP="00112BA8">
      <w:pPr>
        <w:pStyle w:val="MDPI31text"/>
        <w:rPr>
          <w:color w:val="auto"/>
        </w:rPr>
      </w:pPr>
      <w:r w:rsidRPr="00342B5C">
        <w:rPr>
          <w:color w:val="auto"/>
        </w:rPr>
        <w:lastRenderedPageBreak/>
        <w:t xml:space="preserve">A latent variable growth model was employed to construct a mediation model of intercepts and slopes, exploring the relationship between the developmental trends of perceived control, teacher-student relationships, and bullying victimization. The results (Figure 1) demonstrated a good model fit, with </w:t>
      </w:r>
      <w:r w:rsidRPr="005971E0">
        <w:rPr>
          <w:i/>
          <w:iCs/>
          <w:color w:val="auto"/>
        </w:rPr>
        <w:sym w:font="Symbol" w:char="F063"/>
      </w:r>
      <w:r w:rsidRPr="005971E0">
        <w:rPr>
          <w:i/>
          <w:iCs/>
          <w:color w:val="auto"/>
          <w:vertAlign w:val="superscript"/>
        </w:rPr>
        <w:sym w:font="Symbol" w:char="F032"/>
      </w:r>
      <w:r w:rsidRPr="005971E0">
        <w:rPr>
          <w:i/>
          <w:iCs/>
          <w:color w:val="auto"/>
        </w:rPr>
        <w:t>/</w:t>
      </w:r>
      <w:proofErr w:type="spellStart"/>
      <w:r w:rsidRPr="005971E0">
        <w:rPr>
          <w:i/>
          <w:iCs/>
          <w:color w:val="auto"/>
        </w:rPr>
        <w:t>df</w:t>
      </w:r>
      <w:proofErr w:type="spellEnd"/>
      <w:r w:rsidRPr="00342B5C">
        <w:rPr>
          <w:color w:val="auto"/>
        </w:rPr>
        <w:t xml:space="preserve">=6.05, </w:t>
      </w:r>
      <w:r w:rsidRPr="00342B5C">
        <w:rPr>
          <w:i/>
          <w:iCs/>
          <w:color w:val="auto"/>
        </w:rPr>
        <w:t>p</w:t>
      </w:r>
      <w:r w:rsidRPr="00342B5C">
        <w:rPr>
          <w:color w:val="auto"/>
        </w:rPr>
        <w:t>&lt;0.05, CFI=0.96, TLI=0.94, RMSEA=0.07, SRMR=0.04.</w:t>
      </w:r>
      <w:r w:rsidR="00576C6B" w:rsidRPr="00576C6B">
        <w:rPr>
          <w:color w:val="auto"/>
          <w:highlight w:val="yellow"/>
        </w:rPr>
        <w:t xml:space="preserve"> After incorporating the control variables, the model fit significantly declined</w:t>
      </w:r>
      <w:r w:rsidR="00576C6B" w:rsidRPr="00576C6B">
        <w:rPr>
          <w:rFonts w:eastAsiaTheme="minorEastAsia" w:hint="eastAsia"/>
          <w:color w:val="auto"/>
          <w:highlight w:val="yellow"/>
          <w:lang w:eastAsia="zh-CN"/>
        </w:rPr>
        <w:t xml:space="preserve">, with </w:t>
      </w:r>
      <w:r w:rsidR="00576C6B" w:rsidRPr="005971E0">
        <w:rPr>
          <w:i/>
          <w:iCs/>
          <w:color w:val="auto"/>
          <w:highlight w:val="yellow"/>
        </w:rPr>
        <w:sym w:font="Symbol" w:char="F063"/>
      </w:r>
      <w:r w:rsidR="00576C6B" w:rsidRPr="005971E0">
        <w:rPr>
          <w:i/>
          <w:iCs/>
          <w:color w:val="auto"/>
          <w:highlight w:val="yellow"/>
          <w:vertAlign w:val="superscript"/>
        </w:rPr>
        <w:sym w:font="Symbol" w:char="F032"/>
      </w:r>
      <w:r w:rsidR="00576C6B" w:rsidRPr="005971E0">
        <w:rPr>
          <w:i/>
          <w:iCs/>
          <w:color w:val="auto"/>
          <w:highlight w:val="yellow"/>
        </w:rPr>
        <w:t>/</w:t>
      </w:r>
      <w:proofErr w:type="spellStart"/>
      <w:r w:rsidR="00576C6B" w:rsidRPr="005971E0">
        <w:rPr>
          <w:i/>
          <w:iCs/>
          <w:color w:val="auto"/>
          <w:highlight w:val="yellow"/>
        </w:rPr>
        <w:t>df</w:t>
      </w:r>
      <w:proofErr w:type="spellEnd"/>
      <w:r w:rsidR="00576C6B" w:rsidRPr="00576C6B">
        <w:rPr>
          <w:color w:val="auto"/>
          <w:highlight w:val="yellow"/>
        </w:rPr>
        <w:t>=</w:t>
      </w:r>
      <w:r w:rsidR="00576C6B">
        <w:rPr>
          <w:rFonts w:eastAsiaTheme="minorEastAsia" w:hint="eastAsia"/>
          <w:color w:val="auto"/>
          <w:highlight w:val="yellow"/>
          <w:lang w:eastAsia="zh-CN"/>
        </w:rPr>
        <w:t>18.68</w:t>
      </w:r>
      <w:r w:rsidR="00576C6B" w:rsidRPr="00576C6B">
        <w:rPr>
          <w:color w:val="auto"/>
          <w:highlight w:val="yellow"/>
        </w:rPr>
        <w:t xml:space="preserve">, </w:t>
      </w:r>
      <w:r w:rsidR="00576C6B" w:rsidRPr="00576C6B">
        <w:rPr>
          <w:i/>
          <w:iCs/>
          <w:color w:val="auto"/>
          <w:highlight w:val="yellow"/>
        </w:rPr>
        <w:t>p</w:t>
      </w:r>
      <w:r w:rsidR="00576C6B" w:rsidRPr="00576C6B">
        <w:rPr>
          <w:color w:val="auto"/>
          <w:highlight w:val="yellow"/>
        </w:rPr>
        <w:t>&lt;0.05, CFI=0.</w:t>
      </w:r>
      <w:r w:rsidR="00576C6B">
        <w:rPr>
          <w:rFonts w:eastAsiaTheme="minorEastAsia" w:hint="eastAsia"/>
          <w:color w:val="auto"/>
          <w:highlight w:val="yellow"/>
          <w:lang w:eastAsia="zh-CN"/>
        </w:rPr>
        <w:t>88</w:t>
      </w:r>
      <w:r w:rsidR="00576C6B" w:rsidRPr="00576C6B">
        <w:rPr>
          <w:color w:val="auto"/>
          <w:highlight w:val="yellow"/>
        </w:rPr>
        <w:t>, TLI=0.</w:t>
      </w:r>
      <w:r w:rsidR="00576C6B" w:rsidRPr="00576C6B">
        <w:rPr>
          <w:rFonts w:eastAsiaTheme="minorEastAsia" w:hint="eastAsia"/>
          <w:color w:val="auto"/>
          <w:highlight w:val="yellow"/>
          <w:lang w:eastAsia="zh-CN"/>
        </w:rPr>
        <w:t>7</w:t>
      </w:r>
      <w:r w:rsidR="00576C6B">
        <w:rPr>
          <w:rFonts w:eastAsiaTheme="minorEastAsia" w:hint="eastAsia"/>
          <w:color w:val="auto"/>
          <w:highlight w:val="yellow"/>
          <w:lang w:eastAsia="zh-CN"/>
        </w:rPr>
        <w:t>9</w:t>
      </w:r>
      <w:r w:rsidR="00576C6B" w:rsidRPr="00576C6B">
        <w:rPr>
          <w:color w:val="auto"/>
          <w:highlight w:val="yellow"/>
        </w:rPr>
        <w:t>, RMSEA=0.</w:t>
      </w:r>
      <w:r w:rsidR="00576C6B" w:rsidRPr="00576C6B">
        <w:rPr>
          <w:rFonts w:eastAsiaTheme="minorEastAsia" w:hint="eastAsia"/>
          <w:color w:val="auto"/>
          <w:highlight w:val="yellow"/>
          <w:lang w:eastAsia="zh-CN"/>
        </w:rPr>
        <w:t>1</w:t>
      </w:r>
      <w:r w:rsidR="00576C6B">
        <w:rPr>
          <w:rFonts w:eastAsiaTheme="minorEastAsia" w:hint="eastAsia"/>
          <w:color w:val="auto"/>
          <w:highlight w:val="yellow"/>
          <w:lang w:eastAsia="zh-CN"/>
        </w:rPr>
        <w:t>2</w:t>
      </w:r>
      <w:r w:rsidR="00576C6B" w:rsidRPr="00576C6B">
        <w:rPr>
          <w:color w:val="auto"/>
          <w:highlight w:val="yellow"/>
        </w:rPr>
        <w:t>, SRMR=0.0</w:t>
      </w:r>
      <w:r w:rsidR="00576C6B">
        <w:rPr>
          <w:rFonts w:eastAsiaTheme="minorEastAsia" w:hint="eastAsia"/>
          <w:color w:val="auto"/>
          <w:highlight w:val="yellow"/>
          <w:lang w:eastAsia="zh-CN"/>
        </w:rPr>
        <w:t>7</w:t>
      </w:r>
      <w:r w:rsidR="00576C6B" w:rsidRPr="00576C6B">
        <w:rPr>
          <w:color w:val="auto"/>
          <w:highlight w:val="yellow"/>
        </w:rPr>
        <w:t>.</w:t>
      </w:r>
    </w:p>
    <w:p w14:paraId="5CE3FF5C" w14:textId="5CE3CB65" w:rsidR="005D05AF" w:rsidRPr="00342B5C" w:rsidRDefault="005D05AF" w:rsidP="00112BA8">
      <w:pPr>
        <w:pStyle w:val="MDPI31text"/>
        <w:rPr>
          <w:color w:val="auto"/>
        </w:rPr>
      </w:pPr>
      <w:r w:rsidRPr="00342B5C">
        <w:rPr>
          <w:color w:val="auto"/>
        </w:rPr>
        <w:t>The intercept of perceived control positively predicted the intercept of teacher-student relationships (</w:t>
      </w:r>
      <w:r w:rsidRPr="00342B5C">
        <w:rPr>
          <w:i/>
          <w:iCs/>
          <w:color w:val="auto"/>
        </w:rPr>
        <w:t>β</w:t>
      </w:r>
      <w:r w:rsidRPr="00342B5C">
        <w:rPr>
          <w:color w:val="auto"/>
        </w:rPr>
        <w:t>=0.63, 95%</w:t>
      </w:r>
      <w:proofErr w:type="gramStart"/>
      <w:r w:rsidRPr="00342B5C">
        <w:rPr>
          <w:color w:val="auto"/>
        </w:rPr>
        <w:t>CI[</w:t>
      </w:r>
      <w:proofErr w:type="gramEnd"/>
      <w:r w:rsidRPr="00342B5C">
        <w:rPr>
          <w:color w:val="auto"/>
        </w:rPr>
        <w:t>0.56, 0.70]). It also negatively predicted the intercept of bullying victimization (</w:t>
      </w:r>
      <w:r w:rsidRPr="00342B5C">
        <w:rPr>
          <w:i/>
          <w:iCs/>
          <w:color w:val="auto"/>
        </w:rPr>
        <w:t>β</w:t>
      </w:r>
      <w:r w:rsidRPr="00342B5C">
        <w:rPr>
          <w:color w:val="auto"/>
        </w:rPr>
        <w:t xml:space="preserve">=-0.97, 95% </w:t>
      </w:r>
      <w:proofErr w:type="gramStart"/>
      <w:r w:rsidRPr="00342B5C">
        <w:rPr>
          <w:color w:val="auto"/>
        </w:rPr>
        <w:t>CI[</w:t>
      </w:r>
      <w:proofErr w:type="gramEnd"/>
      <w:r w:rsidRPr="00342B5C">
        <w:rPr>
          <w:color w:val="auto"/>
        </w:rPr>
        <w:t>-1.26, -0.74]). This means that higher initial perceived control led to better teacher-student relationships and less bullying victimization. The intercept of teacher-student relationships, however, positively predicted bullying victimization (</w:t>
      </w:r>
      <w:r w:rsidRPr="00342B5C">
        <w:rPr>
          <w:i/>
          <w:iCs/>
          <w:color w:val="auto"/>
        </w:rPr>
        <w:t>β</w:t>
      </w:r>
      <w:r w:rsidRPr="00342B5C">
        <w:rPr>
          <w:color w:val="auto"/>
        </w:rPr>
        <w:t>=0.32, 95%</w:t>
      </w:r>
      <w:proofErr w:type="gramStart"/>
      <w:r w:rsidRPr="00342B5C">
        <w:rPr>
          <w:color w:val="auto"/>
        </w:rPr>
        <w:t>CI[</w:t>
      </w:r>
      <w:proofErr w:type="gramEnd"/>
      <w:r w:rsidRPr="00342B5C">
        <w:rPr>
          <w:color w:val="auto"/>
        </w:rPr>
        <w:t xml:space="preserve">0.14, 0.63]). This suggests that better initial relationships could also increase the likelihood of bullying, with an indirect effect of 0.2. Overall, perceived control significantly reduced bullying victimization, with a net effect of -0.77. This effect was partially mediated by teacher-student relationships. The slope of perceived control did not directly predict the slope of bullying </w:t>
      </w:r>
      <w:proofErr w:type="gramStart"/>
      <w:r w:rsidRPr="00342B5C">
        <w:rPr>
          <w:color w:val="auto"/>
        </w:rPr>
        <w:t>victimization(</w:t>
      </w:r>
      <w:proofErr w:type="gramEnd"/>
      <w:r w:rsidRPr="00342B5C">
        <w:rPr>
          <w:i/>
          <w:iCs/>
          <w:color w:val="auto"/>
        </w:rPr>
        <w:t>β</w:t>
      </w:r>
      <w:r w:rsidRPr="00342B5C">
        <w:rPr>
          <w:color w:val="auto"/>
        </w:rPr>
        <w:t>=0.13, 95%CI[-0.60, 0.48]). However, it indirectly influenced it through the slope of teacher-student relationships (</w:t>
      </w:r>
      <w:r w:rsidRPr="00342B5C">
        <w:rPr>
          <w:i/>
          <w:iCs/>
          <w:color w:val="auto"/>
        </w:rPr>
        <w:t>β</w:t>
      </w:r>
      <w:r w:rsidRPr="00342B5C">
        <w:rPr>
          <w:color w:val="auto"/>
        </w:rPr>
        <w:t>=-0.23, 95%</w:t>
      </w:r>
      <w:proofErr w:type="gramStart"/>
      <w:r w:rsidRPr="00342B5C">
        <w:rPr>
          <w:color w:val="auto"/>
        </w:rPr>
        <w:t>CI[</w:t>
      </w:r>
      <w:proofErr w:type="gramEnd"/>
      <w:r w:rsidRPr="00342B5C">
        <w:rPr>
          <w:color w:val="auto"/>
        </w:rPr>
        <w:t xml:space="preserve">-0.60, -0.10]). </w:t>
      </w:r>
      <w:r w:rsidR="00F91E92" w:rsidRPr="00F91E92">
        <w:rPr>
          <w:color w:val="auto"/>
          <w:highlight w:val="yellow"/>
        </w:rPr>
        <w:t>This suggests that changes in perceived control influenced bullying by affecting changes in teacher-student relationships</w:t>
      </w:r>
      <w:r w:rsidRPr="00342B5C">
        <w:rPr>
          <w:color w:val="auto"/>
        </w:rPr>
        <w:t xml:space="preserve"> (see Table 3).</w:t>
      </w:r>
    </w:p>
    <w:p w14:paraId="31C863B5" w14:textId="77777777" w:rsidR="005D05AF" w:rsidRPr="00342B5C" w:rsidRDefault="005D05AF" w:rsidP="00112BA8">
      <w:pPr>
        <w:pStyle w:val="MDPI31text"/>
        <w:rPr>
          <w:color w:val="auto"/>
        </w:rPr>
      </w:pPr>
      <w:r w:rsidRPr="00342B5C">
        <w:rPr>
          <w:color w:val="auto"/>
        </w:rPr>
        <w:t>To explore the mediating role of teacher-student relationships further, Bootstrap resampling with 5000 samples was used. Initial perceived control had a significant direct effect on bullying victimization. Its indirect effect was 0.20, which accounted for 17.09% of the total effect. This shows that teacher-student relationships played a partial mediating role. The direct effect of changes in perceived control on bullying victimization was not significant. However, the indirect effect was 0.23. This means that the change in teacher-student relationships fully mediated the effect of changes in perceived control on bullying.</w:t>
      </w:r>
    </w:p>
    <w:p w14:paraId="6FA5F72F" w14:textId="179FDB9A" w:rsidR="005D05AF" w:rsidRPr="00342B5C" w:rsidRDefault="00112BA8" w:rsidP="00112BA8">
      <w:pPr>
        <w:pStyle w:val="MDPI41tablecaption"/>
        <w:rPr>
          <w:color w:val="auto"/>
        </w:rPr>
      </w:pPr>
      <w:r w:rsidRPr="00342B5C">
        <w:rPr>
          <w:b/>
          <w:color w:val="auto"/>
        </w:rPr>
        <w:t xml:space="preserve">Table 3. </w:t>
      </w:r>
      <w:r w:rsidR="005D05AF" w:rsidRPr="00342B5C">
        <w:rPr>
          <w:color w:val="auto"/>
        </w:rPr>
        <w:t>Analysis of mediating effects</w:t>
      </w:r>
      <w:r w:rsidRPr="00342B5C">
        <w:rPr>
          <w:color w:val="auto"/>
        </w:rPr>
        <w:t>.</w:t>
      </w:r>
    </w:p>
    <w:tbl>
      <w:tblPr>
        <w:tblW w:w="4998" w:type="pct"/>
        <w:jc w:val="center"/>
        <w:tblBorders>
          <w:top w:val="single" w:sz="12" w:space="0" w:color="auto"/>
          <w:bottom w:val="single" w:sz="12" w:space="0" w:color="auto"/>
        </w:tblBorders>
        <w:tblLook w:val="04A0" w:firstRow="1" w:lastRow="0" w:firstColumn="1" w:lastColumn="0" w:noHBand="0" w:noVBand="1"/>
      </w:tblPr>
      <w:tblGrid>
        <w:gridCol w:w="6872"/>
        <w:gridCol w:w="715"/>
        <w:gridCol w:w="651"/>
        <w:gridCol w:w="2224"/>
      </w:tblGrid>
      <w:tr w:rsidR="00342B5C" w:rsidRPr="00342B5C" w14:paraId="1FBAF1E6" w14:textId="77777777" w:rsidTr="00A831D4">
        <w:trPr>
          <w:jc w:val="center"/>
        </w:trPr>
        <w:tc>
          <w:tcPr>
            <w:tcW w:w="3283" w:type="pct"/>
            <w:tcBorders>
              <w:bottom w:val="single" w:sz="6" w:space="0" w:color="auto"/>
            </w:tcBorders>
            <w:shd w:val="clear" w:color="auto" w:fill="auto"/>
          </w:tcPr>
          <w:p w14:paraId="4D08BD82" w14:textId="77777777" w:rsidR="005D05AF" w:rsidRPr="00342B5C" w:rsidRDefault="005D05AF" w:rsidP="00DA3AA0">
            <w:pPr>
              <w:spacing w:line="300" w:lineRule="auto"/>
              <w:rPr>
                <w:color w:val="auto"/>
                <w:sz w:val="18"/>
                <w:szCs w:val="18"/>
              </w:rPr>
            </w:pPr>
            <w:r w:rsidRPr="00342B5C">
              <w:rPr>
                <w:color w:val="auto"/>
                <w:sz w:val="18"/>
                <w:szCs w:val="18"/>
              </w:rPr>
              <w:t>mediating effect</w:t>
            </w:r>
          </w:p>
        </w:tc>
        <w:tc>
          <w:tcPr>
            <w:tcW w:w="341" w:type="pct"/>
            <w:tcBorders>
              <w:bottom w:val="single" w:sz="6" w:space="0" w:color="auto"/>
            </w:tcBorders>
            <w:shd w:val="clear" w:color="auto" w:fill="auto"/>
          </w:tcPr>
          <w:p w14:paraId="635B12BE" w14:textId="77777777" w:rsidR="005D05AF" w:rsidRPr="00342B5C" w:rsidRDefault="005D05AF" w:rsidP="00DA3AA0">
            <w:pPr>
              <w:spacing w:line="300" w:lineRule="auto"/>
              <w:rPr>
                <w:i/>
                <w:color w:val="auto"/>
                <w:sz w:val="18"/>
                <w:szCs w:val="18"/>
              </w:rPr>
            </w:pPr>
            <w:r w:rsidRPr="00342B5C">
              <w:rPr>
                <w:i/>
                <w:color w:val="auto"/>
                <w:sz w:val="18"/>
                <w:szCs w:val="18"/>
              </w:rPr>
              <w:t>β</w:t>
            </w:r>
          </w:p>
        </w:tc>
        <w:tc>
          <w:tcPr>
            <w:tcW w:w="311" w:type="pct"/>
            <w:tcBorders>
              <w:bottom w:val="single" w:sz="6" w:space="0" w:color="auto"/>
            </w:tcBorders>
            <w:shd w:val="clear" w:color="auto" w:fill="auto"/>
          </w:tcPr>
          <w:p w14:paraId="37EB0028" w14:textId="77777777" w:rsidR="005D05AF" w:rsidRPr="00342B5C" w:rsidRDefault="005D05AF" w:rsidP="00DA3AA0">
            <w:pPr>
              <w:spacing w:line="300" w:lineRule="auto"/>
              <w:rPr>
                <w:i/>
                <w:color w:val="auto"/>
                <w:sz w:val="18"/>
                <w:szCs w:val="18"/>
              </w:rPr>
            </w:pPr>
            <w:r w:rsidRPr="00342B5C">
              <w:rPr>
                <w:i/>
                <w:color w:val="auto"/>
                <w:sz w:val="18"/>
                <w:szCs w:val="18"/>
              </w:rPr>
              <w:t>SE</w:t>
            </w:r>
          </w:p>
        </w:tc>
        <w:tc>
          <w:tcPr>
            <w:tcW w:w="1063" w:type="pct"/>
            <w:tcBorders>
              <w:bottom w:val="single" w:sz="6" w:space="0" w:color="auto"/>
            </w:tcBorders>
            <w:shd w:val="clear" w:color="auto" w:fill="auto"/>
          </w:tcPr>
          <w:p w14:paraId="4D71BF0B" w14:textId="77777777" w:rsidR="005D05AF" w:rsidRPr="00342B5C" w:rsidRDefault="005D05AF" w:rsidP="00DA3AA0">
            <w:pPr>
              <w:spacing w:line="300" w:lineRule="auto"/>
              <w:rPr>
                <w:color w:val="auto"/>
                <w:sz w:val="18"/>
                <w:szCs w:val="18"/>
              </w:rPr>
            </w:pPr>
            <w:r w:rsidRPr="00342B5C">
              <w:rPr>
                <w:color w:val="auto"/>
                <w:sz w:val="18"/>
                <w:szCs w:val="18"/>
              </w:rPr>
              <w:t>95% Confidence interval</w:t>
            </w:r>
          </w:p>
        </w:tc>
      </w:tr>
      <w:tr w:rsidR="00342B5C" w:rsidRPr="00342B5C" w14:paraId="57B3A551" w14:textId="77777777" w:rsidTr="00A831D4">
        <w:trPr>
          <w:jc w:val="center"/>
        </w:trPr>
        <w:tc>
          <w:tcPr>
            <w:tcW w:w="3283" w:type="pct"/>
            <w:tcBorders>
              <w:top w:val="single" w:sz="6" w:space="0" w:color="auto"/>
            </w:tcBorders>
            <w:shd w:val="clear" w:color="auto" w:fill="auto"/>
          </w:tcPr>
          <w:p w14:paraId="61DEC36B" w14:textId="77777777" w:rsidR="005D05AF" w:rsidRPr="00342B5C" w:rsidRDefault="005D05AF" w:rsidP="00DA3AA0">
            <w:pPr>
              <w:spacing w:line="300" w:lineRule="auto"/>
              <w:rPr>
                <w:color w:val="auto"/>
                <w:sz w:val="18"/>
                <w:szCs w:val="18"/>
              </w:rPr>
            </w:pPr>
            <w:r w:rsidRPr="00342B5C">
              <w:rPr>
                <w:color w:val="auto"/>
                <w:sz w:val="18"/>
                <w:szCs w:val="18"/>
              </w:rPr>
              <w:t xml:space="preserve">Intercept: Perceived control </w:t>
            </w:r>
            <w:r w:rsidRPr="00342B5C">
              <w:rPr>
                <w:rFonts w:ascii="Times New Roman" w:hAnsi="Times New Roman"/>
                <w:color w:val="auto"/>
                <w:sz w:val="18"/>
                <w:szCs w:val="18"/>
              </w:rPr>
              <w:t>→</w:t>
            </w:r>
            <w:r w:rsidRPr="00342B5C">
              <w:rPr>
                <w:color w:val="auto"/>
                <w:sz w:val="18"/>
                <w:szCs w:val="18"/>
              </w:rPr>
              <w:t xml:space="preserve"> teacher-student relationships</w:t>
            </w:r>
            <w:r w:rsidRPr="00342B5C">
              <w:rPr>
                <w:rFonts w:ascii="Times New Roman" w:hAnsi="Times New Roman"/>
                <w:color w:val="auto"/>
                <w:sz w:val="18"/>
                <w:szCs w:val="18"/>
              </w:rPr>
              <w:t>→</w:t>
            </w:r>
            <w:r w:rsidRPr="00342B5C">
              <w:rPr>
                <w:color w:val="auto"/>
                <w:sz w:val="18"/>
                <w:szCs w:val="18"/>
              </w:rPr>
              <w:t xml:space="preserve"> Bullying victimization</w:t>
            </w:r>
          </w:p>
        </w:tc>
        <w:tc>
          <w:tcPr>
            <w:tcW w:w="341" w:type="pct"/>
            <w:tcBorders>
              <w:top w:val="single" w:sz="6" w:space="0" w:color="auto"/>
            </w:tcBorders>
            <w:shd w:val="clear" w:color="auto" w:fill="auto"/>
          </w:tcPr>
          <w:p w14:paraId="39FBC8EC" w14:textId="77777777" w:rsidR="005D05AF" w:rsidRPr="00342B5C" w:rsidRDefault="005D05AF" w:rsidP="00DA3AA0">
            <w:pPr>
              <w:spacing w:line="300" w:lineRule="auto"/>
              <w:rPr>
                <w:color w:val="auto"/>
                <w:sz w:val="18"/>
                <w:szCs w:val="18"/>
              </w:rPr>
            </w:pPr>
            <w:r w:rsidRPr="00342B5C">
              <w:rPr>
                <w:color w:val="auto"/>
                <w:sz w:val="18"/>
                <w:szCs w:val="18"/>
              </w:rPr>
              <w:t>0.20</w:t>
            </w:r>
          </w:p>
        </w:tc>
        <w:tc>
          <w:tcPr>
            <w:tcW w:w="311" w:type="pct"/>
            <w:tcBorders>
              <w:top w:val="single" w:sz="6" w:space="0" w:color="auto"/>
            </w:tcBorders>
            <w:shd w:val="clear" w:color="auto" w:fill="auto"/>
          </w:tcPr>
          <w:p w14:paraId="0B57D28A" w14:textId="77777777" w:rsidR="005D05AF" w:rsidRPr="00342B5C" w:rsidRDefault="005D05AF" w:rsidP="00DA3AA0">
            <w:pPr>
              <w:spacing w:line="300" w:lineRule="auto"/>
              <w:rPr>
                <w:color w:val="auto"/>
                <w:sz w:val="18"/>
                <w:szCs w:val="18"/>
              </w:rPr>
            </w:pPr>
            <w:r w:rsidRPr="00342B5C">
              <w:rPr>
                <w:color w:val="auto"/>
                <w:sz w:val="18"/>
                <w:szCs w:val="18"/>
              </w:rPr>
              <w:t>0.10</w:t>
            </w:r>
          </w:p>
        </w:tc>
        <w:tc>
          <w:tcPr>
            <w:tcW w:w="1063" w:type="pct"/>
            <w:tcBorders>
              <w:top w:val="single" w:sz="6" w:space="0" w:color="auto"/>
            </w:tcBorders>
            <w:shd w:val="clear" w:color="auto" w:fill="auto"/>
          </w:tcPr>
          <w:p w14:paraId="4334B294" w14:textId="77777777" w:rsidR="005D05AF" w:rsidRPr="00342B5C" w:rsidRDefault="005D05AF" w:rsidP="00DA3AA0">
            <w:pPr>
              <w:spacing w:line="300" w:lineRule="auto"/>
              <w:rPr>
                <w:color w:val="auto"/>
                <w:sz w:val="18"/>
                <w:szCs w:val="18"/>
              </w:rPr>
            </w:pPr>
            <w:r w:rsidRPr="00342B5C">
              <w:rPr>
                <w:color w:val="auto"/>
                <w:sz w:val="18"/>
                <w:szCs w:val="18"/>
              </w:rPr>
              <w:t>[0.07</w:t>
            </w:r>
            <w:r w:rsidRPr="00342B5C">
              <w:rPr>
                <w:color w:val="auto"/>
                <w:sz w:val="18"/>
                <w:szCs w:val="18"/>
              </w:rPr>
              <w:t>，</w:t>
            </w:r>
            <w:r w:rsidRPr="00342B5C">
              <w:rPr>
                <w:color w:val="auto"/>
                <w:sz w:val="18"/>
                <w:szCs w:val="18"/>
              </w:rPr>
              <w:t>0.45]</w:t>
            </w:r>
          </w:p>
        </w:tc>
      </w:tr>
      <w:tr w:rsidR="00342B5C" w:rsidRPr="00342B5C" w14:paraId="35FC58EC" w14:textId="77777777" w:rsidTr="00A831D4">
        <w:trPr>
          <w:jc w:val="center"/>
        </w:trPr>
        <w:tc>
          <w:tcPr>
            <w:tcW w:w="3283" w:type="pct"/>
            <w:tcBorders>
              <w:bottom w:val="single" w:sz="12" w:space="0" w:color="auto"/>
            </w:tcBorders>
            <w:shd w:val="clear" w:color="auto" w:fill="auto"/>
          </w:tcPr>
          <w:p w14:paraId="21D9EE31" w14:textId="77777777" w:rsidR="005D05AF" w:rsidRPr="00342B5C" w:rsidRDefault="005D05AF" w:rsidP="00DA3AA0">
            <w:pPr>
              <w:spacing w:line="300" w:lineRule="auto"/>
              <w:rPr>
                <w:color w:val="auto"/>
                <w:sz w:val="18"/>
                <w:szCs w:val="18"/>
              </w:rPr>
            </w:pPr>
            <w:r w:rsidRPr="00342B5C">
              <w:rPr>
                <w:color w:val="auto"/>
                <w:sz w:val="18"/>
                <w:szCs w:val="18"/>
              </w:rPr>
              <w:t xml:space="preserve">Slope: Perceived control </w:t>
            </w:r>
            <w:r w:rsidRPr="00342B5C">
              <w:rPr>
                <w:rFonts w:ascii="Times New Roman" w:hAnsi="Times New Roman"/>
                <w:color w:val="auto"/>
                <w:sz w:val="18"/>
                <w:szCs w:val="18"/>
              </w:rPr>
              <w:t>→</w:t>
            </w:r>
            <w:r w:rsidRPr="00342B5C">
              <w:rPr>
                <w:color w:val="auto"/>
                <w:sz w:val="18"/>
                <w:szCs w:val="18"/>
              </w:rPr>
              <w:t xml:space="preserve"> teacher-student relationships</w:t>
            </w:r>
            <w:r w:rsidRPr="00342B5C">
              <w:rPr>
                <w:rFonts w:ascii="Times New Roman" w:hAnsi="Times New Roman"/>
                <w:color w:val="auto"/>
                <w:sz w:val="18"/>
                <w:szCs w:val="18"/>
              </w:rPr>
              <w:t>→</w:t>
            </w:r>
            <w:r w:rsidRPr="00342B5C">
              <w:rPr>
                <w:color w:val="auto"/>
                <w:sz w:val="18"/>
                <w:szCs w:val="18"/>
              </w:rPr>
              <w:t xml:space="preserve"> Bullying victimization</w:t>
            </w:r>
          </w:p>
        </w:tc>
        <w:tc>
          <w:tcPr>
            <w:tcW w:w="341" w:type="pct"/>
            <w:shd w:val="clear" w:color="auto" w:fill="auto"/>
          </w:tcPr>
          <w:p w14:paraId="40939881" w14:textId="77777777" w:rsidR="005D05AF" w:rsidRPr="00342B5C" w:rsidRDefault="005D05AF" w:rsidP="00DA3AA0">
            <w:pPr>
              <w:spacing w:line="300" w:lineRule="auto"/>
              <w:rPr>
                <w:color w:val="auto"/>
                <w:sz w:val="18"/>
                <w:szCs w:val="18"/>
              </w:rPr>
            </w:pPr>
            <w:r w:rsidRPr="00342B5C">
              <w:rPr>
                <w:color w:val="auto"/>
                <w:sz w:val="18"/>
                <w:szCs w:val="18"/>
              </w:rPr>
              <w:t>-0.23</w:t>
            </w:r>
          </w:p>
        </w:tc>
        <w:tc>
          <w:tcPr>
            <w:tcW w:w="311" w:type="pct"/>
            <w:shd w:val="clear" w:color="auto" w:fill="auto"/>
          </w:tcPr>
          <w:p w14:paraId="794E6A5F" w14:textId="77777777" w:rsidR="005D05AF" w:rsidRPr="00342B5C" w:rsidRDefault="005D05AF" w:rsidP="00DA3AA0">
            <w:pPr>
              <w:spacing w:line="300" w:lineRule="auto"/>
              <w:rPr>
                <w:color w:val="auto"/>
                <w:sz w:val="18"/>
                <w:szCs w:val="18"/>
              </w:rPr>
            </w:pPr>
            <w:r w:rsidRPr="00342B5C">
              <w:rPr>
                <w:color w:val="auto"/>
                <w:sz w:val="18"/>
                <w:szCs w:val="18"/>
              </w:rPr>
              <w:t>0.52</w:t>
            </w:r>
          </w:p>
        </w:tc>
        <w:tc>
          <w:tcPr>
            <w:tcW w:w="1063" w:type="pct"/>
            <w:shd w:val="clear" w:color="auto" w:fill="auto"/>
          </w:tcPr>
          <w:p w14:paraId="5053B2BA" w14:textId="77777777" w:rsidR="005D05AF" w:rsidRPr="00342B5C" w:rsidRDefault="005D05AF" w:rsidP="00DA3AA0">
            <w:pPr>
              <w:spacing w:line="300" w:lineRule="auto"/>
              <w:rPr>
                <w:color w:val="auto"/>
                <w:sz w:val="18"/>
                <w:szCs w:val="18"/>
              </w:rPr>
            </w:pPr>
            <w:r w:rsidRPr="00342B5C">
              <w:rPr>
                <w:color w:val="auto"/>
                <w:sz w:val="18"/>
                <w:szCs w:val="18"/>
              </w:rPr>
              <w:t>[-0.60</w:t>
            </w:r>
            <w:r w:rsidRPr="00342B5C">
              <w:rPr>
                <w:color w:val="auto"/>
                <w:sz w:val="18"/>
                <w:szCs w:val="18"/>
              </w:rPr>
              <w:t>，</w:t>
            </w:r>
            <w:r w:rsidRPr="00342B5C">
              <w:rPr>
                <w:color w:val="auto"/>
                <w:sz w:val="18"/>
                <w:szCs w:val="18"/>
              </w:rPr>
              <w:t>-0.10]</w:t>
            </w:r>
          </w:p>
        </w:tc>
      </w:tr>
    </w:tbl>
    <w:p w14:paraId="2CEC16EC" w14:textId="70215B1E" w:rsidR="005D05AF" w:rsidRPr="00342B5C" w:rsidRDefault="005D05AF" w:rsidP="00A831D4">
      <w:pPr>
        <w:pStyle w:val="MDPI52figure"/>
        <w:rPr>
          <w:color w:val="auto"/>
        </w:rPr>
      </w:pPr>
      <w:r w:rsidRPr="00342B5C">
        <w:rPr>
          <w:noProof/>
          <w:color w:val="auto"/>
        </w:rPr>
        <w:lastRenderedPageBreak/>
        <w:drawing>
          <wp:inline distT="0" distB="0" distL="0" distR="0" wp14:anchorId="7D36A623" wp14:editId="5217A4FD">
            <wp:extent cx="5289550" cy="3016250"/>
            <wp:effectExtent l="0" t="0" r="6350" b="0"/>
            <wp:docPr id="1156053164" name="Picture 1" descr="fig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figure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9550" cy="3016250"/>
                    </a:xfrm>
                    <a:prstGeom prst="rect">
                      <a:avLst/>
                    </a:prstGeom>
                    <a:noFill/>
                    <a:ln>
                      <a:noFill/>
                    </a:ln>
                  </pic:spPr>
                </pic:pic>
              </a:graphicData>
            </a:graphic>
          </wp:inline>
        </w:drawing>
      </w:r>
    </w:p>
    <w:p w14:paraId="7838369F" w14:textId="61DABCAE" w:rsidR="005D05AF" w:rsidRPr="00342B5C" w:rsidRDefault="00A831D4" w:rsidP="00A831D4">
      <w:pPr>
        <w:pStyle w:val="MDPI21heading1"/>
        <w:rPr>
          <w:color w:val="auto"/>
        </w:rPr>
      </w:pPr>
      <w:r w:rsidRPr="00342B5C">
        <w:rPr>
          <w:color w:val="auto"/>
        </w:rPr>
        <w:t xml:space="preserve">4. </w:t>
      </w:r>
      <w:r w:rsidR="005D05AF" w:rsidRPr="00342B5C">
        <w:rPr>
          <w:color w:val="auto"/>
        </w:rPr>
        <w:t>Discussion</w:t>
      </w:r>
    </w:p>
    <w:p w14:paraId="1F945844" w14:textId="6C44445B" w:rsidR="005D05AF" w:rsidRPr="00342B5C" w:rsidRDefault="005D05AF" w:rsidP="00A831D4">
      <w:pPr>
        <w:pStyle w:val="MDPI31text"/>
        <w:rPr>
          <w:color w:val="auto"/>
        </w:rPr>
      </w:pPr>
      <w:r w:rsidRPr="006B5BC4">
        <w:rPr>
          <w:color w:val="auto"/>
          <w:highlight w:val="yellow"/>
        </w:rPr>
        <w:t xml:space="preserve">This study, </w:t>
      </w:r>
      <w:r w:rsidR="006B5BC4" w:rsidRPr="006B5BC4">
        <w:rPr>
          <w:rFonts w:eastAsiaTheme="minorEastAsia" w:hint="eastAsia"/>
          <w:color w:val="auto"/>
          <w:highlight w:val="yellow"/>
          <w:lang w:eastAsia="zh-CN"/>
        </w:rPr>
        <w:t>conducted over</w:t>
      </w:r>
      <w:r w:rsidRPr="006B5BC4">
        <w:rPr>
          <w:color w:val="auto"/>
          <w:highlight w:val="yellow"/>
        </w:rPr>
        <w:t xml:space="preserve"> year</w:t>
      </w:r>
      <w:r w:rsidR="006B5BC4" w:rsidRPr="006B5BC4">
        <w:rPr>
          <w:rFonts w:eastAsiaTheme="minorEastAsia" w:hint="eastAsia"/>
          <w:color w:val="auto"/>
          <w:highlight w:val="yellow"/>
          <w:lang w:eastAsia="zh-CN"/>
        </w:rPr>
        <w:t xml:space="preserve"> with </w:t>
      </w:r>
      <w:r w:rsidRPr="006B5BC4">
        <w:rPr>
          <w:color w:val="auto"/>
          <w:highlight w:val="yellow"/>
        </w:rPr>
        <w:t>three</w:t>
      </w:r>
      <w:r w:rsidR="006B5BC4" w:rsidRPr="006B5BC4">
        <w:rPr>
          <w:rFonts w:eastAsiaTheme="minorEastAsia" w:hint="eastAsia"/>
          <w:color w:val="auto"/>
          <w:highlight w:val="yellow"/>
          <w:lang w:eastAsia="zh-CN"/>
        </w:rPr>
        <w:t xml:space="preserve"> </w:t>
      </w:r>
      <w:r w:rsidRPr="006B5BC4">
        <w:rPr>
          <w:color w:val="auto"/>
          <w:highlight w:val="yellow"/>
        </w:rPr>
        <w:t>wave</w:t>
      </w:r>
      <w:r w:rsidR="006B5BC4" w:rsidRPr="006B5BC4">
        <w:rPr>
          <w:rFonts w:eastAsiaTheme="minorEastAsia" w:hint="eastAsia"/>
          <w:color w:val="auto"/>
          <w:highlight w:val="yellow"/>
          <w:lang w:eastAsia="zh-CN"/>
        </w:rPr>
        <w:t>s of</w:t>
      </w:r>
      <w:r w:rsidRPr="006B5BC4">
        <w:rPr>
          <w:color w:val="auto"/>
          <w:highlight w:val="yellow"/>
        </w:rPr>
        <w:t xml:space="preserve"> longitudinal tracking, </w:t>
      </w:r>
      <w:r w:rsidR="006B5BC4" w:rsidRPr="006B5BC4">
        <w:rPr>
          <w:rFonts w:eastAsiaTheme="minorEastAsia" w:hint="eastAsia"/>
          <w:color w:val="auto"/>
          <w:highlight w:val="yellow"/>
          <w:lang w:eastAsia="zh-CN"/>
        </w:rPr>
        <w:t>found</w:t>
      </w:r>
      <w:r w:rsidRPr="006B5BC4">
        <w:rPr>
          <w:color w:val="auto"/>
          <w:highlight w:val="yellow"/>
        </w:rPr>
        <w:t xml:space="preserve"> that perceived control and teacher-student relationships </w:t>
      </w:r>
      <w:r w:rsidR="006B5BC4" w:rsidRPr="006B5BC4">
        <w:rPr>
          <w:rFonts w:eastAsiaTheme="minorEastAsia" w:hint="eastAsia"/>
          <w:color w:val="auto"/>
          <w:highlight w:val="yellow"/>
          <w:lang w:eastAsia="zh-CN"/>
        </w:rPr>
        <w:t>showed</w:t>
      </w:r>
      <w:r w:rsidRPr="006B5BC4">
        <w:rPr>
          <w:color w:val="auto"/>
          <w:highlight w:val="yellow"/>
        </w:rPr>
        <w:t xml:space="preserve"> a linear increas</w:t>
      </w:r>
      <w:r w:rsidR="006B5BC4" w:rsidRPr="006B5BC4">
        <w:rPr>
          <w:rFonts w:eastAsiaTheme="minorEastAsia" w:hint="eastAsia"/>
          <w:color w:val="auto"/>
          <w:highlight w:val="yellow"/>
          <w:lang w:eastAsia="zh-CN"/>
        </w:rPr>
        <w:t>e</w:t>
      </w:r>
      <w:r w:rsidRPr="006B5BC4">
        <w:rPr>
          <w:color w:val="auto"/>
          <w:highlight w:val="yellow"/>
        </w:rPr>
        <w:t xml:space="preserve"> over time, while bullying victimization decreas</w:t>
      </w:r>
      <w:r w:rsidR="006B5BC4" w:rsidRPr="006B5BC4">
        <w:rPr>
          <w:rFonts w:eastAsiaTheme="minorEastAsia" w:hint="eastAsia"/>
          <w:color w:val="auto"/>
          <w:highlight w:val="yellow"/>
          <w:lang w:eastAsia="zh-CN"/>
        </w:rPr>
        <w:t>ed</w:t>
      </w:r>
      <w:r w:rsidRPr="006B5BC4">
        <w:rPr>
          <w:color w:val="auto"/>
          <w:highlight w:val="yellow"/>
        </w:rPr>
        <w:t>.</w:t>
      </w:r>
      <w:r w:rsidRPr="00342B5C">
        <w:rPr>
          <w:color w:val="auto"/>
        </w:rPr>
        <w:t xml:space="preserve"> The initial level of perceived control significantly predicted the initial level of bullying victimization and indirectly influenced it through the initial level of teacher-student relationships. </w:t>
      </w:r>
      <w:r w:rsidRPr="006B5BC4">
        <w:rPr>
          <w:color w:val="auto"/>
          <w:highlight w:val="yellow"/>
        </w:rPr>
        <w:t xml:space="preserve">The increasing trend </w:t>
      </w:r>
      <w:r w:rsidR="006B5BC4" w:rsidRPr="006B5BC4">
        <w:rPr>
          <w:rFonts w:eastAsiaTheme="minorEastAsia" w:hint="eastAsia"/>
          <w:color w:val="auto"/>
          <w:highlight w:val="yellow"/>
          <w:lang w:eastAsia="zh-CN"/>
        </w:rPr>
        <w:t xml:space="preserve">in </w:t>
      </w:r>
      <w:r w:rsidRPr="006B5BC4">
        <w:rPr>
          <w:color w:val="auto"/>
          <w:highlight w:val="yellow"/>
        </w:rPr>
        <w:t xml:space="preserve">perceived control </w:t>
      </w:r>
      <w:r w:rsidR="006B5BC4" w:rsidRPr="006B5BC4">
        <w:rPr>
          <w:rFonts w:eastAsiaTheme="minorEastAsia" w:hint="eastAsia"/>
          <w:color w:val="auto"/>
          <w:highlight w:val="yellow"/>
          <w:lang w:eastAsia="zh-CN"/>
        </w:rPr>
        <w:t xml:space="preserve">also </w:t>
      </w:r>
      <w:r w:rsidRPr="006B5BC4">
        <w:rPr>
          <w:color w:val="auto"/>
          <w:highlight w:val="yellow"/>
        </w:rPr>
        <w:t xml:space="preserve">indirectly </w:t>
      </w:r>
      <w:r w:rsidR="006B5BC4" w:rsidRPr="006B5BC4">
        <w:rPr>
          <w:color w:val="auto"/>
          <w:highlight w:val="yellow"/>
        </w:rPr>
        <w:t>contributed to the decreasing trend in bullying victimization, but only through the improving teacher-student relationships.</w:t>
      </w:r>
      <w:r w:rsidRPr="00342B5C">
        <w:rPr>
          <w:color w:val="auto"/>
        </w:rPr>
        <w:t xml:space="preserve"> This suggest</w:t>
      </w:r>
      <w:r w:rsidR="006B5BC4">
        <w:rPr>
          <w:rFonts w:eastAsiaTheme="minorEastAsia" w:hint="eastAsia"/>
          <w:color w:val="auto"/>
          <w:lang w:eastAsia="zh-CN"/>
        </w:rPr>
        <w:t>s</w:t>
      </w:r>
      <w:r w:rsidRPr="00342B5C">
        <w:rPr>
          <w:color w:val="auto"/>
        </w:rPr>
        <w:t xml:space="preserve"> that adolescents with initially higher perceived control are less likely to experience bullying victimization. However, </w:t>
      </w:r>
      <w:r w:rsidRPr="006B5BC4">
        <w:rPr>
          <w:color w:val="auto"/>
          <w:highlight w:val="yellow"/>
        </w:rPr>
        <w:t>better teacher-student relationships</w:t>
      </w:r>
      <w:r w:rsidR="006B5BC4" w:rsidRPr="006B5BC4">
        <w:rPr>
          <w:rFonts w:eastAsiaTheme="minorEastAsia" w:hint="eastAsia"/>
          <w:color w:val="auto"/>
          <w:highlight w:val="yellow"/>
          <w:lang w:eastAsia="zh-CN"/>
        </w:rPr>
        <w:t xml:space="preserve"> at the outset</w:t>
      </w:r>
      <w:r w:rsidRPr="006B5BC4">
        <w:rPr>
          <w:color w:val="auto"/>
          <w:highlight w:val="yellow"/>
        </w:rPr>
        <w:t xml:space="preserve"> </w:t>
      </w:r>
      <w:r w:rsidR="006B5BC4" w:rsidRPr="006B5BC4">
        <w:rPr>
          <w:rFonts w:eastAsiaTheme="minorEastAsia" w:hint="eastAsia"/>
          <w:color w:val="auto"/>
          <w:highlight w:val="yellow"/>
          <w:lang w:eastAsia="zh-CN"/>
        </w:rPr>
        <w:t xml:space="preserve">were associated with a higher risk of </w:t>
      </w:r>
      <w:r w:rsidRPr="006B5BC4">
        <w:rPr>
          <w:color w:val="auto"/>
          <w:highlight w:val="yellow"/>
        </w:rPr>
        <w:t>bullying.</w:t>
      </w:r>
      <w:r w:rsidRPr="00342B5C">
        <w:rPr>
          <w:color w:val="auto"/>
        </w:rPr>
        <w:t xml:space="preserve"> </w:t>
      </w:r>
      <w:r w:rsidR="009253A3" w:rsidRPr="009253A3">
        <w:rPr>
          <w:rFonts w:eastAsiaTheme="minorEastAsia"/>
          <w:color w:val="auto"/>
          <w:highlight w:val="yellow"/>
          <w:lang w:eastAsia="zh-CN"/>
        </w:rPr>
        <w:t>O</w:t>
      </w:r>
      <w:r w:rsidR="009253A3" w:rsidRPr="009253A3">
        <w:rPr>
          <w:rFonts w:eastAsiaTheme="minorEastAsia" w:hint="eastAsia"/>
          <w:color w:val="auto"/>
          <w:highlight w:val="yellow"/>
          <w:lang w:eastAsia="zh-CN"/>
        </w:rPr>
        <w:t>ver time</w:t>
      </w:r>
      <w:r w:rsidRPr="009253A3">
        <w:rPr>
          <w:color w:val="auto"/>
          <w:highlight w:val="yellow"/>
        </w:rPr>
        <w:t xml:space="preserve">, adolescents' perceived control strengthens, </w:t>
      </w:r>
      <w:r w:rsidR="009253A3" w:rsidRPr="009253A3">
        <w:rPr>
          <w:rFonts w:eastAsiaTheme="minorEastAsia" w:hint="eastAsia"/>
          <w:color w:val="auto"/>
          <w:highlight w:val="yellow"/>
          <w:lang w:eastAsia="zh-CN"/>
        </w:rPr>
        <w:t>leading</w:t>
      </w:r>
      <w:r w:rsidRPr="009253A3">
        <w:rPr>
          <w:color w:val="auto"/>
          <w:highlight w:val="yellow"/>
        </w:rPr>
        <w:t xml:space="preserve"> </w:t>
      </w:r>
      <w:r w:rsidR="009253A3" w:rsidRPr="009253A3">
        <w:rPr>
          <w:rFonts w:eastAsiaTheme="minorEastAsia" w:hint="eastAsia"/>
          <w:color w:val="auto"/>
          <w:highlight w:val="yellow"/>
          <w:lang w:eastAsia="zh-CN"/>
        </w:rPr>
        <w:t>to improved teacher-student relationships, which in turn further reduced the likelihood of bullying victimization</w:t>
      </w:r>
      <w:r w:rsidRPr="009253A3">
        <w:rPr>
          <w:color w:val="auto"/>
          <w:highlight w:val="yellow"/>
        </w:rPr>
        <w:t>.</w:t>
      </w:r>
    </w:p>
    <w:p w14:paraId="190AEEC4" w14:textId="2E46CF8C" w:rsidR="005D05AF" w:rsidRPr="00342B5C" w:rsidRDefault="00A831D4" w:rsidP="00A831D4">
      <w:pPr>
        <w:pStyle w:val="MDPI22heading2"/>
        <w:spacing w:before="240"/>
        <w:rPr>
          <w:color w:val="auto"/>
        </w:rPr>
      </w:pPr>
      <w:r w:rsidRPr="00342B5C">
        <w:rPr>
          <w:color w:val="auto"/>
        </w:rPr>
        <w:t xml:space="preserve">4.1. </w:t>
      </w:r>
      <w:r w:rsidR="005D05AF" w:rsidRPr="00342B5C">
        <w:rPr>
          <w:color w:val="auto"/>
        </w:rPr>
        <w:t>The Developmental Trajectories of Early Adolescent Perceived Control, Teacher-Student Relationships, and Bullying Victimization</w:t>
      </w:r>
    </w:p>
    <w:p w14:paraId="44386D64" w14:textId="77777777" w:rsidR="00EF1A7E" w:rsidRDefault="005D05AF" w:rsidP="00A831D4">
      <w:pPr>
        <w:pStyle w:val="MDPI31text"/>
        <w:rPr>
          <w:rFonts w:eastAsiaTheme="minorEastAsia"/>
          <w:color w:val="auto"/>
          <w:lang w:eastAsia="zh-CN"/>
        </w:rPr>
      </w:pPr>
      <w:r w:rsidRPr="00342B5C">
        <w:rPr>
          <w:color w:val="auto"/>
        </w:rPr>
        <w:t xml:space="preserve">This study found that perceived control exhibited a linear </w:t>
      </w:r>
      <w:r w:rsidR="00825F24">
        <w:rPr>
          <w:rFonts w:eastAsiaTheme="minorEastAsia" w:hint="eastAsia"/>
          <w:color w:val="auto"/>
          <w:lang w:eastAsia="zh-CN"/>
        </w:rPr>
        <w:t>increasing</w:t>
      </w:r>
      <w:r w:rsidRPr="00342B5C">
        <w:rPr>
          <w:color w:val="auto"/>
        </w:rPr>
        <w:t xml:space="preserve"> trend over time, </w:t>
      </w:r>
      <w:r w:rsidR="00825F24" w:rsidRPr="00825F24">
        <w:rPr>
          <w:rFonts w:eastAsiaTheme="minorEastAsia" w:hint="eastAsia"/>
          <w:color w:val="auto"/>
          <w:highlight w:val="yellow"/>
          <w:lang w:eastAsia="zh-CN"/>
        </w:rPr>
        <w:t>suggest</w:t>
      </w:r>
      <w:r w:rsidRPr="00825F24">
        <w:rPr>
          <w:color w:val="auto"/>
          <w:highlight w:val="yellow"/>
        </w:rPr>
        <w:t>ing</w:t>
      </w:r>
      <w:r w:rsidR="00825F24" w:rsidRPr="00825F24">
        <w:rPr>
          <w:rFonts w:eastAsiaTheme="minorEastAsia" w:hint="eastAsia"/>
          <w:color w:val="auto"/>
          <w:highlight w:val="yellow"/>
          <w:lang w:eastAsia="zh-CN"/>
        </w:rPr>
        <w:t xml:space="preserve"> that</w:t>
      </w:r>
      <w:r w:rsidRPr="00825F24">
        <w:rPr>
          <w:color w:val="auto"/>
          <w:highlight w:val="yellow"/>
        </w:rPr>
        <w:t xml:space="preserve"> </w:t>
      </w:r>
      <w:r w:rsidR="00825F24" w:rsidRPr="00825F24">
        <w:rPr>
          <w:color w:val="auto"/>
          <w:highlight w:val="yellow"/>
        </w:rPr>
        <w:t>adolescents'</w:t>
      </w:r>
      <w:r w:rsidRPr="00825F24">
        <w:rPr>
          <w:color w:val="auto"/>
          <w:highlight w:val="yellow"/>
        </w:rPr>
        <w:t xml:space="preserve"> perceived control </w:t>
      </w:r>
      <w:r w:rsidR="00825F24" w:rsidRPr="00825F24">
        <w:rPr>
          <w:color w:val="auto"/>
          <w:highlight w:val="yellow"/>
        </w:rPr>
        <w:t>strengthens as they progress through early adolescence</w:t>
      </w:r>
      <w:r w:rsidRPr="00825F24">
        <w:rPr>
          <w:color w:val="auto"/>
          <w:highlight w:val="yellow"/>
        </w:rPr>
        <w:t>.</w:t>
      </w:r>
      <w:r w:rsidRPr="00342B5C">
        <w:rPr>
          <w:color w:val="auto"/>
        </w:rPr>
        <w:t xml:space="preserve"> </w:t>
      </w:r>
      <w:r w:rsidR="00825F24" w:rsidRPr="00825F24">
        <w:rPr>
          <w:color w:val="auto"/>
          <w:highlight w:val="yellow"/>
        </w:rPr>
        <w:t>This finding can be understood from a developmental perspective, considering the significant cognitive, emotional, and social changes that occur during this stage of life</w:t>
      </w:r>
      <w:r w:rsidR="00825F24" w:rsidRPr="00825F24">
        <w:rPr>
          <w:rFonts w:eastAsiaTheme="minorEastAsia" w:hint="eastAsia"/>
          <w:color w:val="auto"/>
          <w:highlight w:val="yellow"/>
          <w:lang w:eastAsia="zh-CN"/>
        </w:rPr>
        <w:t xml:space="preserve"> [2]</w:t>
      </w:r>
      <w:r w:rsidR="00825F24" w:rsidRPr="00825F24">
        <w:rPr>
          <w:color w:val="auto"/>
          <w:highlight w:val="yellow"/>
        </w:rPr>
        <w:t>.</w:t>
      </w:r>
      <w:r w:rsidR="00825F24">
        <w:rPr>
          <w:rFonts w:eastAsiaTheme="minorEastAsia" w:hint="eastAsia"/>
          <w:color w:val="auto"/>
          <w:lang w:eastAsia="zh-CN"/>
        </w:rPr>
        <w:t xml:space="preserve"> </w:t>
      </w:r>
      <w:r w:rsidR="00825F24" w:rsidRPr="00825F24">
        <w:rPr>
          <w:color w:val="auto"/>
          <w:highlight w:val="yellow"/>
        </w:rPr>
        <w:t>As adolescents' self-awareness matures, they develop a better understanding of their surroundings and the factors influencing their lives, which in turn enhances their perception of control</w:t>
      </w:r>
      <w:r w:rsidR="00825F24" w:rsidRPr="00825F24">
        <w:rPr>
          <w:color w:val="auto"/>
        </w:rPr>
        <w:t xml:space="preserve"> </w:t>
      </w:r>
      <w:r w:rsidRPr="00342B5C">
        <w:rPr>
          <w:color w:val="auto"/>
        </w:rPr>
        <w:t xml:space="preserve">[42]. </w:t>
      </w:r>
      <w:r w:rsidRPr="00825F24">
        <w:rPr>
          <w:color w:val="auto"/>
          <w:highlight w:val="yellow"/>
        </w:rPr>
        <w:t>Cognitive advances, such as improved executive functioning</w:t>
      </w:r>
      <w:r w:rsidR="00825F24" w:rsidRPr="00825F24">
        <w:rPr>
          <w:rFonts w:eastAsiaTheme="minorEastAsia" w:hint="eastAsia"/>
          <w:color w:val="auto"/>
          <w:highlight w:val="yellow"/>
          <w:lang w:eastAsia="zh-CN"/>
        </w:rPr>
        <w:t xml:space="preserve"> </w:t>
      </w:r>
      <w:r w:rsidR="00825F24" w:rsidRPr="00825F24">
        <w:rPr>
          <w:color w:val="auto"/>
          <w:highlight w:val="yellow"/>
        </w:rPr>
        <w:t>and decision-making abilities, enable adolescents to plan, strategize, and evaluate their actions more effectively, which reinforces their sense of control</w:t>
      </w:r>
      <w:r w:rsidRPr="00342B5C">
        <w:rPr>
          <w:color w:val="auto"/>
        </w:rPr>
        <w:t xml:space="preserve"> [43]. </w:t>
      </w:r>
      <w:r w:rsidR="00EF1A7E" w:rsidRPr="00EF1A7E">
        <w:rPr>
          <w:color w:val="auto"/>
          <w:highlight w:val="yellow"/>
        </w:rPr>
        <w:t>Social influences also contribute to the increase in perceived control. During adolescence, societal expectations encourage young people to take greater responsibility for their own actions. As adolescents face increased pressure to become more independent, they are motivated to adopt proactive behaviors, which further enhances their perceived control</w:t>
      </w:r>
      <w:r w:rsidRPr="00342B5C">
        <w:rPr>
          <w:color w:val="auto"/>
        </w:rPr>
        <w:t xml:space="preserve"> [44]. </w:t>
      </w:r>
      <w:r w:rsidR="00EF1A7E" w:rsidRPr="00EF1A7E">
        <w:rPr>
          <w:color w:val="auto"/>
          <w:highlight w:val="yellow"/>
        </w:rPr>
        <w:t>Moreover, positive school experiences and supportive peer interactions contribute to adolescents' confidence in their ability to influence outcomes in both academic and social contexts. Together, these factors support the growth in perceived control during adolescence.</w:t>
      </w:r>
    </w:p>
    <w:p w14:paraId="0471F7E1" w14:textId="442C2E24" w:rsidR="005D05AF" w:rsidRPr="00342B5C" w:rsidRDefault="005D05AF" w:rsidP="00A831D4">
      <w:pPr>
        <w:pStyle w:val="MDPI31text"/>
        <w:rPr>
          <w:color w:val="auto"/>
        </w:rPr>
      </w:pPr>
      <w:r w:rsidRPr="00342B5C">
        <w:rPr>
          <w:color w:val="auto"/>
        </w:rPr>
        <w:t xml:space="preserve">Teacher-student relationships also showed a linear </w:t>
      </w:r>
      <w:r w:rsidR="00EF1A7E">
        <w:rPr>
          <w:rFonts w:eastAsiaTheme="minorEastAsia" w:hint="eastAsia"/>
          <w:color w:val="auto"/>
          <w:lang w:eastAsia="zh-CN"/>
        </w:rPr>
        <w:t>increasing</w:t>
      </w:r>
      <w:r w:rsidRPr="00342B5C">
        <w:rPr>
          <w:color w:val="auto"/>
        </w:rPr>
        <w:t xml:space="preserve"> trend over time, </w:t>
      </w:r>
      <w:r w:rsidRPr="00EF1A7E">
        <w:rPr>
          <w:color w:val="auto"/>
          <w:highlight w:val="yellow"/>
        </w:rPr>
        <w:t>suggesting that these relationships</w:t>
      </w:r>
      <w:r w:rsidR="00EF1A7E" w:rsidRPr="00EF1A7E">
        <w:rPr>
          <w:rFonts w:eastAsiaTheme="minorEastAsia" w:hint="eastAsia"/>
          <w:color w:val="auto"/>
          <w:highlight w:val="yellow"/>
          <w:lang w:eastAsia="zh-CN"/>
        </w:rPr>
        <w:t xml:space="preserve"> tend to</w:t>
      </w:r>
      <w:r w:rsidRPr="00EF1A7E">
        <w:rPr>
          <w:color w:val="auto"/>
          <w:highlight w:val="yellow"/>
        </w:rPr>
        <w:t xml:space="preserve"> become </w:t>
      </w:r>
      <w:r w:rsidR="00EF1A7E" w:rsidRPr="00EF1A7E">
        <w:rPr>
          <w:color w:val="auto"/>
          <w:highlight w:val="yellow"/>
        </w:rPr>
        <w:t xml:space="preserve">more supportive and constructive as </w:t>
      </w:r>
      <w:r w:rsidR="00EF1A7E" w:rsidRPr="00EF1A7E">
        <w:rPr>
          <w:color w:val="auto"/>
          <w:highlight w:val="yellow"/>
        </w:rPr>
        <w:lastRenderedPageBreak/>
        <w:t>adolescents mature.</w:t>
      </w:r>
      <w:r w:rsidRPr="00342B5C">
        <w:rPr>
          <w:color w:val="auto"/>
        </w:rPr>
        <w:t xml:space="preserve"> </w:t>
      </w:r>
      <w:r w:rsidR="00EF1A7E" w:rsidRPr="00EF1A7E">
        <w:rPr>
          <w:color w:val="auto"/>
          <w:highlight w:val="yellow"/>
        </w:rPr>
        <w:t>This finding is consistent with prior research, which highlights the evolving nature of teacher-student interactions, especially as students transition into middle school</w:t>
      </w:r>
      <w:r w:rsidRPr="00342B5C">
        <w:rPr>
          <w:color w:val="auto"/>
        </w:rPr>
        <w:t xml:space="preserve"> [45,46]. </w:t>
      </w:r>
      <w:r w:rsidR="00EF1A7E" w:rsidRPr="00EF1A7E">
        <w:rPr>
          <w:color w:val="auto"/>
          <w:highlight w:val="yellow"/>
        </w:rPr>
        <w:t>During this period, adolescents face increased academic challenges, prompting them to rely more on teachers for both academic and emotional support. Teachers often take on quasi-parental roles, providing guidance and emotional reassurance, which helps adolescents navigate the complexities of this developmental stage</w:t>
      </w:r>
      <w:r w:rsidR="00EF1A7E" w:rsidRPr="00EF1A7E">
        <w:rPr>
          <w:rFonts w:eastAsiaTheme="minorEastAsia" w:hint="eastAsia"/>
          <w:color w:val="auto"/>
          <w:highlight w:val="yellow"/>
          <w:lang w:eastAsia="zh-CN"/>
        </w:rPr>
        <w:t xml:space="preserve"> [30]</w:t>
      </w:r>
      <w:r w:rsidR="00EF1A7E" w:rsidRPr="00EF1A7E">
        <w:rPr>
          <w:color w:val="auto"/>
          <w:highlight w:val="yellow"/>
        </w:rPr>
        <w:t>.</w:t>
      </w:r>
      <w:r w:rsidR="00EF1A7E" w:rsidRPr="00EF1A7E">
        <w:rPr>
          <w:color w:val="auto"/>
        </w:rPr>
        <w:t xml:space="preserve"> </w:t>
      </w:r>
      <w:r w:rsidR="00EF1A7E" w:rsidRPr="00EF1A7E">
        <w:rPr>
          <w:color w:val="auto"/>
          <w:highlight w:val="yellow"/>
        </w:rPr>
        <w:t>As adolescents' social and emotional skills improve, they tend to place more value on these teacher-student relationships, recognizing teachers as critical sources of support. This shift reflects adolescents' growing understanding of authority figures as sources of guidance, rather than merely enforcers of rules, which may foster academic engagement and emotional resilience</w:t>
      </w:r>
      <w:r w:rsidRPr="00342B5C">
        <w:rPr>
          <w:color w:val="auto"/>
        </w:rPr>
        <w:t xml:space="preserve"> [47]. </w:t>
      </w:r>
    </w:p>
    <w:p w14:paraId="233F2AC9" w14:textId="400B562F" w:rsidR="005D05AF" w:rsidRPr="00B01148" w:rsidRDefault="005D05AF" w:rsidP="00A831D4">
      <w:pPr>
        <w:pStyle w:val="MDPI31text"/>
        <w:rPr>
          <w:rFonts w:eastAsiaTheme="minorEastAsia"/>
          <w:color w:val="auto"/>
          <w:lang w:eastAsia="zh-CN"/>
        </w:rPr>
      </w:pPr>
      <w:r w:rsidRPr="00342B5C">
        <w:rPr>
          <w:color w:val="auto"/>
        </w:rPr>
        <w:t xml:space="preserve">Lastly, bullying victimization among early adolescents demonstrated a linear </w:t>
      </w:r>
      <w:r w:rsidR="00EF1A7E">
        <w:rPr>
          <w:rFonts w:eastAsiaTheme="minorEastAsia" w:hint="eastAsia"/>
          <w:color w:val="auto"/>
          <w:lang w:eastAsia="zh-CN"/>
        </w:rPr>
        <w:t>decreasing</w:t>
      </w:r>
      <w:r w:rsidRPr="00342B5C">
        <w:rPr>
          <w:color w:val="auto"/>
        </w:rPr>
        <w:t xml:space="preserve"> trend over time, </w:t>
      </w:r>
      <w:r w:rsidR="00EF1A7E" w:rsidRPr="00B01148">
        <w:rPr>
          <w:color w:val="auto"/>
          <w:highlight w:val="yellow"/>
        </w:rPr>
        <w:t>in contrast to the increases observed in perceived control and teacher-student relationships.</w:t>
      </w:r>
      <w:r w:rsidRPr="00342B5C">
        <w:rPr>
          <w:color w:val="auto"/>
        </w:rPr>
        <w:t xml:space="preserve"> This decline in victimization can be attributed to several developmental factors. </w:t>
      </w:r>
      <w:r w:rsidR="00B01148" w:rsidRPr="00B01148">
        <w:rPr>
          <w:color w:val="auto"/>
          <w:highlight w:val="yellow"/>
        </w:rPr>
        <w:t>As adolescents mature, cognitive changes such as improved empathy and perspective-taking reduce the likelihood of bullying. Adolescents' growing ability to understand the emotions and perspectives of others decreases their tendency to engage in aggressive behaviors</w:t>
      </w:r>
      <w:r w:rsidRPr="00342B5C">
        <w:rPr>
          <w:color w:val="auto"/>
        </w:rPr>
        <w:t xml:space="preserve"> [48]. </w:t>
      </w:r>
      <w:r w:rsidR="00B01148" w:rsidRPr="00B01148">
        <w:rPr>
          <w:color w:val="auto"/>
          <w:highlight w:val="yellow"/>
        </w:rPr>
        <w:t>Additionally, the development of social problem-solving skills, often promoted through peer interactions and social learning, provides adolescents with more effective ways to resolve conflicts without resorting to aggression</w:t>
      </w:r>
      <w:r w:rsidRPr="00342B5C">
        <w:rPr>
          <w:color w:val="auto"/>
        </w:rPr>
        <w:t xml:space="preserve"> [49]. As peer relationships become more central, adolescents prioritize maintaining harmony, which discourages aggressive behaviors. </w:t>
      </w:r>
      <w:r w:rsidR="00B01148" w:rsidRPr="00B01148">
        <w:rPr>
          <w:rFonts w:eastAsiaTheme="minorEastAsia" w:hint="eastAsia"/>
          <w:color w:val="auto"/>
          <w:highlight w:val="yellow"/>
          <w:lang w:eastAsia="zh-CN"/>
        </w:rPr>
        <w:t>P</w:t>
      </w:r>
      <w:r w:rsidR="00B01148" w:rsidRPr="00B01148">
        <w:rPr>
          <w:color w:val="auto"/>
          <w:highlight w:val="yellow"/>
        </w:rPr>
        <w:t>ositive peer interactions encourage pro-social behaviors, which help create a supportive social environment that reduces aggressive behaviors</w:t>
      </w:r>
      <w:r w:rsidR="00B01148" w:rsidRPr="00B01148">
        <w:rPr>
          <w:rFonts w:eastAsiaTheme="minorEastAsia" w:hint="eastAsia"/>
          <w:color w:val="auto"/>
          <w:highlight w:val="yellow"/>
          <w:lang w:eastAsia="zh-CN"/>
        </w:rPr>
        <w:t xml:space="preserve"> [50].</w:t>
      </w:r>
    </w:p>
    <w:p w14:paraId="495935C3" w14:textId="18E36182" w:rsidR="005D05AF" w:rsidRPr="00342B5C" w:rsidRDefault="00A831D4" w:rsidP="00A831D4">
      <w:pPr>
        <w:pStyle w:val="MDPI22heading2"/>
        <w:spacing w:before="240"/>
        <w:rPr>
          <w:color w:val="auto"/>
        </w:rPr>
      </w:pPr>
      <w:r w:rsidRPr="00342B5C">
        <w:rPr>
          <w:color w:val="auto"/>
        </w:rPr>
        <w:t xml:space="preserve">4.2. </w:t>
      </w:r>
      <w:r w:rsidR="005D05AF" w:rsidRPr="00342B5C">
        <w:rPr>
          <w:color w:val="auto"/>
        </w:rPr>
        <w:t>The Longitudinal Impact of Perceived Control on Bullying Victimization</w:t>
      </w:r>
    </w:p>
    <w:p w14:paraId="7E706462" w14:textId="5CCDBF7A" w:rsidR="005D05AF" w:rsidRPr="00342B5C" w:rsidRDefault="005D05AF" w:rsidP="00A831D4">
      <w:pPr>
        <w:pStyle w:val="MDPI31text"/>
        <w:rPr>
          <w:color w:val="auto"/>
        </w:rPr>
      </w:pPr>
      <w:r w:rsidRPr="00342B5C">
        <w:rPr>
          <w:color w:val="auto"/>
        </w:rPr>
        <w:t xml:space="preserve">Employing latent growth models, it was observed that, in early adolescence, the initial level of perceived control negatively predicted the initial level of bullying victimization, aligning with previous research findings [16,50-53]. Early adolescents who perceive a lack of control over their lives and studies often exhibit increased feelings of helplessness, </w:t>
      </w:r>
      <w:r w:rsidR="00B01148" w:rsidRPr="00B01148">
        <w:rPr>
          <w:color w:val="auto"/>
        </w:rPr>
        <w:t>hopelessness</w:t>
      </w:r>
      <w:r w:rsidRPr="00342B5C">
        <w:rPr>
          <w:color w:val="auto"/>
        </w:rPr>
        <w:t xml:space="preserve">, and depression [54]. </w:t>
      </w:r>
      <w:r w:rsidR="00B01148" w:rsidRPr="00B01148">
        <w:rPr>
          <w:color w:val="auto"/>
          <w:highlight w:val="yellow"/>
        </w:rPr>
        <w:t>These emotional states can render them more vulnerable to victimization, as they may struggle to effectively manage stressful situations and defend themselves against aggression</w:t>
      </w:r>
      <w:r w:rsidRPr="00342B5C">
        <w:rPr>
          <w:color w:val="auto"/>
        </w:rPr>
        <w:t xml:space="preserve"> [55]. </w:t>
      </w:r>
      <w:r w:rsidR="00B01148" w:rsidRPr="00B01148">
        <w:rPr>
          <w:rFonts w:eastAsiaTheme="minorEastAsia" w:hint="eastAsia"/>
          <w:color w:val="auto"/>
          <w:highlight w:val="yellow"/>
          <w:lang w:eastAsia="zh-CN"/>
        </w:rPr>
        <w:t>A</w:t>
      </w:r>
      <w:r w:rsidR="00B01148" w:rsidRPr="00B01148">
        <w:rPr>
          <w:color w:val="auto"/>
          <w:highlight w:val="yellow"/>
        </w:rPr>
        <w:t>dolescents with a stronger sense of perceived control typically exhibit higher self-esteem, confidence, and coping strategies, enabling them to confront challenges more effectively, thereby reducing their susceptibility to bullying victimization</w:t>
      </w:r>
      <w:r w:rsidRPr="00342B5C">
        <w:rPr>
          <w:color w:val="auto"/>
        </w:rPr>
        <w:t xml:space="preserve"> [56,57]. However, the study also </w:t>
      </w:r>
      <w:r w:rsidR="00B01148">
        <w:rPr>
          <w:rFonts w:eastAsiaTheme="minorEastAsia" w:hint="eastAsia"/>
          <w:color w:val="auto"/>
          <w:lang w:eastAsia="zh-CN"/>
        </w:rPr>
        <w:t>found</w:t>
      </w:r>
      <w:r w:rsidRPr="00342B5C">
        <w:rPr>
          <w:color w:val="auto"/>
        </w:rPr>
        <w:t xml:space="preserve"> that an </w:t>
      </w:r>
      <w:r w:rsidR="00B01148">
        <w:rPr>
          <w:rFonts w:eastAsiaTheme="minorEastAsia" w:hint="eastAsia"/>
          <w:color w:val="auto"/>
          <w:lang w:eastAsia="zh-CN"/>
        </w:rPr>
        <w:t>increasing</w:t>
      </w:r>
      <w:r w:rsidRPr="00342B5C">
        <w:rPr>
          <w:color w:val="auto"/>
        </w:rPr>
        <w:t xml:space="preserve"> trend in perceived control did not directly predict a </w:t>
      </w:r>
      <w:r w:rsidR="00B01148">
        <w:rPr>
          <w:rFonts w:eastAsiaTheme="minorEastAsia" w:hint="eastAsia"/>
          <w:color w:val="auto"/>
          <w:lang w:eastAsia="zh-CN"/>
        </w:rPr>
        <w:t>decreasing</w:t>
      </w:r>
      <w:r w:rsidRPr="00342B5C">
        <w:rPr>
          <w:color w:val="auto"/>
        </w:rPr>
        <w:t xml:space="preserve"> trend in bullying victimization</w:t>
      </w:r>
      <w:r w:rsidR="00C829E8" w:rsidRPr="00C829E8">
        <w:rPr>
          <w:color w:val="auto"/>
          <w:highlight w:val="yellow"/>
        </w:rPr>
        <w:t>, which suggests that the relationship between these variables may not be as straightforward as previously assumed</w:t>
      </w:r>
      <w:r w:rsidRPr="00342B5C">
        <w:rPr>
          <w:color w:val="auto"/>
        </w:rPr>
        <w:t xml:space="preserve">. </w:t>
      </w:r>
      <w:r w:rsidR="00C829E8" w:rsidRPr="00C829E8">
        <w:rPr>
          <w:color w:val="auto"/>
        </w:rPr>
        <w:t xml:space="preserve">This discrepancy could be attributed to the complex interaction between individual growth and environmental factors. </w:t>
      </w:r>
      <w:r w:rsidR="00C829E8" w:rsidRPr="00C829E8">
        <w:rPr>
          <w:color w:val="auto"/>
          <w:highlight w:val="yellow"/>
        </w:rPr>
        <w:t>Specifically, in the collectivistic context of Chinese society, adolescents may prioritize social harmony and group conformity over assertive behaviors. Despite an increase in perceived control, adolescents may be less inclined to confront bullying directly or assertively due to cultural norms that emphasize fitting in, avoiding conflict, and maintaining social cohesion within peer groups</w:t>
      </w:r>
      <w:r w:rsidRPr="00342B5C">
        <w:rPr>
          <w:color w:val="auto"/>
        </w:rPr>
        <w:t xml:space="preserve"> [58]. Thus, </w:t>
      </w:r>
      <w:r w:rsidR="00C829E8" w:rsidRPr="00C829E8">
        <w:rPr>
          <w:color w:val="auto"/>
          <w:highlight w:val="yellow"/>
        </w:rPr>
        <w:t>while increasing perceived control may enhance adolescents' ability to cope with stress and challenges, it may not automatically translate into a reduction in bullying victimization in contexts where social harmony and conformity are prioritized over individual assertion.</w:t>
      </w:r>
    </w:p>
    <w:p w14:paraId="38C80F0B" w14:textId="41162389" w:rsidR="005D05AF" w:rsidRPr="00342B5C" w:rsidRDefault="00A831D4" w:rsidP="00A831D4">
      <w:pPr>
        <w:pStyle w:val="MDPI22heading2"/>
        <w:spacing w:before="240"/>
        <w:rPr>
          <w:color w:val="auto"/>
        </w:rPr>
      </w:pPr>
      <w:r w:rsidRPr="00342B5C">
        <w:rPr>
          <w:color w:val="auto"/>
        </w:rPr>
        <w:t xml:space="preserve">4.3. </w:t>
      </w:r>
      <w:r w:rsidR="005D05AF" w:rsidRPr="00342B5C">
        <w:rPr>
          <w:color w:val="auto"/>
        </w:rPr>
        <w:t>The Longitudinal Mediating Role of Teacher-Student Relationships Between Perceived Control and Bullying Victimization</w:t>
      </w:r>
    </w:p>
    <w:p w14:paraId="6DF5F42E" w14:textId="2F348D86" w:rsidR="005D05AF" w:rsidRPr="00342B5C" w:rsidRDefault="005D05AF" w:rsidP="00F04E90">
      <w:pPr>
        <w:pStyle w:val="MDPI31text"/>
        <w:rPr>
          <w:color w:val="auto"/>
        </w:rPr>
      </w:pPr>
      <w:r w:rsidRPr="00342B5C">
        <w:rPr>
          <w:color w:val="auto"/>
        </w:rPr>
        <w:t xml:space="preserve">This study found that the initial level of perceived control positively predicted the initial level of teacher-student relationships, and the developmental trend of perceived </w:t>
      </w:r>
      <w:r w:rsidRPr="00342B5C">
        <w:rPr>
          <w:color w:val="auto"/>
        </w:rPr>
        <w:lastRenderedPageBreak/>
        <w:t xml:space="preserve">control positively predicted the developmental trend of teacher-student relationships, consistent with previous research [59]. </w:t>
      </w:r>
      <w:r w:rsidR="00C829E8">
        <w:rPr>
          <w:rFonts w:eastAsiaTheme="minorEastAsia" w:hint="eastAsia"/>
          <w:color w:val="auto"/>
          <w:lang w:eastAsia="zh-CN"/>
        </w:rPr>
        <w:t>Ado</w:t>
      </w:r>
      <w:r w:rsidR="005029EE">
        <w:rPr>
          <w:rFonts w:eastAsiaTheme="minorEastAsia" w:hint="eastAsia"/>
          <w:color w:val="auto"/>
          <w:lang w:eastAsia="zh-CN"/>
        </w:rPr>
        <w:t>lescent</w:t>
      </w:r>
      <w:r w:rsidRPr="00342B5C">
        <w:rPr>
          <w:color w:val="auto"/>
        </w:rPr>
        <w:t xml:space="preserve">s with lower perceived control may have experienced </w:t>
      </w:r>
      <w:r w:rsidR="005029EE" w:rsidRPr="005029EE">
        <w:rPr>
          <w:color w:val="auto"/>
          <w:highlight w:val="yellow"/>
        </w:rPr>
        <w:t>heightened negative affect, including feelings of anger and anxiety, which can accumulate over time and manifest as frustration or maladaptive behaviors</w:t>
      </w:r>
      <w:r w:rsidRPr="00342B5C">
        <w:rPr>
          <w:color w:val="auto"/>
        </w:rPr>
        <w:t xml:space="preserve"> [60]</w:t>
      </w:r>
      <w:r w:rsidR="005029EE">
        <w:rPr>
          <w:rFonts w:eastAsiaTheme="minorEastAsia" w:hint="eastAsia"/>
          <w:color w:val="auto"/>
          <w:lang w:eastAsia="zh-CN"/>
        </w:rPr>
        <w:t>.</w:t>
      </w:r>
      <w:r w:rsidRPr="00342B5C">
        <w:rPr>
          <w:color w:val="auto"/>
        </w:rPr>
        <w:t xml:space="preserve"> </w:t>
      </w:r>
      <w:r w:rsidR="005029EE" w:rsidRPr="005029EE">
        <w:rPr>
          <w:color w:val="auto"/>
          <w:highlight w:val="yellow"/>
        </w:rPr>
        <w:t>These behaviors may, in turn, erode the quality of their interactions with teachers, positioning teacher-student relationships as a mediating variable influenced by changes in perceived control and potentially shaping subsequent behavioral outcomes</w:t>
      </w:r>
      <w:r w:rsidRPr="00342B5C">
        <w:rPr>
          <w:color w:val="auto"/>
        </w:rPr>
        <w:t xml:space="preserve"> [61]. </w:t>
      </w:r>
    </w:p>
    <w:p w14:paraId="0FA58B17" w14:textId="663750E0" w:rsidR="005D05AF" w:rsidRPr="00342B5C" w:rsidRDefault="005029EE" w:rsidP="00F04E90">
      <w:pPr>
        <w:pStyle w:val="MDPI31text"/>
        <w:rPr>
          <w:color w:val="auto"/>
        </w:rPr>
      </w:pPr>
      <w:r w:rsidRPr="005029EE">
        <w:rPr>
          <w:color w:val="auto"/>
          <w:highlight w:val="yellow"/>
        </w:rPr>
        <w:t>Interestingly, this study found that the initial quality of teacher-student relationships positively predicted the initial level of bullying victimization. This finding suggests that students with stronger initial relationships with teachers may experience increased peer victimization, potentially due to social dynamics such as peer jealousy or exclusion.</w:t>
      </w:r>
      <w:r w:rsidR="005D05AF" w:rsidRPr="00342B5C">
        <w:rPr>
          <w:color w:val="auto"/>
        </w:rPr>
        <w:t xml:space="preserve"> This finding aligns with the </w:t>
      </w:r>
      <w:r>
        <w:rPr>
          <w:rFonts w:eastAsiaTheme="minorEastAsia" w:hint="eastAsia"/>
          <w:color w:val="auto"/>
          <w:lang w:eastAsia="zh-CN"/>
        </w:rPr>
        <w:t>observations</w:t>
      </w:r>
      <w:r w:rsidR="005D05AF" w:rsidRPr="00342B5C">
        <w:rPr>
          <w:color w:val="auto"/>
        </w:rPr>
        <w:t xml:space="preserve"> by </w:t>
      </w:r>
      <w:proofErr w:type="spellStart"/>
      <w:r w:rsidR="005D05AF" w:rsidRPr="00342B5C">
        <w:rPr>
          <w:color w:val="auto"/>
        </w:rPr>
        <w:t>Bokkel</w:t>
      </w:r>
      <w:proofErr w:type="spellEnd"/>
      <w:r w:rsidR="005D05AF" w:rsidRPr="00342B5C">
        <w:rPr>
          <w:color w:val="auto"/>
        </w:rPr>
        <w:t xml:space="preserve"> et al. [35] and Demol et al. [32], </w:t>
      </w:r>
      <w:r w:rsidRPr="005029EE">
        <w:rPr>
          <w:color w:val="auto"/>
          <w:highlight w:val="yellow"/>
        </w:rPr>
        <w:t>who noted that students perceived as having preferential relationships with teachers can become targets of peer hostility in competitive or high-pressure educational settings. Within such contexts, forming strong bonds with teachers may inadvertently distinguish these students from their peers, leading to social tension and increased bullying risk. Thus, while supportive teacher-student relationships offer critical emotional and academic benefits, they may also generate unintended social consequences in peer interactions.</w:t>
      </w:r>
      <w:r>
        <w:rPr>
          <w:rFonts w:eastAsiaTheme="minorEastAsia" w:hint="eastAsia"/>
          <w:color w:val="auto"/>
          <w:lang w:eastAsia="zh-CN"/>
        </w:rPr>
        <w:t xml:space="preserve"> </w:t>
      </w:r>
      <w:r w:rsidR="005D05AF" w:rsidRPr="00342B5C">
        <w:rPr>
          <w:color w:val="auto"/>
        </w:rPr>
        <w:t xml:space="preserve">In terms of rate of change, </w:t>
      </w:r>
      <w:r w:rsidRPr="005029EE">
        <w:rPr>
          <w:color w:val="auto"/>
        </w:rPr>
        <w:t>a</w:t>
      </w:r>
      <w:r>
        <w:rPr>
          <w:rFonts w:eastAsiaTheme="minorEastAsia" w:hint="eastAsia"/>
          <w:color w:val="auto"/>
          <w:lang w:eastAsia="zh-CN"/>
        </w:rPr>
        <w:t>n</w:t>
      </w:r>
      <w:r w:rsidRPr="005029EE">
        <w:rPr>
          <w:color w:val="auto"/>
        </w:rPr>
        <w:t xml:space="preserve"> </w:t>
      </w:r>
      <w:r>
        <w:rPr>
          <w:rFonts w:eastAsiaTheme="minorEastAsia" w:hint="eastAsia"/>
          <w:color w:val="auto"/>
          <w:lang w:eastAsia="zh-CN"/>
        </w:rPr>
        <w:t xml:space="preserve">increase </w:t>
      </w:r>
      <w:r w:rsidRPr="005029EE">
        <w:rPr>
          <w:color w:val="auto"/>
        </w:rPr>
        <w:t>in teacher-student relationships was associated with a decline in bullying victimization rates.</w:t>
      </w:r>
      <w:r w:rsidR="005D05AF" w:rsidRPr="00342B5C">
        <w:rPr>
          <w:color w:val="auto"/>
        </w:rPr>
        <w:t xml:space="preserve"> </w:t>
      </w:r>
      <w:r w:rsidRPr="005029EE">
        <w:rPr>
          <w:color w:val="auto"/>
          <w:highlight w:val="yellow"/>
        </w:rPr>
        <w:t>Adolescents with high-quality teacher-student relationships are more likely to develop adaptive conflict resolution skills and benefit from consistent emotional support, thereby mitigating experiences of victimization</w:t>
      </w:r>
      <w:r w:rsidR="005D05AF" w:rsidRPr="00342B5C">
        <w:rPr>
          <w:color w:val="auto"/>
        </w:rPr>
        <w:t xml:space="preserve"> [62]. </w:t>
      </w:r>
      <w:r w:rsidRPr="005029EE">
        <w:rPr>
          <w:color w:val="auto"/>
          <w:highlight w:val="yellow"/>
        </w:rPr>
        <w:t>Close relationships with teachers can foster a sense of safety and trust, enhancing students' willingness to disclose bullying experiences and seek assistance</w:t>
      </w:r>
      <w:r w:rsidR="005D05AF" w:rsidRPr="00342B5C">
        <w:rPr>
          <w:color w:val="auto"/>
        </w:rPr>
        <w:t xml:space="preserve"> [31,63]</w:t>
      </w:r>
      <w:r>
        <w:rPr>
          <w:rFonts w:eastAsiaTheme="minorEastAsia" w:hint="eastAsia"/>
          <w:color w:val="auto"/>
          <w:lang w:eastAsia="zh-CN"/>
        </w:rPr>
        <w:t>.</w:t>
      </w:r>
      <w:r w:rsidR="005D05AF" w:rsidRPr="00342B5C">
        <w:rPr>
          <w:color w:val="auto"/>
        </w:rPr>
        <w:t xml:space="preserve"> </w:t>
      </w:r>
      <w:r w:rsidR="00C273A7" w:rsidRPr="00C273A7">
        <w:rPr>
          <w:color w:val="auto"/>
        </w:rPr>
        <w:t>This, in turn, allows teachers to recognize and address victimization more effectively, providing timely intervention and emotional support</w:t>
      </w:r>
      <w:r w:rsidR="005D05AF" w:rsidRPr="00342B5C">
        <w:rPr>
          <w:color w:val="auto"/>
        </w:rPr>
        <w:t xml:space="preserve"> [62</w:t>
      </w:r>
      <w:r w:rsidR="00C273A7">
        <w:rPr>
          <w:rFonts w:eastAsiaTheme="minorEastAsia" w:hint="eastAsia"/>
          <w:color w:val="auto"/>
          <w:lang w:eastAsia="zh-CN"/>
        </w:rPr>
        <w:t>,64</w:t>
      </w:r>
      <w:r w:rsidR="005D05AF" w:rsidRPr="00342B5C">
        <w:rPr>
          <w:color w:val="auto"/>
        </w:rPr>
        <w:t>].</w:t>
      </w:r>
    </w:p>
    <w:p w14:paraId="5CD5A6EE" w14:textId="49BFCB21" w:rsidR="005D05AF" w:rsidRPr="00342B5C" w:rsidRDefault="00C273A7" w:rsidP="00F04E90">
      <w:pPr>
        <w:pStyle w:val="MDPI31text"/>
        <w:rPr>
          <w:color w:val="auto"/>
        </w:rPr>
      </w:pPr>
      <w:r w:rsidRPr="00C273A7">
        <w:rPr>
          <w:color w:val="auto"/>
          <w:highlight w:val="yellow"/>
        </w:rPr>
        <w:t>The findings of the longitudinal mediation model indicate that perceived control exerts an indirect influence on bullying victimization through its impact on teacher-student relationships. Adolescents with a stronger sense of perceived control are more likely to establish positive and supportive relationships with their teachers, which serve as protective factors against bullying. This underscores the importance of interventions aimed at fostering adolescents' perceived control, as such efforts can strengthen teacher-student bonds and reduce the likelihood of victimization. Adolescents with high perceived control are generally better equipped to manage stressors, engage in positive social interactions, and develop resilience, thereby decreasing their vulnerability to bullying</w:t>
      </w:r>
      <w:r w:rsidR="005D05AF" w:rsidRPr="00C273A7">
        <w:rPr>
          <w:color w:val="auto"/>
          <w:highlight w:val="yellow"/>
        </w:rPr>
        <w:t xml:space="preserve"> [65]. </w:t>
      </w:r>
      <w:r w:rsidRPr="00C273A7">
        <w:rPr>
          <w:color w:val="auto"/>
          <w:highlight w:val="yellow"/>
        </w:rPr>
        <w:t>Strengthening teacher-student relationships thus emerges as a critical component in helping adolescents navigate stress, enhance their coping capacity, and ultimately reduce bullying victimization.</w:t>
      </w:r>
    </w:p>
    <w:p w14:paraId="0B71CD6F" w14:textId="5BC51541" w:rsidR="005D05AF" w:rsidRPr="00342B5C" w:rsidRDefault="00F04E90" w:rsidP="00F04E90">
      <w:pPr>
        <w:pStyle w:val="MDPI21heading1"/>
        <w:rPr>
          <w:color w:val="auto"/>
        </w:rPr>
      </w:pPr>
      <w:r w:rsidRPr="00342B5C">
        <w:rPr>
          <w:color w:val="auto"/>
        </w:rPr>
        <w:t xml:space="preserve">5. </w:t>
      </w:r>
      <w:r w:rsidR="005D05AF" w:rsidRPr="00342B5C">
        <w:rPr>
          <w:color w:val="auto"/>
        </w:rPr>
        <w:t>Research Limitations</w:t>
      </w:r>
      <w:r w:rsidR="00C273A7" w:rsidRPr="00C273A7">
        <w:rPr>
          <w:color w:val="auto"/>
          <w:highlight w:val="yellow"/>
        </w:rPr>
        <w:t>, Practical Implications</w:t>
      </w:r>
      <w:r w:rsidR="00C273A7" w:rsidRPr="00C273A7">
        <w:rPr>
          <w:color w:val="auto"/>
        </w:rPr>
        <w:t>,</w:t>
      </w:r>
      <w:r w:rsidR="005D05AF" w:rsidRPr="00342B5C">
        <w:rPr>
          <w:color w:val="auto"/>
        </w:rPr>
        <w:t xml:space="preserve"> and Future Directions</w:t>
      </w:r>
    </w:p>
    <w:p w14:paraId="4712587F" w14:textId="77777777" w:rsidR="00C273A7" w:rsidRDefault="00C273A7" w:rsidP="00F04E90">
      <w:pPr>
        <w:pStyle w:val="MDPI31text"/>
        <w:rPr>
          <w:rFonts w:eastAsiaTheme="minorEastAsia"/>
          <w:color w:val="auto"/>
          <w:lang w:eastAsia="zh-CN"/>
        </w:rPr>
      </w:pPr>
      <w:r w:rsidRPr="00C273A7">
        <w:rPr>
          <w:color w:val="auto"/>
          <w:highlight w:val="yellow"/>
        </w:rPr>
        <w:t>This study contributes to understanding bullying victimization among adolescents by identifying patterns of change and highlighting key risk factors. The findings offer practical implications for educational practice and policy. First, the positive association between perceived control and reduced bullying victimization underscores the importance of school programs that enhance students' sense of agency and self-efficacy, such as social-emotional learning (SEL) programs aimed at building resilience and coping skills. Second, the mediating role of teacher-student relationships suggests that fostering positive interactions between teachers and students is crucial. Training teachers to cultivate empathetic, supportive connections with students can create a protective school climate and encourage students to seek help when facing bullying. Additionally, recognizing that strong teacher-student bonds may lead to social tension among peers highlights the need for strategies that build inclusive peer environments, promoting cohesion and reducing jealousy-driven dynamics.</w:t>
      </w:r>
    </w:p>
    <w:p w14:paraId="27E2CE0D" w14:textId="47C305F2" w:rsidR="005D05AF" w:rsidRPr="00342B5C" w:rsidRDefault="005D05AF" w:rsidP="00F04E90">
      <w:pPr>
        <w:pStyle w:val="MDPI31text"/>
        <w:rPr>
          <w:color w:val="auto"/>
        </w:rPr>
      </w:pPr>
      <w:r w:rsidRPr="00342B5C">
        <w:rPr>
          <w:color w:val="auto"/>
        </w:rPr>
        <w:lastRenderedPageBreak/>
        <w:t xml:space="preserve"> However, </w:t>
      </w:r>
      <w:r w:rsidR="00C273A7" w:rsidRPr="00C273A7">
        <w:rPr>
          <w:color w:val="auto"/>
        </w:rPr>
        <w:t>several limitations should be noted</w:t>
      </w:r>
      <w:r w:rsidRPr="00342B5C">
        <w:rPr>
          <w:color w:val="auto"/>
        </w:rPr>
        <w:t xml:space="preserve">. First, the study collected only three waves of data, limiting the analysis to a linear growth model. Additional data waves could help explore nonlinear growth trajectories, providing deeper insights into how bullying evolves over time. Second, the study takes a variable-centered approach, which overlooks the heterogeneity among adolescents experiencing bullying. </w:t>
      </w:r>
      <w:proofErr w:type="gramStart"/>
      <w:r w:rsidRPr="00342B5C">
        <w:rPr>
          <w:color w:val="auto"/>
        </w:rPr>
        <w:t>This limits</w:t>
      </w:r>
      <w:proofErr w:type="gramEnd"/>
      <w:r w:rsidRPr="00342B5C">
        <w:rPr>
          <w:color w:val="auto"/>
        </w:rPr>
        <w:t xml:space="preserve"> understanding of distinct subgroups and their unique patterns of victimization and resilience. Future research could adopt an individual-centered approach to better capture these nuances. Lastly, the study does not consider contextual factors like school climate or family environment, which significantly influence bullying experiences. Including these factors in future research would provide a more comprehensive understanding of bullying dynamics and lead to more effective interventions. Future research should incorporate nonlinear growth models, individual-centered analyses, and contextual factors to address these gaps and provide a more complete picture of adolescent bullying.</w:t>
      </w:r>
    </w:p>
    <w:p w14:paraId="60DD501F" w14:textId="1D6782DE" w:rsidR="003F7A71" w:rsidRDefault="003F7A71" w:rsidP="00F04E90">
      <w:pPr>
        <w:pStyle w:val="MDPI62BackMatter"/>
        <w:spacing w:before="240"/>
        <w:rPr>
          <w:bCs/>
          <w:color w:val="auto"/>
        </w:rPr>
      </w:pPr>
      <w:r>
        <w:rPr>
          <w:b/>
          <w:color w:val="auto"/>
        </w:rPr>
        <w:t xml:space="preserve">Author Contributions: </w:t>
      </w:r>
      <w:proofErr w:type="spellStart"/>
      <w:r w:rsidRPr="003F7A71">
        <w:rPr>
          <w:bCs/>
          <w:color w:val="auto"/>
        </w:rPr>
        <w:t>Zhongjie</w:t>
      </w:r>
      <w:proofErr w:type="spellEnd"/>
      <w:r w:rsidRPr="003F7A71">
        <w:rPr>
          <w:bCs/>
          <w:color w:val="auto"/>
        </w:rPr>
        <w:t xml:space="preserve"> Wang conceived of the study, participated in its design and coordination and drafted the paper; Kaiyuan Lu conceived of the study, participated in its design and coordination and drafted the paper; </w:t>
      </w:r>
      <w:proofErr w:type="spellStart"/>
      <w:r w:rsidRPr="003F7A71">
        <w:rPr>
          <w:bCs/>
          <w:color w:val="auto"/>
        </w:rPr>
        <w:t>Juanjuan</w:t>
      </w:r>
      <w:proofErr w:type="spellEnd"/>
      <w:r w:rsidRPr="003F7A71">
        <w:rPr>
          <w:bCs/>
          <w:color w:val="auto"/>
        </w:rPr>
        <w:t xml:space="preserve"> Zheng helped to draft the paper; </w:t>
      </w:r>
      <w:proofErr w:type="spellStart"/>
      <w:r w:rsidRPr="003F7A71">
        <w:rPr>
          <w:bCs/>
          <w:color w:val="auto"/>
        </w:rPr>
        <w:t>Xuezhen</w:t>
      </w:r>
      <w:proofErr w:type="spellEnd"/>
      <w:r w:rsidRPr="003F7A71">
        <w:rPr>
          <w:bCs/>
          <w:color w:val="auto"/>
        </w:rPr>
        <w:t xml:space="preserve"> Wang helped to draft the paper; Xinyi Gao helped to draft the paper; Qianqian Fan helped to review and editing; All authors read and approved the final paper.</w:t>
      </w:r>
    </w:p>
    <w:p w14:paraId="7E6AEC52" w14:textId="37AFC753" w:rsidR="003F7A71" w:rsidRDefault="003F7A71" w:rsidP="00F04E90">
      <w:pPr>
        <w:pStyle w:val="MDPI62BackMatter"/>
        <w:spacing w:before="240"/>
        <w:rPr>
          <w:bCs/>
          <w:color w:val="auto"/>
        </w:rPr>
      </w:pPr>
      <w:r>
        <w:rPr>
          <w:b/>
          <w:color w:val="auto"/>
        </w:rPr>
        <w:t xml:space="preserve">Funding: </w:t>
      </w:r>
      <w:r w:rsidRPr="003F7A71">
        <w:rPr>
          <w:bCs/>
          <w:color w:val="auto"/>
        </w:rPr>
        <w:t>The authors would like to thank Stage Achievement of Henan Province Philosophy and Social Science Project (Grant No.2025-ZZJH-320).</w:t>
      </w:r>
    </w:p>
    <w:p w14:paraId="2808095A" w14:textId="0026C6DA" w:rsidR="003F7A71" w:rsidRDefault="003F7A71" w:rsidP="00F04E90">
      <w:pPr>
        <w:pStyle w:val="MDPI62BackMatter"/>
        <w:spacing w:before="240"/>
        <w:rPr>
          <w:bCs/>
          <w:color w:val="auto"/>
        </w:rPr>
      </w:pPr>
      <w:r>
        <w:rPr>
          <w:b/>
          <w:color w:val="auto"/>
        </w:rPr>
        <w:t xml:space="preserve">Institutional Review Board Statement: </w:t>
      </w:r>
      <w:r w:rsidRPr="003F7A71">
        <w:rPr>
          <w:rFonts w:hint="eastAsia"/>
          <w:bCs/>
          <w:color w:val="auto"/>
        </w:rPr>
        <w:t>The study was reviewed and approved by the Ethics Committee of Zhengzhou University</w:t>
      </w:r>
      <w:r w:rsidRPr="003F7A71">
        <w:rPr>
          <w:rFonts w:ascii="MS Mincho" w:eastAsia="MS Mincho" w:hAnsi="MS Mincho" w:cs="MS Mincho" w:hint="eastAsia"/>
          <w:bCs/>
          <w:color w:val="auto"/>
        </w:rPr>
        <w:t>（</w:t>
      </w:r>
      <w:r w:rsidRPr="003F7A71">
        <w:rPr>
          <w:rFonts w:hint="eastAsia"/>
          <w:bCs/>
          <w:color w:val="auto"/>
        </w:rPr>
        <w:t>ZZUIRB2020-021</w:t>
      </w:r>
      <w:r w:rsidR="005948CD">
        <w:rPr>
          <w:rFonts w:ascii="宋体" w:eastAsia="宋体" w:hAnsi="宋体" w:cs="宋体" w:hint="eastAsia"/>
          <w:bCs/>
          <w:color w:val="auto"/>
          <w:lang w:eastAsia="zh-CN"/>
        </w:rPr>
        <w:t>）</w:t>
      </w:r>
      <w:r w:rsidRPr="003F7A71">
        <w:rPr>
          <w:rFonts w:hint="eastAsia"/>
          <w:bCs/>
          <w:color w:val="auto"/>
        </w:rPr>
        <w:t>. All patients provided written informed consent.</w:t>
      </w:r>
    </w:p>
    <w:p w14:paraId="3B948ECC" w14:textId="629B94FC" w:rsidR="003F7A71" w:rsidRDefault="003F7A71" w:rsidP="00F04E90">
      <w:pPr>
        <w:pStyle w:val="MDPI62BackMatter"/>
        <w:spacing w:before="240"/>
        <w:rPr>
          <w:bCs/>
          <w:color w:val="auto"/>
        </w:rPr>
      </w:pPr>
      <w:r>
        <w:rPr>
          <w:b/>
          <w:color w:val="auto"/>
        </w:rPr>
        <w:t xml:space="preserve">Informed Consent Statement: </w:t>
      </w:r>
      <w:r w:rsidRPr="003F7A71">
        <w:rPr>
          <w:bCs/>
          <w:color w:val="auto"/>
        </w:rPr>
        <w:t>Informed consent was obtained from all subjects involved in the study.</w:t>
      </w:r>
    </w:p>
    <w:p w14:paraId="705830C2" w14:textId="73C9CFEB" w:rsidR="003F7A71" w:rsidRDefault="003F7A71" w:rsidP="00F04E90">
      <w:pPr>
        <w:pStyle w:val="MDPI62BackMatter"/>
        <w:spacing w:before="240"/>
        <w:rPr>
          <w:bCs/>
          <w:color w:val="auto"/>
        </w:rPr>
      </w:pPr>
      <w:r>
        <w:rPr>
          <w:b/>
          <w:color w:val="auto"/>
        </w:rPr>
        <w:t xml:space="preserve">Data Availability Statement: </w:t>
      </w:r>
      <w:r w:rsidRPr="003F7A71">
        <w:rPr>
          <w:bCs/>
          <w:color w:val="auto"/>
        </w:rPr>
        <w:t>The datasets generated and/or analyzed during the current study are not publicly available but are available from the corresponding author on reasonable request.</w:t>
      </w:r>
    </w:p>
    <w:p w14:paraId="6ADDD469" w14:textId="795E8A52" w:rsidR="003F7A71" w:rsidRDefault="003F7A71" w:rsidP="00F04E90">
      <w:pPr>
        <w:pStyle w:val="MDPI62BackMatter"/>
        <w:spacing w:before="240"/>
        <w:rPr>
          <w:b/>
          <w:color w:val="auto"/>
        </w:rPr>
      </w:pPr>
      <w:r>
        <w:rPr>
          <w:b/>
          <w:color w:val="auto"/>
        </w:rPr>
        <w:t xml:space="preserve">Conflicts of Interest: </w:t>
      </w:r>
      <w:r w:rsidRPr="003F7A71">
        <w:rPr>
          <w:bCs/>
          <w:color w:val="auto"/>
        </w:rPr>
        <w:t>The authors declare no conflicts of interest.</w:t>
      </w:r>
    </w:p>
    <w:p w14:paraId="3D274B94" w14:textId="77777777" w:rsidR="005D05AF" w:rsidRPr="00342B5C" w:rsidRDefault="005D05AF" w:rsidP="00F04E90">
      <w:pPr>
        <w:pStyle w:val="MDPI21heading1"/>
        <w:ind w:left="0"/>
        <w:rPr>
          <w:color w:val="auto"/>
        </w:rPr>
      </w:pPr>
      <w:r w:rsidRPr="00342B5C">
        <w:rPr>
          <w:color w:val="auto"/>
        </w:rPr>
        <w:t>References</w:t>
      </w:r>
    </w:p>
    <w:p w14:paraId="278B355F"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Olweus, D. </w:t>
      </w:r>
      <w:r w:rsidRPr="00342B5C">
        <w:rPr>
          <w:i/>
          <w:iCs/>
          <w:color w:val="auto"/>
          <w:sz w:val="18"/>
          <w:szCs w:val="18"/>
        </w:rPr>
        <w:t>Bullying at School: What We Know and What We Can Do</w:t>
      </w:r>
      <w:r w:rsidRPr="00342B5C">
        <w:rPr>
          <w:color w:val="auto"/>
          <w:sz w:val="18"/>
          <w:szCs w:val="18"/>
        </w:rPr>
        <w:t>; Blackwell: Oxford, UK, 1993.</w:t>
      </w:r>
    </w:p>
    <w:p w14:paraId="228B57BA"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Steinberg, L. Cognitive and affective development in adolescence. </w:t>
      </w:r>
      <w:r w:rsidRPr="00342B5C">
        <w:rPr>
          <w:i/>
          <w:iCs/>
          <w:color w:val="auto"/>
          <w:sz w:val="18"/>
          <w:szCs w:val="18"/>
        </w:rPr>
        <w:t xml:space="preserve">Trends </w:t>
      </w:r>
      <w:proofErr w:type="spellStart"/>
      <w:r w:rsidRPr="00342B5C">
        <w:rPr>
          <w:i/>
          <w:iCs/>
          <w:color w:val="auto"/>
          <w:sz w:val="18"/>
          <w:szCs w:val="18"/>
        </w:rPr>
        <w:t>Cogn</w:t>
      </w:r>
      <w:proofErr w:type="spellEnd"/>
      <w:r w:rsidRPr="00342B5C">
        <w:rPr>
          <w:i/>
          <w:iCs/>
          <w:color w:val="auto"/>
          <w:sz w:val="18"/>
          <w:szCs w:val="18"/>
        </w:rPr>
        <w:t>. Sci.</w:t>
      </w:r>
      <w:r w:rsidRPr="00342B5C">
        <w:rPr>
          <w:color w:val="auto"/>
          <w:sz w:val="18"/>
          <w:szCs w:val="18"/>
        </w:rPr>
        <w:t xml:space="preserve"> </w:t>
      </w:r>
      <w:r w:rsidRPr="00342B5C">
        <w:rPr>
          <w:b/>
          <w:bCs/>
          <w:color w:val="auto"/>
          <w:sz w:val="18"/>
          <w:szCs w:val="18"/>
        </w:rPr>
        <w:t>2005</w:t>
      </w:r>
      <w:r w:rsidRPr="00342B5C">
        <w:rPr>
          <w:color w:val="auto"/>
          <w:sz w:val="18"/>
          <w:szCs w:val="18"/>
        </w:rPr>
        <w:t xml:space="preserve">, </w:t>
      </w:r>
      <w:r w:rsidRPr="00342B5C">
        <w:rPr>
          <w:i/>
          <w:iCs/>
          <w:color w:val="auto"/>
          <w:sz w:val="18"/>
          <w:szCs w:val="18"/>
        </w:rPr>
        <w:t>9</w:t>
      </w:r>
      <w:r w:rsidRPr="00342B5C">
        <w:rPr>
          <w:color w:val="auto"/>
          <w:sz w:val="18"/>
          <w:szCs w:val="18"/>
        </w:rPr>
        <w:t>, 69-74. https://doi.org/10.1016/j.tics.2004.12.005.</w:t>
      </w:r>
    </w:p>
    <w:p w14:paraId="56B148B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Kroger, J. Why is identity achievement so elusive? </w:t>
      </w:r>
      <w:r w:rsidRPr="00342B5C">
        <w:rPr>
          <w:i/>
          <w:iCs/>
          <w:color w:val="auto"/>
          <w:sz w:val="18"/>
          <w:szCs w:val="18"/>
        </w:rPr>
        <w:t>Identity</w:t>
      </w:r>
      <w:r w:rsidRPr="00342B5C">
        <w:rPr>
          <w:color w:val="auto"/>
          <w:sz w:val="18"/>
          <w:szCs w:val="18"/>
        </w:rPr>
        <w:t xml:space="preserve"> </w:t>
      </w:r>
      <w:r w:rsidRPr="00342B5C">
        <w:rPr>
          <w:b/>
          <w:bCs/>
          <w:color w:val="auto"/>
          <w:sz w:val="18"/>
          <w:szCs w:val="18"/>
        </w:rPr>
        <w:t>2007</w:t>
      </w:r>
      <w:r w:rsidRPr="00342B5C">
        <w:rPr>
          <w:color w:val="auto"/>
          <w:sz w:val="18"/>
          <w:szCs w:val="18"/>
        </w:rPr>
        <w:t xml:space="preserve">, </w:t>
      </w:r>
      <w:r w:rsidRPr="00342B5C">
        <w:rPr>
          <w:i/>
          <w:iCs/>
          <w:color w:val="auto"/>
          <w:sz w:val="18"/>
          <w:szCs w:val="18"/>
        </w:rPr>
        <w:t>7</w:t>
      </w:r>
      <w:r w:rsidRPr="00342B5C">
        <w:rPr>
          <w:color w:val="auto"/>
          <w:sz w:val="18"/>
          <w:szCs w:val="18"/>
        </w:rPr>
        <w:t>, 331-348. https://doi.org/10.1080/15283480701600793.</w:t>
      </w:r>
    </w:p>
    <w:p w14:paraId="6A3FA5FD"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Hymel, S.; Swearer, S.M. Four decades of research on school bullying: An introduction. </w:t>
      </w:r>
      <w:r w:rsidRPr="00342B5C">
        <w:rPr>
          <w:i/>
          <w:iCs/>
          <w:color w:val="auto"/>
          <w:sz w:val="18"/>
          <w:szCs w:val="18"/>
        </w:rPr>
        <w:t>Am. Psychol.</w:t>
      </w:r>
      <w:r w:rsidRPr="00342B5C">
        <w:rPr>
          <w:color w:val="auto"/>
          <w:sz w:val="18"/>
          <w:szCs w:val="18"/>
        </w:rPr>
        <w:t xml:space="preserve"> </w:t>
      </w:r>
      <w:r w:rsidRPr="00342B5C">
        <w:rPr>
          <w:b/>
          <w:bCs/>
          <w:color w:val="auto"/>
          <w:sz w:val="18"/>
          <w:szCs w:val="18"/>
        </w:rPr>
        <w:t>2015</w:t>
      </w:r>
      <w:r w:rsidRPr="00342B5C">
        <w:rPr>
          <w:color w:val="auto"/>
          <w:sz w:val="18"/>
          <w:szCs w:val="18"/>
        </w:rPr>
        <w:t xml:space="preserve">, </w:t>
      </w:r>
      <w:r w:rsidRPr="00342B5C">
        <w:rPr>
          <w:i/>
          <w:iCs/>
          <w:color w:val="auto"/>
          <w:sz w:val="18"/>
          <w:szCs w:val="18"/>
        </w:rPr>
        <w:t>70</w:t>
      </w:r>
      <w:r w:rsidRPr="00342B5C">
        <w:rPr>
          <w:color w:val="auto"/>
          <w:sz w:val="18"/>
          <w:szCs w:val="18"/>
        </w:rPr>
        <w:t>, 293-299.</w:t>
      </w:r>
    </w:p>
    <w:p w14:paraId="26CFD160" w14:textId="77777777" w:rsidR="005D05AF" w:rsidRPr="00342B5C" w:rsidRDefault="005D05AF" w:rsidP="00F04E90">
      <w:pPr>
        <w:widowControl w:val="0"/>
        <w:numPr>
          <w:ilvl w:val="0"/>
          <w:numId w:val="24"/>
        </w:numPr>
        <w:spacing w:line="228" w:lineRule="auto"/>
        <w:ind w:left="425" w:hanging="425"/>
        <w:rPr>
          <w:color w:val="auto"/>
          <w:sz w:val="18"/>
          <w:szCs w:val="18"/>
        </w:rPr>
      </w:pPr>
      <w:proofErr w:type="spellStart"/>
      <w:r w:rsidRPr="00342B5C">
        <w:rPr>
          <w:color w:val="auto"/>
          <w:sz w:val="18"/>
          <w:szCs w:val="18"/>
        </w:rPr>
        <w:t>Hosozawa</w:t>
      </w:r>
      <w:proofErr w:type="spellEnd"/>
      <w:r w:rsidRPr="00342B5C">
        <w:rPr>
          <w:color w:val="auto"/>
          <w:sz w:val="18"/>
          <w:szCs w:val="18"/>
        </w:rPr>
        <w:t xml:space="preserve">, M.; Bann, D.; Fink, E.; Elsden, E.; Baba, S.; Iso, H.; </w:t>
      </w:r>
      <w:proofErr w:type="spellStart"/>
      <w:r w:rsidRPr="00342B5C">
        <w:rPr>
          <w:color w:val="auto"/>
          <w:sz w:val="18"/>
          <w:szCs w:val="18"/>
        </w:rPr>
        <w:t>Patalay</w:t>
      </w:r>
      <w:proofErr w:type="spellEnd"/>
      <w:r w:rsidRPr="00342B5C">
        <w:rPr>
          <w:color w:val="auto"/>
          <w:sz w:val="18"/>
          <w:szCs w:val="18"/>
        </w:rPr>
        <w:t xml:space="preserve">, P. Bullying </w:t>
      </w:r>
      <w:proofErr w:type="spellStart"/>
      <w:r w:rsidRPr="00342B5C">
        <w:rPr>
          <w:color w:val="auto"/>
          <w:sz w:val="18"/>
          <w:szCs w:val="18"/>
        </w:rPr>
        <w:t>victimisation</w:t>
      </w:r>
      <w:proofErr w:type="spellEnd"/>
      <w:r w:rsidRPr="00342B5C">
        <w:rPr>
          <w:color w:val="auto"/>
          <w:sz w:val="18"/>
          <w:szCs w:val="18"/>
        </w:rPr>
        <w:t xml:space="preserve"> in adolescence: Prevalence and inequalities by gender, socioeconomic status, and academic performance across 71 countries. </w:t>
      </w:r>
      <w:proofErr w:type="spellStart"/>
      <w:r w:rsidRPr="00342B5C">
        <w:rPr>
          <w:i/>
          <w:iCs/>
          <w:color w:val="auto"/>
          <w:sz w:val="18"/>
          <w:szCs w:val="18"/>
        </w:rPr>
        <w:t>eClinicalMedicine</w:t>
      </w:r>
      <w:proofErr w:type="spellEnd"/>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41</w:t>
      </w:r>
      <w:r w:rsidRPr="00342B5C">
        <w:rPr>
          <w:color w:val="auto"/>
          <w:sz w:val="18"/>
          <w:szCs w:val="18"/>
        </w:rPr>
        <w:t>, Article 101142. https://doi.org/10.1016/j.eclinm.2021.101142.</w:t>
      </w:r>
    </w:p>
    <w:p w14:paraId="0DA00A06"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Bowes, L.; Maughan, B.; Ball, H.; Shakoor, S.; Ouellet-Morin, I.; Caspi, A.; Moffitt, T.E.; Arseneault, L. Chronic bullying victimization across school transitions: The role of genetic and environmental influences. </w:t>
      </w:r>
      <w:r w:rsidRPr="00342B5C">
        <w:rPr>
          <w:i/>
          <w:iCs/>
          <w:color w:val="auto"/>
          <w:sz w:val="18"/>
          <w:szCs w:val="18"/>
        </w:rPr>
        <w:t xml:space="preserve">Dev. </w:t>
      </w:r>
      <w:proofErr w:type="spellStart"/>
      <w:r w:rsidRPr="00342B5C">
        <w:rPr>
          <w:i/>
          <w:iCs/>
          <w:color w:val="auto"/>
          <w:sz w:val="18"/>
          <w:szCs w:val="18"/>
        </w:rPr>
        <w:t>Psychopathol</w:t>
      </w:r>
      <w:proofErr w:type="spellEnd"/>
      <w:r w:rsidRPr="00342B5C">
        <w:rPr>
          <w:i/>
          <w:iCs/>
          <w:color w:val="auto"/>
          <w:sz w:val="18"/>
          <w:szCs w:val="18"/>
        </w:rPr>
        <w:t>.</w:t>
      </w:r>
      <w:r w:rsidRPr="00342B5C">
        <w:rPr>
          <w:color w:val="auto"/>
          <w:sz w:val="18"/>
          <w:szCs w:val="18"/>
        </w:rPr>
        <w:t xml:space="preserve"> </w:t>
      </w:r>
      <w:r w:rsidRPr="00342B5C">
        <w:rPr>
          <w:b/>
          <w:bCs/>
          <w:color w:val="auto"/>
          <w:sz w:val="18"/>
          <w:szCs w:val="18"/>
        </w:rPr>
        <w:t>2013</w:t>
      </w:r>
      <w:r w:rsidRPr="00342B5C">
        <w:rPr>
          <w:color w:val="auto"/>
          <w:sz w:val="18"/>
          <w:szCs w:val="18"/>
        </w:rPr>
        <w:t xml:space="preserve">, </w:t>
      </w:r>
      <w:r w:rsidRPr="00342B5C">
        <w:rPr>
          <w:i/>
          <w:iCs/>
          <w:color w:val="auto"/>
          <w:sz w:val="18"/>
          <w:szCs w:val="18"/>
        </w:rPr>
        <w:t>25</w:t>
      </w:r>
      <w:r w:rsidRPr="00342B5C">
        <w:rPr>
          <w:color w:val="auto"/>
          <w:sz w:val="18"/>
          <w:szCs w:val="18"/>
        </w:rPr>
        <w:t>, 333-346. https://doi.org/10.1017/S0954579412001095.</w:t>
      </w:r>
    </w:p>
    <w:p w14:paraId="4FAD39DB"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DeLara, E. </w:t>
      </w:r>
      <w:r w:rsidRPr="00342B5C">
        <w:rPr>
          <w:i/>
          <w:iCs/>
          <w:color w:val="auto"/>
          <w:sz w:val="18"/>
          <w:szCs w:val="18"/>
        </w:rPr>
        <w:t>Bullying Scars: The Impact on Adult Life and Relationships</w:t>
      </w:r>
      <w:r w:rsidRPr="00342B5C">
        <w:rPr>
          <w:color w:val="auto"/>
          <w:sz w:val="18"/>
          <w:szCs w:val="18"/>
        </w:rPr>
        <w:t>; Oxford University Press: Oxford, UK, 2016.</w:t>
      </w:r>
    </w:p>
    <w:p w14:paraId="439170CF"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Denio, E.B.; Keane, S.P.; Dollar, J.M.; Calkins, S.D.; Shanahan, L. Children's peer victimization and internalizing symptoms: The role of inhibitory control and perceived positive peer relationships. </w:t>
      </w:r>
      <w:r w:rsidRPr="00342B5C">
        <w:rPr>
          <w:i/>
          <w:iCs/>
          <w:color w:val="auto"/>
          <w:sz w:val="18"/>
          <w:szCs w:val="18"/>
        </w:rPr>
        <w:t>Merrill-Palmer Q.</w:t>
      </w:r>
      <w:r w:rsidRPr="00342B5C">
        <w:rPr>
          <w:color w:val="auto"/>
          <w:sz w:val="18"/>
          <w:szCs w:val="18"/>
        </w:rPr>
        <w:t xml:space="preserve"> </w:t>
      </w:r>
      <w:r w:rsidRPr="00342B5C">
        <w:rPr>
          <w:b/>
          <w:bCs/>
          <w:color w:val="auto"/>
          <w:sz w:val="18"/>
          <w:szCs w:val="18"/>
        </w:rPr>
        <w:t>2020</w:t>
      </w:r>
      <w:r w:rsidRPr="00342B5C">
        <w:rPr>
          <w:color w:val="auto"/>
          <w:sz w:val="18"/>
          <w:szCs w:val="18"/>
        </w:rPr>
        <w:t xml:space="preserve">, </w:t>
      </w:r>
      <w:r w:rsidRPr="00342B5C">
        <w:rPr>
          <w:i/>
          <w:iCs/>
          <w:color w:val="auto"/>
          <w:sz w:val="18"/>
          <w:szCs w:val="18"/>
        </w:rPr>
        <w:t>66</w:t>
      </w:r>
      <w:r w:rsidRPr="00342B5C">
        <w:rPr>
          <w:color w:val="auto"/>
          <w:sz w:val="18"/>
          <w:szCs w:val="18"/>
        </w:rPr>
        <w:t xml:space="preserve">, 91-112. </w:t>
      </w:r>
      <w:hyperlink r:id="rId8" w:history="1">
        <w:r w:rsidRPr="00755CDF">
          <w:rPr>
            <w:rStyle w:val="a9"/>
            <w:color w:val="auto"/>
            <w:sz w:val="18"/>
            <w:szCs w:val="18"/>
            <w:u w:val="none"/>
          </w:rPr>
          <w:t>https://doi.org/10.13110/merrpalmquar1982.66.1.0091</w:t>
        </w:r>
      </w:hyperlink>
      <w:r w:rsidRPr="00755CDF">
        <w:rPr>
          <w:color w:val="auto"/>
          <w:sz w:val="18"/>
          <w:szCs w:val="18"/>
        </w:rPr>
        <w:t>.</w:t>
      </w:r>
    </w:p>
    <w:p w14:paraId="3DA17E6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Steinhoff, A.; </w:t>
      </w:r>
      <w:proofErr w:type="spellStart"/>
      <w:r w:rsidRPr="00342B5C">
        <w:rPr>
          <w:color w:val="auto"/>
          <w:sz w:val="18"/>
          <w:szCs w:val="18"/>
        </w:rPr>
        <w:t>Ribeaud</w:t>
      </w:r>
      <w:proofErr w:type="spellEnd"/>
      <w:r w:rsidRPr="00342B5C">
        <w:rPr>
          <w:color w:val="auto"/>
          <w:sz w:val="18"/>
          <w:szCs w:val="18"/>
        </w:rPr>
        <w:t xml:space="preserve">, D.; Eisner, M.; Shanahan, L. Developmental trajectories of self-, other-, and dual-harm across adolescence: </w:t>
      </w:r>
      <w:r w:rsidRPr="00342B5C">
        <w:rPr>
          <w:color w:val="auto"/>
          <w:sz w:val="18"/>
          <w:szCs w:val="18"/>
        </w:rPr>
        <w:lastRenderedPageBreak/>
        <w:t xml:space="preserve">The role of relationships with peers and teachers. </w:t>
      </w:r>
      <w:r w:rsidRPr="00342B5C">
        <w:rPr>
          <w:i/>
          <w:iCs/>
          <w:color w:val="auto"/>
          <w:sz w:val="18"/>
          <w:szCs w:val="18"/>
        </w:rPr>
        <w:t>Psychopathology</w:t>
      </w:r>
      <w:r w:rsidRPr="00342B5C">
        <w:rPr>
          <w:color w:val="auto"/>
          <w:sz w:val="18"/>
          <w:szCs w:val="18"/>
        </w:rPr>
        <w:t xml:space="preserve"> </w:t>
      </w:r>
      <w:r w:rsidRPr="00342B5C">
        <w:rPr>
          <w:b/>
          <w:bCs/>
          <w:color w:val="auto"/>
          <w:sz w:val="18"/>
          <w:szCs w:val="18"/>
        </w:rPr>
        <w:t>2023</w:t>
      </w:r>
      <w:r w:rsidRPr="00342B5C">
        <w:rPr>
          <w:color w:val="auto"/>
          <w:sz w:val="18"/>
          <w:szCs w:val="18"/>
        </w:rPr>
        <w:t xml:space="preserve">, </w:t>
      </w:r>
      <w:r w:rsidRPr="00342B5C">
        <w:rPr>
          <w:i/>
          <w:iCs/>
          <w:color w:val="auto"/>
          <w:sz w:val="18"/>
          <w:szCs w:val="18"/>
        </w:rPr>
        <w:t>56</w:t>
      </w:r>
      <w:r w:rsidRPr="00342B5C">
        <w:rPr>
          <w:color w:val="auto"/>
          <w:sz w:val="18"/>
          <w:szCs w:val="18"/>
        </w:rPr>
        <w:t xml:space="preserve">, 138-147. </w:t>
      </w:r>
      <w:hyperlink r:id="rId9" w:tgtFrame="_new" w:history="1">
        <w:r w:rsidRPr="00755CDF">
          <w:rPr>
            <w:rStyle w:val="a9"/>
            <w:color w:val="auto"/>
            <w:sz w:val="18"/>
            <w:szCs w:val="18"/>
            <w:u w:val="none"/>
          </w:rPr>
          <w:t>https://doi.org/10.1159/000525296</w:t>
        </w:r>
      </w:hyperlink>
      <w:r w:rsidRPr="00755CDF">
        <w:rPr>
          <w:color w:val="auto"/>
          <w:sz w:val="18"/>
          <w:szCs w:val="18"/>
        </w:rPr>
        <w:t>.</w:t>
      </w:r>
    </w:p>
    <w:p w14:paraId="777B2103"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Demol, K.; </w:t>
      </w:r>
      <w:proofErr w:type="spellStart"/>
      <w:r w:rsidRPr="00342B5C">
        <w:rPr>
          <w:color w:val="auto"/>
          <w:sz w:val="18"/>
          <w:szCs w:val="18"/>
        </w:rPr>
        <w:t>Leflot</w:t>
      </w:r>
      <w:proofErr w:type="spellEnd"/>
      <w:r w:rsidRPr="00342B5C">
        <w:rPr>
          <w:color w:val="auto"/>
          <w:sz w:val="18"/>
          <w:szCs w:val="18"/>
        </w:rPr>
        <w:t xml:space="preserve">, G.; Verschueren, K.; </w:t>
      </w:r>
      <w:proofErr w:type="spellStart"/>
      <w:r w:rsidRPr="00342B5C">
        <w:rPr>
          <w:color w:val="auto"/>
          <w:sz w:val="18"/>
          <w:szCs w:val="18"/>
        </w:rPr>
        <w:t>Colpin</w:t>
      </w:r>
      <w:proofErr w:type="spellEnd"/>
      <w:r w:rsidRPr="00342B5C">
        <w:rPr>
          <w:color w:val="auto"/>
          <w:sz w:val="18"/>
          <w:szCs w:val="18"/>
        </w:rPr>
        <w:t xml:space="preserve">, H. Trajectory classes of relational and physical bullying victimization: Links with peer and teacher-student relationships and social-emotional outcomes. </w:t>
      </w:r>
      <w:r w:rsidRPr="00342B5C">
        <w:rPr>
          <w:i/>
          <w:iCs/>
          <w:color w:val="auto"/>
          <w:sz w:val="18"/>
          <w:szCs w:val="18"/>
        </w:rPr>
        <w:t xml:space="preserve">J. Youth </w:t>
      </w:r>
      <w:proofErr w:type="spellStart"/>
      <w:r w:rsidRPr="00342B5C">
        <w:rPr>
          <w:i/>
          <w:iCs/>
          <w:color w:val="auto"/>
          <w:sz w:val="18"/>
          <w:szCs w:val="18"/>
        </w:rPr>
        <w:t>Adolesc</w:t>
      </w:r>
      <w:proofErr w:type="spellEnd"/>
      <w:r w:rsidRPr="00342B5C">
        <w:rPr>
          <w:i/>
          <w:iCs/>
          <w:color w:val="auto"/>
          <w:sz w:val="18"/>
          <w:szCs w:val="18"/>
        </w:rPr>
        <w:t>.</w:t>
      </w:r>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51</w:t>
      </w:r>
      <w:r w:rsidRPr="00342B5C">
        <w:rPr>
          <w:color w:val="auto"/>
          <w:sz w:val="18"/>
          <w:szCs w:val="18"/>
        </w:rPr>
        <w:t>, 1354-1373. https://doi.org/10.1007/s10964-021-01544-7.</w:t>
      </w:r>
    </w:p>
    <w:p w14:paraId="49AE69FF"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Schlechter, P.; Hellmann, J.H.; Morina, N. The longitudinal relationship between well-being comparisons and anxiety symptoms in the context of uncontrollability of worries and external locus of control: A two-wave study. </w:t>
      </w:r>
      <w:r w:rsidRPr="00342B5C">
        <w:rPr>
          <w:i/>
          <w:iCs/>
          <w:color w:val="auto"/>
          <w:sz w:val="18"/>
          <w:szCs w:val="18"/>
        </w:rPr>
        <w:t>Anxiety Stress Coping</w:t>
      </w:r>
      <w:r w:rsidRPr="00342B5C">
        <w:rPr>
          <w:color w:val="auto"/>
          <w:sz w:val="18"/>
          <w:szCs w:val="18"/>
        </w:rPr>
        <w:t xml:space="preserve"> </w:t>
      </w:r>
      <w:r w:rsidRPr="00342B5C">
        <w:rPr>
          <w:b/>
          <w:bCs/>
          <w:color w:val="auto"/>
          <w:sz w:val="18"/>
          <w:szCs w:val="18"/>
        </w:rPr>
        <w:t>2024</w:t>
      </w:r>
      <w:r w:rsidRPr="00342B5C">
        <w:rPr>
          <w:color w:val="auto"/>
          <w:sz w:val="18"/>
          <w:szCs w:val="18"/>
        </w:rPr>
        <w:t xml:space="preserve">, </w:t>
      </w:r>
      <w:r w:rsidRPr="00342B5C">
        <w:rPr>
          <w:i/>
          <w:iCs/>
          <w:color w:val="auto"/>
          <w:sz w:val="18"/>
          <w:szCs w:val="18"/>
        </w:rPr>
        <w:t>1</w:t>
      </w:r>
      <w:r w:rsidRPr="00342B5C">
        <w:rPr>
          <w:color w:val="auto"/>
          <w:sz w:val="18"/>
          <w:szCs w:val="18"/>
        </w:rPr>
        <w:t>-13. https://doi.org/10.1080/10615806.2024.2306530.</w:t>
      </w:r>
    </w:p>
    <w:p w14:paraId="432549DB"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Zhang, D.; Jin, B.; Cui, Y. Do teacher autonomy support and teacher-student relationships influence students' depression? A 3-year longitudinal study. </w:t>
      </w:r>
      <w:r w:rsidRPr="00342B5C">
        <w:rPr>
          <w:i/>
          <w:iCs/>
          <w:color w:val="auto"/>
          <w:sz w:val="18"/>
          <w:szCs w:val="18"/>
        </w:rPr>
        <w:t xml:space="preserve">Collab. </w:t>
      </w:r>
      <w:proofErr w:type="spellStart"/>
      <w:r w:rsidRPr="00342B5C">
        <w:rPr>
          <w:i/>
          <w:iCs/>
          <w:color w:val="auto"/>
          <w:sz w:val="18"/>
          <w:szCs w:val="18"/>
        </w:rPr>
        <w:t>Innov</w:t>
      </w:r>
      <w:proofErr w:type="spellEnd"/>
      <w:r w:rsidRPr="00342B5C">
        <w:rPr>
          <w:i/>
          <w:iCs/>
          <w:color w:val="auto"/>
          <w:sz w:val="18"/>
          <w:szCs w:val="18"/>
        </w:rPr>
        <w:t>. Cent. Assess. Basic Educ. Qual.</w:t>
      </w:r>
      <w:r w:rsidRPr="00342B5C">
        <w:rPr>
          <w:color w:val="auto"/>
          <w:sz w:val="18"/>
          <w:szCs w:val="18"/>
        </w:rPr>
        <w:t xml:space="preserve"> </w:t>
      </w:r>
      <w:r w:rsidRPr="00342B5C">
        <w:rPr>
          <w:b/>
          <w:bCs/>
          <w:color w:val="auto"/>
          <w:sz w:val="18"/>
          <w:szCs w:val="18"/>
        </w:rPr>
        <w:t>2022</w:t>
      </w:r>
      <w:r w:rsidRPr="00342B5C">
        <w:rPr>
          <w:color w:val="auto"/>
          <w:sz w:val="18"/>
          <w:szCs w:val="18"/>
        </w:rPr>
        <w:t xml:space="preserve">, </w:t>
      </w:r>
      <w:r w:rsidRPr="00342B5C">
        <w:rPr>
          <w:i/>
          <w:iCs/>
          <w:color w:val="auto"/>
          <w:sz w:val="18"/>
          <w:szCs w:val="18"/>
        </w:rPr>
        <w:t>14</w:t>
      </w:r>
      <w:r w:rsidRPr="00342B5C">
        <w:rPr>
          <w:color w:val="auto"/>
          <w:sz w:val="18"/>
          <w:szCs w:val="18"/>
        </w:rPr>
        <w:t>, 110-124. https://doi.org/10.1007/s12310-021-09456-4.</w:t>
      </w:r>
    </w:p>
    <w:p w14:paraId="088F37D2"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Wójcik, M.; Flak, W.; Leśniewski, J. Downward spiral of bullying: Victimization timeline from former victims' perspective. </w:t>
      </w:r>
      <w:r w:rsidRPr="00342B5C">
        <w:rPr>
          <w:i/>
          <w:iCs/>
          <w:color w:val="auto"/>
          <w:sz w:val="18"/>
          <w:szCs w:val="18"/>
        </w:rPr>
        <w:t xml:space="preserve">J. </w:t>
      </w:r>
      <w:proofErr w:type="spellStart"/>
      <w:r w:rsidRPr="00342B5C">
        <w:rPr>
          <w:i/>
          <w:iCs/>
          <w:color w:val="auto"/>
          <w:sz w:val="18"/>
          <w:szCs w:val="18"/>
        </w:rPr>
        <w:t>Interpers</w:t>
      </w:r>
      <w:proofErr w:type="spellEnd"/>
      <w:r w:rsidRPr="00342B5C">
        <w:rPr>
          <w:i/>
          <w:iCs/>
          <w:color w:val="auto"/>
          <w:sz w:val="18"/>
          <w:szCs w:val="18"/>
        </w:rPr>
        <w:t>. Violence</w:t>
      </w:r>
      <w:r w:rsidRPr="00342B5C">
        <w:rPr>
          <w:color w:val="auto"/>
          <w:sz w:val="18"/>
          <w:szCs w:val="18"/>
        </w:rPr>
        <w:t xml:space="preserve"> </w:t>
      </w:r>
      <w:r w:rsidRPr="00342B5C">
        <w:rPr>
          <w:b/>
          <w:bCs/>
          <w:color w:val="auto"/>
          <w:sz w:val="18"/>
          <w:szCs w:val="18"/>
        </w:rPr>
        <w:t>2022</w:t>
      </w:r>
      <w:r w:rsidRPr="00342B5C">
        <w:rPr>
          <w:color w:val="auto"/>
          <w:sz w:val="18"/>
          <w:szCs w:val="18"/>
        </w:rPr>
        <w:t xml:space="preserve">, </w:t>
      </w:r>
      <w:r w:rsidRPr="00342B5C">
        <w:rPr>
          <w:i/>
          <w:iCs/>
          <w:color w:val="auto"/>
          <w:sz w:val="18"/>
          <w:szCs w:val="18"/>
        </w:rPr>
        <w:t>37</w:t>
      </w:r>
      <w:r w:rsidRPr="00342B5C">
        <w:rPr>
          <w:color w:val="auto"/>
          <w:sz w:val="18"/>
          <w:szCs w:val="18"/>
        </w:rPr>
        <w:t>, NP10985-NP11008. https://doi.org/10.1177/0886260521990835.</w:t>
      </w:r>
    </w:p>
    <w:p w14:paraId="795D1DEC"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Kay, A.C.; Whitson, J.A.; Gaucher, D.; Galinsky, A.D. Compensatory control: Achieving order through the mind, our institutions, and the heavens. </w:t>
      </w:r>
      <w:r w:rsidRPr="00342B5C">
        <w:rPr>
          <w:i/>
          <w:iCs/>
          <w:color w:val="auto"/>
          <w:sz w:val="18"/>
          <w:szCs w:val="18"/>
        </w:rPr>
        <w:t>Curr. Dir. Psychol. Sci.</w:t>
      </w:r>
      <w:r w:rsidRPr="00342B5C">
        <w:rPr>
          <w:color w:val="auto"/>
          <w:sz w:val="18"/>
          <w:szCs w:val="18"/>
        </w:rPr>
        <w:t xml:space="preserve"> </w:t>
      </w:r>
      <w:r w:rsidRPr="00342B5C">
        <w:rPr>
          <w:b/>
          <w:bCs/>
          <w:color w:val="auto"/>
          <w:sz w:val="18"/>
          <w:szCs w:val="18"/>
        </w:rPr>
        <w:t>2009</w:t>
      </w:r>
      <w:r w:rsidRPr="00342B5C">
        <w:rPr>
          <w:color w:val="auto"/>
          <w:sz w:val="18"/>
          <w:szCs w:val="18"/>
        </w:rPr>
        <w:t xml:space="preserve">, </w:t>
      </w:r>
      <w:r w:rsidRPr="00342B5C">
        <w:rPr>
          <w:i/>
          <w:iCs/>
          <w:color w:val="auto"/>
          <w:sz w:val="18"/>
          <w:szCs w:val="18"/>
        </w:rPr>
        <w:t>18</w:t>
      </w:r>
      <w:r w:rsidRPr="00342B5C">
        <w:rPr>
          <w:color w:val="auto"/>
          <w:sz w:val="18"/>
          <w:szCs w:val="18"/>
        </w:rPr>
        <w:t>, 264-268. https://doi.org/10.1111/j.1467-8721.2009.01649.x.</w:t>
      </w:r>
    </w:p>
    <w:p w14:paraId="0451CE24" w14:textId="77777777" w:rsidR="005D05AF" w:rsidRPr="00342B5C" w:rsidRDefault="005D05AF" w:rsidP="00F04E90">
      <w:pPr>
        <w:widowControl w:val="0"/>
        <w:numPr>
          <w:ilvl w:val="0"/>
          <w:numId w:val="24"/>
        </w:numPr>
        <w:spacing w:line="228" w:lineRule="auto"/>
        <w:ind w:left="425" w:hanging="425"/>
        <w:rPr>
          <w:color w:val="auto"/>
          <w:sz w:val="18"/>
          <w:szCs w:val="18"/>
        </w:rPr>
      </w:pPr>
      <w:proofErr w:type="spellStart"/>
      <w:r w:rsidRPr="00342B5C">
        <w:rPr>
          <w:color w:val="auto"/>
          <w:sz w:val="18"/>
          <w:szCs w:val="18"/>
        </w:rPr>
        <w:t>Hobfoll</w:t>
      </w:r>
      <w:proofErr w:type="spellEnd"/>
      <w:r w:rsidRPr="00342B5C">
        <w:rPr>
          <w:color w:val="auto"/>
          <w:sz w:val="18"/>
          <w:szCs w:val="18"/>
        </w:rPr>
        <w:t xml:space="preserve">, S.E. Conservation of resources: A new attempt at conceptualizing stress. </w:t>
      </w:r>
      <w:r w:rsidRPr="00342B5C">
        <w:rPr>
          <w:i/>
          <w:iCs/>
          <w:color w:val="auto"/>
          <w:sz w:val="18"/>
          <w:szCs w:val="18"/>
        </w:rPr>
        <w:t>Am. Psychol.</w:t>
      </w:r>
      <w:r w:rsidRPr="00342B5C">
        <w:rPr>
          <w:color w:val="auto"/>
          <w:sz w:val="18"/>
          <w:szCs w:val="18"/>
        </w:rPr>
        <w:t xml:space="preserve"> </w:t>
      </w:r>
      <w:r w:rsidRPr="00342B5C">
        <w:rPr>
          <w:b/>
          <w:bCs/>
          <w:color w:val="auto"/>
          <w:sz w:val="18"/>
          <w:szCs w:val="18"/>
        </w:rPr>
        <w:t>1989</w:t>
      </w:r>
      <w:r w:rsidRPr="00342B5C">
        <w:rPr>
          <w:color w:val="auto"/>
          <w:sz w:val="18"/>
          <w:szCs w:val="18"/>
        </w:rPr>
        <w:t xml:space="preserve">, </w:t>
      </w:r>
      <w:r w:rsidRPr="00342B5C">
        <w:rPr>
          <w:i/>
          <w:iCs/>
          <w:color w:val="auto"/>
          <w:sz w:val="18"/>
          <w:szCs w:val="18"/>
        </w:rPr>
        <w:t>44</w:t>
      </w:r>
      <w:r w:rsidRPr="00342B5C">
        <w:rPr>
          <w:color w:val="auto"/>
          <w:sz w:val="18"/>
          <w:szCs w:val="18"/>
        </w:rPr>
        <w:t>, 513-524. https://doi.org/10.1037/0003-066X.44.3.513.</w:t>
      </w:r>
    </w:p>
    <w:p w14:paraId="515DE1AA"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Fenny, O.A. Low self-control and school bullying: Testing the GTC in Nigerian sample of middle school students. </w:t>
      </w:r>
      <w:r w:rsidRPr="00342B5C">
        <w:rPr>
          <w:i/>
          <w:iCs/>
          <w:color w:val="auto"/>
          <w:sz w:val="18"/>
          <w:szCs w:val="18"/>
        </w:rPr>
        <w:t xml:space="preserve">J. </w:t>
      </w:r>
      <w:proofErr w:type="spellStart"/>
      <w:r w:rsidRPr="00342B5C">
        <w:rPr>
          <w:i/>
          <w:iCs/>
          <w:color w:val="auto"/>
          <w:sz w:val="18"/>
          <w:szCs w:val="18"/>
        </w:rPr>
        <w:t>Interpers</w:t>
      </w:r>
      <w:proofErr w:type="spellEnd"/>
      <w:r w:rsidRPr="00342B5C">
        <w:rPr>
          <w:i/>
          <w:iCs/>
          <w:color w:val="auto"/>
          <w:sz w:val="18"/>
          <w:szCs w:val="18"/>
        </w:rPr>
        <w:t>. Violence</w:t>
      </w:r>
      <w:r w:rsidRPr="00342B5C">
        <w:rPr>
          <w:color w:val="auto"/>
          <w:sz w:val="18"/>
          <w:szCs w:val="18"/>
        </w:rPr>
        <w:t xml:space="preserve"> </w:t>
      </w:r>
      <w:r w:rsidRPr="00342B5C">
        <w:rPr>
          <w:b/>
          <w:bCs/>
          <w:color w:val="auto"/>
          <w:sz w:val="18"/>
          <w:szCs w:val="18"/>
        </w:rPr>
        <w:t>2022</w:t>
      </w:r>
      <w:r w:rsidRPr="00342B5C">
        <w:rPr>
          <w:color w:val="auto"/>
          <w:sz w:val="18"/>
          <w:szCs w:val="18"/>
        </w:rPr>
        <w:t xml:space="preserve">, </w:t>
      </w:r>
      <w:r w:rsidRPr="00342B5C">
        <w:rPr>
          <w:i/>
          <w:iCs/>
          <w:color w:val="auto"/>
          <w:sz w:val="18"/>
          <w:szCs w:val="18"/>
        </w:rPr>
        <w:t>37</w:t>
      </w:r>
      <w:r w:rsidRPr="00342B5C">
        <w:rPr>
          <w:color w:val="auto"/>
          <w:sz w:val="18"/>
          <w:szCs w:val="18"/>
        </w:rPr>
        <w:t>, NP11386-NP11412. https://doi.org/10.1177/0886260521991286.</w:t>
      </w:r>
    </w:p>
    <w:p w14:paraId="19A72581"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Cho, S.; Lee, J.R. Impacts of low self-control and delinquent peer associations on bullying growth trajectories among Korean youth: A latent growth mixture modeling approach. </w:t>
      </w:r>
      <w:r w:rsidRPr="00342B5C">
        <w:rPr>
          <w:i/>
          <w:iCs/>
          <w:color w:val="auto"/>
          <w:sz w:val="18"/>
          <w:szCs w:val="18"/>
        </w:rPr>
        <w:t xml:space="preserve">J. </w:t>
      </w:r>
      <w:proofErr w:type="spellStart"/>
      <w:r w:rsidRPr="00342B5C">
        <w:rPr>
          <w:i/>
          <w:iCs/>
          <w:color w:val="auto"/>
          <w:sz w:val="18"/>
          <w:szCs w:val="18"/>
        </w:rPr>
        <w:t>Interpers</w:t>
      </w:r>
      <w:proofErr w:type="spellEnd"/>
      <w:r w:rsidRPr="00342B5C">
        <w:rPr>
          <w:i/>
          <w:iCs/>
          <w:color w:val="auto"/>
          <w:sz w:val="18"/>
          <w:szCs w:val="18"/>
        </w:rPr>
        <w:t>. Violence</w:t>
      </w:r>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36</w:t>
      </w:r>
      <w:r w:rsidRPr="00342B5C">
        <w:rPr>
          <w:color w:val="auto"/>
          <w:sz w:val="18"/>
          <w:szCs w:val="18"/>
        </w:rPr>
        <w:t>, NP4139-NP4169. https://doi.org/10.1177/0886260518786495.</w:t>
      </w:r>
    </w:p>
    <w:p w14:paraId="3C568B2C" w14:textId="77777777" w:rsidR="005D05AF" w:rsidRPr="00342B5C" w:rsidRDefault="005D05AF" w:rsidP="00F04E90">
      <w:pPr>
        <w:widowControl w:val="0"/>
        <w:numPr>
          <w:ilvl w:val="0"/>
          <w:numId w:val="24"/>
        </w:numPr>
        <w:spacing w:line="228" w:lineRule="auto"/>
        <w:ind w:left="425" w:hanging="425"/>
        <w:rPr>
          <w:color w:val="auto"/>
          <w:sz w:val="18"/>
          <w:szCs w:val="18"/>
        </w:rPr>
      </w:pPr>
      <w:proofErr w:type="spellStart"/>
      <w:r w:rsidRPr="00342B5C">
        <w:rPr>
          <w:color w:val="auto"/>
          <w:sz w:val="18"/>
          <w:szCs w:val="18"/>
        </w:rPr>
        <w:t>Awaworyi</w:t>
      </w:r>
      <w:proofErr w:type="spellEnd"/>
      <w:r w:rsidRPr="00342B5C">
        <w:rPr>
          <w:color w:val="auto"/>
          <w:sz w:val="18"/>
          <w:szCs w:val="18"/>
        </w:rPr>
        <w:t xml:space="preserve"> Churchill, S.; Smyth, R. Locus of control and the mental health effects of local area crime. </w:t>
      </w:r>
      <w:r w:rsidRPr="00342B5C">
        <w:rPr>
          <w:i/>
          <w:iCs/>
          <w:color w:val="auto"/>
          <w:sz w:val="18"/>
          <w:szCs w:val="18"/>
        </w:rPr>
        <w:t>Soc. Sci. Med.</w:t>
      </w:r>
      <w:r w:rsidRPr="00342B5C">
        <w:rPr>
          <w:color w:val="auto"/>
          <w:sz w:val="18"/>
          <w:szCs w:val="18"/>
        </w:rPr>
        <w:t xml:space="preserve"> </w:t>
      </w:r>
      <w:r w:rsidRPr="00342B5C">
        <w:rPr>
          <w:b/>
          <w:bCs/>
          <w:color w:val="auto"/>
          <w:sz w:val="18"/>
          <w:szCs w:val="18"/>
        </w:rPr>
        <w:t>2022</w:t>
      </w:r>
      <w:r w:rsidRPr="00342B5C">
        <w:rPr>
          <w:color w:val="auto"/>
          <w:sz w:val="18"/>
          <w:szCs w:val="18"/>
        </w:rPr>
        <w:t xml:space="preserve">, </w:t>
      </w:r>
      <w:r w:rsidRPr="00342B5C">
        <w:rPr>
          <w:i/>
          <w:iCs/>
          <w:color w:val="auto"/>
          <w:sz w:val="18"/>
          <w:szCs w:val="18"/>
        </w:rPr>
        <w:t>301</w:t>
      </w:r>
      <w:r w:rsidRPr="00342B5C">
        <w:rPr>
          <w:color w:val="auto"/>
          <w:sz w:val="18"/>
          <w:szCs w:val="18"/>
        </w:rPr>
        <w:t>, Article 114910. https://doi.org/10.1016/j.socscimed.2022.114910.</w:t>
      </w:r>
    </w:p>
    <w:p w14:paraId="5F25F17F"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Georgiou, S.N.; Ioannou, M.; </w:t>
      </w:r>
      <w:proofErr w:type="spellStart"/>
      <w:r w:rsidRPr="00342B5C">
        <w:rPr>
          <w:color w:val="auto"/>
          <w:sz w:val="18"/>
          <w:szCs w:val="18"/>
        </w:rPr>
        <w:t>Stavrinides</w:t>
      </w:r>
      <w:proofErr w:type="spellEnd"/>
      <w:r w:rsidRPr="00342B5C">
        <w:rPr>
          <w:color w:val="auto"/>
          <w:sz w:val="18"/>
          <w:szCs w:val="18"/>
        </w:rPr>
        <w:t xml:space="preserve">, P. Parenting styles and bullying at school: The mediating role of locus of control. </w:t>
      </w:r>
      <w:r w:rsidRPr="00342B5C">
        <w:rPr>
          <w:i/>
          <w:iCs/>
          <w:color w:val="auto"/>
          <w:sz w:val="18"/>
          <w:szCs w:val="18"/>
        </w:rPr>
        <w:t>Int. J. Sch. Educ. Psychol.</w:t>
      </w:r>
      <w:r w:rsidRPr="00342B5C">
        <w:rPr>
          <w:color w:val="auto"/>
          <w:sz w:val="18"/>
          <w:szCs w:val="18"/>
        </w:rPr>
        <w:t xml:space="preserve"> </w:t>
      </w:r>
      <w:r w:rsidRPr="00342B5C">
        <w:rPr>
          <w:b/>
          <w:bCs/>
          <w:color w:val="auto"/>
          <w:sz w:val="18"/>
          <w:szCs w:val="18"/>
        </w:rPr>
        <w:t>2017</w:t>
      </w:r>
      <w:r w:rsidRPr="00342B5C">
        <w:rPr>
          <w:color w:val="auto"/>
          <w:sz w:val="18"/>
          <w:szCs w:val="18"/>
        </w:rPr>
        <w:t xml:space="preserve">, </w:t>
      </w:r>
      <w:r w:rsidRPr="00342B5C">
        <w:rPr>
          <w:i/>
          <w:iCs/>
          <w:color w:val="auto"/>
          <w:sz w:val="18"/>
          <w:szCs w:val="18"/>
        </w:rPr>
        <w:t>5</w:t>
      </w:r>
      <w:r w:rsidRPr="00342B5C">
        <w:rPr>
          <w:color w:val="auto"/>
          <w:sz w:val="18"/>
          <w:szCs w:val="18"/>
        </w:rPr>
        <w:t>, 226-242. https://doi.org/10.1080/21683603.2016.1225237.</w:t>
      </w:r>
    </w:p>
    <w:p w14:paraId="4DAE7F29"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Gong, X.; Tian, L. Bullying victimization and developmental trajectories of internalizing and externalizing problems: The moderating role of locus of control among children. </w:t>
      </w:r>
      <w:r w:rsidRPr="00342B5C">
        <w:rPr>
          <w:i/>
          <w:iCs/>
          <w:color w:val="auto"/>
          <w:sz w:val="18"/>
          <w:szCs w:val="18"/>
        </w:rPr>
        <w:t xml:space="preserve">J. </w:t>
      </w:r>
      <w:proofErr w:type="spellStart"/>
      <w:r w:rsidRPr="00342B5C">
        <w:rPr>
          <w:i/>
          <w:iCs/>
          <w:color w:val="auto"/>
          <w:sz w:val="18"/>
          <w:szCs w:val="18"/>
        </w:rPr>
        <w:t>Abnorm</w:t>
      </w:r>
      <w:proofErr w:type="spellEnd"/>
      <w:r w:rsidRPr="00342B5C">
        <w:rPr>
          <w:i/>
          <w:iCs/>
          <w:color w:val="auto"/>
          <w:sz w:val="18"/>
          <w:szCs w:val="18"/>
        </w:rPr>
        <w:t>. Child Psychol.</w:t>
      </w:r>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49</w:t>
      </w:r>
      <w:r w:rsidRPr="00342B5C">
        <w:rPr>
          <w:color w:val="auto"/>
          <w:sz w:val="18"/>
          <w:szCs w:val="18"/>
        </w:rPr>
        <w:t>, 351-366. https://doi.org/10.1007/s10802-020-00752-2.</w:t>
      </w:r>
    </w:p>
    <w:p w14:paraId="3A51228F"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Rotter, J.B. Generalized expectancies for internal versus external control of reinforcement. </w:t>
      </w:r>
      <w:r w:rsidRPr="00342B5C">
        <w:rPr>
          <w:i/>
          <w:iCs/>
          <w:color w:val="auto"/>
          <w:sz w:val="18"/>
          <w:szCs w:val="18"/>
        </w:rPr>
        <w:t xml:space="preserve">Psychol. </w:t>
      </w:r>
      <w:proofErr w:type="spellStart"/>
      <w:r w:rsidRPr="00342B5C">
        <w:rPr>
          <w:i/>
          <w:iCs/>
          <w:color w:val="auto"/>
          <w:sz w:val="18"/>
          <w:szCs w:val="18"/>
        </w:rPr>
        <w:t>Monogr</w:t>
      </w:r>
      <w:proofErr w:type="spellEnd"/>
      <w:r w:rsidRPr="00342B5C">
        <w:rPr>
          <w:i/>
          <w:iCs/>
          <w:color w:val="auto"/>
          <w:sz w:val="18"/>
          <w:szCs w:val="18"/>
        </w:rPr>
        <w:t>. Gen. Appl.</w:t>
      </w:r>
      <w:r w:rsidRPr="00342B5C">
        <w:rPr>
          <w:color w:val="auto"/>
          <w:sz w:val="18"/>
          <w:szCs w:val="18"/>
        </w:rPr>
        <w:t xml:space="preserve"> </w:t>
      </w:r>
      <w:r w:rsidRPr="00342B5C">
        <w:rPr>
          <w:b/>
          <w:bCs/>
          <w:color w:val="auto"/>
          <w:sz w:val="18"/>
          <w:szCs w:val="18"/>
        </w:rPr>
        <w:t>1966</w:t>
      </w:r>
      <w:r w:rsidRPr="00342B5C">
        <w:rPr>
          <w:color w:val="auto"/>
          <w:sz w:val="18"/>
          <w:szCs w:val="18"/>
        </w:rPr>
        <w:t xml:space="preserve">, </w:t>
      </w:r>
      <w:r w:rsidRPr="00342B5C">
        <w:rPr>
          <w:i/>
          <w:iCs/>
          <w:color w:val="auto"/>
          <w:sz w:val="18"/>
          <w:szCs w:val="18"/>
        </w:rPr>
        <w:t>80</w:t>
      </w:r>
      <w:r w:rsidRPr="00342B5C">
        <w:rPr>
          <w:color w:val="auto"/>
          <w:sz w:val="18"/>
          <w:szCs w:val="18"/>
        </w:rPr>
        <w:t>, 1-28. https://doi.org/10.1037/h0092976.</w:t>
      </w:r>
    </w:p>
    <w:p w14:paraId="55A7998C"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Halliday, S.; Gregory, T.; Taylor, A.; Digenis, C.; Turnbull, D. The impact of bullying victimization in early adolescence on subsequent psychosocial and academic outcomes across the adolescent period: A systematic review. </w:t>
      </w:r>
      <w:r w:rsidRPr="00342B5C">
        <w:rPr>
          <w:i/>
          <w:iCs/>
          <w:color w:val="auto"/>
          <w:sz w:val="18"/>
          <w:szCs w:val="18"/>
        </w:rPr>
        <w:t>J. Sch. Violence</w:t>
      </w:r>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20</w:t>
      </w:r>
      <w:r w:rsidRPr="00342B5C">
        <w:rPr>
          <w:color w:val="auto"/>
          <w:sz w:val="18"/>
          <w:szCs w:val="18"/>
        </w:rPr>
        <w:t>, 351-373. https://doi.org/10.1080/15388220.2021.1913598.</w:t>
      </w:r>
    </w:p>
    <w:p w14:paraId="19BA624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Rudasill, K.M.; Rimm-Kaufman, S.E. Teacher-child relationship quality: The roles of child temperament and teacher-child interactions. </w:t>
      </w:r>
      <w:r w:rsidRPr="00342B5C">
        <w:rPr>
          <w:i/>
          <w:iCs/>
          <w:color w:val="auto"/>
          <w:sz w:val="18"/>
          <w:szCs w:val="18"/>
        </w:rPr>
        <w:t>Early Child. Res. Q.</w:t>
      </w:r>
      <w:r w:rsidRPr="00342B5C">
        <w:rPr>
          <w:color w:val="auto"/>
          <w:sz w:val="18"/>
          <w:szCs w:val="18"/>
        </w:rPr>
        <w:t xml:space="preserve"> </w:t>
      </w:r>
      <w:r w:rsidRPr="00342B5C">
        <w:rPr>
          <w:b/>
          <w:bCs/>
          <w:color w:val="auto"/>
          <w:sz w:val="18"/>
          <w:szCs w:val="18"/>
        </w:rPr>
        <w:t>2009</w:t>
      </w:r>
      <w:r w:rsidRPr="00342B5C">
        <w:rPr>
          <w:color w:val="auto"/>
          <w:sz w:val="18"/>
          <w:szCs w:val="18"/>
        </w:rPr>
        <w:t xml:space="preserve">, </w:t>
      </w:r>
      <w:r w:rsidRPr="00342B5C">
        <w:rPr>
          <w:i/>
          <w:iCs/>
          <w:color w:val="auto"/>
          <w:sz w:val="18"/>
          <w:szCs w:val="18"/>
        </w:rPr>
        <w:t>24</w:t>
      </w:r>
      <w:r w:rsidRPr="00342B5C">
        <w:rPr>
          <w:color w:val="auto"/>
          <w:sz w:val="18"/>
          <w:szCs w:val="18"/>
        </w:rPr>
        <w:t>, 107-120. https://doi.org/10.1016/j.ecresq.2008.12.003.</w:t>
      </w:r>
    </w:p>
    <w:p w14:paraId="1E593681"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Silva, K.M.; Spinrad, T.L.; Eisenberg, N.; Sulik, M.J.; Valiente, C.; Huerta, S.; Edwards, A.; Eggum, N.D.; Kupfer, A.S.; Lonigan, C.J.; et al. Relations of children's effortful control and teacher-child relationship quality to school attitudes in a low-income sample. </w:t>
      </w:r>
      <w:r w:rsidRPr="00342B5C">
        <w:rPr>
          <w:i/>
          <w:iCs/>
          <w:color w:val="auto"/>
          <w:sz w:val="18"/>
          <w:szCs w:val="18"/>
        </w:rPr>
        <w:t>Early Educ. Dev.</w:t>
      </w:r>
      <w:r w:rsidRPr="00342B5C">
        <w:rPr>
          <w:color w:val="auto"/>
          <w:sz w:val="18"/>
          <w:szCs w:val="18"/>
        </w:rPr>
        <w:t xml:space="preserve"> </w:t>
      </w:r>
      <w:r w:rsidRPr="00342B5C">
        <w:rPr>
          <w:b/>
          <w:bCs/>
          <w:color w:val="auto"/>
          <w:sz w:val="18"/>
          <w:szCs w:val="18"/>
        </w:rPr>
        <w:t>2011</w:t>
      </w:r>
      <w:r w:rsidRPr="00342B5C">
        <w:rPr>
          <w:color w:val="auto"/>
          <w:sz w:val="18"/>
          <w:szCs w:val="18"/>
        </w:rPr>
        <w:t xml:space="preserve">, </w:t>
      </w:r>
      <w:r w:rsidRPr="00342B5C">
        <w:rPr>
          <w:i/>
          <w:iCs/>
          <w:color w:val="auto"/>
          <w:sz w:val="18"/>
          <w:szCs w:val="18"/>
        </w:rPr>
        <w:t>22</w:t>
      </w:r>
      <w:r w:rsidRPr="00342B5C">
        <w:rPr>
          <w:color w:val="auto"/>
          <w:sz w:val="18"/>
          <w:szCs w:val="18"/>
        </w:rPr>
        <w:t>, 434-460. https://doi.org/10.1080/10409289.2011.578046.</w:t>
      </w:r>
    </w:p>
    <w:p w14:paraId="5F8CBE3D"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Deci, E.L.; Ryan, R.M. The "what" and "why" of goal pursuits: Human needs and the self-determination of behavior. </w:t>
      </w:r>
      <w:r w:rsidRPr="00342B5C">
        <w:rPr>
          <w:i/>
          <w:iCs/>
          <w:color w:val="auto"/>
          <w:sz w:val="18"/>
          <w:szCs w:val="18"/>
        </w:rPr>
        <w:t>Psychol. Inq.</w:t>
      </w:r>
      <w:r w:rsidRPr="00342B5C">
        <w:rPr>
          <w:color w:val="auto"/>
          <w:sz w:val="18"/>
          <w:szCs w:val="18"/>
        </w:rPr>
        <w:t xml:space="preserve"> </w:t>
      </w:r>
      <w:r w:rsidRPr="00342B5C">
        <w:rPr>
          <w:b/>
          <w:bCs/>
          <w:color w:val="auto"/>
          <w:sz w:val="18"/>
          <w:szCs w:val="18"/>
        </w:rPr>
        <w:t>2000</w:t>
      </w:r>
      <w:r w:rsidRPr="00342B5C">
        <w:rPr>
          <w:color w:val="auto"/>
          <w:sz w:val="18"/>
          <w:szCs w:val="18"/>
        </w:rPr>
        <w:t xml:space="preserve">, </w:t>
      </w:r>
      <w:r w:rsidRPr="00342B5C">
        <w:rPr>
          <w:i/>
          <w:iCs/>
          <w:color w:val="auto"/>
          <w:sz w:val="18"/>
          <w:szCs w:val="18"/>
        </w:rPr>
        <w:t>11</w:t>
      </w:r>
      <w:r w:rsidRPr="00342B5C">
        <w:rPr>
          <w:color w:val="auto"/>
          <w:sz w:val="18"/>
          <w:szCs w:val="18"/>
        </w:rPr>
        <w:t>, 227-268. https://doi.org/10.1207/S15327965PLI1104_01.</w:t>
      </w:r>
    </w:p>
    <w:p w14:paraId="356B2006"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Reichert, F.; Chen, J.; Torney-Purta, J. Profiles of adolescents' perceptions of democratic classroom climate and students' influence: The effect of school and community contexts. </w:t>
      </w:r>
      <w:r w:rsidRPr="00342B5C">
        <w:rPr>
          <w:i/>
          <w:iCs/>
          <w:color w:val="auto"/>
          <w:sz w:val="18"/>
          <w:szCs w:val="18"/>
        </w:rPr>
        <w:t xml:space="preserve">J. Youth </w:t>
      </w:r>
      <w:proofErr w:type="spellStart"/>
      <w:r w:rsidRPr="00342B5C">
        <w:rPr>
          <w:i/>
          <w:iCs/>
          <w:color w:val="auto"/>
          <w:sz w:val="18"/>
          <w:szCs w:val="18"/>
        </w:rPr>
        <w:t>Adolesc</w:t>
      </w:r>
      <w:proofErr w:type="spellEnd"/>
      <w:r w:rsidRPr="00342B5C">
        <w:rPr>
          <w:i/>
          <w:iCs/>
          <w:color w:val="auto"/>
          <w:sz w:val="18"/>
          <w:szCs w:val="18"/>
        </w:rPr>
        <w:t>.</w:t>
      </w:r>
      <w:r w:rsidRPr="00342B5C">
        <w:rPr>
          <w:color w:val="auto"/>
          <w:sz w:val="18"/>
          <w:szCs w:val="18"/>
        </w:rPr>
        <w:t xml:space="preserve"> </w:t>
      </w:r>
      <w:r w:rsidRPr="00342B5C">
        <w:rPr>
          <w:b/>
          <w:bCs/>
          <w:color w:val="auto"/>
          <w:sz w:val="18"/>
          <w:szCs w:val="18"/>
        </w:rPr>
        <w:t>2018</w:t>
      </w:r>
      <w:r w:rsidRPr="00342B5C">
        <w:rPr>
          <w:color w:val="auto"/>
          <w:sz w:val="18"/>
          <w:szCs w:val="18"/>
        </w:rPr>
        <w:t xml:space="preserve">, </w:t>
      </w:r>
      <w:r w:rsidRPr="00342B5C">
        <w:rPr>
          <w:i/>
          <w:iCs/>
          <w:color w:val="auto"/>
          <w:sz w:val="18"/>
          <w:szCs w:val="18"/>
        </w:rPr>
        <w:t>47</w:t>
      </w:r>
      <w:r w:rsidRPr="00342B5C">
        <w:rPr>
          <w:color w:val="auto"/>
          <w:sz w:val="18"/>
          <w:szCs w:val="18"/>
        </w:rPr>
        <w:t>, 1279-1298. https://doi.org/10.1007/s10964-018-0831-</w:t>
      </w:r>
      <w:r w:rsidRPr="00342B5C">
        <w:rPr>
          <w:color w:val="auto"/>
          <w:sz w:val="18"/>
          <w:szCs w:val="18"/>
        </w:rPr>
        <w:lastRenderedPageBreak/>
        <w:t>8.</w:t>
      </w:r>
    </w:p>
    <w:p w14:paraId="69B8554D" w14:textId="77777777" w:rsidR="005D05AF" w:rsidRPr="00342B5C" w:rsidRDefault="005D05AF" w:rsidP="00F04E90">
      <w:pPr>
        <w:widowControl w:val="0"/>
        <w:numPr>
          <w:ilvl w:val="0"/>
          <w:numId w:val="24"/>
        </w:numPr>
        <w:spacing w:line="228" w:lineRule="auto"/>
        <w:ind w:left="425" w:hanging="425"/>
        <w:rPr>
          <w:color w:val="auto"/>
          <w:sz w:val="18"/>
          <w:szCs w:val="18"/>
        </w:rPr>
      </w:pPr>
      <w:proofErr w:type="spellStart"/>
      <w:r w:rsidRPr="00342B5C">
        <w:rPr>
          <w:color w:val="auto"/>
          <w:sz w:val="18"/>
          <w:szCs w:val="18"/>
        </w:rPr>
        <w:t>Bakadorova</w:t>
      </w:r>
      <w:proofErr w:type="spellEnd"/>
      <w:r w:rsidRPr="00342B5C">
        <w:rPr>
          <w:color w:val="auto"/>
          <w:sz w:val="18"/>
          <w:szCs w:val="18"/>
        </w:rPr>
        <w:t xml:space="preserve">, O.; </w:t>
      </w:r>
      <w:proofErr w:type="spellStart"/>
      <w:r w:rsidRPr="00342B5C">
        <w:rPr>
          <w:color w:val="auto"/>
          <w:sz w:val="18"/>
          <w:szCs w:val="18"/>
        </w:rPr>
        <w:t>Raufelder</w:t>
      </w:r>
      <w:proofErr w:type="spellEnd"/>
      <w:r w:rsidRPr="00342B5C">
        <w:rPr>
          <w:color w:val="auto"/>
          <w:sz w:val="18"/>
          <w:szCs w:val="18"/>
        </w:rPr>
        <w:t xml:space="preserve">, D. The essential role of the teacher-student relationship in students' need satisfaction during adolescence. </w:t>
      </w:r>
      <w:r w:rsidRPr="00342B5C">
        <w:rPr>
          <w:i/>
          <w:iCs/>
          <w:color w:val="auto"/>
          <w:sz w:val="18"/>
          <w:szCs w:val="18"/>
        </w:rPr>
        <w:t>J. Appl. Dev. Psychol.</w:t>
      </w:r>
      <w:r w:rsidRPr="00342B5C">
        <w:rPr>
          <w:color w:val="auto"/>
          <w:sz w:val="18"/>
          <w:szCs w:val="18"/>
        </w:rPr>
        <w:t xml:space="preserve"> </w:t>
      </w:r>
      <w:r w:rsidRPr="00342B5C">
        <w:rPr>
          <w:b/>
          <w:bCs/>
          <w:color w:val="auto"/>
          <w:sz w:val="18"/>
          <w:szCs w:val="18"/>
        </w:rPr>
        <w:t>2018</w:t>
      </w:r>
      <w:r w:rsidRPr="00342B5C">
        <w:rPr>
          <w:color w:val="auto"/>
          <w:sz w:val="18"/>
          <w:szCs w:val="18"/>
        </w:rPr>
        <w:t xml:space="preserve">, </w:t>
      </w:r>
      <w:r w:rsidRPr="00342B5C">
        <w:rPr>
          <w:i/>
          <w:iCs/>
          <w:color w:val="auto"/>
          <w:sz w:val="18"/>
          <w:szCs w:val="18"/>
        </w:rPr>
        <w:t>58</w:t>
      </w:r>
      <w:r w:rsidRPr="00342B5C">
        <w:rPr>
          <w:color w:val="auto"/>
          <w:sz w:val="18"/>
          <w:szCs w:val="18"/>
        </w:rPr>
        <w:t>, 57-65. https://doi.org/10.1016/j.appdev.2018.08.004.</w:t>
      </w:r>
    </w:p>
    <w:p w14:paraId="5FAD63FB"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Moller, A.C.; Deci, E.L.; Elliot, A.J. Person-level relatedness and the incremental value of relating. </w:t>
      </w:r>
      <w:r w:rsidRPr="00342B5C">
        <w:rPr>
          <w:i/>
          <w:iCs/>
          <w:color w:val="auto"/>
          <w:sz w:val="18"/>
          <w:szCs w:val="18"/>
        </w:rPr>
        <w:t>Pers. Soc. Psychol. Bull.</w:t>
      </w:r>
      <w:r w:rsidRPr="00342B5C">
        <w:rPr>
          <w:color w:val="auto"/>
          <w:sz w:val="18"/>
          <w:szCs w:val="18"/>
        </w:rPr>
        <w:t xml:space="preserve"> </w:t>
      </w:r>
      <w:r w:rsidRPr="00342B5C">
        <w:rPr>
          <w:b/>
          <w:bCs/>
          <w:color w:val="auto"/>
          <w:sz w:val="18"/>
          <w:szCs w:val="18"/>
        </w:rPr>
        <w:t>2010</w:t>
      </w:r>
      <w:r w:rsidRPr="00342B5C">
        <w:rPr>
          <w:color w:val="auto"/>
          <w:sz w:val="18"/>
          <w:szCs w:val="18"/>
        </w:rPr>
        <w:t xml:space="preserve">, </w:t>
      </w:r>
      <w:r w:rsidRPr="00342B5C">
        <w:rPr>
          <w:i/>
          <w:iCs/>
          <w:color w:val="auto"/>
          <w:sz w:val="18"/>
          <w:szCs w:val="18"/>
        </w:rPr>
        <w:t>36</w:t>
      </w:r>
      <w:r w:rsidRPr="00342B5C">
        <w:rPr>
          <w:color w:val="auto"/>
          <w:sz w:val="18"/>
          <w:szCs w:val="18"/>
        </w:rPr>
        <w:t>, 754-767. https://doi.org/10.1177/0146167210371622.</w:t>
      </w:r>
    </w:p>
    <w:p w14:paraId="19E17B70"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Burger, C.; Schwarz, D.S.; </w:t>
      </w:r>
      <w:proofErr w:type="spellStart"/>
      <w:r w:rsidRPr="00342B5C">
        <w:rPr>
          <w:color w:val="auto"/>
          <w:sz w:val="18"/>
          <w:szCs w:val="18"/>
        </w:rPr>
        <w:t>Kollerová</w:t>
      </w:r>
      <w:proofErr w:type="spellEnd"/>
      <w:r w:rsidRPr="00342B5C">
        <w:rPr>
          <w:color w:val="auto"/>
          <w:sz w:val="18"/>
          <w:szCs w:val="18"/>
        </w:rPr>
        <w:t xml:space="preserve">, L. Teachers can make a difference in bullying: Effects of teacher interventions on students' adoption of bully, victim, bully-victim, or defender roles across time. </w:t>
      </w:r>
      <w:r w:rsidRPr="00342B5C">
        <w:rPr>
          <w:i/>
          <w:iCs/>
          <w:color w:val="auto"/>
          <w:sz w:val="18"/>
          <w:szCs w:val="18"/>
        </w:rPr>
        <w:t xml:space="preserve">J. Youth </w:t>
      </w:r>
      <w:proofErr w:type="spellStart"/>
      <w:r w:rsidRPr="00342B5C">
        <w:rPr>
          <w:i/>
          <w:iCs/>
          <w:color w:val="auto"/>
          <w:sz w:val="18"/>
          <w:szCs w:val="18"/>
        </w:rPr>
        <w:t>Adolesc</w:t>
      </w:r>
      <w:proofErr w:type="spellEnd"/>
      <w:r w:rsidRPr="00342B5C">
        <w:rPr>
          <w:i/>
          <w:iCs/>
          <w:color w:val="auto"/>
          <w:sz w:val="18"/>
          <w:szCs w:val="18"/>
        </w:rPr>
        <w:t>.</w:t>
      </w:r>
      <w:r w:rsidRPr="00342B5C">
        <w:rPr>
          <w:color w:val="auto"/>
          <w:sz w:val="18"/>
          <w:szCs w:val="18"/>
        </w:rPr>
        <w:t xml:space="preserve"> </w:t>
      </w:r>
      <w:r w:rsidRPr="00342B5C">
        <w:rPr>
          <w:b/>
          <w:bCs/>
          <w:color w:val="auto"/>
          <w:sz w:val="18"/>
          <w:szCs w:val="18"/>
        </w:rPr>
        <w:t>2022</w:t>
      </w:r>
      <w:r w:rsidRPr="00342B5C">
        <w:rPr>
          <w:color w:val="auto"/>
          <w:sz w:val="18"/>
          <w:szCs w:val="18"/>
        </w:rPr>
        <w:t xml:space="preserve">, </w:t>
      </w:r>
      <w:r w:rsidRPr="00342B5C">
        <w:rPr>
          <w:i/>
          <w:iCs/>
          <w:color w:val="auto"/>
          <w:sz w:val="18"/>
          <w:szCs w:val="18"/>
        </w:rPr>
        <w:t>51</w:t>
      </w:r>
      <w:r w:rsidRPr="00342B5C">
        <w:rPr>
          <w:color w:val="auto"/>
          <w:sz w:val="18"/>
          <w:szCs w:val="18"/>
        </w:rPr>
        <w:t>, 2312-2327. https://doi.org/10.1007/s10964-022-01674-6.</w:t>
      </w:r>
    </w:p>
    <w:p w14:paraId="7A4936B3"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Davis, H.A. Conceptualizing the role and influence of student-teacher relationships on children's social and cognitive development. </w:t>
      </w:r>
      <w:r w:rsidRPr="00342B5C">
        <w:rPr>
          <w:i/>
          <w:iCs/>
          <w:color w:val="auto"/>
          <w:sz w:val="18"/>
          <w:szCs w:val="18"/>
        </w:rPr>
        <w:t>Educ. Psychol.</w:t>
      </w:r>
      <w:r w:rsidRPr="00342B5C">
        <w:rPr>
          <w:color w:val="auto"/>
          <w:sz w:val="18"/>
          <w:szCs w:val="18"/>
        </w:rPr>
        <w:t xml:space="preserve"> </w:t>
      </w:r>
      <w:r w:rsidRPr="00342B5C">
        <w:rPr>
          <w:b/>
          <w:bCs/>
          <w:color w:val="auto"/>
          <w:sz w:val="18"/>
          <w:szCs w:val="18"/>
        </w:rPr>
        <w:t>2003</w:t>
      </w:r>
      <w:r w:rsidRPr="00342B5C">
        <w:rPr>
          <w:color w:val="auto"/>
          <w:sz w:val="18"/>
          <w:szCs w:val="18"/>
        </w:rPr>
        <w:t xml:space="preserve">, </w:t>
      </w:r>
      <w:r w:rsidRPr="00342B5C">
        <w:rPr>
          <w:i/>
          <w:iCs/>
          <w:color w:val="auto"/>
          <w:sz w:val="18"/>
          <w:szCs w:val="18"/>
        </w:rPr>
        <w:t>38</w:t>
      </w:r>
      <w:r w:rsidRPr="00342B5C">
        <w:rPr>
          <w:color w:val="auto"/>
          <w:sz w:val="18"/>
          <w:szCs w:val="18"/>
        </w:rPr>
        <w:t>, 207-234. https://doi.org/10.1207/S15326985EP3804_2.</w:t>
      </w:r>
    </w:p>
    <w:p w14:paraId="65C46803"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Verschueren, K.; Koomen, H.M.Y. Teacher-child relationships from an attachment perspective. </w:t>
      </w:r>
      <w:r w:rsidRPr="00342B5C">
        <w:rPr>
          <w:i/>
          <w:iCs/>
          <w:color w:val="auto"/>
          <w:sz w:val="18"/>
          <w:szCs w:val="18"/>
        </w:rPr>
        <w:t>Attach. Hum. Dev.</w:t>
      </w:r>
      <w:r w:rsidRPr="00342B5C">
        <w:rPr>
          <w:color w:val="auto"/>
          <w:sz w:val="18"/>
          <w:szCs w:val="18"/>
        </w:rPr>
        <w:t xml:space="preserve"> </w:t>
      </w:r>
      <w:r w:rsidRPr="00342B5C">
        <w:rPr>
          <w:b/>
          <w:bCs/>
          <w:color w:val="auto"/>
          <w:sz w:val="18"/>
          <w:szCs w:val="18"/>
        </w:rPr>
        <w:t>2012</w:t>
      </w:r>
      <w:r w:rsidRPr="00342B5C">
        <w:rPr>
          <w:color w:val="auto"/>
          <w:sz w:val="18"/>
          <w:szCs w:val="18"/>
        </w:rPr>
        <w:t xml:space="preserve">, </w:t>
      </w:r>
      <w:r w:rsidRPr="00342B5C">
        <w:rPr>
          <w:i/>
          <w:iCs/>
          <w:color w:val="auto"/>
          <w:sz w:val="18"/>
          <w:szCs w:val="18"/>
        </w:rPr>
        <w:t>14</w:t>
      </w:r>
      <w:r w:rsidRPr="00342B5C">
        <w:rPr>
          <w:color w:val="auto"/>
          <w:sz w:val="18"/>
          <w:szCs w:val="18"/>
        </w:rPr>
        <w:t>, 205-211. https://doi.org/10.1080/14616734.2012.672260.</w:t>
      </w:r>
    </w:p>
    <w:p w14:paraId="3AD72603"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Demol, K.; </w:t>
      </w:r>
      <w:proofErr w:type="spellStart"/>
      <w:r w:rsidRPr="00342B5C">
        <w:rPr>
          <w:color w:val="auto"/>
          <w:sz w:val="18"/>
          <w:szCs w:val="18"/>
        </w:rPr>
        <w:t>Leflot</w:t>
      </w:r>
      <w:proofErr w:type="spellEnd"/>
      <w:r w:rsidRPr="00342B5C">
        <w:rPr>
          <w:color w:val="auto"/>
          <w:sz w:val="18"/>
          <w:szCs w:val="18"/>
        </w:rPr>
        <w:t xml:space="preserve">, G.; Verschueren, K.; </w:t>
      </w:r>
      <w:proofErr w:type="spellStart"/>
      <w:r w:rsidRPr="00342B5C">
        <w:rPr>
          <w:color w:val="auto"/>
          <w:sz w:val="18"/>
          <w:szCs w:val="18"/>
        </w:rPr>
        <w:t>Colpin</w:t>
      </w:r>
      <w:proofErr w:type="spellEnd"/>
      <w:r w:rsidRPr="00342B5C">
        <w:rPr>
          <w:color w:val="auto"/>
          <w:sz w:val="18"/>
          <w:szCs w:val="18"/>
        </w:rPr>
        <w:t xml:space="preserve">, H. Revealing the transactional associations among teacher-child relationships, peer rejection, and peer victimization in early adolescence. </w:t>
      </w:r>
      <w:r w:rsidRPr="00342B5C">
        <w:rPr>
          <w:i/>
          <w:iCs/>
          <w:color w:val="auto"/>
          <w:sz w:val="18"/>
          <w:szCs w:val="18"/>
        </w:rPr>
        <w:t xml:space="preserve">J. Youth </w:t>
      </w:r>
      <w:proofErr w:type="spellStart"/>
      <w:r w:rsidRPr="00342B5C">
        <w:rPr>
          <w:i/>
          <w:iCs/>
          <w:color w:val="auto"/>
          <w:sz w:val="18"/>
          <w:szCs w:val="18"/>
        </w:rPr>
        <w:t>Adolesc</w:t>
      </w:r>
      <w:proofErr w:type="spellEnd"/>
      <w:r w:rsidRPr="00342B5C">
        <w:rPr>
          <w:i/>
          <w:iCs/>
          <w:color w:val="auto"/>
          <w:sz w:val="18"/>
          <w:szCs w:val="18"/>
        </w:rPr>
        <w:t>.</w:t>
      </w:r>
      <w:r w:rsidRPr="00342B5C">
        <w:rPr>
          <w:color w:val="auto"/>
          <w:sz w:val="18"/>
          <w:szCs w:val="18"/>
        </w:rPr>
        <w:t xml:space="preserve"> </w:t>
      </w:r>
      <w:r w:rsidRPr="00342B5C">
        <w:rPr>
          <w:b/>
          <w:bCs/>
          <w:color w:val="auto"/>
          <w:sz w:val="18"/>
          <w:szCs w:val="18"/>
        </w:rPr>
        <w:t>2020</w:t>
      </w:r>
      <w:r w:rsidRPr="00342B5C">
        <w:rPr>
          <w:color w:val="auto"/>
          <w:sz w:val="18"/>
          <w:szCs w:val="18"/>
        </w:rPr>
        <w:t xml:space="preserve">, </w:t>
      </w:r>
      <w:r w:rsidRPr="00342B5C">
        <w:rPr>
          <w:i/>
          <w:iCs/>
          <w:color w:val="auto"/>
          <w:sz w:val="18"/>
          <w:szCs w:val="18"/>
        </w:rPr>
        <w:t>49</w:t>
      </w:r>
      <w:r w:rsidRPr="00342B5C">
        <w:rPr>
          <w:color w:val="auto"/>
          <w:sz w:val="18"/>
          <w:szCs w:val="18"/>
        </w:rPr>
        <w:t>, 2311-2326. https://doi.org/10.1007/s10964-020-01269-z.</w:t>
      </w:r>
    </w:p>
    <w:p w14:paraId="6ADA22A5"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Liang, H. The situation and influencing factors of 15-year-old school students' bullying in China: Based on the analysis of PISA 2015 data from four provinces and cities in China. </w:t>
      </w:r>
      <w:r w:rsidRPr="00342B5C">
        <w:rPr>
          <w:i/>
          <w:iCs/>
          <w:color w:val="auto"/>
          <w:sz w:val="18"/>
          <w:szCs w:val="18"/>
        </w:rPr>
        <w:t>Educ. Sci. Res.</w:t>
      </w:r>
      <w:r w:rsidRPr="00342B5C">
        <w:rPr>
          <w:color w:val="auto"/>
          <w:sz w:val="18"/>
          <w:szCs w:val="18"/>
        </w:rPr>
        <w:t xml:space="preserve"> </w:t>
      </w:r>
      <w:r w:rsidRPr="00342B5C">
        <w:rPr>
          <w:b/>
          <w:bCs/>
          <w:color w:val="auto"/>
          <w:sz w:val="18"/>
          <w:szCs w:val="18"/>
        </w:rPr>
        <w:t>2017</w:t>
      </w:r>
      <w:r w:rsidRPr="00342B5C">
        <w:rPr>
          <w:color w:val="auto"/>
          <w:sz w:val="18"/>
          <w:szCs w:val="18"/>
        </w:rPr>
        <w:t>, 36-42.</w:t>
      </w:r>
    </w:p>
    <w:p w14:paraId="4D7000D0"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ten </w:t>
      </w:r>
      <w:proofErr w:type="spellStart"/>
      <w:r w:rsidRPr="00342B5C">
        <w:rPr>
          <w:color w:val="auto"/>
          <w:sz w:val="18"/>
          <w:szCs w:val="18"/>
        </w:rPr>
        <w:t>Bokkel</w:t>
      </w:r>
      <w:proofErr w:type="spellEnd"/>
      <w:r w:rsidRPr="00342B5C">
        <w:rPr>
          <w:color w:val="auto"/>
          <w:sz w:val="18"/>
          <w:szCs w:val="18"/>
        </w:rPr>
        <w:t xml:space="preserve">, I.M.; Verschueren, K.; Demol, K.; van Gils, F.E.; </w:t>
      </w:r>
      <w:proofErr w:type="spellStart"/>
      <w:r w:rsidRPr="00342B5C">
        <w:rPr>
          <w:color w:val="auto"/>
          <w:sz w:val="18"/>
          <w:szCs w:val="18"/>
        </w:rPr>
        <w:t>Colpin</w:t>
      </w:r>
      <w:proofErr w:type="spellEnd"/>
      <w:r w:rsidRPr="00342B5C">
        <w:rPr>
          <w:color w:val="auto"/>
          <w:sz w:val="18"/>
          <w:szCs w:val="18"/>
        </w:rPr>
        <w:t xml:space="preserve">, H. Reciprocal links between teacher-student relationships and peer victimization: A three-wave longitudinal study in early adolescence. </w:t>
      </w:r>
      <w:r w:rsidRPr="00342B5C">
        <w:rPr>
          <w:i/>
          <w:iCs/>
          <w:color w:val="auto"/>
          <w:sz w:val="18"/>
          <w:szCs w:val="18"/>
        </w:rPr>
        <w:t xml:space="preserve">J. Youth </w:t>
      </w:r>
      <w:proofErr w:type="spellStart"/>
      <w:r w:rsidRPr="00342B5C">
        <w:rPr>
          <w:i/>
          <w:iCs/>
          <w:color w:val="auto"/>
          <w:sz w:val="18"/>
          <w:szCs w:val="18"/>
        </w:rPr>
        <w:t>Adolesc</w:t>
      </w:r>
      <w:proofErr w:type="spellEnd"/>
      <w:r w:rsidRPr="00342B5C">
        <w:rPr>
          <w:i/>
          <w:iCs/>
          <w:color w:val="auto"/>
          <w:sz w:val="18"/>
          <w:szCs w:val="18"/>
        </w:rPr>
        <w:t>.</w:t>
      </w:r>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50</w:t>
      </w:r>
      <w:r w:rsidRPr="00342B5C">
        <w:rPr>
          <w:color w:val="auto"/>
          <w:sz w:val="18"/>
          <w:szCs w:val="18"/>
        </w:rPr>
        <w:t>, 2166-2180. https://doi.org/10.1007/s10964-021-01490-4.</w:t>
      </w:r>
    </w:p>
    <w:p w14:paraId="5CDC028E"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ten </w:t>
      </w:r>
      <w:proofErr w:type="spellStart"/>
      <w:r w:rsidRPr="00342B5C">
        <w:rPr>
          <w:color w:val="auto"/>
          <w:sz w:val="18"/>
          <w:szCs w:val="18"/>
        </w:rPr>
        <w:t>Bokkel</w:t>
      </w:r>
      <w:proofErr w:type="spellEnd"/>
      <w:r w:rsidRPr="00342B5C">
        <w:rPr>
          <w:color w:val="auto"/>
          <w:sz w:val="18"/>
          <w:szCs w:val="18"/>
        </w:rPr>
        <w:t xml:space="preserve">, I.M.; Roorda, D.L.; Maes, M.; Verschueren, K.; </w:t>
      </w:r>
      <w:proofErr w:type="spellStart"/>
      <w:r w:rsidRPr="00342B5C">
        <w:rPr>
          <w:color w:val="auto"/>
          <w:sz w:val="18"/>
          <w:szCs w:val="18"/>
        </w:rPr>
        <w:t>Colpin</w:t>
      </w:r>
      <w:proofErr w:type="spellEnd"/>
      <w:r w:rsidRPr="00342B5C">
        <w:rPr>
          <w:color w:val="auto"/>
          <w:sz w:val="18"/>
          <w:szCs w:val="18"/>
        </w:rPr>
        <w:t xml:space="preserve">, H. The role of affective teacher-student relationships in bullying and peer victimization: A multilevel meta-analysis. </w:t>
      </w:r>
      <w:r w:rsidRPr="00342B5C">
        <w:rPr>
          <w:i/>
          <w:iCs/>
          <w:color w:val="auto"/>
          <w:sz w:val="18"/>
          <w:szCs w:val="18"/>
        </w:rPr>
        <w:t>Educ. Psychol. Rev.</w:t>
      </w:r>
      <w:r w:rsidRPr="00342B5C">
        <w:rPr>
          <w:color w:val="auto"/>
          <w:sz w:val="18"/>
          <w:szCs w:val="18"/>
        </w:rPr>
        <w:t xml:space="preserve"> </w:t>
      </w:r>
      <w:r w:rsidRPr="00342B5C">
        <w:rPr>
          <w:b/>
          <w:bCs/>
          <w:color w:val="auto"/>
          <w:sz w:val="18"/>
          <w:szCs w:val="18"/>
        </w:rPr>
        <w:t>2023</w:t>
      </w:r>
      <w:r w:rsidRPr="00342B5C">
        <w:rPr>
          <w:color w:val="auto"/>
          <w:sz w:val="18"/>
          <w:szCs w:val="18"/>
        </w:rPr>
        <w:t xml:space="preserve">, </w:t>
      </w:r>
      <w:r w:rsidRPr="00342B5C">
        <w:rPr>
          <w:i/>
          <w:iCs/>
          <w:color w:val="auto"/>
          <w:sz w:val="18"/>
          <w:szCs w:val="18"/>
        </w:rPr>
        <w:t>52</w:t>
      </w:r>
      <w:r w:rsidRPr="00342B5C">
        <w:rPr>
          <w:color w:val="auto"/>
          <w:sz w:val="18"/>
          <w:szCs w:val="18"/>
        </w:rPr>
        <w:t>, 110-129. https://doi.org/10.1080/2372966x.2022.2029218.</w:t>
      </w:r>
    </w:p>
    <w:p w14:paraId="7F5AD700"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Bear, G.G.; Yang, C.; Mantz, L. </w:t>
      </w:r>
      <w:r w:rsidRPr="00342B5C">
        <w:rPr>
          <w:i/>
          <w:iCs/>
          <w:color w:val="auto"/>
          <w:sz w:val="18"/>
          <w:szCs w:val="18"/>
        </w:rPr>
        <w:t>Technical Manual for the Delaware School Survey</w:t>
      </w:r>
      <w:r w:rsidRPr="00342B5C">
        <w:rPr>
          <w:color w:val="auto"/>
          <w:sz w:val="18"/>
          <w:szCs w:val="18"/>
        </w:rPr>
        <w:t>; University of Delaware: Newark, DE, USA, 2016.</w:t>
      </w:r>
    </w:p>
    <w:p w14:paraId="5AF71DE6"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Xie, J.; Huang, S. Revision of Chinese version of Delaware Bullying Victimization Scale-student in adolescents. </w:t>
      </w:r>
      <w:r w:rsidRPr="00342B5C">
        <w:rPr>
          <w:i/>
          <w:iCs/>
          <w:color w:val="auto"/>
          <w:sz w:val="18"/>
          <w:szCs w:val="18"/>
        </w:rPr>
        <w:t xml:space="preserve">Econ. Manag. Coll. Guangzhou Univ. </w:t>
      </w:r>
      <w:proofErr w:type="spellStart"/>
      <w:r w:rsidRPr="00342B5C">
        <w:rPr>
          <w:i/>
          <w:iCs/>
          <w:color w:val="auto"/>
          <w:sz w:val="18"/>
          <w:szCs w:val="18"/>
        </w:rPr>
        <w:t>Tradit</w:t>
      </w:r>
      <w:proofErr w:type="spellEnd"/>
      <w:r w:rsidRPr="00342B5C">
        <w:rPr>
          <w:i/>
          <w:iCs/>
          <w:color w:val="auto"/>
          <w:sz w:val="18"/>
          <w:szCs w:val="18"/>
        </w:rPr>
        <w:t>. Chin. Med.</w:t>
      </w:r>
      <w:r w:rsidRPr="00342B5C">
        <w:rPr>
          <w:color w:val="auto"/>
          <w:sz w:val="18"/>
          <w:szCs w:val="18"/>
        </w:rPr>
        <w:t xml:space="preserve"> </w:t>
      </w:r>
      <w:r w:rsidRPr="00342B5C">
        <w:rPr>
          <w:b/>
          <w:bCs/>
          <w:color w:val="auto"/>
          <w:sz w:val="18"/>
          <w:szCs w:val="18"/>
        </w:rPr>
        <w:t>2018</w:t>
      </w:r>
      <w:r w:rsidRPr="00342B5C">
        <w:rPr>
          <w:color w:val="auto"/>
          <w:sz w:val="18"/>
          <w:szCs w:val="18"/>
        </w:rPr>
        <w:t xml:space="preserve">, </w:t>
      </w:r>
      <w:r w:rsidRPr="00342B5C">
        <w:rPr>
          <w:i/>
          <w:iCs/>
          <w:color w:val="auto"/>
          <w:sz w:val="18"/>
          <w:szCs w:val="18"/>
        </w:rPr>
        <w:t>26</w:t>
      </w:r>
      <w:r w:rsidRPr="00342B5C">
        <w:rPr>
          <w:color w:val="auto"/>
          <w:sz w:val="18"/>
          <w:szCs w:val="18"/>
        </w:rPr>
        <w:t>, 259-263. https://doi.org/10.16128/j.cnki.1005-3611.2018.02.011.</w:t>
      </w:r>
    </w:p>
    <w:p w14:paraId="5542E6FB"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Lachman, M.E.; Weaver, S.L. The sense of control as a moderator of social class differences in health and well-being. </w:t>
      </w:r>
      <w:r w:rsidRPr="00342B5C">
        <w:rPr>
          <w:i/>
          <w:iCs/>
          <w:color w:val="auto"/>
          <w:sz w:val="18"/>
          <w:szCs w:val="18"/>
        </w:rPr>
        <w:t>J. Pers. Soc. Psychol.</w:t>
      </w:r>
      <w:r w:rsidRPr="00342B5C">
        <w:rPr>
          <w:color w:val="auto"/>
          <w:sz w:val="18"/>
          <w:szCs w:val="18"/>
        </w:rPr>
        <w:t xml:space="preserve"> </w:t>
      </w:r>
      <w:r w:rsidRPr="00342B5C">
        <w:rPr>
          <w:b/>
          <w:bCs/>
          <w:color w:val="auto"/>
          <w:sz w:val="18"/>
          <w:szCs w:val="18"/>
        </w:rPr>
        <w:t>1998</w:t>
      </w:r>
      <w:r w:rsidRPr="00342B5C">
        <w:rPr>
          <w:color w:val="auto"/>
          <w:sz w:val="18"/>
          <w:szCs w:val="18"/>
        </w:rPr>
        <w:t xml:space="preserve">, </w:t>
      </w:r>
      <w:r w:rsidRPr="00342B5C">
        <w:rPr>
          <w:i/>
          <w:iCs/>
          <w:color w:val="auto"/>
          <w:sz w:val="18"/>
          <w:szCs w:val="18"/>
        </w:rPr>
        <w:t>74</w:t>
      </w:r>
      <w:r w:rsidRPr="00342B5C">
        <w:rPr>
          <w:color w:val="auto"/>
          <w:sz w:val="18"/>
          <w:szCs w:val="18"/>
        </w:rPr>
        <w:t>, 763-773. https://doi.org/10.1037//0022-3514.74.3.763.</w:t>
      </w:r>
    </w:p>
    <w:p w14:paraId="02A410A4"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Li, J.; Yang, R.; Guo, Y. Is materialism all that bad? Challenges from empirical and conceptual research. </w:t>
      </w:r>
      <w:r w:rsidRPr="00342B5C">
        <w:rPr>
          <w:i/>
          <w:iCs/>
          <w:color w:val="auto"/>
          <w:sz w:val="18"/>
          <w:szCs w:val="18"/>
        </w:rPr>
        <w:t>Adv. Psychol. Sci.</w:t>
      </w:r>
      <w:r w:rsidRPr="00342B5C">
        <w:rPr>
          <w:color w:val="auto"/>
          <w:sz w:val="18"/>
          <w:szCs w:val="18"/>
        </w:rPr>
        <w:t xml:space="preserve"> </w:t>
      </w:r>
      <w:r w:rsidRPr="00342B5C">
        <w:rPr>
          <w:b/>
          <w:bCs/>
          <w:color w:val="auto"/>
          <w:sz w:val="18"/>
          <w:szCs w:val="18"/>
        </w:rPr>
        <w:t>2017</w:t>
      </w:r>
      <w:r w:rsidRPr="00342B5C">
        <w:rPr>
          <w:color w:val="auto"/>
          <w:sz w:val="18"/>
          <w:szCs w:val="18"/>
        </w:rPr>
        <w:t xml:space="preserve">, </w:t>
      </w:r>
      <w:r w:rsidRPr="00342B5C">
        <w:rPr>
          <w:i/>
          <w:iCs/>
          <w:color w:val="auto"/>
          <w:sz w:val="18"/>
          <w:szCs w:val="18"/>
        </w:rPr>
        <w:t>25</w:t>
      </w:r>
      <w:r w:rsidRPr="00342B5C">
        <w:rPr>
          <w:color w:val="auto"/>
          <w:sz w:val="18"/>
          <w:szCs w:val="18"/>
        </w:rPr>
        <w:t>, 1811-1820. https://doi.org/10.3724/sp.J.1042.2017.01811.</w:t>
      </w:r>
    </w:p>
    <w:p w14:paraId="6B1F14CE"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Pianta, R.C. </w:t>
      </w:r>
      <w:r w:rsidRPr="00342B5C">
        <w:rPr>
          <w:i/>
          <w:iCs/>
          <w:color w:val="auto"/>
          <w:sz w:val="18"/>
          <w:szCs w:val="18"/>
        </w:rPr>
        <w:t>Manual and Scoring Guide for the Student-Teacher Relationship Scale</w:t>
      </w:r>
      <w:r w:rsidRPr="00342B5C">
        <w:rPr>
          <w:color w:val="auto"/>
          <w:sz w:val="18"/>
          <w:szCs w:val="18"/>
        </w:rPr>
        <w:t>; University of Virginia: Charlottesville, VA, USA, 1996.</w:t>
      </w:r>
    </w:p>
    <w:p w14:paraId="226E09A4"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Yuan, Z.; Zhao, Y. The characteristics of teacher-student relationships and its relationship with school adjustment of students. </w:t>
      </w:r>
      <w:r w:rsidRPr="00342B5C">
        <w:rPr>
          <w:i/>
          <w:iCs/>
          <w:color w:val="auto"/>
          <w:sz w:val="18"/>
          <w:szCs w:val="18"/>
        </w:rPr>
        <w:t>Psychol. Dev. Educ.</w:t>
      </w:r>
      <w:r w:rsidRPr="00342B5C">
        <w:rPr>
          <w:color w:val="auto"/>
          <w:sz w:val="18"/>
          <w:szCs w:val="18"/>
        </w:rPr>
        <w:t xml:space="preserve"> </w:t>
      </w:r>
      <w:r w:rsidRPr="00342B5C">
        <w:rPr>
          <w:b/>
          <w:bCs/>
          <w:color w:val="auto"/>
          <w:sz w:val="18"/>
          <w:szCs w:val="18"/>
        </w:rPr>
        <w:t>2007</w:t>
      </w:r>
      <w:r w:rsidRPr="00342B5C">
        <w:rPr>
          <w:color w:val="auto"/>
          <w:sz w:val="18"/>
          <w:szCs w:val="18"/>
        </w:rPr>
        <w:t>, 77-82.</w:t>
      </w:r>
    </w:p>
    <w:p w14:paraId="7274AB39"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Eccles, J.S.; Midgley, C.; Wigfield, A.; Buchanan, C.M.; Reuman, D.; Flanagan, C.; Mac Iver, D. Development during adolescence: The impact of stage-environment fit on young adolescents' experiences in schools and in families. </w:t>
      </w:r>
      <w:r w:rsidRPr="00342B5C">
        <w:rPr>
          <w:i/>
          <w:iCs/>
          <w:color w:val="auto"/>
          <w:sz w:val="18"/>
          <w:szCs w:val="18"/>
        </w:rPr>
        <w:t>Am. Psychol.</w:t>
      </w:r>
      <w:r w:rsidRPr="00342B5C">
        <w:rPr>
          <w:color w:val="auto"/>
          <w:sz w:val="18"/>
          <w:szCs w:val="18"/>
        </w:rPr>
        <w:t xml:space="preserve"> </w:t>
      </w:r>
      <w:r w:rsidRPr="00342B5C">
        <w:rPr>
          <w:b/>
          <w:bCs/>
          <w:color w:val="auto"/>
          <w:sz w:val="18"/>
          <w:szCs w:val="18"/>
        </w:rPr>
        <w:t>1993</w:t>
      </w:r>
      <w:r w:rsidRPr="00342B5C">
        <w:rPr>
          <w:color w:val="auto"/>
          <w:sz w:val="18"/>
          <w:szCs w:val="18"/>
        </w:rPr>
        <w:t xml:space="preserve">, </w:t>
      </w:r>
      <w:r w:rsidRPr="00342B5C">
        <w:rPr>
          <w:i/>
          <w:iCs/>
          <w:color w:val="auto"/>
          <w:sz w:val="18"/>
          <w:szCs w:val="18"/>
        </w:rPr>
        <w:t>48</w:t>
      </w:r>
      <w:r w:rsidRPr="00342B5C">
        <w:rPr>
          <w:color w:val="auto"/>
          <w:sz w:val="18"/>
          <w:szCs w:val="18"/>
        </w:rPr>
        <w:t>, 90-101. https://doi.org/10.1037/0003-066X.48.2.90.</w:t>
      </w:r>
    </w:p>
    <w:p w14:paraId="00D990F6"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Eccles, J.S.; Roeser, R.W. Schools, academic motivation, and stage-environment fit. In </w:t>
      </w:r>
      <w:r w:rsidRPr="00342B5C">
        <w:rPr>
          <w:i/>
          <w:iCs/>
          <w:color w:val="auto"/>
          <w:sz w:val="18"/>
          <w:szCs w:val="18"/>
        </w:rPr>
        <w:t>Handbook of Adolescent Psychology: Individual Bases of Adolescent Development</w:t>
      </w:r>
      <w:r w:rsidRPr="00342B5C">
        <w:rPr>
          <w:color w:val="auto"/>
          <w:sz w:val="18"/>
          <w:szCs w:val="18"/>
        </w:rPr>
        <w:t>, 3rd ed.; John Wiley &amp; Sons, Inc.: Hoboken, NJ, USA, 2009; pp. 404-434.</w:t>
      </w:r>
    </w:p>
    <w:p w14:paraId="359AEC8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Bandura, A.; </w:t>
      </w:r>
      <w:proofErr w:type="spellStart"/>
      <w:r w:rsidRPr="00342B5C">
        <w:rPr>
          <w:color w:val="auto"/>
          <w:sz w:val="18"/>
          <w:szCs w:val="18"/>
        </w:rPr>
        <w:t>Barbaranelli</w:t>
      </w:r>
      <w:proofErr w:type="spellEnd"/>
      <w:r w:rsidRPr="00342B5C">
        <w:rPr>
          <w:color w:val="auto"/>
          <w:sz w:val="18"/>
          <w:szCs w:val="18"/>
        </w:rPr>
        <w:t xml:space="preserve">, C.; Caprara, G.V.; Pastorelli, C. Self-efficacy beliefs as shapers of children's aspirations and career trajectories. </w:t>
      </w:r>
      <w:r w:rsidRPr="00342B5C">
        <w:rPr>
          <w:i/>
          <w:iCs/>
          <w:color w:val="auto"/>
          <w:sz w:val="18"/>
          <w:szCs w:val="18"/>
        </w:rPr>
        <w:t>Child Dev.</w:t>
      </w:r>
      <w:r w:rsidRPr="00342B5C">
        <w:rPr>
          <w:color w:val="auto"/>
          <w:sz w:val="18"/>
          <w:szCs w:val="18"/>
        </w:rPr>
        <w:t xml:space="preserve"> </w:t>
      </w:r>
      <w:r w:rsidRPr="00342B5C">
        <w:rPr>
          <w:b/>
          <w:bCs/>
          <w:color w:val="auto"/>
          <w:sz w:val="18"/>
          <w:szCs w:val="18"/>
        </w:rPr>
        <w:t>2001</w:t>
      </w:r>
      <w:r w:rsidRPr="00342B5C">
        <w:rPr>
          <w:color w:val="auto"/>
          <w:sz w:val="18"/>
          <w:szCs w:val="18"/>
        </w:rPr>
        <w:t xml:space="preserve">, </w:t>
      </w:r>
      <w:r w:rsidRPr="00342B5C">
        <w:rPr>
          <w:i/>
          <w:iCs/>
          <w:color w:val="auto"/>
          <w:sz w:val="18"/>
          <w:szCs w:val="18"/>
        </w:rPr>
        <w:t>72</w:t>
      </w:r>
      <w:r w:rsidRPr="00342B5C">
        <w:rPr>
          <w:color w:val="auto"/>
          <w:sz w:val="18"/>
          <w:szCs w:val="18"/>
        </w:rPr>
        <w:t>, 187-206. https://doi.org/10.1111/1467-8624.00273.</w:t>
      </w:r>
    </w:p>
    <w:p w14:paraId="1370FBF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Engels, M.C.; </w:t>
      </w:r>
      <w:proofErr w:type="spellStart"/>
      <w:r w:rsidRPr="00342B5C">
        <w:rPr>
          <w:color w:val="auto"/>
          <w:sz w:val="18"/>
          <w:szCs w:val="18"/>
        </w:rPr>
        <w:t>Colpin</w:t>
      </w:r>
      <w:proofErr w:type="spellEnd"/>
      <w:r w:rsidRPr="00342B5C">
        <w:rPr>
          <w:color w:val="auto"/>
          <w:sz w:val="18"/>
          <w:szCs w:val="18"/>
        </w:rPr>
        <w:t xml:space="preserve">, H.; Van Leeuwen, K.; </w:t>
      </w:r>
      <w:proofErr w:type="spellStart"/>
      <w:r w:rsidRPr="00342B5C">
        <w:rPr>
          <w:color w:val="auto"/>
          <w:sz w:val="18"/>
          <w:szCs w:val="18"/>
        </w:rPr>
        <w:t>Bijttebier</w:t>
      </w:r>
      <w:proofErr w:type="spellEnd"/>
      <w:r w:rsidRPr="00342B5C">
        <w:rPr>
          <w:color w:val="auto"/>
          <w:sz w:val="18"/>
          <w:szCs w:val="18"/>
        </w:rPr>
        <w:t xml:space="preserve">, P.; Van Den </w:t>
      </w:r>
      <w:proofErr w:type="spellStart"/>
      <w:r w:rsidRPr="00342B5C">
        <w:rPr>
          <w:color w:val="auto"/>
          <w:sz w:val="18"/>
          <w:szCs w:val="18"/>
        </w:rPr>
        <w:t>Noortgate</w:t>
      </w:r>
      <w:proofErr w:type="spellEnd"/>
      <w:r w:rsidRPr="00342B5C">
        <w:rPr>
          <w:color w:val="auto"/>
          <w:sz w:val="18"/>
          <w:szCs w:val="18"/>
        </w:rPr>
        <w:t xml:space="preserve">, W.; Claes, S.; Goossens, L.; Verschueren, K. </w:t>
      </w:r>
      <w:r w:rsidRPr="00342B5C">
        <w:rPr>
          <w:color w:val="auto"/>
          <w:sz w:val="18"/>
          <w:szCs w:val="18"/>
        </w:rPr>
        <w:lastRenderedPageBreak/>
        <w:t xml:space="preserve">Behavioral engagement, peer status, and teacher-student relationships in adolescence: A longitudinal study on reciprocal influences. </w:t>
      </w:r>
      <w:r w:rsidRPr="00342B5C">
        <w:rPr>
          <w:i/>
          <w:iCs/>
          <w:color w:val="auto"/>
          <w:sz w:val="18"/>
          <w:szCs w:val="18"/>
        </w:rPr>
        <w:t xml:space="preserve">J. Youth </w:t>
      </w:r>
      <w:proofErr w:type="spellStart"/>
      <w:r w:rsidRPr="00342B5C">
        <w:rPr>
          <w:i/>
          <w:iCs/>
          <w:color w:val="auto"/>
          <w:sz w:val="18"/>
          <w:szCs w:val="18"/>
        </w:rPr>
        <w:t>Adolesc</w:t>
      </w:r>
      <w:proofErr w:type="spellEnd"/>
      <w:r w:rsidRPr="00342B5C">
        <w:rPr>
          <w:i/>
          <w:iCs/>
          <w:color w:val="auto"/>
          <w:sz w:val="18"/>
          <w:szCs w:val="18"/>
        </w:rPr>
        <w:t>.</w:t>
      </w:r>
      <w:r w:rsidRPr="00342B5C">
        <w:rPr>
          <w:color w:val="auto"/>
          <w:sz w:val="18"/>
          <w:szCs w:val="18"/>
        </w:rPr>
        <w:t xml:space="preserve"> </w:t>
      </w:r>
      <w:r w:rsidRPr="00342B5C">
        <w:rPr>
          <w:b/>
          <w:bCs/>
          <w:color w:val="auto"/>
          <w:sz w:val="18"/>
          <w:szCs w:val="18"/>
        </w:rPr>
        <w:t>2016</w:t>
      </w:r>
      <w:r w:rsidRPr="00342B5C">
        <w:rPr>
          <w:color w:val="auto"/>
          <w:sz w:val="18"/>
          <w:szCs w:val="18"/>
        </w:rPr>
        <w:t xml:space="preserve">, </w:t>
      </w:r>
      <w:r w:rsidRPr="00342B5C">
        <w:rPr>
          <w:i/>
          <w:iCs/>
          <w:color w:val="auto"/>
          <w:sz w:val="18"/>
          <w:szCs w:val="18"/>
        </w:rPr>
        <w:t>45</w:t>
      </w:r>
      <w:r w:rsidRPr="00342B5C">
        <w:rPr>
          <w:color w:val="auto"/>
          <w:sz w:val="18"/>
          <w:szCs w:val="18"/>
        </w:rPr>
        <w:t>, 1192-1207. https://doi.org/10.1007/s10964-016-0414-5.</w:t>
      </w:r>
    </w:p>
    <w:p w14:paraId="707F20DF"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Ansari, A.; </w:t>
      </w:r>
      <w:proofErr w:type="spellStart"/>
      <w:r w:rsidRPr="00342B5C">
        <w:rPr>
          <w:color w:val="auto"/>
          <w:sz w:val="18"/>
          <w:szCs w:val="18"/>
        </w:rPr>
        <w:t>Hofkens</w:t>
      </w:r>
      <w:proofErr w:type="spellEnd"/>
      <w:r w:rsidRPr="00342B5C">
        <w:rPr>
          <w:color w:val="auto"/>
          <w:sz w:val="18"/>
          <w:szCs w:val="18"/>
        </w:rPr>
        <w:t xml:space="preserve">, T.L.; Pianta, R.C. Teacher-student relationships across the first seven years of education and adolescent outcomes. </w:t>
      </w:r>
      <w:r w:rsidRPr="00342B5C">
        <w:rPr>
          <w:i/>
          <w:iCs/>
          <w:color w:val="auto"/>
          <w:sz w:val="18"/>
          <w:szCs w:val="18"/>
        </w:rPr>
        <w:t>J. Appl. Dev. Psychol.</w:t>
      </w:r>
      <w:r w:rsidRPr="00342B5C">
        <w:rPr>
          <w:color w:val="auto"/>
          <w:sz w:val="18"/>
          <w:szCs w:val="18"/>
        </w:rPr>
        <w:t xml:space="preserve"> </w:t>
      </w:r>
      <w:r w:rsidRPr="00342B5C">
        <w:rPr>
          <w:b/>
          <w:bCs/>
          <w:color w:val="auto"/>
          <w:sz w:val="18"/>
          <w:szCs w:val="18"/>
        </w:rPr>
        <w:t>2020</w:t>
      </w:r>
      <w:r w:rsidRPr="00342B5C">
        <w:rPr>
          <w:color w:val="auto"/>
          <w:sz w:val="18"/>
          <w:szCs w:val="18"/>
        </w:rPr>
        <w:t xml:space="preserve">, </w:t>
      </w:r>
      <w:r w:rsidRPr="00342B5C">
        <w:rPr>
          <w:i/>
          <w:iCs/>
          <w:color w:val="auto"/>
          <w:sz w:val="18"/>
          <w:szCs w:val="18"/>
        </w:rPr>
        <w:t>71</w:t>
      </w:r>
      <w:r w:rsidRPr="00342B5C">
        <w:rPr>
          <w:color w:val="auto"/>
          <w:sz w:val="18"/>
          <w:szCs w:val="18"/>
        </w:rPr>
        <w:t>, Article 101200. https://doi.org/10.1016/j.appdev.2020.101200.</w:t>
      </w:r>
    </w:p>
    <w:p w14:paraId="581D0BAA"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Demirtas-</w:t>
      </w:r>
      <w:proofErr w:type="spellStart"/>
      <w:r w:rsidRPr="00342B5C">
        <w:rPr>
          <w:color w:val="auto"/>
          <w:sz w:val="18"/>
          <w:szCs w:val="18"/>
        </w:rPr>
        <w:t>Zorbaz</w:t>
      </w:r>
      <w:proofErr w:type="spellEnd"/>
      <w:r w:rsidRPr="00342B5C">
        <w:rPr>
          <w:color w:val="auto"/>
          <w:sz w:val="18"/>
          <w:szCs w:val="18"/>
        </w:rPr>
        <w:t xml:space="preserve">, S.; </w:t>
      </w:r>
      <w:proofErr w:type="spellStart"/>
      <w:r w:rsidRPr="00342B5C">
        <w:rPr>
          <w:color w:val="auto"/>
          <w:sz w:val="18"/>
          <w:szCs w:val="18"/>
        </w:rPr>
        <w:t>Ergene</w:t>
      </w:r>
      <w:proofErr w:type="spellEnd"/>
      <w:r w:rsidRPr="00342B5C">
        <w:rPr>
          <w:color w:val="auto"/>
          <w:sz w:val="18"/>
          <w:szCs w:val="18"/>
        </w:rPr>
        <w:t xml:space="preserve">, T. School adjustment of first-grade primary school students: Effects of family involvement, externalizing behavior, teacher and peer relations. </w:t>
      </w:r>
      <w:r w:rsidRPr="00342B5C">
        <w:rPr>
          <w:i/>
          <w:iCs/>
          <w:color w:val="auto"/>
          <w:sz w:val="18"/>
          <w:szCs w:val="18"/>
        </w:rPr>
        <w:t>Child. Youth Serv. Rev.</w:t>
      </w:r>
      <w:r w:rsidRPr="00342B5C">
        <w:rPr>
          <w:color w:val="auto"/>
          <w:sz w:val="18"/>
          <w:szCs w:val="18"/>
        </w:rPr>
        <w:t xml:space="preserve"> </w:t>
      </w:r>
      <w:r w:rsidRPr="00342B5C">
        <w:rPr>
          <w:b/>
          <w:bCs/>
          <w:color w:val="auto"/>
          <w:sz w:val="18"/>
          <w:szCs w:val="18"/>
        </w:rPr>
        <w:t>2019</w:t>
      </w:r>
      <w:r w:rsidRPr="00342B5C">
        <w:rPr>
          <w:color w:val="auto"/>
          <w:sz w:val="18"/>
          <w:szCs w:val="18"/>
        </w:rPr>
        <w:t xml:space="preserve">, </w:t>
      </w:r>
      <w:r w:rsidRPr="00342B5C">
        <w:rPr>
          <w:i/>
          <w:iCs/>
          <w:color w:val="auto"/>
          <w:sz w:val="18"/>
          <w:szCs w:val="18"/>
        </w:rPr>
        <w:t>101</w:t>
      </w:r>
      <w:r w:rsidRPr="00342B5C">
        <w:rPr>
          <w:color w:val="auto"/>
          <w:sz w:val="18"/>
          <w:szCs w:val="18"/>
        </w:rPr>
        <w:t>, 307-316. https://doi.org/10.1016/j.childyouth.2019.04.019.</w:t>
      </w:r>
    </w:p>
    <w:p w14:paraId="6D554DF3"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Yuan, Z.; Sun, Y. Difference between cognitive empathy and affective empathy in development: Meta-analysis preliminary exploration. </w:t>
      </w:r>
      <w:r w:rsidRPr="00342B5C">
        <w:rPr>
          <w:i/>
          <w:iCs/>
          <w:color w:val="auto"/>
          <w:sz w:val="18"/>
          <w:szCs w:val="18"/>
        </w:rPr>
        <w:t>Psychol. Dev. Educ.</w:t>
      </w:r>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37</w:t>
      </w:r>
      <w:r w:rsidRPr="00342B5C">
        <w:rPr>
          <w:color w:val="auto"/>
          <w:sz w:val="18"/>
          <w:szCs w:val="18"/>
        </w:rPr>
        <w:t>, 1-9. https://doi.org/10.16187/j.cnki.issn1001-4918.2021.01.01.</w:t>
      </w:r>
    </w:p>
    <w:p w14:paraId="7C9C5145"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Laursen, B.; Finkelstein, B.D.; Betts, N.T. A developmental meta-analysis of peer conflict resolution. </w:t>
      </w:r>
      <w:r w:rsidRPr="00342B5C">
        <w:rPr>
          <w:i/>
          <w:iCs/>
          <w:color w:val="auto"/>
          <w:sz w:val="18"/>
          <w:szCs w:val="18"/>
        </w:rPr>
        <w:t>Dev. Rev.</w:t>
      </w:r>
      <w:r w:rsidRPr="00342B5C">
        <w:rPr>
          <w:color w:val="auto"/>
          <w:sz w:val="18"/>
          <w:szCs w:val="18"/>
        </w:rPr>
        <w:t xml:space="preserve"> </w:t>
      </w:r>
      <w:r w:rsidRPr="00342B5C">
        <w:rPr>
          <w:b/>
          <w:bCs/>
          <w:color w:val="auto"/>
          <w:sz w:val="18"/>
          <w:szCs w:val="18"/>
        </w:rPr>
        <w:t>2001</w:t>
      </w:r>
      <w:r w:rsidRPr="00342B5C">
        <w:rPr>
          <w:color w:val="auto"/>
          <w:sz w:val="18"/>
          <w:szCs w:val="18"/>
        </w:rPr>
        <w:t xml:space="preserve">, </w:t>
      </w:r>
      <w:r w:rsidRPr="00342B5C">
        <w:rPr>
          <w:i/>
          <w:iCs/>
          <w:color w:val="auto"/>
          <w:sz w:val="18"/>
          <w:szCs w:val="18"/>
        </w:rPr>
        <w:t>21</w:t>
      </w:r>
      <w:r w:rsidRPr="00342B5C">
        <w:rPr>
          <w:color w:val="auto"/>
          <w:sz w:val="18"/>
          <w:szCs w:val="18"/>
        </w:rPr>
        <w:t>, 423-449. https://doi.org/10.1006/drev.2000.0531.</w:t>
      </w:r>
    </w:p>
    <w:p w14:paraId="13E6B6C9"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Kulig, T.C.; Pratt, T.C.; Cullen, F.T.; </w:t>
      </w:r>
      <w:proofErr w:type="spellStart"/>
      <w:r w:rsidRPr="00342B5C">
        <w:rPr>
          <w:color w:val="auto"/>
          <w:sz w:val="18"/>
          <w:szCs w:val="18"/>
        </w:rPr>
        <w:t>Chouhy</w:t>
      </w:r>
      <w:proofErr w:type="spellEnd"/>
      <w:r w:rsidRPr="00342B5C">
        <w:rPr>
          <w:color w:val="auto"/>
          <w:sz w:val="18"/>
          <w:szCs w:val="18"/>
        </w:rPr>
        <w:t xml:space="preserve">, C.; </w:t>
      </w:r>
      <w:proofErr w:type="spellStart"/>
      <w:r w:rsidRPr="00342B5C">
        <w:rPr>
          <w:color w:val="auto"/>
          <w:sz w:val="18"/>
          <w:szCs w:val="18"/>
        </w:rPr>
        <w:t>Unnever</w:t>
      </w:r>
      <w:proofErr w:type="spellEnd"/>
      <w:r w:rsidRPr="00342B5C">
        <w:rPr>
          <w:color w:val="auto"/>
          <w:sz w:val="18"/>
          <w:szCs w:val="18"/>
        </w:rPr>
        <w:t xml:space="preserve">, J.D. Explaining bullying victimization: Assessing the generality of the low self-control/risky lifestyle model. </w:t>
      </w:r>
      <w:r w:rsidRPr="00342B5C">
        <w:rPr>
          <w:i/>
          <w:iCs/>
          <w:color w:val="auto"/>
          <w:sz w:val="18"/>
          <w:szCs w:val="18"/>
        </w:rPr>
        <w:t>Vict. Offenders</w:t>
      </w:r>
      <w:r w:rsidRPr="00342B5C">
        <w:rPr>
          <w:color w:val="auto"/>
          <w:sz w:val="18"/>
          <w:szCs w:val="18"/>
        </w:rPr>
        <w:t xml:space="preserve"> </w:t>
      </w:r>
      <w:r w:rsidRPr="00342B5C">
        <w:rPr>
          <w:b/>
          <w:bCs/>
          <w:color w:val="auto"/>
          <w:sz w:val="18"/>
          <w:szCs w:val="18"/>
        </w:rPr>
        <w:t>2017</w:t>
      </w:r>
      <w:r w:rsidRPr="00342B5C">
        <w:rPr>
          <w:color w:val="auto"/>
          <w:sz w:val="18"/>
          <w:szCs w:val="18"/>
        </w:rPr>
        <w:t xml:space="preserve">, </w:t>
      </w:r>
      <w:r w:rsidRPr="00342B5C">
        <w:rPr>
          <w:i/>
          <w:iCs/>
          <w:color w:val="auto"/>
          <w:sz w:val="18"/>
          <w:szCs w:val="18"/>
        </w:rPr>
        <w:t>12</w:t>
      </w:r>
      <w:r w:rsidRPr="00342B5C">
        <w:rPr>
          <w:color w:val="auto"/>
          <w:sz w:val="18"/>
          <w:szCs w:val="18"/>
        </w:rPr>
        <w:t>, 891-912. https://doi.org/10.1080/15564886.2017.1307297.</w:t>
      </w:r>
    </w:p>
    <w:p w14:paraId="14FEF41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Park, Y.S.; Park, J.H. The effects of school violence victimization on cyberbullying perpetration in middle school students and the moderating role of self-control. </w:t>
      </w:r>
      <w:r w:rsidRPr="00342B5C">
        <w:rPr>
          <w:i/>
          <w:iCs/>
          <w:color w:val="auto"/>
          <w:sz w:val="18"/>
          <w:szCs w:val="18"/>
        </w:rPr>
        <w:t>Korean J. Child Stud.</w:t>
      </w:r>
      <w:r w:rsidRPr="00342B5C">
        <w:rPr>
          <w:color w:val="auto"/>
          <w:sz w:val="18"/>
          <w:szCs w:val="18"/>
        </w:rPr>
        <w:t xml:space="preserve"> </w:t>
      </w:r>
      <w:r w:rsidRPr="00342B5C">
        <w:rPr>
          <w:b/>
          <w:bCs/>
          <w:color w:val="auto"/>
          <w:sz w:val="18"/>
          <w:szCs w:val="18"/>
        </w:rPr>
        <w:t>2016</w:t>
      </w:r>
      <w:r w:rsidRPr="00342B5C">
        <w:rPr>
          <w:color w:val="auto"/>
          <w:sz w:val="18"/>
          <w:szCs w:val="18"/>
        </w:rPr>
        <w:t xml:space="preserve">, </w:t>
      </w:r>
      <w:r w:rsidRPr="00342B5C">
        <w:rPr>
          <w:i/>
          <w:iCs/>
          <w:color w:val="auto"/>
          <w:sz w:val="18"/>
          <w:szCs w:val="18"/>
        </w:rPr>
        <w:t>37</w:t>
      </w:r>
      <w:r w:rsidRPr="00342B5C">
        <w:rPr>
          <w:color w:val="auto"/>
          <w:sz w:val="18"/>
          <w:szCs w:val="18"/>
        </w:rPr>
        <w:t>, 39-51. https://doi.org/10.5723/kjcs.2016.37.3.39.</w:t>
      </w:r>
    </w:p>
    <w:p w14:paraId="13E7039B"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Terranova, A.; Harris, J.; </w:t>
      </w:r>
      <w:proofErr w:type="spellStart"/>
      <w:r w:rsidRPr="00342B5C">
        <w:rPr>
          <w:color w:val="auto"/>
          <w:sz w:val="18"/>
          <w:szCs w:val="18"/>
        </w:rPr>
        <w:t>Kavetski</w:t>
      </w:r>
      <w:proofErr w:type="spellEnd"/>
      <w:r w:rsidRPr="00342B5C">
        <w:rPr>
          <w:color w:val="auto"/>
          <w:sz w:val="18"/>
          <w:szCs w:val="18"/>
        </w:rPr>
        <w:t xml:space="preserve">, M.; Oates, R. Responding to peer victimization: A sense of control matters. </w:t>
      </w:r>
      <w:r w:rsidRPr="00342B5C">
        <w:rPr>
          <w:i/>
          <w:iCs/>
          <w:color w:val="auto"/>
          <w:sz w:val="18"/>
          <w:szCs w:val="18"/>
        </w:rPr>
        <w:t xml:space="preserve">J. Hum. </w:t>
      </w:r>
      <w:proofErr w:type="spellStart"/>
      <w:r w:rsidRPr="00342B5C">
        <w:rPr>
          <w:i/>
          <w:iCs/>
          <w:color w:val="auto"/>
          <w:sz w:val="18"/>
          <w:szCs w:val="18"/>
        </w:rPr>
        <w:t>Behav</w:t>
      </w:r>
      <w:proofErr w:type="spellEnd"/>
      <w:r w:rsidRPr="00342B5C">
        <w:rPr>
          <w:i/>
          <w:iCs/>
          <w:color w:val="auto"/>
          <w:sz w:val="18"/>
          <w:szCs w:val="18"/>
        </w:rPr>
        <w:t>. Soc. Environ.</w:t>
      </w:r>
      <w:r w:rsidRPr="00342B5C">
        <w:rPr>
          <w:color w:val="auto"/>
          <w:sz w:val="18"/>
          <w:szCs w:val="18"/>
        </w:rPr>
        <w:t xml:space="preserve"> </w:t>
      </w:r>
      <w:r w:rsidRPr="00342B5C">
        <w:rPr>
          <w:b/>
          <w:bCs/>
          <w:color w:val="auto"/>
          <w:sz w:val="18"/>
          <w:szCs w:val="18"/>
        </w:rPr>
        <w:t>2011</w:t>
      </w:r>
      <w:r w:rsidRPr="00342B5C">
        <w:rPr>
          <w:color w:val="auto"/>
          <w:sz w:val="18"/>
          <w:szCs w:val="18"/>
        </w:rPr>
        <w:t xml:space="preserve">, </w:t>
      </w:r>
      <w:r w:rsidRPr="00342B5C">
        <w:rPr>
          <w:i/>
          <w:iCs/>
          <w:color w:val="auto"/>
          <w:sz w:val="18"/>
          <w:szCs w:val="18"/>
        </w:rPr>
        <w:t>40</w:t>
      </w:r>
      <w:r w:rsidRPr="00342B5C">
        <w:rPr>
          <w:color w:val="auto"/>
          <w:sz w:val="18"/>
          <w:szCs w:val="18"/>
        </w:rPr>
        <w:t>, 419-434. https://doi.org/10.1007/s10566-011-9144-8.</w:t>
      </w:r>
    </w:p>
    <w:p w14:paraId="2081FE58" w14:textId="77777777" w:rsidR="005D05AF" w:rsidRPr="00342B5C" w:rsidRDefault="005D05AF" w:rsidP="00F04E90">
      <w:pPr>
        <w:widowControl w:val="0"/>
        <w:numPr>
          <w:ilvl w:val="0"/>
          <w:numId w:val="24"/>
        </w:numPr>
        <w:spacing w:line="228" w:lineRule="auto"/>
        <w:ind w:left="425" w:hanging="425"/>
        <w:rPr>
          <w:color w:val="auto"/>
          <w:sz w:val="18"/>
          <w:szCs w:val="18"/>
        </w:rPr>
      </w:pPr>
      <w:proofErr w:type="spellStart"/>
      <w:r w:rsidRPr="00342B5C">
        <w:rPr>
          <w:color w:val="auto"/>
          <w:sz w:val="18"/>
          <w:szCs w:val="18"/>
        </w:rPr>
        <w:t>Unnever</w:t>
      </w:r>
      <w:proofErr w:type="spellEnd"/>
      <w:r w:rsidRPr="00342B5C">
        <w:rPr>
          <w:color w:val="auto"/>
          <w:sz w:val="18"/>
          <w:szCs w:val="18"/>
        </w:rPr>
        <w:t xml:space="preserve">, J.D.; Cornell, D.G. Bullying, self-control, and ADHD. </w:t>
      </w:r>
      <w:r w:rsidRPr="00342B5C">
        <w:rPr>
          <w:i/>
          <w:iCs/>
          <w:color w:val="auto"/>
          <w:sz w:val="18"/>
          <w:szCs w:val="18"/>
        </w:rPr>
        <w:t xml:space="preserve">J. </w:t>
      </w:r>
      <w:proofErr w:type="spellStart"/>
      <w:r w:rsidRPr="00342B5C">
        <w:rPr>
          <w:i/>
          <w:iCs/>
          <w:color w:val="auto"/>
          <w:sz w:val="18"/>
          <w:szCs w:val="18"/>
        </w:rPr>
        <w:t>Interpers</w:t>
      </w:r>
      <w:proofErr w:type="spellEnd"/>
      <w:r w:rsidRPr="00342B5C">
        <w:rPr>
          <w:i/>
          <w:iCs/>
          <w:color w:val="auto"/>
          <w:sz w:val="18"/>
          <w:szCs w:val="18"/>
        </w:rPr>
        <w:t>. Violence</w:t>
      </w:r>
      <w:r w:rsidRPr="00342B5C">
        <w:rPr>
          <w:color w:val="auto"/>
          <w:sz w:val="18"/>
          <w:szCs w:val="18"/>
        </w:rPr>
        <w:t xml:space="preserve"> </w:t>
      </w:r>
      <w:r w:rsidRPr="00342B5C">
        <w:rPr>
          <w:b/>
          <w:bCs/>
          <w:color w:val="auto"/>
          <w:sz w:val="18"/>
          <w:szCs w:val="18"/>
        </w:rPr>
        <w:t>2003</w:t>
      </w:r>
      <w:r w:rsidRPr="00342B5C">
        <w:rPr>
          <w:color w:val="auto"/>
          <w:sz w:val="18"/>
          <w:szCs w:val="18"/>
        </w:rPr>
        <w:t xml:space="preserve">, </w:t>
      </w:r>
      <w:r w:rsidRPr="00342B5C">
        <w:rPr>
          <w:i/>
          <w:iCs/>
          <w:color w:val="auto"/>
          <w:sz w:val="18"/>
          <w:szCs w:val="18"/>
        </w:rPr>
        <w:t>18</w:t>
      </w:r>
      <w:r w:rsidRPr="00342B5C">
        <w:rPr>
          <w:color w:val="auto"/>
          <w:sz w:val="18"/>
          <w:szCs w:val="18"/>
        </w:rPr>
        <w:t>, 129-147. https://doi.org/10.1177/0886260502238731.</w:t>
      </w:r>
    </w:p>
    <w:p w14:paraId="36072FD0"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Cheng, C.; Cheung, S.-F.; Chio, J.H.-M.; Chan, M.-P.S. Cultural meaning of perceived control: A meta-analysis of locus of control and psychological symptoms across 18 cultural regions. </w:t>
      </w:r>
      <w:r w:rsidRPr="00342B5C">
        <w:rPr>
          <w:i/>
          <w:iCs/>
          <w:color w:val="auto"/>
          <w:sz w:val="18"/>
          <w:szCs w:val="18"/>
        </w:rPr>
        <w:t xml:space="preserve">J. </w:t>
      </w:r>
      <w:proofErr w:type="spellStart"/>
      <w:r w:rsidRPr="00342B5C">
        <w:rPr>
          <w:i/>
          <w:iCs/>
          <w:color w:val="auto"/>
          <w:sz w:val="18"/>
          <w:szCs w:val="18"/>
        </w:rPr>
        <w:t>Abnorm</w:t>
      </w:r>
      <w:proofErr w:type="spellEnd"/>
      <w:r w:rsidRPr="00342B5C">
        <w:rPr>
          <w:i/>
          <w:iCs/>
          <w:color w:val="auto"/>
          <w:sz w:val="18"/>
          <w:szCs w:val="18"/>
        </w:rPr>
        <w:t>. Psychol.</w:t>
      </w:r>
      <w:r w:rsidRPr="00342B5C">
        <w:rPr>
          <w:color w:val="auto"/>
          <w:sz w:val="18"/>
          <w:szCs w:val="18"/>
        </w:rPr>
        <w:t xml:space="preserve"> </w:t>
      </w:r>
      <w:r w:rsidRPr="00342B5C">
        <w:rPr>
          <w:b/>
          <w:bCs/>
          <w:color w:val="auto"/>
          <w:sz w:val="18"/>
          <w:szCs w:val="18"/>
        </w:rPr>
        <w:t>2013</w:t>
      </w:r>
      <w:r w:rsidRPr="00342B5C">
        <w:rPr>
          <w:color w:val="auto"/>
          <w:sz w:val="18"/>
          <w:szCs w:val="18"/>
        </w:rPr>
        <w:t xml:space="preserve">, </w:t>
      </w:r>
      <w:r w:rsidRPr="00342B5C">
        <w:rPr>
          <w:i/>
          <w:iCs/>
          <w:color w:val="auto"/>
          <w:sz w:val="18"/>
          <w:szCs w:val="18"/>
        </w:rPr>
        <w:t>139</w:t>
      </w:r>
      <w:r w:rsidRPr="00342B5C">
        <w:rPr>
          <w:color w:val="auto"/>
          <w:sz w:val="18"/>
          <w:szCs w:val="18"/>
        </w:rPr>
        <w:t>, 152-188. https://doi.org/10.1037/a0028596.</w:t>
      </w:r>
    </w:p>
    <w:p w14:paraId="4CC2211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Xie, S.; Xu, J.; Gao, Y. Bullying victimization, coping strategies, and depression of children of China. </w:t>
      </w:r>
      <w:r w:rsidRPr="00342B5C">
        <w:rPr>
          <w:i/>
          <w:iCs/>
          <w:color w:val="auto"/>
          <w:sz w:val="18"/>
          <w:szCs w:val="18"/>
        </w:rPr>
        <w:t xml:space="preserve">J. </w:t>
      </w:r>
      <w:proofErr w:type="spellStart"/>
      <w:r w:rsidRPr="00342B5C">
        <w:rPr>
          <w:i/>
          <w:iCs/>
          <w:color w:val="auto"/>
          <w:sz w:val="18"/>
          <w:szCs w:val="18"/>
        </w:rPr>
        <w:t>Interpers</w:t>
      </w:r>
      <w:proofErr w:type="spellEnd"/>
      <w:r w:rsidRPr="00342B5C">
        <w:rPr>
          <w:i/>
          <w:iCs/>
          <w:color w:val="auto"/>
          <w:sz w:val="18"/>
          <w:szCs w:val="18"/>
        </w:rPr>
        <w:t>. Violence</w:t>
      </w:r>
      <w:r w:rsidRPr="00342B5C">
        <w:rPr>
          <w:color w:val="auto"/>
          <w:sz w:val="18"/>
          <w:szCs w:val="18"/>
        </w:rPr>
        <w:t xml:space="preserve"> </w:t>
      </w:r>
      <w:r w:rsidRPr="00342B5C">
        <w:rPr>
          <w:b/>
          <w:bCs/>
          <w:color w:val="auto"/>
          <w:sz w:val="18"/>
          <w:szCs w:val="18"/>
        </w:rPr>
        <w:t>2022</w:t>
      </w:r>
      <w:r w:rsidRPr="00342B5C">
        <w:rPr>
          <w:color w:val="auto"/>
          <w:sz w:val="18"/>
          <w:szCs w:val="18"/>
        </w:rPr>
        <w:t xml:space="preserve">, </w:t>
      </w:r>
      <w:r w:rsidRPr="00342B5C">
        <w:rPr>
          <w:i/>
          <w:iCs/>
          <w:color w:val="auto"/>
          <w:sz w:val="18"/>
          <w:szCs w:val="18"/>
        </w:rPr>
        <w:t>37</w:t>
      </w:r>
      <w:r w:rsidRPr="00342B5C">
        <w:rPr>
          <w:color w:val="auto"/>
          <w:sz w:val="18"/>
          <w:szCs w:val="18"/>
        </w:rPr>
        <w:t>, 195-220. https://doi.org/10.1177/0886260520907361.</w:t>
      </w:r>
    </w:p>
    <w:p w14:paraId="4E7C6A16"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van Aalst, D.A.E.; </w:t>
      </w:r>
      <w:proofErr w:type="spellStart"/>
      <w:r w:rsidRPr="00342B5C">
        <w:rPr>
          <w:color w:val="auto"/>
          <w:sz w:val="18"/>
          <w:szCs w:val="18"/>
        </w:rPr>
        <w:t>Huitsing</w:t>
      </w:r>
      <w:proofErr w:type="spellEnd"/>
      <w:r w:rsidRPr="00342B5C">
        <w:rPr>
          <w:color w:val="auto"/>
          <w:sz w:val="18"/>
          <w:szCs w:val="18"/>
        </w:rPr>
        <w:t xml:space="preserve">, G.; </w:t>
      </w:r>
      <w:proofErr w:type="spellStart"/>
      <w:r w:rsidRPr="00342B5C">
        <w:rPr>
          <w:color w:val="auto"/>
          <w:sz w:val="18"/>
          <w:szCs w:val="18"/>
        </w:rPr>
        <w:t>Mainhard</w:t>
      </w:r>
      <w:proofErr w:type="spellEnd"/>
      <w:r w:rsidRPr="00342B5C">
        <w:rPr>
          <w:color w:val="auto"/>
          <w:sz w:val="18"/>
          <w:szCs w:val="18"/>
        </w:rPr>
        <w:t xml:space="preserve">, T.; Cillessen, A.H.N.; Veenstra, R. Testing how teachers' self-efficacy and student-teacher relationships moderate the association between bullying, victimization, and student self-esteem. </w:t>
      </w:r>
      <w:r w:rsidRPr="00342B5C">
        <w:rPr>
          <w:i/>
          <w:iCs/>
          <w:color w:val="auto"/>
          <w:sz w:val="18"/>
          <w:szCs w:val="18"/>
        </w:rPr>
        <w:t>Eur. J. Dev. Psychol.</w:t>
      </w:r>
      <w:r w:rsidRPr="00342B5C">
        <w:rPr>
          <w:color w:val="auto"/>
          <w:sz w:val="18"/>
          <w:szCs w:val="18"/>
        </w:rPr>
        <w:t xml:space="preserve"> </w:t>
      </w:r>
      <w:r w:rsidRPr="00342B5C">
        <w:rPr>
          <w:b/>
          <w:bCs/>
          <w:color w:val="auto"/>
          <w:sz w:val="18"/>
          <w:szCs w:val="18"/>
        </w:rPr>
        <w:t>2021</w:t>
      </w:r>
      <w:r w:rsidRPr="00342B5C">
        <w:rPr>
          <w:color w:val="auto"/>
          <w:sz w:val="18"/>
          <w:szCs w:val="18"/>
        </w:rPr>
        <w:t xml:space="preserve">, </w:t>
      </w:r>
      <w:r w:rsidRPr="00342B5C">
        <w:rPr>
          <w:i/>
          <w:iCs/>
          <w:color w:val="auto"/>
          <w:sz w:val="18"/>
          <w:szCs w:val="18"/>
        </w:rPr>
        <w:t>18</w:t>
      </w:r>
      <w:r w:rsidRPr="00342B5C">
        <w:rPr>
          <w:color w:val="auto"/>
          <w:sz w:val="18"/>
          <w:szCs w:val="18"/>
        </w:rPr>
        <w:t>, 1-20. https://doi.org/10.1080/17405629.2021.1912728.</w:t>
      </w:r>
    </w:p>
    <w:p w14:paraId="15FEBC11"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Wang, X.; Zhang, Y.; Hui, Z.; Bai, W.; Terry, P.; Ma, M.; Li, Y.; Cheng, L.; Gu, W.; Wang, M. The mediating effect of regulatory emotional self-efficacy on the association between self-esteem and school bullying in middle school students: A cross-sectional study. </w:t>
      </w:r>
      <w:r w:rsidRPr="00342B5C">
        <w:rPr>
          <w:i/>
          <w:iCs/>
          <w:color w:val="auto"/>
          <w:sz w:val="18"/>
          <w:szCs w:val="18"/>
        </w:rPr>
        <w:t>Int. J. Environ. Res. Public Health</w:t>
      </w:r>
      <w:r w:rsidRPr="00342B5C">
        <w:rPr>
          <w:color w:val="auto"/>
          <w:sz w:val="18"/>
          <w:szCs w:val="18"/>
        </w:rPr>
        <w:t xml:space="preserve"> </w:t>
      </w:r>
      <w:r w:rsidRPr="00342B5C">
        <w:rPr>
          <w:b/>
          <w:bCs/>
          <w:color w:val="auto"/>
          <w:sz w:val="18"/>
          <w:szCs w:val="18"/>
        </w:rPr>
        <w:t>2018</w:t>
      </w:r>
      <w:r w:rsidRPr="00342B5C">
        <w:rPr>
          <w:color w:val="auto"/>
          <w:sz w:val="18"/>
          <w:szCs w:val="18"/>
        </w:rPr>
        <w:t xml:space="preserve">, </w:t>
      </w:r>
      <w:r w:rsidRPr="00342B5C">
        <w:rPr>
          <w:i/>
          <w:iCs/>
          <w:color w:val="auto"/>
          <w:sz w:val="18"/>
          <w:szCs w:val="18"/>
        </w:rPr>
        <w:t>15</w:t>
      </w:r>
      <w:r w:rsidRPr="00342B5C">
        <w:rPr>
          <w:color w:val="auto"/>
          <w:sz w:val="18"/>
          <w:szCs w:val="18"/>
        </w:rPr>
        <w:t>, 991. https://doi.org/10.3390/ijerph15050991.</w:t>
      </w:r>
    </w:p>
    <w:p w14:paraId="68818521"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Lam, A.G.; Zane, N.W.S. Ethnic differences in coping with interpersonal stressors: A test of self-</w:t>
      </w:r>
      <w:proofErr w:type="spellStart"/>
      <w:r w:rsidRPr="00342B5C">
        <w:rPr>
          <w:color w:val="auto"/>
          <w:sz w:val="18"/>
          <w:szCs w:val="18"/>
        </w:rPr>
        <w:t>construals</w:t>
      </w:r>
      <w:proofErr w:type="spellEnd"/>
      <w:r w:rsidRPr="00342B5C">
        <w:rPr>
          <w:color w:val="auto"/>
          <w:sz w:val="18"/>
          <w:szCs w:val="18"/>
        </w:rPr>
        <w:t xml:space="preserve"> as cultural mediators. </w:t>
      </w:r>
      <w:r w:rsidRPr="00342B5C">
        <w:rPr>
          <w:i/>
          <w:iCs/>
          <w:color w:val="auto"/>
          <w:sz w:val="18"/>
          <w:szCs w:val="18"/>
        </w:rPr>
        <w:t>J. Cross-Cult. Psychol.</w:t>
      </w:r>
      <w:r w:rsidRPr="00342B5C">
        <w:rPr>
          <w:color w:val="auto"/>
          <w:sz w:val="18"/>
          <w:szCs w:val="18"/>
        </w:rPr>
        <w:t xml:space="preserve"> </w:t>
      </w:r>
      <w:r w:rsidRPr="00342B5C">
        <w:rPr>
          <w:b/>
          <w:bCs/>
          <w:color w:val="auto"/>
          <w:sz w:val="18"/>
          <w:szCs w:val="18"/>
        </w:rPr>
        <w:t>2004</w:t>
      </w:r>
      <w:r w:rsidRPr="00342B5C">
        <w:rPr>
          <w:color w:val="auto"/>
          <w:sz w:val="18"/>
          <w:szCs w:val="18"/>
        </w:rPr>
        <w:t xml:space="preserve">, </w:t>
      </w:r>
      <w:r w:rsidRPr="00342B5C">
        <w:rPr>
          <w:i/>
          <w:iCs/>
          <w:color w:val="auto"/>
          <w:sz w:val="18"/>
          <w:szCs w:val="18"/>
        </w:rPr>
        <w:t>35</w:t>
      </w:r>
      <w:r w:rsidRPr="00342B5C">
        <w:rPr>
          <w:color w:val="auto"/>
          <w:sz w:val="18"/>
          <w:szCs w:val="18"/>
        </w:rPr>
        <w:t>, 446-459. https://doi.org/10.1177/0022022104266108.</w:t>
      </w:r>
    </w:p>
    <w:p w14:paraId="4BDD4297"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Eisenberg, N.; Valiente, C.; Eggum, N.D. Self-regulation and school readiness. </w:t>
      </w:r>
      <w:r w:rsidRPr="00342B5C">
        <w:rPr>
          <w:i/>
          <w:iCs/>
          <w:color w:val="auto"/>
          <w:sz w:val="18"/>
          <w:szCs w:val="18"/>
        </w:rPr>
        <w:t>Early Educ. Dev.</w:t>
      </w:r>
      <w:r w:rsidRPr="00342B5C">
        <w:rPr>
          <w:color w:val="auto"/>
          <w:sz w:val="18"/>
          <w:szCs w:val="18"/>
        </w:rPr>
        <w:t xml:space="preserve"> </w:t>
      </w:r>
      <w:r w:rsidRPr="00342B5C">
        <w:rPr>
          <w:b/>
          <w:bCs/>
          <w:color w:val="auto"/>
          <w:sz w:val="18"/>
          <w:szCs w:val="18"/>
        </w:rPr>
        <w:t>2010</w:t>
      </w:r>
      <w:r w:rsidRPr="00342B5C">
        <w:rPr>
          <w:color w:val="auto"/>
          <w:sz w:val="18"/>
          <w:szCs w:val="18"/>
        </w:rPr>
        <w:t xml:space="preserve">, </w:t>
      </w:r>
      <w:r w:rsidRPr="00342B5C">
        <w:rPr>
          <w:i/>
          <w:iCs/>
          <w:color w:val="auto"/>
          <w:sz w:val="18"/>
          <w:szCs w:val="18"/>
        </w:rPr>
        <w:t>21</w:t>
      </w:r>
      <w:r w:rsidRPr="00342B5C">
        <w:rPr>
          <w:color w:val="auto"/>
          <w:sz w:val="18"/>
          <w:szCs w:val="18"/>
        </w:rPr>
        <w:t>, 681-698. https://doi.org/10.1080/10409289.2010.497451.</w:t>
      </w:r>
    </w:p>
    <w:p w14:paraId="02508183"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Williams, K.D. Ostracism. </w:t>
      </w:r>
      <w:r w:rsidRPr="00342B5C">
        <w:rPr>
          <w:i/>
          <w:iCs/>
          <w:color w:val="auto"/>
          <w:sz w:val="18"/>
          <w:szCs w:val="18"/>
        </w:rPr>
        <w:t>Annu. Rev. Psychol.</w:t>
      </w:r>
      <w:r w:rsidRPr="00342B5C">
        <w:rPr>
          <w:color w:val="auto"/>
          <w:sz w:val="18"/>
          <w:szCs w:val="18"/>
        </w:rPr>
        <w:t xml:space="preserve"> </w:t>
      </w:r>
      <w:r w:rsidRPr="00342B5C">
        <w:rPr>
          <w:b/>
          <w:bCs/>
          <w:color w:val="auto"/>
          <w:sz w:val="18"/>
          <w:szCs w:val="18"/>
        </w:rPr>
        <w:t>2007</w:t>
      </w:r>
      <w:r w:rsidRPr="00342B5C">
        <w:rPr>
          <w:color w:val="auto"/>
          <w:sz w:val="18"/>
          <w:szCs w:val="18"/>
        </w:rPr>
        <w:t xml:space="preserve">, </w:t>
      </w:r>
      <w:r w:rsidRPr="00342B5C">
        <w:rPr>
          <w:i/>
          <w:iCs/>
          <w:color w:val="auto"/>
          <w:sz w:val="18"/>
          <w:szCs w:val="18"/>
        </w:rPr>
        <w:t>58</w:t>
      </w:r>
      <w:r w:rsidRPr="00342B5C">
        <w:rPr>
          <w:color w:val="auto"/>
          <w:sz w:val="18"/>
          <w:szCs w:val="18"/>
        </w:rPr>
        <w:t>, 425-452. https://doi.org/10.1146/annurev.psych.58.110405.085641.</w:t>
      </w:r>
    </w:p>
    <w:p w14:paraId="65852C38"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Greitemeyer, T.; </w:t>
      </w:r>
      <w:proofErr w:type="spellStart"/>
      <w:r w:rsidRPr="00342B5C">
        <w:rPr>
          <w:color w:val="auto"/>
          <w:sz w:val="18"/>
          <w:szCs w:val="18"/>
        </w:rPr>
        <w:t>Sagioglou</w:t>
      </w:r>
      <w:proofErr w:type="spellEnd"/>
      <w:r w:rsidRPr="00342B5C">
        <w:rPr>
          <w:color w:val="auto"/>
          <w:sz w:val="18"/>
          <w:szCs w:val="18"/>
        </w:rPr>
        <w:t xml:space="preserve">, C. Subjective socioeconomic status causes aggression: A test of the theory of social deprivation. </w:t>
      </w:r>
      <w:r w:rsidRPr="00342B5C">
        <w:rPr>
          <w:i/>
          <w:iCs/>
          <w:color w:val="auto"/>
          <w:sz w:val="18"/>
          <w:szCs w:val="18"/>
        </w:rPr>
        <w:t>J. Pers. Soc. Psychol.</w:t>
      </w:r>
      <w:r w:rsidRPr="00342B5C">
        <w:rPr>
          <w:color w:val="auto"/>
          <w:sz w:val="18"/>
          <w:szCs w:val="18"/>
        </w:rPr>
        <w:t xml:space="preserve"> </w:t>
      </w:r>
      <w:r w:rsidRPr="00342B5C">
        <w:rPr>
          <w:b/>
          <w:bCs/>
          <w:color w:val="auto"/>
          <w:sz w:val="18"/>
          <w:szCs w:val="18"/>
        </w:rPr>
        <w:t>2016</w:t>
      </w:r>
      <w:r w:rsidRPr="00342B5C">
        <w:rPr>
          <w:color w:val="auto"/>
          <w:sz w:val="18"/>
          <w:szCs w:val="18"/>
        </w:rPr>
        <w:t xml:space="preserve">, </w:t>
      </w:r>
      <w:r w:rsidRPr="00342B5C">
        <w:rPr>
          <w:i/>
          <w:iCs/>
          <w:color w:val="auto"/>
          <w:sz w:val="18"/>
          <w:szCs w:val="18"/>
        </w:rPr>
        <w:t>111</w:t>
      </w:r>
      <w:r w:rsidRPr="00342B5C">
        <w:rPr>
          <w:color w:val="auto"/>
          <w:sz w:val="18"/>
          <w:szCs w:val="18"/>
        </w:rPr>
        <w:t>, 178-194. https://doi.org/10.1037/pspi0000058.</w:t>
      </w:r>
    </w:p>
    <w:p w14:paraId="40FE51F0"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Reavis, R.D.; Keane, S.P.; Calkins, S.D. Trajectories of peer victimization: The role of multiple relationships. </w:t>
      </w:r>
      <w:r w:rsidRPr="00342B5C">
        <w:rPr>
          <w:i/>
          <w:iCs/>
          <w:color w:val="auto"/>
          <w:sz w:val="18"/>
          <w:szCs w:val="18"/>
        </w:rPr>
        <w:t>Merrill-Palmer Q.</w:t>
      </w:r>
      <w:r w:rsidRPr="00342B5C">
        <w:rPr>
          <w:color w:val="auto"/>
          <w:sz w:val="18"/>
          <w:szCs w:val="18"/>
        </w:rPr>
        <w:t xml:space="preserve"> </w:t>
      </w:r>
      <w:r w:rsidRPr="00342B5C">
        <w:rPr>
          <w:b/>
          <w:bCs/>
          <w:color w:val="auto"/>
          <w:sz w:val="18"/>
          <w:szCs w:val="18"/>
        </w:rPr>
        <w:t>2010</w:t>
      </w:r>
      <w:r w:rsidRPr="00342B5C">
        <w:rPr>
          <w:color w:val="auto"/>
          <w:sz w:val="18"/>
          <w:szCs w:val="18"/>
        </w:rPr>
        <w:t xml:space="preserve">, </w:t>
      </w:r>
      <w:r w:rsidRPr="00342B5C">
        <w:rPr>
          <w:i/>
          <w:iCs/>
          <w:color w:val="auto"/>
          <w:sz w:val="18"/>
          <w:szCs w:val="18"/>
        </w:rPr>
        <w:t>56</w:t>
      </w:r>
      <w:r w:rsidRPr="00342B5C">
        <w:rPr>
          <w:color w:val="auto"/>
          <w:sz w:val="18"/>
          <w:szCs w:val="18"/>
        </w:rPr>
        <w:t>, 303-332. https://doi.org/10.1353/mpq.0.0055.</w:t>
      </w:r>
    </w:p>
    <w:p w14:paraId="779A3CC0" w14:textId="77777777" w:rsidR="005D05AF" w:rsidRPr="00342B5C" w:rsidRDefault="005D05AF" w:rsidP="00F04E90">
      <w:pPr>
        <w:widowControl w:val="0"/>
        <w:numPr>
          <w:ilvl w:val="0"/>
          <w:numId w:val="24"/>
        </w:numPr>
        <w:spacing w:line="228" w:lineRule="auto"/>
        <w:ind w:left="425" w:hanging="425"/>
        <w:rPr>
          <w:color w:val="auto"/>
          <w:sz w:val="18"/>
          <w:szCs w:val="18"/>
        </w:rPr>
      </w:pPr>
      <w:proofErr w:type="spellStart"/>
      <w:r w:rsidRPr="00342B5C">
        <w:rPr>
          <w:color w:val="auto"/>
          <w:sz w:val="18"/>
          <w:szCs w:val="18"/>
        </w:rPr>
        <w:t>Serdiouk</w:t>
      </w:r>
      <w:proofErr w:type="spellEnd"/>
      <w:r w:rsidRPr="00342B5C">
        <w:rPr>
          <w:color w:val="auto"/>
          <w:sz w:val="18"/>
          <w:szCs w:val="18"/>
        </w:rPr>
        <w:t xml:space="preserve">, M.; Berry, D.; Gest, S.D. Teacher-child relationships and friendships and peer victimization across the school year. </w:t>
      </w:r>
      <w:r w:rsidRPr="00342B5C">
        <w:rPr>
          <w:i/>
          <w:iCs/>
          <w:color w:val="auto"/>
          <w:sz w:val="18"/>
          <w:szCs w:val="18"/>
        </w:rPr>
        <w:t>J. Appl. Dev. Psychol.</w:t>
      </w:r>
      <w:r w:rsidRPr="00342B5C">
        <w:rPr>
          <w:color w:val="auto"/>
          <w:sz w:val="18"/>
          <w:szCs w:val="18"/>
        </w:rPr>
        <w:t xml:space="preserve"> </w:t>
      </w:r>
      <w:r w:rsidRPr="00342B5C">
        <w:rPr>
          <w:b/>
          <w:bCs/>
          <w:color w:val="auto"/>
          <w:sz w:val="18"/>
          <w:szCs w:val="18"/>
        </w:rPr>
        <w:t>2016</w:t>
      </w:r>
      <w:r w:rsidRPr="00342B5C">
        <w:rPr>
          <w:color w:val="auto"/>
          <w:sz w:val="18"/>
          <w:szCs w:val="18"/>
        </w:rPr>
        <w:t xml:space="preserve">, </w:t>
      </w:r>
      <w:r w:rsidRPr="00342B5C">
        <w:rPr>
          <w:i/>
          <w:iCs/>
          <w:color w:val="auto"/>
          <w:sz w:val="18"/>
          <w:szCs w:val="18"/>
        </w:rPr>
        <w:t>46</w:t>
      </w:r>
      <w:r w:rsidRPr="00342B5C">
        <w:rPr>
          <w:color w:val="auto"/>
          <w:sz w:val="18"/>
          <w:szCs w:val="18"/>
        </w:rPr>
        <w:t>, 63-72. https://doi.org/10.1016/j.appdev.2016.08.001.</w:t>
      </w:r>
    </w:p>
    <w:p w14:paraId="73198669"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t xml:space="preserve">Eliot, M.; Cornell, D.; Gregory, A.; Fan, X. Supportive school climate and student willingness to seek help for bullying and threats of violence. </w:t>
      </w:r>
      <w:r w:rsidRPr="00342B5C">
        <w:rPr>
          <w:i/>
          <w:iCs/>
          <w:color w:val="auto"/>
          <w:sz w:val="18"/>
          <w:szCs w:val="18"/>
        </w:rPr>
        <w:t>J. Sch. Psychol.</w:t>
      </w:r>
      <w:r w:rsidRPr="00342B5C">
        <w:rPr>
          <w:color w:val="auto"/>
          <w:sz w:val="18"/>
          <w:szCs w:val="18"/>
        </w:rPr>
        <w:t xml:space="preserve"> </w:t>
      </w:r>
      <w:r w:rsidRPr="00342B5C">
        <w:rPr>
          <w:b/>
          <w:bCs/>
          <w:color w:val="auto"/>
          <w:sz w:val="18"/>
          <w:szCs w:val="18"/>
        </w:rPr>
        <w:t>2010</w:t>
      </w:r>
      <w:r w:rsidRPr="00342B5C">
        <w:rPr>
          <w:color w:val="auto"/>
          <w:sz w:val="18"/>
          <w:szCs w:val="18"/>
        </w:rPr>
        <w:t xml:space="preserve">, </w:t>
      </w:r>
      <w:r w:rsidRPr="00342B5C">
        <w:rPr>
          <w:i/>
          <w:iCs/>
          <w:color w:val="auto"/>
          <w:sz w:val="18"/>
          <w:szCs w:val="18"/>
        </w:rPr>
        <w:t>48</w:t>
      </w:r>
      <w:r w:rsidRPr="00342B5C">
        <w:rPr>
          <w:color w:val="auto"/>
          <w:sz w:val="18"/>
          <w:szCs w:val="18"/>
        </w:rPr>
        <w:t xml:space="preserve">, 533-553. </w:t>
      </w:r>
      <w:hyperlink r:id="rId10" w:history="1">
        <w:r w:rsidRPr="00755CDF">
          <w:rPr>
            <w:rStyle w:val="a9"/>
            <w:color w:val="auto"/>
            <w:sz w:val="18"/>
            <w:szCs w:val="18"/>
            <w:u w:val="none"/>
          </w:rPr>
          <w:t>https://doi.org/10.1016/j.jsp.2010.07.001</w:t>
        </w:r>
      </w:hyperlink>
      <w:r w:rsidRPr="00755CDF">
        <w:rPr>
          <w:color w:val="auto"/>
          <w:sz w:val="18"/>
          <w:szCs w:val="18"/>
        </w:rPr>
        <w:t>.</w:t>
      </w:r>
    </w:p>
    <w:p w14:paraId="3546634E" w14:textId="77777777" w:rsidR="005D05AF" w:rsidRPr="00342B5C" w:rsidRDefault="005D05AF" w:rsidP="00F04E90">
      <w:pPr>
        <w:widowControl w:val="0"/>
        <w:numPr>
          <w:ilvl w:val="0"/>
          <w:numId w:val="24"/>
        </w:numPr>
        <w:spacing w:line="228" w:lineRule="auto"/>
        <w:ind w:left="425" w:hanging="425"/>
        <w:rPr>
          <w:color w:val="auto"/>
          <w:sz w:val="18"/>
          <w:szCs w:val="18"/>
        </w:rPr>
      </w:pPr>
      <w:r w:rsidRPr="00342B5C">
        <w:rPr>
          <w:color w:val="auto"/>
          <w:sz w:val="18"/>
          <w:szCs w:val="18"/>
        </w:rPr>
        <w:lastRenderedPageBreak/>
        <w:t xml:space="preserve">Nguyen, T.H.; Nguyen, H.M.T.; Ha, T.T.; Nguyen, N.N. The role of teacher and peer support against bullying among secondary school students in Vietnam. </w:t>
      </w:r>
      <w:r w:rsidRPr="00342B5C">
        <w:rPr>
          <w:i/>
          <w:iCs/>
          <w:color w:val="auto"/>
          <w:sz w:val="18"/>
          <w:szCs w:val="18"/>
        </w:rPr>
        <w:t>J. Genet. Psychol.</w:t>
      </w:r>
      <w:r w:rsidRPr="00342B5C">
        <w:rPr>
          <w:color w:val="auto"/>
          <w:sz w:val="18"/>
          <w:szCs w:val="18"/>
        </w:rPr>
        <w:t xml:space="preserve"> </w:t>
      </w:r>
      <w:r w:rsidRPr="00342B5C">
        <w:rPr>
          <w:b/>
          <w:bCs/>
          <w:color w:val="auto"/>
          <w:sz w:val="18"/>
          <w:szCs w:val="18"/>
        </w:rPr>
        <w:t>2022</w:t>
      </w:r>
      <w:r w:rsidRPr="00342B5C">
        <w:rPr>
          <w:color w:val="auto"/>
          <w:sz w:val="18"/>
          <w:szCs w:val="18"/>
        </w:rPr>
        <w:t xml:space="preserve">, </w:t>
      </w:r>
      <w:r w:rsidRPr="00342B5C">
        <w:rPr>
          <w:i/>
          <w:iCs/>
          <w:color w:val="auto"/>
          <w:sz w:val="18"/>
          <w:szCs w:val="18"/>
        </w:rPr>
        <w:t>183</w:t>
      </w:r>
      <w:r w:rsidRPr="00342B5C">
        <w:rPr>
          <w:color w:val="auto"/>
          <w:sz w:val="18"/>
          <w:szCs w:val="18"/>
        </w:rPr>
        <w:t>, 391-398. https://doi.org/10.1080/00221325.2022.2099243.</w:t>
      </w:r>
    </w:p>
    <w:p w14:paraId="685C763C" w14:textId="77777777" w:rsidR="005D05AF" w:rsidRPr="00342B5C" w:rsidRDefault="005D05AF" w:rsidP="005D05AF">
      <w:pPr>
        <w:rPr>
          <w:color w:val="auto"/>
        </w:rPr>
      </w:pPr>
    </w:p>
    <w:p w14:paraId="7010AD7C" w14:textId="21A19AC6" w:rsidR="00F40265" w:rsidRPr="00342B5C" w:rsidRDefault="00F04E90" w:rsidP="00F04E90">
      <w:pPr>
        <w:pStyle w:val="MDPI63Notes"/>
        <w:rPr>
          <w:color w:val="auto"/>
        </w:rPr>
      </w:pPr>
      <w:r w:rsidRPr="00342B5C">
        <w:rPr>
          <w:b/>
          <w:color w:val="auto"/>
        </w:rPr>
        <w:t>Disclaimer/Publisher’s Note:</w:t>
      </w:r>
      <w:r w:rsidRPr="00342B5C">
        <w:rPr>
          <w:color w:val="auto"/>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F40265" w:rsidRPr="00342B5C" w:rsidSect="00874D4B">
      <w:headerReference w:type="even" r:id="rId11"/>
      <w:headerReference w:type="default" r:id="rId12"/>
      <w:headerReference w:type="first" r:id="rId13"/>
      <w:footerReference w:type="first" r:id="rId14"/>
      <w:type w:val="continuous"/>
      <w:pgSz w:w="11906" w:h="16838" w:code="9"/>
      <w:pgMar w:top="1417" w:right="720" w:bottom="1077" w:left="720" w:header="1020" w:footer="340" w:gutter="0"/>
      <w:lnNumType w:countBy="1"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2E851A" w14:textId="77777777" w:rsidR="003A22B3" w:rsidRDefault="003A22B3">
      <w:pPr>
        <w:spacing w:line="240" w:lineRule="auto"/>
      </w:pPr>
      <w:r>
        <w:separator/>
      </w:r>
    </w:p>
  </w:endnote>
  <w:endnote w:type="continuationSeparator" w:id="0">
    <w:p w14:paraId="068B29A5" w14:textId="77777777" w:rsidR="003A22B3" w:rsidRDefault="003A22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9E959B" w14:textId="77777777" w:rsidR="00FC1F6C" w:rsidRDefault="00FC1F6C" w:rsidP="004631A2">
    <w:pPr>
      <w:pBdr>
        <w:top w:val="single" w:sz="4" w:space="0" w:color="000000"/>
      </w:pBdr>
      <w:tabs>
        <w:tab w:val="right" w:pos="8844"/>
      </w:tabs>
      <w:adjustRightInd w:val="0"/>
      <w:snapToGrid w:val="0"/>
      <w:spacing w:before="480" w:line="100" w:lineRule="exact"/>
      <w:jc w:val="left"/>
      <w:rPr>
        <w:i/>
        <w:sz w:val="16"/>
        <w:szCs w:val="16"/>
      </w:rPr>
    </w:pPr>
  </w:p>
  <w:p w14:paraId="59DE1E71" w14:textId="77777777" w:rsidR="00547C57" w:rsidRPr="00372FCD" w:rsidRDefault="00547C57" w:rsidP="005B05F3">
    <w:pPr>
      <w:tabs>
        <w:tab w:val="right" w:pos="10466"/>
      </w:tabs>
      <w:adjustRightInd w:val="0"/>
      <w:snapToGrid w:val="0"/>
      <w:spacing w:line="240" w:lineRule="auto"/>
      <w:rPr>
        <w:sz w:val="16"/>
        <w:szCs w:val="16"/>
        <w:lang w:val="fr-CH"/>
      </w:rPr>
    </w:pPr>
    <w:proofErr w:type="spellStart"/>
    <w:r>
      <w:rPr>
        <w:i/>
        <w:sz w:val="16"/>
        <w:szCs w:val="16"/>
      </w:rPr>
      <w:t>Behav</w:t>
    </w:r>
    <w:proofErr w:type="spellEnd"/>
    <w:r>
      <w:rPr>
        <w:i/>
        <w:sz w:val="16"/>
        <w:szCs w:val="16"/>
      </w:rPr>
      <w:t xml:space="preserve">. </w:t>
    </w:r>
    <w:r w:rsidRPr="0055278E">
      <w:rPr>
        <w:i/>
        <w:sz w:val="16"/>
        <w:szCs w:val="16"/>
      </w:rPr>
      <w:t>Sci</w:t>
    </w:r>
    <w:r>
      <w:rPr>
        <w:i/>
        <w:sz w:val="16"/>
        <w:szCs w:val="16"/>
      </w:rPr>
      <w:t>.</w:t>
    </w:r>
    <w:r w:rsidRPr="0055278E">
      <w:rPr>
        <w:i/>
        <w:sz w:val="16"/>
        <w:szCs w:val="16"/>
      </w:rPr>
      <w:t xml:space="preserve"> </w:t>
    </w:r>
    <w:r w:rsidR="007336DF">
      <w:rPr>
        <w:b/>
        <w:bCs/>
        <w:iCs/>
        <w:sz w:val="16"/>
        <w:szCs w:val="16"/>
      </w:rPr>
      <w:t>2024</w:t>
    </w:r>
    <w:r w:rsidR="00A95BD4" w:rsidRPr="00A95BD4">
      <w:rPr>
        <w:bCs/>
        <w:iCs/>
        <w:sz w:val="16"/>
        <w:szCs w:val="16"/>
      </w:rPr>
      <w:t>,</w:t>
    </w:r>
    <w:r w:rsidR="007336DF">
      <w:rPr>
        <w:bCs/>
        <w:i/>
        <w:iCs/>
        <w:sz w:val="16"/>
        <w:szCs w:val="16"/>
      </w:rPr>
      <w:t xml:space="preserve"> 14</w:t>
    </w:r>
    <w:r w:rsidR="00A95BD4" w:rsidRPr="00A95BD4">
      <w:rPr>
        <w:bCs/>
        <w:iCs/>
        <w:sz w:val="16"/>
        <w:szCs w:val="16"/>
      </w:rPr>
      <w:t xml:space="preserve">, </w:t>
    </w:r>
    <w:r w:rsidR="00120448">
      <w:rPr>
        <w:bCs/>
        <w:iCs/>
        <w:sz w:val="16"/>
        <w:szCs w:val="16"/>
      </w:rPr>
      <w:t>x</w:t>
    </w:r>
    <w:r w:rsidR="00FC1F6C">
      <w:rPr>
        <w:bCs/>
        <w:iCs/>
        <w:sz w:val="16"/>
        <w:szCs w:val="16"/>
      </w:rPr>
      <w:t>. https://doi.org/10.3390/xxxxx</w:t>
    </w:r>
    <w:r w:rsidR="005B05F3" w:rsidRPr="00372FCD">
      <w:rPr>
        <w:sz w:val="16"/>
        <w:szCs w:val="16"/>
        <w:lang w:val="fr-CH"/>
      </w:rPr>
      <w:tab/>
    </w:r>
    <w:r w:rsidRPr="00372FCD">
      <w:rPr>
        <w:sz w:val="16"/>
        <w:szCs w:val="16"/>
        <w:lang w:val="fr-CH"/>
      </w:rPr>
      <w:t>www.mdpi.com/journal/</w:t>
    </w:r>
    <w:proofErr w:type="spellStart"/>
    <w:r w:rsidRPr="0055278E">
      <w:rPr>
        <w:sz w:val="16"/>
        <w:szCs w:val="16"/>
      </w:rPr>
      <w:t>behavsci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A9D603" w14:textId="77777777" w:rsidR="003A22B3" w:rsidRDefault="003A22B3">
      <w:pPr>
        <w:spacing w:line="240" w:lineRule="auto"/>
      </w:pPr>
      <w:r>
        <w:separator/>
      </w:r>
    </w:p>
  </w:footnote>
  <w:footnote w:type="continuationSeparator" w:id="0">
    <w:p w14:paraId="13AF721C" w14:textId="77777777" w:rsidR="003A22B3" w:rsidRDefault="003A22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29C21" w14:textId="77777777" w:rsidR="00547C57" w:rsidRDefault="00547C57" w:rsidP="00547C57">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81819" w14:textId="77777777" w:rsidR="00FC1F6C" w:rsidRDefault="00547C57" w:rsidP="005B05F3">
    <w:pPr>
      <w:tabs>
        <w:tab w:val="right" w:pos="10466"/>
      </w:tabs>
      <w:adjustRightInd w:val="0"/>
      <w:snapToGrid w:val="0"/>
      <w:spacing w:line="240" w:lineRule="auto"/>
      <w:rPr>
        <w:sz w:val="16"/>
      </w:rPr>
    </w:pPr>
    <w:proofErr w:type="spellStart"/>
    <w:r>
      <w:rPr>
        <w:i/>
        <w:sz w:val="16"/>
      </w:rPr>
      <w:t>Behav</w:t>
    </w:r>
    <w:proofErr w:type="spellEnd"/>
    <w:r>
      <w:rPr>
        <w:i/>
        <w:sz w:val="16"/>
      </w:rPr>
      <w:t xml:space="preserve">. Sci. </w:t>
    </w:r>
    <w:r w:rsidR="007336DF">
      <w:rPr>
        <w:b/>
        <w:sz w:val="16"/>
      </w:rPr>
      <w:t>2024</w:t>
    </w:r>
    <w:r w:rsidR="00A95BD4" w:rsidRPr="00A95BD4">
      <w:rPr>
        <w:sz w:val="16"/>
      </w:rPr>
      <w:t>,</w:t>
    </w:r>
    <w:r w:rsidR="007336DF">
      <w:rPr>
        <w:i/>
        <w:sz w:val="16"/>
      </w:rPr>
      <w:t xml:space="preserve"> 14</w:t>
    </w:r>
    <w:r w:rsidR="00120448">
      <w:rPr>
        <w:sz w:val="16"/>
      </w:rPr>
      <w:t>, x FOR PEER REVIEW</w:t>
    </w:r>
    <w:r w:rsidR="005B05F3">
      <w:rPr>
        <w:sz w:val="16"/>
      </w:rPr>
      <w:tab/>
    </w:r>
    <w:r w:rsidR="00120448">
      <w:rPr>
        <w:sz w:val="16"/>
      </w:rPr>
      <w:fldChar w:fldCharType="begin"/>
    </w:r>
    <w:r w:rsidR="00120448">
      <w:rPr>
        <w:sz w:val="16"/>
      </w:rPr>
      <w:instrText xml:space="preserve"> PAGE   \* MERGEFORMAT </w:instrText>
    </w:r>
    <w:r w:rsidR="00120448">
      <w:rPr>
        <w:sz w:val="16"/>
      </w:rPr>
      <w:fldChar w:fldCharType="separate"/>
    </w:r>
    <w:r w:rsidR="00C26A58">
      <w:rPr>
        <w:sz w:val="16"/>
      </w:rPr>
      <w:t>4</w:t>
    </w:r>
    <w:r w:rsidR="00120448">
      <w:rPr>
        <w:sz w:val="16"/>
      </w:rPr>
      <w:fldChar w:fldCharType="end"/>
    </w:r>
    <w:r w:rsidR="00120448">
      <w:rPr>
        <w:sz w:val="16"/>
      </w:rPr>
      <w:t xml:space="preserve"> of </w:t>
    </w:r>
    <w:r w:rsidR="00120448">
      <w:rPr>
        <w:sz w:val="16"/>
      </w:rPr>
      <w:fldChar w:fldCharType="begin"/>
    </w:r>
    <w:r w:rsidR="00120448">
      <w:rPr>
        <w:sz w:val="16"/>
      </w:rPr>
      <w:instrText xml:space="preserve"> NUMPAGES   \* MERGEFORMAT </w:instrText>
    </w:r>
    <w:r w:rsidR="00120448">
      <w:rPr>
        <w:sz w:val="16"/>
      </w:rPr>
      <w:fldChar w:fldCharType="separate"/>
    </w:r>
    <w:r w:rsidR="00C26A58">
      <w:rPr>
        <w:sz w:val="16"/>
      </w:rPr>
      <w:t>5</w:t>
    </w:r>
    <w:r w:rsidR="00120448">
      <w:rPr>
        <w:sz w:val="16"/>
      </w:rPr>
      <w:fldChar w:fldCharType="end"/>
    </w:r>
  </w:p>
  <w:p w14:paraId="21E15844" w14:textId="77777777" w:rsidR="00547C57" w:rsidRPr="0048218E" w:rsidRDefault="00547C57" w:rsidP="004631A2">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FC1F6C" w:rsidRPr="005B05F3" w14:paraId="5C9283A2" w14:textId="77777777" w:rsidTr="001F04DA">
      <w:trPr>
        <w:trHeight w:val="686"/>
      </w:trPr>
      <w:tc>
        <w:tcPr>
          <w:tcW w:w="3679" w:type="dxa"/>
          <w:shd w:val="clear" w:color="auto" w:fill="auto"/>
          <w:vAlign w:val="center"/>
        </w:tcPr>
        <w:p w14:paraId="7B86BB53" w14:textId="77777777" w:rsidR="00FC1F6C" w:rsidRPr="00F400BD" w:rsidRDefault="00416BA1" w:rsidP="005B05F3">
          <w:pPr>
            <w:pStyle w:val="a4"/>
            <w:pBdr>
              <w:bottom w:val="none" w:sz="0" w:space="0" w:color="auto"/>
            </w:pBdr>
            <w:jc w:val="left"/>
            <w:rPr>
              <w:rFonts w:eastAsia="等线"/>
              <w:b/>
              <w:bCs/>
            </w:rPr>
          </w:pPr>
          <w:r w:rsidRPr="00F400BD">
            <w:rPr>
              <w:rFonts w:eastAsia="等线"/>
              <w:b/>
              <w:bCs/>
            </w:rPr>
            <w:drawing>
              <wp:inline distT="0" distB="0" distL="0" distR="0" wp14:anchorId="600907E7" wp14:editId="558113EA">
                <wp:extent cx="1759585" cy="429260"/>
                <wp:effectExtent l="0" t="0" r="0" b="0"/>
                <wp:docPr id="1" name="Picture 3" descr="C:\Users\home\AppData\Local\Temp\HZ$D.003.478\behavioral Science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03.478\behavioral Science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9585" cy="429260"/>
                        </a:xfrm>
                        <a:prstGeom prst="rect">
                          <a:avLst/>
                        </a:prstGeom>
                        <a:noFill/>
                        <a:ln>
                          <a:noFill/>
                        </a:ln>
                      </pic:spPr>
                    </pic:pic>
                  </a:graphicData>
                </a:graphic>
              </wp:inline>
            </w:drawing>
          </w:r>
        </w:p>
      </w:tc>
      <w:tc>
        <w:tcPr>
          <w:tcW w:w="4535" w:type="dxa"/>
          <w:shd w:val="clear" w:color="auto" w:fill="auto"/>
          <w:vAlign w:val="center"/>
        </w:tcPr>
        <w:p w14:paraId="7ACD4DF8" w14:textId="77777777" w:rsidR="00FC1F6C" w:rsidRPr="00F400BD" w:rsidRDefault="00FC1F6C" w:rsidP="005B05F3">
          <w:pPr>
            <w:pStyle w:val="a4"/>
            <w:pBdr>
              <w:bottom w:val="none" w:sz="0" w:space="0" w:color="auto"/>
            </w:pBdr>
            <w:rPr>
              <w:rFonts w:eastAsia="等线"/>
              <w:b/>
              <w:bCs/>
            </w:rPr>
          </w:pPr>
        </w:p>
      </w:tc>
      <w:tc>
        <w:tcPr>
          <w:tcW w:w="2273" w:type="dxa"/>
          <w:shd w:val="clear" w:color="auto" w:fill="auto"/>
          <w:vAlign w:val="center"/>
        </w:tcPr>
        <w:p w14:paraId="313515CF" w14:textId="77777777" w:rsidR="00FC1F6C" w:rsidRPr="00F400BD" w:rsidRDefault="001F04DA" w:rsidP="001F04DA">
          <w:pPr>
            <w:pStyle w:val="a4"/>
            <w:pBdr>
              <w:bottom w:val="none" w:sz="0" w:space="0" w:color="auto"/>
            </w:pBdr>
            <w:jc w:val="right"/>
            <w:rPr>
              <w:rFonts w:eastAsia="等线"/>
              <w:b/>
              <w:bCs/>
            </w:rPr>
          </w:pPr>
          <w:r>
            <w:rPr>
              <w:rFonts w:eastAsia="等线"/>
              <w:b/>
              <w:bCs/>
            </w:rPr>
            <w:drawing>
              <wp:inline distT="0" distB="0" distL="0" distR="0" wp14:anchorId="53E5E088" wp14:editId="34E3AA28">
                <wp:extent cx="540000" cy="360000"/>
                <wp:effectExtent l="0" t="0" r="0" b="2540"/>
                <wp:docPr id="939112222" name="Picture 1"/>
                <wp:cNvGraphicFramePr/>
                <a:graphic xmlns:a="http://schemas.openxmlformats.org/drawingml/2006/main">
                  <a:graphicData uri="http://schemas.openxmlformats.org/drawingml/2006/picture">
                    <pic:pic xmlns:pic="http://schemas.openxmlformats.org/drawingml/2006/picture">
                      <pic:nvPicPr>
                        <pic:cNvPr id="939112222" name=""/>
                        <pic:cNvPicPr/>
                      </pic:nvPicPr>
                      <pic:blipFill>
                        <a:blip r:embed="rId2"/>
                        <a:stretch>
                          <a:fillRect/>
                        </a:stretch>
                      </pic:blipFill>
                      <pic:spPr>
                        <a:xfrm>
                          <a:off x="0" y="0"/>
                          <a:ext cx="540000" cy="360000"/>
                        </a:xfrm>
                        <a:prstGeom prst="rect">
                          <a:avLst/>
                        </a:prstGeom>
                      </pic:spPr>
                    </pic:pic>
                  </a:graphicData>
                </a:graphic>
              </wp:inline>
            </w:drawing>
          </w:r>
        </w:p>
      </w:tc>
    </w:tr>
  </w:tbl>
  <w:p w14:paraId="7BD0CB18" w14:textId="77777777" w:rsidR="00547C57" w:rsidRPr="00FC1F6C" w:rsidRDefault="00547C57" w:rsidP="004631A2">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F6105"/>
    <w:multiLevelType w:val="hybridMultilevel"/>
    <w:tmpl w:val="0FEAD9D8"/>
    <w:lvl w:ilvl="0" w:tplc="77CEA784">
      <w:start w:val="1"/>
      <w:numFmt w:val="decimal"/>
      <w:lvlRestart w:val="0"/>
      <w:pStyle w:val="MDPI71FootNotes"/>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EBD92"/>
    <w:multiLevelType w:val="multilevel"/>
    <w:tmpl w:val="11DEBD9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4A544D5"/>
    <w:multiLevelType w:val="hybridMultilevel"/>
    <w:tmpl w:val="CA5839F6"/>
    <w:lvl w:ilvl="0" w:tplc="C1E608B8">
      <w:start w:val="1"/>
      <w:numFmt w:val="bullet"/>
      <w:lvlRestart w:val="0"/>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35F4570A"/>
    <w:lvl w:ilvl="0" w:tplc="A316058C">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6F5D"/>
    <w:multiLevelType w:val="hybridMultilevel"/>
    <w:tmpl w:val="9FC6F8D6"/>
    <w:lvl w:ilvl="0" w:tplc="E018B7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8228B69A"/>
    <w:lvl w:ilvl="0" w:tplc="32D2F20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D97451"/>
    <w:multiLevelType w:val="hybridMultilevel"/>
    <w:tmpl w:val="BA8E614E"/>
    <w:lvl w:ilvl="0" w:tplc="F3FA4DB6">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359138">
    <w:abstractNumId w:val="7"/>
  </w:num>
  <w:num w:numId="2" w16cid:durableId="1878463367">
    <w:abstractNumId w:val="9"/>
  </w:num>
  <w:num w:numId="3" w16cid:durableId="14624578">
    <w:abstractNumId w:val="6"/>
  </w:num>
  <w:num w:numId="4" w16cid:durableId="80372627">
    <w:abstractNumId w:val="8"/>
  </w:num>
  <w:num w:numId="5" w16cid:durableId="1558010044">
    <w:abstractNumId w:val="11"/>
  </w:num>
  <w:num w:numId="6" w16cid:durableId="246350979">
    <w:abstractNumId w:val="5"/>
  </w:num>
  <w:num w:numId="7" w16cid:durableId="537594026">
    <w:abstractNumId w:val="11"/>
  </w:num>
  <w:num w:numId="8" w16cid:durableId="88670674">
    <w:abstractNumId w:val="5"/>
  </w:num>
  <w:num w:numId="9" w16cid:durableId="476384113">
    <w:abstractNumId w:val="11"/>
  </w:num>
  <w:num w:numId="10" w16cid:durableId="675184597">
    <w:abstractNumId w:val="5"/>
  </w:num>
  <w:num w:numId="11" w16cid:durableId="117352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5699982">
    <w:abstractNumId w:val="3"/>
  </w:num>
  <w:num w:numId="13" w16cid:durableId="818766436">
    <w:abstractNumId w:val="12"/>
  </w:num>
  <w:num w:numId="14" w16cid:durableId="1050030624">
    <w:abstractNumId w:val="11"/>
  </w:num>
  <w:num w:numId="15" w16cid:durableId="309940233">
    <w:abstractNumId w:val="5"/>
  </w:num>
  <w:num w:numId="16" w16cid:durableId="1501964301">
    <w:abstractNumId w:val="4"/>
  </w:num>
  <w:num w:numId="17" w16cid:durableId="1579366127">
    <w:abstractNumId w:val="10"/>
  </w:num>
  <w:num w:numId="18" w16cid:durableId="1419256257">
    <w:abstractNumId w:val="2"/>
  </w:num>
  <w:num w:numId="19" w16cid:durableId="1229850791">
    <w:abstractNumId w:val="11"/>
  </w:num>
  <w:num w:numId="20" w16cid:durableId="82338894">
    <w:abstractNumId w:val="5"/>
  </w:num>
  <w:num w:numId="21" w16cid:durableId="41562331">
    <w:abstractNumId w:val="4"/>
  </w:num>
  <w:num w:numId="22" w16cid:durableId="1506356562">
    <w:abstractNumId w:val="2"/>
  </w:num>
  <w:num w:numId="23" w16cid:durableId="422452414">
    <w:abstractNumId w:val="13"/>
  </w:num>
  <w:num w:numId="24" w16cid:durableId="1877960100">
    <w:abstractNumId w:val="1"/>
  </w:num>
  <w:num w:numId="25" w16cid:durableId="1996369906">
    <w:abstractNumId w:val="11"/>
  </w:num>
  <w:num w:numId="26" w16cid:durableId="438179363">
    <w:abstractNumId w:val="5"/>
  </w:num>
  <w:num w:numId="27" w16cid:durableId="64183937">
    <w:abstractNumId w:val="0"/>
  </w:num>
  <w:num w:numId="28" w16cid:durableId="844326360">
    <w:abstractNumId w:val="4"/>
  </w:num>
  <w:num w:numId="29" w16cid:durableId="74141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AF"/>
    <w:rsid w:val="000132BB"/>
    <w:rsid w:val="00025469"/>
    <w:rsid w:val="00054ACA"/>
    <w:rsid w:val="000552E5"/>
    <w:rsid w:val="00060798"/>
    <w:rsid w:val="00076F37"/>
    <w:rsid w:val="000811BB"/>
    <w:rsid w:val="0008504A"/>
    <w:rsid w:val="000E256B"/>
    <w:rsid w:val="000F7E25"/>
    <w:rsid w:val="001070B1"/>
    <w:rsid w:val="00110443"/>
    <w:rsid w:val="00112BA8"/>
    <w:rsid w:val="00120448"/>
    <w:rsid w:val="00123054"/>
    <w:rsid w:val="00125B2E"/>
    <w:rsid w:val="0014127B"/>
    <w:rsid w:val="00144F85"/>
    <w:rsid w:val="001461C9"/>
    <w:rsid w:val="00151D1A"/>
    <w:rsid w:val="00157279"/>
    <w:rsid w:val="00160BAD"/>
    <w:rsid w:val="00170E4D"/>
    <w:rsid w:val="00174C1F"/>
    <w:rsid w:val="0018583F"/>
    <w:rsid w:val="001A5BD7"/>
    <w:rsid w:val="001B4491"/>
    <w:rsid w:val="001D0C4A"/>
    <w:rsid w:val="001D3EC3"/>
    <w:rsid w:val="001E2AEB"/>
    <w:rsid w:val="001F04DA"/>
    <w:rsid w:val="001F2D59"/>
    <w:rsid w:val="00202DD1"/>
    <w:rsid w:val="002140C8"/>
    <w:rsid w:val="00222D0A"/>
    <w:rsid w:val="00232B3A"/>
    <w:rsid w:val="00241860"/>
    <w:rsid w:val="00246B13"/>
    <w:rsid w:val="00255DF7"/>
    <w:rsid w:val="002719FC"/>
    <w:rsid w:val="0027526F"/>
    <w:rsid w:val="002758F4"/>
    <w:rsid w:val="00292EFB"/>
    <w:rsid w:val="00294A0E"/>
    <w:rsid w:val="002A3026"/>
    <w:rsid w:val="002A44FA"/>
    <w:rsid w:val="002B1B9E"/>
    <w:rsid w:val="002C0166"/>
    <w:rsid w:val="002C4BB9"/>
    <w:rsid w:val="002C6088"/>
    <w:rsid w:val="002C79BE"/>
    <w:rsid w:val="002D3148"/>
    <w:rsid w:val="002D3A93"/>
    <w:rsid w:val="00317124"/>
    <w:rsid w:val="00321697"/>
    <w:rsid w:val="00326141"/>
    <w:rsid w:val="0033484E"/>
    <w:rsid w:val="00341DB3"/>
    <w:rsid w:val="00342B5C"/>
    <w:rsid w:val="0036022D"/>
    <w:rsid w:val="003641C8"/>
    <w:rsid w:val="00394C97"/>
    <w:rsid w:val="003A22B3"/>
    <w:rsid w:val="003A2D29"/>
    <w:rsid w:val="003B637B"/>
    <w:rsid w:val="003E68BF"/>
    <w:rsid w:val="003F29BE"/>
    <w:rsid w:val="003F3EF8"/>
    <w:rsid w:val="003F7A71"/>
    <w:rsid w:val="00401D30"/>
    <w:rsid w:val="00406DCB"/>
    <w:rsid w:val="00416226"/>
    <w:rsid w:val="00416372"/>
    <w:rsid w:val="00416BA1"/>
    <w:rsid w:val="00417249"/>
    <w:rsid w:val="00433A61"/>
    <w:rsid w:val="004631A2"/>
    <w:rsid w:val="004A1CBA"/>
    <w:rsid w:val="004A3E2F"/>
    <w:rsid w:val="004A7A48"/>
    <w:rsid w:val="004C400E"/>
    <w:rsid w:val="004C4ADA"/>
    <w:rsid w:val="004D3A86"/>
    <w:rsid w:val="004E6864"/>
    <w:rsid w:val="004F082A"/>
    <w:rsid w:val="004F58C1"/>
    <w:rsid w:val="005029EE"/>
    <w:rsid w:val="00502CD7"/>
    <w:rsid w:val="005146D0"/>
    <w:rsid w:val="005203B1"/>
    <w:rsid w:val="005226E8"/>
    <w:rsid w:val="0054117D"/>
    <w:rsid w:val="005458EA"/>
    <w:rsid w:val="00547C57"/>
    <w:rsid w:val="005623CE"/>
    <w:rsid w:val="0056426E"/>
    <w:rsid w:val="005666CC"/>
    <w:rsid w:val="00576C6B"/>
    <w:rsid w:val="00580C2D"/>
    <w:rsid w:val="00584C02"/>
    <w:rsid w:val="00590EE0"/>
    <w:rsid w:val="00592BC6"/>
    <w:rsid w:val="005948CD"/>
    <w:rsid w:val="005971E0"/>
    <w:rsid w:val="005B05F3"/>
    <w:rsid w:val="005C186D"/>
    <w:rsid w:val="005C19F9"/>
    <w:rsid w:val="005D05AF"/>
    <w:rsid w:val="005D5639"/>
    <w:rsid w:val="005F4270"/>
    <w:rsid w:val="005F44F2"/>
    <w:rsid w:val="00610F34"/>
    <w:rsid w:val="00615CEC"/>
    <w:rsid w:val="006323AC"/>
    <w:rsid w:val="00653DB2"/>
    <w:rsid w:val="006622C8"/>
    <w:rsid w:val="006639F4"/>
    <w:rsid w:val="00674A70"/>
    <w:rsid w:val="006913E9"/>
    <w:rsid w:val="00692393"/>
    <w:rsid w:val="00696B0F"/>
    <w:rsid w:val="006A081D"/>
    <w:rsid w:val="006A3A17"/>
    <w:rsid w:val="006B5BC4"/>
    <w:rsid w:val="006D2FC5"/>
    <w:rsid w:val="006D32CF"/>
    <w:rsid w:val="007131B6"/>
    <w:rsid w:val="00714490"/>
    <w:rsid w:val="007159D6"/>
    <w:rsid w:val="00720949"/>
    <w:rsid w:val="00723840"/>
    <w:rsid w:val="007336DF"/>
    <w:rsid w:val="00733EDC"/>
    <w:rsid w:val="007354CD"/>
    <w:rsid w:val="00736A96"/>
    <w:rsid w:val="00744423"/>
    <w:rsid w:val="00751493"/>
    <w:rsid w:val="00755CDF"/>
    <w:rsid w:val="00761E72"/>
    <w:rsid w:val="00777D5E"/>
    <w:rsid w:val="00792F8B"/>
    <w:rsid w:val="007D3F94"/>
    <w:rsid w:val="007D71DF"/>
    <w:rsid w:val="007E0FB1"/>
    <w:rsid w:val="007E6A49"/>
    <w:rsid w:val="00811A3E"/>
    <w:rsid w:val="00825F24"/>
    <w:rsid w:val="008277F6"/>
    <w:rsid w:val="00842E83"/>
    <w:rsid w:val="00844578"/>
    <w:rsid w:val="008742FC"/>
    <w:rsid w:val="00874D4B"/>
    <w:rsid w:val="00894FDF"/>
    <w:rsid w:val="008B615D"/>
    <w:rsid w:val="008D4A91"/>
    <w:rsid w:val="008F7BEB"/>
    <w:rsid w:val="00905DBA"/>
    <w:rsid w:val="00917983"/>
    <w:rsid w:val="00920C76"/>
    <w:rsid w:val="009253A3"/>
    <w:rsid w:val="009424CB"/>
    <w:rsid w:val="00986811"/>
    <w:rsid w:val="00997EE6"/>
    <w:rsid w:val="009C0E46"/>
    <w:rsid w:val="009D0F4E"/>
    <w:rsid w:val="009F5DCF"/>
    <w:rsid w:val="009F70E6"/>
    <w:rsid w:val="00A0267A"/>
    <w:rsid w:val="00A05007"/>
    <w:rsid w:val="00A12F43"/>
    <w:rsid w:val="00A221F2"/>
    <w:rsid w:val="00A335D9"/>
    <w:rsid w:val="00A37154"/>
    <w:rsid w:val="00A50103"/>
    <w:rsid w:val="00A508DC"/>
    <w:rsid w:val="00A54A21"/>
    <w:rsid w:val="00A831D4"/>
    <w:rsid w:val="00A92DB2"/>
    <w:rsid w:val="00A95BD4"/>
    <w:rsid w:val="00A96D6F"/>
    <w:rsid w:val="00AB0436"/>
    <w:rsid w:val="00AB0EB8"/>
    <w:rsid w:val="00AB22FF"/>
    <w:rsid w:val="00AC37DB"/>
    <w:rsid w:val="00AD77D8"/>
    <w:rsid w:val="00AF2BBB"/>
    <w:rsid w:val="00B01148"/>
    <w:rsid w:val="00B042B4"/>
    <w:rsid w:val="00B338AA"/>
    <w:rsid w:val="00B441BF"/>
    <w:rsid w:val="00B46045"/>
    <w:rsid w:val="00B604FA"/>
    <w:rsid w:val="00B94438"/>
    <w:rsid w:val="00B95336"/>
    <w:rsid w:val="00B965E5"/>
    <w:rsid w:val="00BA7D50"/>
    <w:rsid w:val="00BD0194"/>
    <w:rsid w:val="00BE47C1"/>
    <w:rsid w:val="00C03889"/>
    <w:rsid w:val="00C07745"/>
    <w:rsid w:val="00C15067"/>
    <w:rsid w:val="00C15F82"/>
    <w:rsid w:val="00C24827"/>
    <w:rsid w:val="00C26A58"/>
    <w:rsid w:val="00C273A7"/>
    <w:rsid w:val="00C30B6E"/>
    <w:rsid w:val="00C3638E"/>
    <w:rsid w:val="00C4748F"/>
    <w:rsid w:val="00C72FF9"/>
    <w:rsid w:val="00C829E8"/>
    <w:rsid w:val="00C87E77"/>
    <w:rsid w:val="00C90850"/>
    <w:rsid w:val="00C95065"/>
    <w:rsid w:val="00CA673F"/>
    <w:rsid w:val="00CC0005"/>
    <w:rsid w:val="00CD3C40"/>
    <w:rsid w:val="00CE3B3A"/>
    <w:rsid w:val="00CE67B5"/>
    <w:rsid w:val="00D0253B"/>
    <w:rsid w:val="00D04E6A"/>
    <w:rsid w:val="00D06375"/>
    <w:rsid w:val="00D253DE"/>
    <w:rsid w:val="00D301A9"/>
    <w:rsid w:val="00D3440E"/>
    <w:rsid w:val="00D36E5D"/>
    <w:rsid w:val="00D52E26"/>
    <w:rsid w:val="00D52EA4"/>
    <w:rsid w:val="00D6081B"/>
    <w:rsid w:val="00D62611"/>
    <w:rsid w:val="00D66734"/>
    <w:rsid w:val="00D67153"/>
    <w:rsid w:val="00D700E8"/>
    <w:rsid w:val="00D71CEF"/>
    <w:rsid w:val="00D776C9"/>
    <w:rsid w:val="00D868A2"/>
    <w:rsid w:val="00DA40B2"/>
    <w:rsid w:val="00DA4DBF"/>
    <w:rsid w:val="00DB11B6"/>
    <w:rsid w:val="00DC1482"/>
    <w:rsid w:val="00DE5DB4"/>
    <w:rsid w:val="00DE6228"/>
    <w:rsid w:val="00DF3E8D"/>
    <w:rsid w:val="00E1339D"/>
    <w:rsid w:val="00E30038"/>
    <w:rsid w:val="00E4157B"/>
    <w:rsid w:val="00E44176"/>
    <w:rsid w:val="00E60F4E"/>
    <w:rsid w:val="00E63AD7"/>
    <w:rsid w:val="00E70ECC"/>
    <w:rsid w:val="00EA3F84"/>
    <w:rsid w:val="00ED34D4"/>
    <w:rsid w:val="00ED612A"/>
    <w:rsid w:val="00EE54B7"/>
    <w:rsid w:val="00EF1A7E"/>
    <w:rsid w:val="00F02618"/>
    <w:rsid w:val="00F04E90"/>
    <w:rsid w:val="00F07B0B"/>
    <w:rsid w:val="00F145C6"/>
    <w:rsid w:val="00F400BD"/>
    <w:rsid w:val="00F40265"/>
    <w:rsid w:val="00F5148E"/>
    <w:rsid w:val="00F71623"/>
    <w:rsid w:val="00F724C3"/>
    <w:rsid w:val="00F7412F"/>
    <w:rsid w:val="00F849E0"/>
    <w:rsid w:val="00F91E92"/>
    <w:rsid w:val="00F93E8A"/>
    <w:rsid w:val="00FB335B"/>
    <w:rsid w:val="00FB621B"/>
    <w:rsid w:val="00FC1303"/>
    <w:rsid w:val="00FC1F6C"/>
    <w:rsid w:val="00FC7782"/>
    <w:rsid w:val="00FD3A24"/>
    <w:rsid w:val="00FE1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E44495"/>
  <w15:chartTrackingRefBased/>
  <w15:docId w15:val="{25532224-C35D-4A8F-8342-3A185825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0265"/>
    <w:pPr>
      <w:spacing w:line="260" w:lineRule="atLeast"/>
      <w:jc w:val="both"/>
    </w:pPr>
    <w:rPr>
      <w:rFonts w:ascii="Palatino Linotype" w:hAnsi="Palatino Linotype"/>
      <w:color w:val="000000"/>
    </w:rPr>
  </w:style>
  <w:style w:type="paragraph" w:styleId="1">
    <w:name w:val="heading 1"/>
    <w:basedOn w:val="a"/>
    <w:next w:val="a"/>
    <w:link w:val="10"/>
    <w:uiPriority w:val="9"/>
    <w:qFormat/>
    <w:rsid w:val="005D05AF"/>
    <w:pPr>
      <w:keepNext/>
      <w:keepLines/>
      <w:spacing w:before="340" w:after="330" w:line="578" w:lineRule="auto"/>
      <w:jc w:val="center"/>
      <w:outlineLvl w:val="0"/>
    </w:pPr>
    <w:rPr>
      <w:rFonts w:ascii="Times New Roman" w:hAnsi="Times New Roman"/>
      <w:b/>
      <w:bCs/>
      <w:color w:val="auto"/>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674A70"/>
    <w:pPr>
      <w:adjustRightInd w:val="0"/>
      <w:snapToGrid w:val="0"/>
      <w:spacing w:before="240"/>
    </w:pPr>
    <w:rPr>
      <w:rFonts w:ascii="Palatino Linotype" w:eastAsia="Times New Roman" w:hAnsi="Palatino Linotype"/>
      <w:i/>
      <w:snapToGrid w:val="0"/>
      <w:color w:val="000000"/>
      <w:kern w:val="2"/>
      <w:szCs w:val="22"/>
      <w:lang w:eastAsia="de-DE" w:bidi="en-US"/>
      <w14:ligatures w14:val="standardContextual"/>
    </w:rPr>
  </w:style>
  <w:style w:type="paragraph" w:customStyle="1" w:styleId="MDPI12title">
    <w:name w:val="MDPI_1.2_title"/>
    <w:next w:val="a"/>
    <w:qFormat/>
    <w:rsid w:val="00674A70"/>
    <w:pPr>
      <w:adjustRightInd w:val="0"/>
      <w:snapToGrid w:val="0"/>
      <w:spacing w:after="240" w:line="240" w:lineRule="atLeast"/>
    </w:pPr>
    <w:rPr>
      <w:rFonts w:ascii="Palatino Linotype" w:eastAsia="Times New Roman" w:hAnsi="Palatino Linotype"/>
      <w:b/>
      <w:snapToGrid w:val="0"/>
      <w:color w:val="000000"/>
      <w:kern w:val="2"/>
      <w:sz w:val="36"/>
      <w:lang w:eastAsia="de-DE" w:bidi="en-US"/>
      <w14:ligatures w14:val="standardContextual"/>
    </w:rPr>
  </w:style>
  <w:style w:type="paragraph" w:customStyle="1" w:styleId="MDPI13authornames">
    <w:name w:val="MDPI_1.3_authornames"/>
    <w:next w:val="a"/>
    <w:qFormat/>
    <w:rsid w:val="00674A70"/>
    <w:pPr>
      <w:adjustRightInd w:val="0"/>
      <w:snapToGrid w:val="0"/>
      <w:spacing w:after="360" w:line="260" w:lineRule="atLeast"/>
    </w:pPr>
    <w:rPr>
      <w:rFonts w:ascii="Palatino Linotype" w:eastAsia="Times New Roman" w:hAnsi="Palatino Linotype"/>
      <w:b/>
      <w:color w:val="000000"/>
      <w:kern w:val="2"/>
      <w:szCs w:val="22"/>
      <w:lang w:eastAsia="de-DE" w:bidi="en-US"/>
      <w14:ligatures w14:val="standardContextual"/>
    </w:rPr>
  </w:style>
  <w:style w:type="paragraph" w:customStyle="1" w:styleId="MDPI14history">
    <w:name w:val="MDPI_1.4_history"/>
    <w:basedOn w:val="a"/>
    <w:next w:val="a"/>
    <w:qFormat/>
    <w:rsid w:val="00674A70"/>
    <w:pPr>
      <w:adjustRightInd w:val="0"/>
      <w:snapToGrid w:val="0"/>
      <w:spacing w:line="240" w:lineRule="atLeast"/>
      <w:ind w:right="113"/>
      <w:jc w:val="left"/>
    </w:pPr>
    <w:rPr>
      <w:rFonts w:eastAsia="Times New Roman"/>
      <w:kern w:val="2"/>
      <w:sz w:val="14"/>
      <w:lang w:eastAsia="de-DE" w:bidi="en-US"/>
      <w14:ligatures w14:val="standardContextual"/>
    </w:rPr>
  </w:style>
  <w:style w:type="paragraph" w:customStyle="1" w:styleId="MDPI16affiliation">
    <w:name w:val="MDPI_1.6_affiliation"/>
    <w:qFormat/>
    <w:rsid w:val="00674A70"/>
    <w:pPr>
      <w:adjustRightInd w:val="0"/>
      <w:snapToGrid w:val="0"/>
      <w:spacing w:line="200" w:lineRule="atLeast"/>
      <w:ind w:left="2806" w:hanging="198"/>
    </w:pPr>
    <w:rPr>
      <w:rFonts w:ascii="Palatino Linotype" w:eastAsia="Times New Roman" w:hAnsi="Palatino Linotype"/>
      <w:color w:val="000000"/>
      <w:kern w:val="2"/>
      <w:sz w:val="16"/>
      <w:szCs w:val="18"/>
      <w:lang w:eastAsia="de-DE" w:bidi="en-US"/>
      <w14:ligatures w14:val="standardContextual"/>
    </w:rPr>
  </w:style>
  <w:style w:type="paragraph" w:customStyle="1" w:styleId="MDPI17abstract">
    <w:name w:val="MDPI_1.7_abstract"/>
    <w:next w:val="a"/>
    <w:qFormat/>
    <w:rsid w:val="00674A70"/>
    <w:pPr>
      <w:adjustRightInd w:val="0"/>
      <w:snapToGrid w:val="0"/>
      <w:spacing w:before="240" w:line="260" w:lineRule="atLeast"/>
      <w:ind w:left="2608"/>
      <w:jc w:val="both"/>
    </w:pPr>
    <w:rPr>
      <w:rFonts w:ascii="Palatino Linotype" w:eastAsia="Times New Roman" w:hAnsi="Palatino Linotype"/>
      <w:color w:val="000000"/>
      <w:kern w:val="2"/>
      <w:sz w:val="18"/>
      <w:szCs w:val="22"/>
      <w:lang w:eastAsia="de-DE" w:bidi="en-US"/>
      <w14:ligatures w14:val="standardContextual"/>
    </w:rPr>
  </w:style>
  <w:style w:type="paragraph" w:customStyle="1" w:styleId="MDPI18keywords">
    <w:name w:val="MDPI_1.8_keywords"/>
    <w:next w:val="a"/>
    <w:qFormat/>
    <w:rsid w:val="00674A70"/>
    <w:pPr>
      <w:adjustRightInd w:val="0"/>
      <w:snapToGrid w:val="0"/>
      <w:spacing w:before="240" w:line="260" w:lineRule="atLeast"/>
      <w:ind w:left="2608"/>
      <w:jc w:val="both"/>
    </w:pPr>
    <w:rPr>
      <w:rFonts w:ascii="Palatino Linotype" w:eastAsia="Times New Roman" w:hAnsi="Palatino Linotype"/>
      <w:snapToGrid w:val="0"/>
      <w:color w:val="000000"/>
      <w:kern w:val="2"/>
      <w:sz w:val="18"/>
      <w:szCs w:val="22"/>
      <w:lang w:eastAsia="de-DE" w:bidi="en-US"/>
      <w14:ligatures w14:val="standardContextual"/>
    </w:rPr>
  </w:style>
  <w:style w:type="paragraph" w:customStyle="1" w:styleId="MDPI19line">
    <w:name w:val="MDPI_1.9_line"/>
    <w:qFormat/>
    <w:rsid w:val="009F5DCF"/>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kern w:val="2"/>
      <w:szCs w:val="24"/>
      <w:lang w:eastAsia="de-DE" w:bidi="en-US"/>
      <w14:ligatures w14:val="standardContextual"/>
    </w:rPr>
  </w:style>
  <w:style w:type="table" w:customStyle="1" w:styleId="Mdeck5tablebodythreelines">
    <w:name w:val="M_deck_5_table_body_three_lines"/>
    <w:basedOn w:val="a1"/>
    <w:uiPriority w:val="99"/>
    <w:rsid w:val="00DA4DB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F40265"/>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F40265"/>
    <w:pPr>
      <w:pBdr>
        <w:bottom w:val="single" w:sz="6" w:space="1" w:color="auto"/>
      </w:pBdr>
      <w:tabs>
        <w:tab w:val="center" w:pos="4153"/>
        <w:tab w:val="right" w:pos="8306"/>
      </w:tabs>
      <w:snapToGrid w:val="0"/>
      <w:spacing w:line="240" w:lineRule="atLeast"/>
      <w:jc w:val="center"/>
    </w:pPr>
    <w:rPr>
      <w:szCs w:val="18"/>
    </w:rPr>
  </w:style>
  <w:style w:type="character" w:customStyle="1" w:styleId="a5">
    <w:name w:val="页眉 字符"/>
    <w:link w:val="a4"/>
    <w:uiPriority w:val="99"/>
    <w:rsid w:val="00F40265"/>
    <w:rPr>
      <w:rFonts w:ascii="Palatino Linotype" w:hAnsi="Palatino Linotype"/>
      <w:noProof/>
      <w:color w:val="000000"/>
      <w:szCs w:val="18"/>
    </w:rPr>
  </w:style>
  <w:style w:type="paragraph" w:customStyle="1" w:styleId="MDPIheaderjournallogo">
    <w:name w:val="MDPI_header_journal_logo"/>
    <w:qFormat/>
    <w:rsid w:val="00674A70"/>
    <w:pPr>
      <w:adjustRightInd w:val="0"/>
      <w:snapToGrid w:val="0"/>
      <w:spacing w:line="260" w:lineRule="atLeast"/>
      <w:jc w:val="both"/>
    </w:pPr>
    <w:rPr>
      <w:rFonts w:ascii="Palatino Linotype" w:eastAsia="Times New Roman" w:hAnsi="Palatino Linotype"/>
      <w:i/>
      <w:color w:val="000000"/>
      <w:kern w:val="2"/>
      <w:sz w:val="24"/>
      <w:szCs w:val="22"/>
      <w:lang w:eastAsia="de-CH"/>
      <w14:ligatures w14:val="standardContextual"/>
    </w:rPr>
  </w:style>
  <w:style w:type="paragraph" w:customStyle="1" w:styleId="MDPI32textnoindent">
    <w:name w:val="MDPI_3.2_text_no_indent"/>
    <w:basedOn w:val="MDPI31text"/>
    <w:qFormat/>
    <w:rsid w:val="00674A70"/>
    <w:pPr>
      <w:ind w:firstLine="0"/>
    </w:pPr>
  </w:style>
  <w:style w:type="paragraph" w:customStyle="1" w:styleId="MDPI31text">
    <w:name w:val="MDPI_3.1_text"/>
    <w:qFormat/>
    <w:rsid w:val="00674A70"/>
    <w:pPr>
      <w:adjustRightInd w:val="0"/>
      <w:snapToGrid w:val="0"/>
      <w:spacing w:line="228" w:lineRule="auto"/>
      <w:ind w:left="2608" w:firstLine="425"/>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3textspaceafter">
    <w:name w:val="MDPI_3.3_text_space_after"/>
    <w:qFormat/>
    <w:rsid w:val="00674A70"/>
    <w:pPr>
      <w:adjustRightInd w:val="0"/>
      <w:snapToGrid w:val="0"/>
      <w:spacing w:after="24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5textbeforelist">
    <w:name w:val="MDPI_3.5_text_before_list"/>
    <w:qFormat/>
    <w:rsid w:val="00674A70"/>
    <w:pPr>
      <w:adjustRightInd w:val="0"/>
      <w:snapToGrid w:val="0"/>
      <w:spacing w:line="228" w:lineRule="auto"/>
      <w:ind w:left="2608" w:firstLine="425"/>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6textafterlist">
    <w:name w:val="MDPI_3.6_text_after_list"/>
    <w:qFormat/>
    <w:rsid w:val="00674A70"/>
    <w:pPr>
      <w:adjustRightInd w:val="0"/>
      <w:snapToGrid w:val="0"/>
      <w:spacing w:before="12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7itemize">
    <w:name w:val="MDPI_3.7_itemize"/>
    <w:qFormat/>
    <w:rsid w:val="00674A70"/>
    <w:pPr>
      <w:numPr>
        <w:numId w:val="25"/>
      </w:numPr>
      <w:adjustRightInd w:val="0"/>
      <w:snapToGrid w:val="0"/>
      <w:spacing w:line="228" w:lineRule="auto"/>
      <w:jc w:val="both"/>
    </w:pPr>
    <w:rPr>
      <w:rFonts w:ascii="Palatino Linotype" w:eastAsia="Times New Roman" w:hAnsi="Palatino Linotype"/>
      <w:color w:val="000000"/>
      <w:kern w:val="2"/>
      <w:szCs w:val="22"/>
      <w:lang w:eastAsia="de-DE" w:bidi="en-US"/>
      <w14:ligatures w14:val="standardContextual"/>
    </w:rPr>
  </w:style>
  <w:style w:type="paragraph" w:customStyle="1" w:styleId="MDPI38bullet">
    <w:name w:val="MDPI_3.8_bullet"/>
    <w:qFormat/>
    <w:rsid w:val="00674A70"/>
    <w:pPr>
      <w:numPr>
        <w:numId w:val="26"/>
      </w:numPr>
      <w:adjustRightInd w:val="0"/>
      <w:snapToGrid w:val="0"/>
      <w:spacing w:line="228" w:lineRule="auto"/>
      <w:jc w:val="both"/>
    </w:pPr>
    <w:rPr>
      <w:rFonts w:ascii="Palatino Linotype" w:eastAsia="Times New Roman" w:hAnsi="Palatino Linotype"/>
      <w:color w:val="000000"/>
      <w:kern w:val="2"/>
      <w:szCs w:val="22"/>
      <w:lang w:eastAsia="de-DE" w:bidi="en-US"/>
      <w14:ligatures w14:val="standardContextual"/>
    </w:rPr>
  </w:style>
  <w:style w:type="paragraph" w:customStyle="1" w:styleId="MDPI39equation">
    <w:name w:val="MDPI_3.9_equation"/>
    <w:qFormat/>
    <w:rsid w:val="00674A70"/>
    <w:pPr>
      <w:adjustRightInd w:val="0"/>
      <w:snapToGrid w:val="0"/>
      <w:spacing w:before="120" w:after="120" w:line="260" w:lineRule="atLeast"/>
      <w:ind w:left="709"/>
      <w:jc w:val="center"/>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3aequationnumber">
    <w:name w:val="MDPI_3.a_equation_number"/>
    <w:qFormat/>
    <w:rsid w:val="00674A70"/>
    <w:pPr>
      <w:spacing w:before="120" w:after="120"/>
      <w:jc w:val="right"/>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41tablecaption">
    <w:name w:val="MDPI_4.1_table_caption"/>
    <w:qFormat/>
    <w:rsid w:val="00674A70"/>
    <w:pPr>
      <w:adjustRightInd w:val="0"/>
      <w:snapToGrid w:val="0"/>
      <w:spacing w:before="240" w:after="120" w:line="228" w:lineRule="auto"/>
      <w:ind w:left="2608"/>
    </w:pPr>
    <w:rPr>
      <w:rFonts w:ascii="Palatino Linotype" w:eastAsia="Times New Roman" w:hAnsi="Palatino Linotype" w:cstheme="minorBidi"/>
      <w:color w:val="000000"/>
      <w:kern w:val="2"/>
      <w:sz w:val="18"/>
      <w:szCs w:val="22"/>
      <w:lang w:eastAsia="de-DE" w:bidi="en-US"/>
      <w14:ligatures w14:val="standardContextual"/>
    </w:rPr>
  </w:style>
  <w:style w:type="paragraph" w:customStyle="1" w:styleId="MDPI42tablebody">
    <w:name w:val="MDPI_4.2_table_body"/>
    <w:qFormat/>
    <w:rsid w:val="00674A70"/>
    <w:pPr>
      <w:adjustRightInd w:val="0"/>
      <w:snapToGrid w:val="0"/>
      <w:jc w:val="center"/>
    </w:pPr>
    <w:rPr>
      <w:rFonts w:ascii="Palatino Linotype" w:eastAsia="Times New Roman" w:hAnsi="Palatino Linotype"/>
      <w:snapToGrid w:val="0"/>
      <w:color w:val="000000"/>
      <w:kern w:val="2"/>
      <w:lang w:eastAsia="de-DE" w:bidi="en-US"/>
      <w14:ligatures w14:val="standardContextual"/>
    </w:rPr>
  </w:style>
  <w:style w:type="paragraph" w:customStyle="1" w:styleId="MDPI43tablefooter">
    <w:name w:val="MDPI_4.3_table_footer"/>
    <w:next w:val="MDPI31text"/>
    <w:qFormat/>
    <w:rsid w:val="00674A70"/>
    <w:pPr>
      <w:adjustRightInd w:val="0"/>
      <w:snapToGrid w:val="0"/>
      <w:spacing w:line="228" w:lineRule="auto"/>
      <w:ind w:left="2608"/>
    </w:pPr>
    <w:rPr>
      <w:rFonts w:ascii="Palatino Linotype" w:eastAsia="Times New Roman" w:hAnsi="Palatino Linotype" w:cs="Cordia New"/>
      <w:color w:val="000000"/>
      <w:kern w:val="2"/>
      <w:sz w:val="18"/>
      <w:szCs w:val="22"/>
      <w:lang w:eastAsia="de-DE" w:bidi="en-US"/>
      <w14:ligatures w14:val="standardContextual"/>
    </w:rPr>
  </w:style>
  <w:style w:type="paragraph" w:customStyle="1" w:styleId="MDPI51figurecaption">
    <w:name w:val="MDPI_5.1_figure_caption"/>
    <w:qFormat/>
    <w:rsid w:val="00674A70"/>
    <w:pPr>
      <w:adjustRightInd w:val="0"/>
      <w:snapToGrid w:val="0"/>
      <w:spacing w:before="120" w:after="240" w:line="228" w:lineRule="auto"/>
      <w:ind w:left="2608"/>
    </w:pPr>
    <w:rPr>
      <w:rFonts w:ascii="Palatino Linotype" w:eastAsia="Times New Roman" w:hAnsi="Palatino Linotype"/>
      <w:color w:val="000000"/>
      <w:kern w:val="2"/>
      <w:sz w:val="18"/>
      <w:lang w:eastAsia="de-DE" w:bidi="en-US"/>
      <w14:ligatures w14:val="standardContextual"/>
    </w:rPr>
  </w:style>
  <w:style w:type="paragraph" w:customStyle="1" w:styleId="MDPI52figure">
    <w:name w:val="MDPI_5.2_figure"/>
    <w:qFormat/>
    <w:rsid w:val="00674A70"/>
    <w:pPr>
      <w:adjustRightInd w:val="0"/>
      <w:snapToGrid w:val="0"/>
      <w:spacing w:before="240" w:after="120"/>
      <w:jc w:val="center"/>
    </w:pPr>
    <w:rPr>
      <w:rFonts w:ascii="Palatino Linotype" w:eastAsia="Times New Roman" w:hAnsi="Palatino Linotype"/>
      <w:snapToGrid w:val="0"/>
      <w:color w:val="000000"/>
      <w:kern w:val="2"/>
      <w:lang w:eastAsia="de-DE" w:bidi="en-US"/>
      <w14:ligatures w14:val="standardContextual"/>
    </w:rPr>
  </w:style>
  <w:style w:type="paragraph" w:customStyle="1" w:styleId="MDPI23heading3">
    <w:name w:val="MDPI_2.3_heading3"/>
    <w:qFormat/>
    <w:rsid w:val="00674A70"/>
    <w:pPr>
      <w:adjustRightInd w:val="0"/>
      <w:snapToGrid w:val="0"/>
      <w:spacing w:before="60" w:after="60" w:line="228" w:lineRule="auto"/>
      <w:ind w:left="2608"/>
      <w:outlineLvl w:val="2"/>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21heading1">
    <w:name w:val="MDPI_2.1_heading1"/>
    <w:qFormat/>
    <w:rsid w:val="00674A70"/>
    <w:pPr>
      <w:adjustRightInd w:val="0"/>
      <w:snapToGrid w:val="0"/>
      <w:spacing w:before="240" w:after="60" w:line="228" w:lineRule="auto"/>
      <w:ind w:left="2608"/>
      <w:outlineLvl w:val="0"/>
    </w:pPr>
    <w:rPr>
      <w:rFonts w:ascii="Palatino Linotype" w:eastAsia="Times New Roman" w:hAnsi="Palatino Linotype"/>
      <w:b/>
      <w:snapToGrid w:val="0"/>
      <w:color w:val="000000"/>
      <w:kern w:val="2"/>
      <w:szCs w:val="22"/>
      <w:lang w:eastAsia="de-DE" w:bidi="en-US"/>
      <w14:ligatures w14:val="standardContextual"/>
    </w:rPr>
  </w:style>
  <w:style w:type="paragraph" w:customStyle="1" w:styleId="MDPI22heading2">
    <w:name w:val="MDPI_2.2_heading2"/>
    <w:qFormat/>
    <w:rsid w:val="00674A70"/>
    <w:pPr>
      <w:adjustRightInd w:val="0"/>
      <w:snapToGrid w:val="0"/>
      <w:spacing w:before="60" w:after="60" w:line="228" w:lineRule="auto"/>
      <w:ind w:left="2608"/>
      <w:outlineLvl w:val="1"/>
    </w:pPr>
    <w:rPr>
      <w:rFonts w:ascii="Palatino Linotype" w:eastAsia="Times New Roman" w:hAnsi="Palatino Linotype"/>
      <w:i/>
      <w:noProof/>
      <w:snapToGrid w:val="0"/>
      <w:color w:val="000000"/>
      <w:kern w:val="2"/>
      <w:szCs w:val="22"/>
      <w:lang w:eastAsia="de-DE" w:bidi="en-US"/>
      <w14:ligatures w14:val="standardContextual"/>
    </w:rPr>
  </w:style>
  <w:style w:type="paragraph" w:customStyle="1" w:styleId="MDPI71References">
    <w:name w:val="MDPI_7.1_References"/>
    <w:qFormat/>
    <w:rsid w:val="00674A70"/>
    <w:pPr>
      <w:numPr>
        <w:numId w:val="28"/>
      </w:numPr>
      <w:adjustRightInd w:val="0"/>
      <w:snapToGrid w:val="0"/>
      <w:spacing w:line="228" w:lineRule="auto"/>
      <w:jc w:val="both"/>
    </w:pPr>
    <w:rPr>
      <w:rFonts w:ascii="Palatino Linotype" w:eastAsia="Times New Roman" w:hAnsi="Palatino Linotype"/>
      <w:color w:val="000000"/>
      <w:kern w:val="2"/>
      <w:sz w:val="18"/>
      <w:lang w:eastAsia="de-DE" w:bidi="en-US"/>
      <w14:ligatures w14:val="standardContextual"/>
    </w:rPr>
  </w:style>
  <w:style w:type="paragraph" w:styleId="a6">
    <w:name w:val="Balloon Text"/>
    <w:basedOn w:val="a"/>
    <w:link w:val="a7"/>
    <w:uiPriority w:val="99"/>
    <w:rsid w:val="00F40265"/>
    <w:rPr>
      <w:rFonts w:cs="Tahoma"/>
      <w:szCs w:val="18"/>
    </w:rPr>
  </w:style>
  <w:style w:type="character" w:customStyle="1" w:styleId="a7">
    <w:name w:val="批注框文本 字符"/>
    <w:link w:val="a6"/>
    <w:uiPriority w:val="99"/>
    <w:rsid w:val="00F40265"/>
    <w:rPr>
      <w:rFonts w:ascii="Palatino Linotype" w:hAnsi="Palatino Linotype" w:cs="Tahoma"/>
      <w:noProof/>
      <w:color w:val="000000"/>
      <w:szCs w:val="18"/>
    </w:rPr>
  </w:style>
  <w:style w:type="character" w:styleId="a8">
    <w:name w:val="line number"/>
    <w:uiPriority w:val="99"/>
    <w:rsid w:val="00D66734"/>
    <w:rPr>
      <w:rFonts w:ascii="Palatino Linotype" w:hAnsi="Palatino Linotype"/>
      <w:sz w:val="16"/>
    </w:rPr>
  </w:style>
  <w:style w:type="table" w:customStyle="1" w:styleId="MDPI41threelinetable">
    <w:name w:val="MDPI_4.1_three_line_table"/>
    <w:basedOn w:val="a1"/>
    <w:uiPriority w:val="99"/>
    <w:rsid w:val="00674A70"/>
    <w:pPr>
      <w:adjustRightInd w:val="0"/>
      <w:snapToGrid w:val="0"/>
      <w:jc w:val="center"/>
    </w:pPr>
    <w:rPr>
      <w:rFonts w:ascii="Palatino Linotype" w:eastAsiaTheme="minorHAnsi" w:hAnsi="Palatino Linotype"/>
      <w:color w:val="000000"/>
      <w:kern w:val="2"/>
      <w:lang w:eastAsia="en-US"/>
      <w14:ligatures w14:val="standardContextual"/>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9">
    <w:name w:val="Hyperlink"/>
    <w:uiPriority w:val="99"/>
    <w:qFormat/>
    <w:rsid w:val="00F40265"/>
    <w:rPr>
      <w:color w:val="0000FF"/>
      <w:u w:val="single"/>
    </w:rPr>
  </w:style>
  <w:style w:type="character" w:styleId="aa">
    <w:name w:val="Unresolved Mention"/>
    <w:uiPriority w:val="99"/>
    <w:semiHidden/>
    <w:unhideWhenUsed/>
    <w:rsid w:val="00777D5E"/>
    <w:rPr>
      <w:color w:val="605E5C"/>
      <w:shd w:val="clear" w:color="auto" w:fill="E1DFDD"/>
    </w:rPr>
  </w:style>
  <w:style w:type="paragraph" w:styleId="ab">
    <w:name w:val="footer"/>
    <w:basedOn w:val="a"/>
    <w:link w:val="ac"/>
    <w:uiPriority w:val="99"/>
    <w:rsid w:val="00F40265"/>
    <w:pPr>
      <w:tabs>
        <w:tab w:val="center" w:pos="4153"/>
        <w:tab w:val="right" w:pos="8306"/>
      </w:tabs>
      <w:snapToGrid w:val="0"/>
      <w:spacing w:line="240" w:lineRule="atLeast"/>
    </w:pPr>
    <w:rPr>
      <w:szCs w:val="18"/>
    </w:rPr>
  </w:style>
  <w:style w:type="character" w:customStyle="1" w:styleId="ac">
    <w:name w:val="页脚 字符"/>
    <w:link w:val="ab"/>
    <w:uiPriority w:val="99"/>
    <w:rsid w:val="00F40265"/>
    <w:rPr>
      <w:rFonts w:ascii="Palatino Linotype" w:hAnsi="Palatino Linotype"/>
      <w:noProof/>
      <w:color w:val="000000"/>
      <w:szCs w:val="18"/>
    </w:rPr>
  </w:style>
  <w:style w:type="table" w:styleId="4">
    <w:name w:val="Plain Table 4"/>
    <w:basedOn w:val="a1"/>
    <w:uiPriority w:val="44"/>
    <w:rsid w:val="00A95BD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674A70"/>
    <w:pPr>
      <w:adjustRightInd w:val="0"/>
      <w:snapToGrid w:val="0"/>
      <w:spacing w:before="240"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81theorem">
    <w:name w:val="MDPI_8.1_theorem"/>
    <w:qFormat/>
    <w:rsid w:val="00674A70"/>
    <w:pPr>
      <w:adjustRightInd w:val="0"/>
      <w:snapToGrid w:val="0"/>
      <w:spacing w:line="228" w:lineRule="auto"/>
      <w:ind w:left="2608"/>
      <w:jc w:val="both"/>
    </w:pPr>
    <w:rPr>
      <w:rFonts w:ascii="Palatino Linotype" w:eastAsia="Times New Roman" w:hAnsi="Palatino Linotype"/>
      <w:i/>
      <w:snapToGrid w:val="0"/>
      <w:color w:val="000000"/>
      <w:kern w:val="2"/>
      <w:szCs w:val="22"/>
      <w:lang w:eastAsia="de-DE" w:bidi="en-US"/>
      <w14:ligatures w14:val="standardContextual"/>
    </w:rPr>
  </w:style>
  <w:style w:type="paragraph" w:customStyle="1" w:styleId="MDPI82proof">
    <w:name w:val="MDPI_8.2_proof"/>
    <w:qFormat/>
    <w:rsid w:val="00674A70"/>
    <w:pPr>
      <w:adjustRightInd w:val="0"/>
      <w:snapToGrid w:val="0"/>
      <w:spacing w:line="228" w:lineRule="auto"/>
      <w:ind w:left="2608"/>
      <w:jc w:val="both"/>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61Citation">
    <w:name w:val="MDPI_6.1_Citation"/>
    <w:qFormat/>
    <w:rsid w:val="00674A70"/>
    <w:pPr>
      <w:adjustRightInd w:val="0"/>
      <w:snapToGrid w:val="0"/>
      <w:spacing w:line="240" w:lineRule="atLeast"/>
      <w:ind w:right="113"/>
    </w:pPr>
    <w:rPr>
      <w:rFonts w:ascii="Palatino Linotype" w:hAnsi="Palatino Linotype" w:cs="Cordia New"/>
      <w:kern w:val="2"/>
      <w:sz w:val="14"/>
      <w:szCs w:val="22"/>
      <w:lang w:eastAsia="en-US"/>
      <w14:ligatures w14:val="standardContextual"/>
    </w:rPr>
  </w:style>
  <w:style w:type="paragraph" w:customStyle="1" w:styleId="MDPI62BackMatter">
    <w:name w:val="MDPI_6.2_BackMatter"/>
    <w:qFormat/>
    <w:rsid w:val="00674A70"/>
    <w:pPr>
      <w:adjustRightInd w:val="0"/>
      <w:snapToGrid w:val="0"/>
      <w:spacing w:after="120" w:line="228" w:lineRule="auto"/>
      <w:ind w:left="2608"/>
      <w:jc w:val="both"/>
    </w:pPr>
    <w:rPr>
      <w:rFonts w:ascii="Palatino Linotype" w:eastAsia="Times New Roman" w:hAnsi="Palatino Linotype"/>
      <w:snapToGrid w:val="0"/>
      <w:color w:val="000000"/>
      <w:kern w:val="2"/>
      <w:sz w:val="18"/>
      <w:lang w:eastAsia="en-US" w:bidi="en-US"/>
      <w14:ligatures w14:val="standardContextual"/>
    </w:rPr>
  </w:style>
  <w:style w:type="paragraph" w:customStyle="1" w:styleId="MDPI63Notes">
    <w:name w:val="MDPI_6.3_Notes"/>
    <w:qFormat/>
    <w:rsid w:val="00674A70"/>
    <w:pPr>
      <w:adjustRightInd w:val="0"/>
      <w:snapToGrid w:val="0"/>
      <w:spacing w:before="240" w:line="228" w:lineRule="auto"/>
      <w:jc w:val="both"/>
    </w:pPr>
    <w:rPr>
      <w:rFonts w:ascii="Palatino Linotype" w:hAnsi="Palatino Linotype"/>
      <w:snapToGrid w:val="0"/>
      <w:color w:val="000000"/>
      <w:kern w:val="2"/>
      <w:sz w:val="18"/>
      <w:lang w:eastAsia="en-US" w:bidi="en-US"/>
      <w14:ligatures w14:val="standardContextual"/>
    </w:rPr>
  </w:style>
  <w:style w:type="paragraph" w:customStyle="1" w:styleId="MDPI15academiceditor">
    <w:name w:val="MDPI_1.5_academic_editor"/>
    <w:qFormat/>
    <w:rsid w:val="00674A70"/>
    <w:pPr>
      <w:adjustRightInd w:val="0"/>
      <w:snapToGrid w:val="0"/>
      <w:spacing w:before="120" w:line="240" w:lineRule="atLeast"/>
      <w:ind w:right="113"/>
    </w:pPr>
    <w:rPr>
      <w:rFonts w:ascii="Palatino Linotype" w:eastAsia="Times New Roman" w:hAnsi="Palatino Linotype"/>
      <w:color w:val="000000"/>
      <w:kern w:val="2"/>
      <w:sz w:val="14"/>
      <w:szCs w:val="22"/>
      <w:lang w:eastAsia="de-DE" w:bidi="en-US"/>
      <w14:ligatures w14:val="standardContextual"/>
    </w:rPr>
  </w:style>
  <w:style w:type="paragraph" w:customStyle="1" w:styleId="MDPI19classification">
    <w:name w:val="MDPI_1.9_classification"/>
    <w:qFormat/>
    <w:rsid w:val="00674A70"/>
    <w:pPr>
      <w:spacing w:before="240" w:line="260" w:lineRule="atLeast"/>
      <w:ind w:left="113"/>
      <w:jc w:val="both"/>
    </w:pPr>
    <w:rPr>
      <w:rFonts w:ascii="Palatino Linotype" w:eastAsia="Times New Roman" w:hAnsi="Palatino Linotype"/>
      <w:b/>
      <w:color w:val="000000"/>
      <w:kern w:val="2"/>
      <w:szCs w:val="22"/>
      <w:lang w:eastAsia="de-DE" w:bidi="en-US"/>
      <w14:ligatures w14:val="standardContextual"/>
    </w:rPr>
  </w:style>
  <w:style w:type="paragraph" w:customStyle="1" w:styleId="MDPI411onetablecaption">
    <w:name w:val="MDPI_4.1.1_one_table_caption"/>
    <w:qFormat/>
    <w:rsid w:val="00674A70"/>
    <w:pPr>
      <w:adjustRightInd w:val="0"/>
      <w:snapToGrid w:val="0"/>
      <w:spacing w:before="240" w:after="120" w:line="260" w:lineRule="atLeast"/>
      <w:jc w:val="center"/>
    </w:pPr>
    <w:rPr>
      <w:rFonts w:ascii="Palatino Linotype" w:eastAsiaTheme="minorHAnsi" w:hAnsi="Palatino Linotype" w:cstheme="minorBidi"/>
      <w:noProof/>
      <w:color w:val="000000"/>
      <w:kern w:val="2"/>
      <w:sz w:val="18"/>
      <w:szCs w:val="22"/>
      <w:lang w:eastAsia="en-US" w:bidi="en-US"/>
      <w14:ligatures w14:val="standardContextual"/>
    </w:rPr>
  </w:style>
  <w:style w:type="paragraph" w:customStyle="1" w:styleId="MDPI511onefigurecaption">
    <w:name w:val="MDPI_5.1.1_one_figure_caption"/>
    <w:qFormat/>
    <w:rsid w:val="00674A70"/>
    <w:pPr>
      <w:adjustRightInd w:val="0"/>
      <w:snapToGrid w:val="0"/>
      <w:spacing w:before="240" w:after="120" w:line="260" w:lineRule="atLeast"/>
      <w:jc w:val="center"/>
    </w:pPr>
    <w:rPr>
      <w:rFonts w:ascii="Palatino Linotype" w:eastAsiaTheme="minorHAnsi" w:hAnsi="Palatino Linotype"/>
      <w:noProof/>
      <w:color w:val="000000"/>
      <w:kern w:val="2"/>
      <w:sz w:val="18"/>
      <w:lang w:eastAsia="en-US" w:bidi="en-US"/>
      <w14:ligatures w14:val="standardContextual"/>
    </w:rPr>
  </w:style>
  <w:style w:type="paragraph" w:customStyle="1" w:styleId="MDPI72Copyright">
    <w:name w:val="MDPI_7.2_Copyright"/>
    <w:qFormat/>
    <w:rsid w:val="00674A70"/>
    <w:pPr>
      <w:adjustRightInd w:val="0"/>
      <w:snapToGrid w:val="0"/>
      <w:spacing w:before="60" w:line="240" w:lineRule="atLeast"/>
      <w:ind w:right="113"/>
      <w:jc w:val="both"/>
    </w:pPr>
    <w:rPr>
      <w:rFonts w:ascii="Palatino Linotype" w:eastAsia="Times New Roman" w:hAnsi="Palatino Linotype"/>
      <w:noProof/>
      <w:snapToGrid w:val="0"/>
      <w:color w:val="000000"/>
      <w:kern w:val="2"/>
      <w:sz w:val="14"/>
      <w:lang w:val="en-GB" w:eastAsia="en-GB"/>
      <w14:ligatures w14:val="standardContextual"/>
    </w:rPr>
  </w:style>
  <w:style w:type="paragraph" w:customStyle="1" w:styleId="MDPI73CopyrightImage">
    <w:name w:val="MDPI_7.3_CopyrightImage"/>
    <w:rsid w:val="00674A70"/>
    <w:pPr>
      <w:adjustRightInd w:val="0"/>
      <w:snapToGrid w:val="0"/>
      <w:spacing w:after="100" w:line="260" w:lineRule="atLeast"/>
      <w:jc w:val="right"/>
    </w:pPr>
    <w:rPr>
      <w:rFonts w:ascii="Palatino Linotype" w:eastAsia="Times New Roman" w:hAnsi="Palatino Linotype"/>
      <w:color w:val="000000"/>
      <w:kern w:val="2"/>
      <w:lang w:eastAsia="de-CH"/>
      <w14:ligatures w14:val="standardContextual"/>
    </w:rPr>
  </w:style>
  <w:style w:type="paragraph" w:customStyle="1" w:styleId="MDPIequationFram">
    <w:name w:val="MDPI_equationFram"/>
    <w:qFormat/>
    <w:rsid w:val="00674A70"/>
    <w:pPr>
      <w:adjustRightInd w:val="0"/>
      <w:snapToGrid w:val="0"/>
      <w:spacing w:before="120" w:after="120"/>
      <w:jc w:val="center"/>
    </w:pPr>
    <w:rPr>
      <w:rFonts w:ascii="Palatino Linotype" w:eastAsia="Times New Roman" w:hAnsi="Palatino Linotype"/>
      <w:snapToGrid w:val="0"/>
      <w:color w:val="000000"/>
      <w:kern w:val="2"/>
      <w:szCs w:val="22"/>
      <w:lang w:eastAsia="de-DE" w:bidi="en-US"/>
      <w14:ligatures w14:val="standardContextual"/>
    </w:rPr>
  </w:style>
  <w:style w:type="paragraph" w:customStyle="1" w:styleId="MDPIfooter">
    <w:name w:val="MDPI_footer"/>
    <w:qFormat/>
    <w:rsid w:val="00674A70"/>
    <w:pPr>
      <w:adjustRightInd w:val="0"/>
      <w:snapToGrid w:val="0"/>
      <w:spacing w:before="120" w:line="260" w:lineRule="atLeast"/>
      <w:jc w:val="center"/>
    </w:pPr>
    <w:rPr>
      <w:rFonts w:ascii="Palatino Linotype" w:eastAsia="Times New Roman" w:hAnsi="Palatino Linotype"/>
      <w:color w:val="000000"/>
      <w:kern w:val="2"/>
      <w:lang w:eastAsia="de-DE"/>
      <w14:ligatures w14:val="standardContextual"/>
    </w:rPr>
  </w:style>
  <w:style w:type="paragraph" w:customStyle="1" w:styleId="MDPIfooterfirstpage">
    <w:name w:val="MDPI_footer_firstpage"/>
    <w:qFormat/>
    <w:rsid w:val="00674A70"/>
    <w:pPr>
      <w:tabs>
        <w:tab w:val="right" w:pos="8845"/>
      </w:tabs>
      <w:spacing w:line="160" w:lineRule="exact"/>
    </w:pPr>
    <w:rPr>
      <w:rFonts w:ascii="Palatino Linotype" w:eastAsia="Times New Roman" w:hAnsi="Palatino Linotype"/>
      <w:color w:val="000000"/>
      <w:kern w:val="2"/>
      <w:sz w:val="16"/>
      <w:lang w:eastAsia="de-DE"/>
      <w14:ligatures w14:val="standardContextual"/>
    </w:rPr>
  </w:style>
  <w:style w:type="paragraph" w:customStyle="1" w:styleId="MDPIheader">
    <w:name w:val="MDPI_header"/>
    <w:qFormat/>
    <w:rsid w:val="00674A70"/>
    <w:pPr>
      <w:adjustRightInd w:val="0"/>
      <w:snapToGrid w:val="0"/>
      <w:spacing w:after="240" w:line="260" w:lineRule="atLeast"/>
      <w:jc w:val="both"/>
    </w:pPr>
    <w:rPr>
      <w:rFonts w:ascii="Palatino Linotype" w:eastAsia="Times New Roman" w:hAnsi="Palatino Linotype"/>
      <w:iCs/>
      <w:color w:val="000000"/>
      <w:kern w:val="2"/>
      <w:sz w:val="16"/>
      <w:lang w:eastAsia="de-DE"/>
      <w14:ligatures w14:val="standardContextual"/>
    </w:rPr>
  </w:style>
  <w:style w:type="paragraph" w:customStyle="1" w:styleId="MDPIheadercitation">
    <w:name w:val="MDPI_header_citation"/>
    <w:rsid w:val="00674A70"/>
    <w:pPr>
      <w:spacing w:after="240"/>
    </w:pPr>
    <w:rPr>
      <w:rFonts w:ascii="Palatino Linotype" w:eastAsia="Times New Roman" w:hAnsi="Palatino Linotype"/>
      <w:snapToGrid w:val="0"/>
      <w:color w:val="000000"/>
      <w:kern w:val="2"/>
      <w:sz w:val="18"/>
      <w:lang w:eastAsia="de-DE" w:bidi="en-US"/>
      <w14:ligatures w14:val="standardContextual"/>
    </w:rPr>
  </w:style>
  <w:style w:type="paragraph" w:customStyle="1" w:styleId="MDPIheadermdpilogo">
    <w:name w:val="MDPI_header_mdpi_logo"/>
    <w:qFormat/>
    <w:rsid w:val="00674A70"/>
    <w:pPr>
      <w:adjustRightInd w:val="0"/>
      <w:snapToGrid w:val="0"/>
      <w:spacing w:line="260" w:lineRule="atLeast"/>
      <w:jc w:val="right"/>
    </w:pPr>
    <w:rPr>
      <w:rFonts w:ascii="Palatino Linotype" w:eastAsia="Times New Roman" w:hAnsi="Palatino Linotype"/>
      <w:color w:val="000000"/>
      <w:kern w:val="2"/>
      <w:sz w:val="24"/>
      <w:szCs w:val="22"/>
      <w:lang w:eastAsia="de-CH"/>
      <w14:ligatures w14:val="standardContextual"/>
    </w:rPr>
  </w:style>
  <w:style w:type="table" w:customStyle="1" w:styleId="MDPITable">
    <w:name w:val="MDPI_Table"/>
    <w:basedOn w:val="a1"/>
    <w:uiPriority w:val="99"/>
    <w:rsid w:val="00674A70"/>
    <w:rPr>
      <w:rFonts w:ascii="Palatino Linotype" w:hAnsi="Palatino Linotype"/>
      <w:color w:val="000000" w:themeColor="text1"/>
      <w:kern w:val="2"/>
      <w:lang w:val="en-CA" w:eastAsia="en-US"/>
      <w14:ligatures w14:val="standardContextual"/>
    </w:rPr>
    <w:tblPr>
      <w:tblCellMar>
        <w:left w:w="0" w:type="dxa"/>
        <w:right w:w="0" w:type="dxa"/>
      </w:tblCellMar>
    </w:tblPr>
  </w:style>
  <w:style w:type="paragraph" w:customStyle="1" w:styleId="MDPItext">
    <w:name w:val="MDPI_text"/>
    <w:qFormat/>
    <w:rsid w:val="00674A70"/>
    <w:pPr>
      <w:spacing w:line="260" w:lineRule="atLeast"/>
      <w:ind w:left="425" w:right="425" w:firstLine="284"/>
      <w:jc w:val="both"/>
    </w:pPr>
    <w:rPr>
      <w:rFonts w:ascii="Times New Roman" w:eastAsia="Times New Roman" w:hAnsi="Times New Roman"/>
      <w:noProof/>
      <w:snapToGrid w:val="0"/>
      <w:color w:val="000000"/>
      <w:kern w:val="2"/>
      <w:sz w:val="22"/>
      <w:szCs w:val="22"/>
      <w:lang w:eastAsia="de-DE" w:bidi="en-US"/>
      <w14:ligatures w14:val="standardContextual"/>
    </w:rPr>
  </w:style>
  <w:style w:type="paragraph" w:customStyle="1" w:styleId="MDPItitle">
    <w:name w:val="MDPI_title"/>
    <w:qFormat/>
    <w:rsid w:val="00674A70"/>
    <w:pPr>
      <w:adjustRightInd w:val="0"/>
      <w:snapToGrid w:val="0"/>
      <w:spacing w:after="240" w:line="260" w:lineRule="atLeast"/>
      <w:jc w:val="both"/>
    </w:pPr>
    <w:rPr>
      <w:rFonts w:ascii="Palatino Linotype" w:eastAsia="Times New Roman" w:hAnsi="Palatino Linotype"/>
      <w:b/>
      <w:snapToGrid w:val="0"/>
      <w:color w:val="000000"/>
      <w:kern w:val="2"/>
      <w:sz w:val="36"/>
      <w:lang w:eastAsia="de-DE" w:bidi="en-US"/>
      <w14:ligatures w14:val="standardContextual"/>
    </w:rPr>
  </w:style>
  <w:style w:type="character" w:customStyle="1" w:styleId="apple-converted-space">
    <w:name w:val="apple-converted-space"/>
    <w:rsid w:val="00F40265"/>
  </w:style>
  <w:style w:type="paragraph" w:styleId="ad">
    <w:name w:val="Bibliography"/>
    <w:basedOn w:val="a"/>
    <w:next w:val="a"/>
    <w:uiPriority w:val="37"/>
    <w:semiHidden/>
    <w:unhideWhenUsed/>
    <w:rsid w:val="00F40265"/>
  </w:style>
  <w:style w:type="paragraph" w:styleId="ae">
    <w:name w:val="Body Text"/>
    <w:link w:val="af"/>
    <w:rsid w:val="00F40265"/>
    <w:pPr>
      <w:spacing w:after="120" w:line="340" w:lineRule="atLeast"/>
      <w:jc w:val="both"/>
    </w:pPr>
    <w:rPr>
      <w:rFonts w:ascii="Palatino Linotype" w:hAnsi="Palatino Linotype"/>
      <w:color w:val="000000"/>
      <w:sz w:val="24"/>
      <w:lang w:eastAsia="de-DE"/>
    </w:rPr>
  </w:style>
  <w:style w:type="character" w:customStyle="1" w:styleId="af">
    <w:name w:val="正文文本 字符"/>
    <w:link w:val="ae"/>
    <w:rsid w:val="00F40265"/>
    <w:rPr>
      <w:rFonts w:ascii="Palatino Linotype" w:hAnsi="Palatino Linotype"/>
      <w:color w:val="000000"/>
      <w:sz w:val="24"/>
      <w:lang w:eastAsia="de-DE"/>
    </w:rPr>
  </w:style>
  <w:style w:type="character" w:styleId="af0">
    <w:name w:val="annotation reference"/>
    <w:uiPriority w:val="99"/>
    <w:qFormat/>
    <w:rsid w:val="00F40265"/>
    <w:rPr>
      <w:sz w:val="21"/>
      <w:szCs w:val="21"/>
    </w:rPr>
  </w:style>
  <w:style w:type="paragraph" w:styleId="af1">
    <w:name w:val="annotation text"/>
    <w:basedOn w:val="a"/>
    <w:link w:val="af2"/>
    <w:rsid w:val="00F40265"/>
  </w:style>
  <w:style w:type="character" w:customStyle="1" w:styleId="af2">
    <w:name w:val="批注文字 字符"/>
    <w:link w:val="af1"/>
    <w:rsid w:val="00F40265"/>
    <w:rPr>
      <w:rFonts w:ascii="Palatino Linotype" w:hAnsi="Palatino Linotype"/>
      <w:noProof/>
      <w:color w:val="000000"/>
    </w:rPr>
  </w:style>
  <w:style w:type="paragraph" w:styleId="af3">
    <w:name w:val="annotation subject"/>
    <w:basedOn w:val="af1"/>
    <w:next w:val="af1"/>
    <w:link w:val="af4"/>
    <w:rsid w:val="00F40265"/>
    <w:rPr>
      <w:b/>
      <w:bCs/>
    </w:rPr>
  </w:style>
  <w:style w:type="character" w:customStyle="1" w:styleId="af4">
    <w:name w:val="批注主题 字符"/>
    <w:link w:val="af3"/>
    <w:rsid w:val="00F40265"/>
    <w:rPr>
      <w:rFonts w:ascii="Palatino Linotype" w:hAnsi="Palatino Linotype"/>
      <w:b/>
      <w:bCs/>
      <w:noProof/>
      <w:color w:val="000000"/>
    </w:rPr>
  </w:style>
  <w:style w:type="character" w:styleId="af5">
    <w:name w:val="endnote reference"/>
    <w:rsid w:val="00F40265"/>
    <w:rPr>
      <w:vertAlign w:val="superscript"/>
    </w:rPr>
  </w:style>
  <w:style w:type="paragraph" w:styleId="af6">
    <w:name w:val="endnote text"/>
    <w:basedOn w:val="a"/>
    <w:link w:val="af7"/>
    <w:semiHidden/>
    <w:unhideWhenUsed/>
    <w:rsid w:val="00F40265"/>
    <w:pPr>
      <w:spacing w:line="240" w:lineRule="auto"/>
    </w:pPr>
  </w:style>
  <w:style w:type="character" w:customStyle="1" w:styleId="af7">
    <w:name w:val="尾注文本 字符"/>
    <w:link w:val="af6"/>
    <w:semiHidden/>
    <w:rsid w:val="00F40265"/>
    <w:rPr>
      <w:rFonts w:ascii="Palatino Linotype" w:hAnsi="Palatino Linotype"/>
      <w:noProof/>
      <w:color w:val="000000"/>
    </w:rPr>
  </w:style>
  <w:style w:type="character" w:styleId="af8">
    <w:name w:val="FollowedHyperlink"/>
    <w:rsid w:val="00F40265"/>
    <w:rPr>
      <w:color w:val="954F72"/>
      <w:u w:val="single"/>
    </w:rPr>
  </w:style>
  <w:style w:type="paragraph" w:styleId="af9">
    <w:name w:val="footnote text"/>
    <w:basedOn w:val="a"/>
    <w:link w:val="afa"/>
    <w:semiHidden/>
    <w:unhideWhenUsed/>
    <w:rsid w:val="00F40265"/>
    <w:pPr>
      <w:spacing w:line="240" w:lineRule="auto"/>
    </w:pPr>
  </w:style>
  <w:style w:type="character" w:customStyle="1" w:styleId="afa">
    <w:name w:val="脚注文本 字符"/>
    <w:link w:val="af9"/>
    <w:semiHidden/>
    <w:rsid w:val="00F40265"/>
    <w:rPr>
      <w:rFonts w:ascii="Palatino Linotype" w:hAnsi="Palatino Linotype"/>
      <w:noProof/>
      <w:color w:val="000000"/>
    </w:rPr>
  </w:style>
  <w:style w:type="paragraph" w:styleId="afb">
    <w:name w:val="Normal (Web)"/>
    <w:basedOn w:val="a"/>
    <w:uiPriority w:val="99"/>
    <w:rsid w:val="00F40265"/>
    <w:rPr>
      <w:szCs w:val="24"/>
    </w:rPr>
  </w:style>
  <w:style w:type="paragraph" w:customStyle="1" w:styleId="MsoFootnoteText0">
    <w:name w:val="MsoFootnoteText"/>
    <w:basedOn w:val="afb"/>
    <w:qFormat/>
    <w:rsid w:val="00F40265"/>
    <w:rPr>
      <w:rFonts w:ascii="Times New Roman" w:hAnsi="Times New Roman"/>
    </w:rPr>
  </w:style>
  <w:style w:type="character" w:styleId="afc">
    <w:name w:val="page number"/>
    <w:rsid w:val="00F40265"/>
  </w:style>
  <w:style w:type="character" w:styleId="afd">
    <w:name w:val="Placeholder Text"/>
    <w:uiPriority w:val="99"/>
    <w:semiHidden/>
    <w:rsid w:val="00F40265"/>
    <w:rPr>
      <w:color w:val="808080"/>
    </w:rPr>
  </w:style>
  <w:style w:type="paragraph" w:customStyle="1" w:styleId="MDPI71FootNotes">
    <w:name w:val="MDPI_7.1_FootNotes"/>
    <w:qFormat/>
    <w:rsid w:val="00674A70"/>
    <w:pPr>
      <w:numPr>
        <w:numId w:val="29"/>
      </w:numPr>
      <w:adjustRightInd w:val="0"/>
      <w:snapToGrid w:val="0"/>
      <w:spacing w:line="228" w:lineRule="auto"/>
      <w:jc w:val="both"/>
    </w:pPr>
    <w:rPr>
      <w:rFonts w:ascii="Palatino Linotype" w:eastAsiaTheme="minorHAnsi" w:hAnsi="Palatino Linotype"/>
      <w:noProof/>
      <w:color w:val="000000"/>
      <w:kern w:val="2"/>
      <w:sz w:val="18"/>
      <w:lang w:eastAsia="en-US"/>
      <w14:ligatures w14:val="standardContextual"/>
    </w:rPr>
  </w:style>
  <w:style w:type="character" w:customStyle="1" w:styleId="10">
    <w:name w:val="标题 1 字符"/>
    <w:basedOn w:val="a0"/>
    <w:link w:val="1"/>
    <w:uiPriority w:val="9"/>
    <w:rsid w:val="005D05AF"/>
    <w:rPr>
      <w:rFonts w:ascii="Times New Roman" w:hAnsi="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110/merrpalmquar1982.66.1.009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16/j.jsp.2010.07.001" TargetMode="External"/><Relationship Id="rId4" Type="http://schemas.openxmlformats.org/officeDocument/2006/relationships/webSettings" Target="webSettings.xml"/><Relationship Id="rId9" Type="http://schemas.openxmlformats.org/officeDocument/2006/relationships/hyperlink" Target="https://doi.org/10.1159/000525296"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BaiduSyncdisk\BaiduNetdiskWorkspace\&#30740;&#31350;&#29983;\&#30740;&#19968;\&#23398;&#26415;\&#35838;&#39064;&#32452;&#25968;&#25454;\&#26032;&#35838;&#39064;\LGM&#20013;&#20171;\paper\&#26399;&#21002;&#25237;&#31295;\behavioral%20sciences\behavsci-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behavsci-template</Template>
  <TotalTime>3398</TotalTime>
  <Pages>16</Pages>
  <Words>8736</Words>
  <Characters>49796</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58416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Clarence Daryl</cp:lastModifiedBy>
  <cp:revision>20</cp:revision>
  <cp:lastPrinted>2024-10-10T13:52:00Z</cp:lastPrinted>
  <dcterms:created xsi:type="dcterms:W3CDTF">2024-10-10T13:52:00Z</dcterms:created>
  <dcterms:modified xsi:type="dcterms:W3CDTF">2024-11-20T14:52:00Z</dcterms:modified>
</cp:coreProperties>
</file>