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499E3BE" w:rsidR="003D75CE" w:rsidRPr="0019385A" w:rsidRDefault="0019385A">
      <w:pPr>
        <w:spacing w:line="360" w:lineRule="auto"/>
        <w:jc w:val="right"/>
        <w:rPr>
          <w:color w:val="000000" w:themeColor="text1"/>
        </w:rPr>
      </w:pPr>
      <w:r w:rsidRPr="0019385A">
        <w:rPr>
          <w:color w:val="000000" w:themeColor="text1"/>
        </w:rPr>
        <w:t>January 13, 2024</w:t>
      </w:r>
    </w:p>
    <w:p w14:paraId="6ECF1510" w14:textId="77777777" w:rsidR="00BA2DB6" w:rsidRDefault="003B24C1" w:rsidP="00BA2DB6">
      <w:pPr>
        <w:spacing w:line="360" w:lineRule="auto"/>
        <w:jc w:val="right"/>
      </w:pPr>
      <w:r>
        <w:t xml:space="preserve">   </w:t>
      </w:r>
      <w:r>
        <w:tab/>
      </w:r>
      <w:r>
        <w:tab/>
      </w:r>
      <w:r>
        <w:tab/>
      </w:r>
      <w:r>
        <w:tab/>
      </w:r>
      <w:r>
        <w:tab/>
      </w:r>
      <w:r>
        <w:tab/>
      </w:r>
      <w:r>
        <w:tab/>
      </w:r>
      <w:r>
        <w:tab/>
      </w:r>
      <w:r w:rsidR="00BA2DB6">
        <w:t>Michael G. Hennerici</w:t>
      </w:r>
    </w:p>
    <w:p w14:paraId="1967FBDA" w14:textId="77777777" w:rsidR="00BA2DB6" w:rsidRDefault="00BA2DB6" w:rsidP="00BA2DB6">
      <w:pPr>
        <w:spacing w:line="360" w:lineRule="auto"/>
        <w:jc w:val="right"/>
      </w:pPr>
      <w:r>
        <w:t xml:space="preserve">Editor-in-Chief </w:t>
      </w:r>
    </w:p>
    <w:p w14:paraId="75ACD7A6" w14:textId="02D9E7BB" w:rsidR="00BA2DB6" w:rsidRDefault="00BA2DB6" w:rsidP="00BA2DB6">
      <w:pPr>
        <w:spacing w:line="360" w:lineRule="auto"/>
        <w:jc w:val="right"/>
      </w:pPr>
      <w:r>
        <w:t>Journal of Clinical Medicine</w:t>
      </w:r>
    </w:p>
    <w:p w14:paraId="00000007" w14:textId="7C9B9E1D" w:rsidR="003D75CE" w:rsidRDefault="003B24C1">
      <w:pPr>
        <w:spacing w:line="360" w:lineRule="auto"/>
        <w:jc w:val="both"/>
      </w:pPr>
      <w:r>
        <w:t xml:space="preserve">Ref.: </w:t>
      </w:r>
      <w:r w:rsidR="0019385A" w:rsidRPr="0019385A">
        <w:rPr>
          <w:rFonts w:asciiTheme="minorHAnsi" w:hAnsiTheme="minorHAnsi" w:cstheme="minorHAnsi"/>
          <w:color w:val="000000"/>
        </w:rPr>
        <w:t>jcm-2797904</w:t>
      </w:r>
    </w:p>
    <w:p w14:paraId="00000008" w14:textId="77777777" w:rsidR="003D75CE" w:rsidRDefault="003B24C1">
      <w:pPr>
        <w:spacing w:line="360" w:lineRule="auto"/>
        <w:jc w:val="both"/>
      </w:pPr>
      <w:r>
        <w:t xml:space="preserve">Dear Editor, </w:t>
      </w:r>
    </w:p>
    <w:p w14:paraId="0000000A" w14:textId="12ED0C8C" w:rsidR="003D75CE" w:rsidRDefault="003B24C1">
      <w:pPr>
        <w:spacing w:line="360" w:lineRule="auto"/>
        <w:jc w:val="both"/>
      </w:pPr>
      <w:r>
        <w:t xml:space="preserve">Enclosed please find our point-to-point response to the comments concerning our manuscript now titled </w:t>
      </w:r>
      <w:r>
        <w:rPr>
          <w:i/>
        </w:rPr>
        <w:t>“</w:t>
      </w:r>
      <w:r w:rsidR="0019385A" w:rsidRPr="0019385A">
        <w:rPr>
          <w:i/>
        </w:rPr>
        <w:t>Short to Mid-term clinical and radiological results of selective laser melting highly-porous titanium cup in primary total hip arthroplasty</w:t>
      </w:r>
      <w:r>
        <w:rPr>
          <w:i/>
        </w:rPr>
        <w:t xml:space="preserve">” </w:t>
      </w:r>
      <w:r>
        <w:t xml:space="preserve">that is being considered for publication in your Journal. </w:t>
      </w:r>
      <w:r w:rsidR="00583A53" w:rsidRPr="00583A53">
        <w:t>The abstract has been re</w:t>
      </w:r>
      <w:r w:rsidR="00D24158">
        <w:t>vised</w:t>
      </w:r>
      <w:r w:rsidR="00583A53" w:rsidRPr="00583A53">
        <w:t>.</w:t>
      </w:r>
      <w:r w:rsidR="00583A53">
        <w:t xml:space="preserve"> </w:t>
      </w:r>
      <w:r>
        <w:t xml:space="preserve">Changes in the manuscript have been highlighted. We hope that the revision improved our manuscript and that the work will be judged worthy of publication in your Journal. </w:t>
      </w:r>
    </w:p>
    <w:p w14:paraId="0000000B" w14:textId="77777777" w:rsidR="003D75CE" w:rsidRDefault="003B24C1">
      <w:pPr>
        <w:spacing w:line="360" w:lineRule="auto"/>
        <w:jc w:val="both"/>
      </w:pPr>
      <w:r>
        <w:t>Sincerely,</w:t>
      </w:r>
    </w:p>
    <w:p w14:paraId="0000000C" w14:textId="77777777" w:rsidR="003D75CE" w:rsidRDefault="003B24C1">
      <w:pPr>
        <w:spacing w:line="360" w:lineRule="auto"/>
        <w:jc w:val="both"/>
      </w:pPr>
      <w:r>
        <w:t>The Authors</w:t>
      </w:r>
    </w:p>
    <w:p w14:paraId="0000000D" w14:textId="77777777" w:rsidR="003D75CE" w:rsidRDefault="003B24C1">
      <w:pPr>
        <w:spacing w:line="360" w:lineRule="auto"/>
        <w:rPr>
          <w:b/>
        </w:rPr>
      </w:pPr>
      <w:r>
        <w:br w:type="page"/>
      </w:r>
    </w:p>
    <w:p w14:paraId="1A6723BA" w14:textId="77777777" w:rsidR="0087583E" w:rsidRDefault="003B24C1" w:rsidP="0087583E">
      <w:pPr>
        <w:spacing w:line="360" w:lineRule="auto"/>
        <w:jc w:val="both"/>
      </w:pPr>
      <w:r w:rsidRPr="00D24158">
        <w:rPr>
          <w:b/>
          <w:u w:val="single"/>
        </w:rPr>
        <w:lastRenderedPageBreak/>
        <w:t>Reviewer #1:</w:t>
      </w:r>
      <w:r>
        <w:t xml:space="preserve"> </w:t>
      </w:r>
      <w:r w:rsidR="0087583E">
        <w:t>A very interesting study, but it needs more data to validate it.</w:t>
      </w:r>
    </w:p>
    <w:p w14:paraId="01D25BF5" w14:textId="77777777" w:rsidR="0087583E" w:rsidRDefault="0087583E" w:rsidP="0087583E">
      <w:pPr>
        <w:spacing w:line="360" w:lineRule="auto"/>
        <w:jc w:val="both"/>
      </w:pPr>
      <w:r>
        <w:t>When I read the abstract, it looked like a very interesting manuscript, but then I had a lot of doubts about how the model was built, as it is not described!</w:t>
      </w:r>
    </w:p>
    <w:p w14:paraId="7E1E811E" w14:textId="77777777" w:rsidR="0087583E" w:rsidRDefault="0087583E" w:rsidP="0087583E">
      <w:pPr>
        <w:spacing w:line="360" w:lineRule="auto"/>
        <w:jc w:val="both"/>
      </w:pPr>
      <w:r>
        <w:t>It would be interesting to describe how the implant is constructed. It seems to me that this analysis is purely clinical, but it leaves some doubts as to how the prosthesis is constructed. How was porosity measured, what influence does porosity have on recovery? It would be interesting to carry out a study varying the porosity.</w:t>
      </w:r>
    </w:p>
    <w:p w14:paraId="043408C4" w14:textId="77777777" w:rsidR="0087583E" w:rsidRDefault="0087583E" w:rsidP="0087583E">
      <w:pPr>
        <w:spacing w:line="360" w:lineRule="auto"/>
        <w:jc w:val="both"/>
      </w:pPr>
      <w:r>
        <w:t>I think this is an interesting preliminary study from a clinical point of view, but more information is needed.</w:t>
      </w:r>
    </w:p>
    <w:p w14:paraId="0EB15E75" w14:textId="77777777" w:rsidR="00AF3118" w:rsidRDefault="003B24C1">
      <w:pPr>
        <w:spacing w:line="360" w:lineRule="auto"/>
        <w:jc w:val="both"/>
        <w:rPr>
          <w:i/>
        </w:rPr>
      </w:pPr>
      <w:r>
        <w:rPr>
          <w:b/>
          <w:i/>
        </w:rPr>
        <w:t>Reply:</w:t>
      </w:r>
      <w:r>
        <w:rPr>
          <w:i/>
        </w:rPr>
        <w:t xml:space="preserve"> Thanks for your constructive and insightful comments. We updated the manuscript, which is now improved according to your suggestions.</w:t>
      </w:r>
      <w:r w:rsidR="00AF3118">
        <w:rPr>
          <w:i/>
        </w:rPr>
        <w:t xml:space="preserve"> </w:t>
      </w:r>
    </w:p>
    <w:p w14:paraId="7AA77CED" w14:textId="7DC9D8FD" w:rsidR="00F54065" w:rsidRDefault="00F54065">
      <w:pPr>
        <w:spacing w:line="360" w:lineRule="auto"/>
        <w:jc w:val="both"/>
        <w:rPr>
          <w:i/>
        </w:rPr>
      </w:pPr>
      <w:r>
        <w:rPr>
          <w:i/>
        </w:rPr>
        <w:t>“</w:t>
      </w:r>
      <w:r w:rsidRPr="00F54065">
        <w:rPr>
          <w:i/>
        </w:rPr>
        <w:t>The acetabular shell used in the study cohort was a SLM 3D-printed highly-porous tita-nium cup (Jump System Traser®, Permedica Orthopaedics, Merate, Italy). The cup features a hemispherical outer profile with polar flattening and 3 holes for additional fixation with cancellous screws. On the bone interface the cup features a 1 mm-thick highly-porous portion of cancellous bone-like irregular titanium lattice (Traser®), addi-tively manufactured by SLM with Ti6Al4V alloy powder in one-step process together with the cup (Figure 1</w:t>
      </w:r>
      <w:r w:rsidRPr="00F54065">
        <w:rPr>
          <w:i/>
          <w:highlight w:val="yellow"/>
        </w:rPr>
        <w:t xml:space="preserve">). </w:t>
      </w:r>
      <w:r w:rsidR="005577FA" w:rsidRPr="005577FA">
        <w:rPr>
          <w:bCs/>
          <w:highlight w:val="yellow"/>
        </w:rPr>
        <w:t>The characteristics of Jump System Traser® include a 70% porosity, which is an optimal compromise to promote bone growth while maintaining sufficient mechanical properties. The pores of the Jump System Traser® cup have more complex irregular shapes that allow for increased new bone formation, as demonstrated in Fujibayashi's study</w:t>
      </w:r>
      <w:r w:rsidR="005577FA" w:rsidRPr="005577FA">
        <w:rPr>
          <w:b/>
          <w:bCs/>
          <w:highlight w:val="yellow"/>
        </w:rPr>
        <w:fldChar w:fldCharType="begin"/>
      </w:r>
      <w:r w:rsidR="005577FA" w:rsidRPr="005577FA">
        <w:rPr>
          <w:bCs/>
          <w:highlight w:val="yellow"/>
        </w:rPr>
        <w:instrText xml:space="preserve"> ADDIN ZOTERO_ITEM CSL_CITATION {"citationID":"pYrXWOL7","properties":{"formattedCitation":"[15]","plainCitation":"[15]","noteIndex":0},"citationItems":[{"id":90,"uris":["http://zotero.org/users/local/nDUjQI4d/items/EYIWWYKT"],"itemData":{"id":90,"type":"article-journal","abstract":"This is the first report of bone induction in a non-osseous site by titanium metal, which has long been recognized as a non-bioactive material. After undergoing specific chemical and thermal treatments, porous bioactive titanium induced bone formation without the need of additional osteogenic cells or osteoinductive agents. Four types of titanium implants were implanted in the dorsal muscles of mature beagle dogs, and were examined histologically after periods of 3 and 12 months. Chemically and thermally treated titanium, as well as pure titanium, was implanted either as porous blocks or as fibre mesh cylinders. Bone formation was found only in the chemically and thermally treated porous block implants removed after 12 months. The present study shows that even a non-soluble metal that contains no calcium or phosphorus can be an osteoinductive material when treated to form an appropriate macrostructure and microstructure. This finding may elucidate the nature of osteoinduction, and lead to the advent of epochal osteoinductive biomaterials for tissue regeneration.","container-title":"Biomaterials","DOI":"10.1016/s0142-9612(03)00551-9","ISSN":"0142-9612","issue":"3","journalAbbreviation":"Biomaterials","language":"eng","note":"PMID: 14585692","page":"443-450","source":"PubMed","title":"Osteoinduction of porous bioactive titanium metal","volume":"25","author":[{"family":"Fujibayashi","given":"Shunsuke"},{"family":"Neo","given":"Masashi"},{"family":"Kim","given":"Hyun-Min"},{"family":"Kokubo","given":"Tadashi"},{"family":"Nakamura","given":"Takashi"}],"issued":{"date-parts":[["2004",2]]}}}],"schema":"https://github.com/citation-style-language/schema/raw/master/csl-citation.json"} </w:instrText>
      </w:r>
      <w:r w:rsidR="005577FA" w:rsidRPr="005577FA">
        <w:rPr>
          <w:b/>
          <w:bCs/>
          <w:highlight w:val="yellow"/>
        </w:rPr>
        <w:fldChar w:fldCharType="separate"/>
      </w:r>
      <w:r w:rsidR="005577FA" w:rsidRPr="005577FA">
        <w:rPr>
          <w:bCs/>
          <w:noProof/>
          <w:highlight w:val="yellow"/>
        </w:rPr>
        <w:t>[15]</w:t>
      </w:r>
      <w:r w:rsidR="005577FA" w:rsidRPr="005577FA">
        <w:rPr>
          <w:b/>
          <w:bCs/>
          <w:highlight w:val="yellow"/>
        </w:rPr>
        <w:fldChar w:fldCharType="end"/>
      </w:r>
      <w:r w:rsidR="005577FA" w:rsidRPr="005577FA">
        <w:rPr>
          <w:bCs/>
          <w:highlight w:val="yellow"/>
        </w:rPr>
        <w:t>. The open pores are all interconnected and allow complete permeability, as Kuhne explained: "The degree of interconnection is more important for new bone formation than the pore size itself"</w:t>
      </w:r>
      <w:r w:rsidR="005577FA" w:rsidRPr="005577FA">
        <w:rPr>
          <w:b/>
          <w:bCs/>
          <w:highlight w:val="yellow"/>
        </w:rPr>
        <w:fldChar w:fldCharType="begin"/>
      </w:r>
      <w:r w:rsidR="005577FA" w:rsidRPr="005577FA">
        <w:rPr>
          <w:bCs/>
          <w:highlight w:val="yellow"/>
        </w:rPr>
        <w:instrText xml:space="preserve"> ADDIN ZOTERO_ITEM CSL_CITATION {"citationID":"w1NxdVr2","properties":{"formattedCitation":"[16]","plainCitation":"[16]","noteIndex":0},"citationItems":[{"id":97,"uris":["http://zotero.org/users/local/nDUjQI4d/items/5NL4SPWK"],"itemData":{"id":97,"type":"article-journal","abstract":"We analyzed osseous reactions in the rabbit femoral condyle to coralline hydroxyapatite bone substitutes of various pore sizes by radiology and histology. The results were compared to bone repair of empty cavities and to integration of allografts. Spontaneous bone repair of the empty cavities took approximately 12 weeks, while integration of the cryopreserved allografts occurred after 9 weeks. However, no signs of new bone formation were found with the 200 microns pore size hydroxyapatite. In contrast, there was substantial production of bone within the 500 microns pore size implants at 12 and 26 weeks. Our results indicate that the pore size of the coralline hydroxyapatite influenced the development of bone in the implants in the cancellous bone bed of the rabbit femoral condyle. The results also show that spontaneous bone repair should be taken into consideration when the integration of implants is evaluated.","container-title":"Acta Orthopaedica Scandinavica","DOI":"10.3109/17453679408995448","ISSN":"0001-6470","issue":"3","journalAbbreviation":"Acta Orthop Scand","language":"eng","note":"PMID: 8042473","page":"246-252","source":"PubMed","title":"Bone formation in coralline hydroxyapatite. Effects of pore size studied in rabbits","volume":"65","author":[{"family":"Kühne","given":"J. H."},{"family":"Bartl","given":"R."},{"family":"Frisch","given":"B."},{"family":"Hammer","given":"C."},{"family":"Jansson","given":"V."},{"family":"Zimmer","given":"M."}],"issued":{"date-parts":[["1994",6]]}}}],"schema":"https://github.com/citation-style-language/schema/raw/master/csl-citation.json"} </w:instrText>
      </w:r>
      <w:r w:rsidR="005577FA" w:rsidRPr="005577FA">
        <w:rPr>
          <w:b/>
          <w:bCs/>
          <w:highlight w:val="yellow"/>
        </w:rPr>
        <w:fldChar w:fldCharType="separate"/>
      </w:r>
      <w:r w:rsidR="005577FA" w:rsidRPr="005577FA">
        <w:rPr>
          <w:bCs/>
          <w:noProof/>
          <w:highlight w:val="yellow"/>
        </w:rPr>
        <w:t>[16]</w:t>
      </w:r>
      <w:r w:rsidR="005577FA" w:rsidRPr="005577FA">
        <w:rPr>
          <w:b/>
          <w:bCs/>
          <w:highlight w:val="yellow"/>
        </w:rPr>
        <w:fldChar w:fldCharType="end"/>
      </w:r>
      <w:r w:rsidR="005577FA" w:rsidRPr="005577FA">
        <w:rPr>
          <w:bCs/>
          <w:highlight w:val="yellow"/>
        </w:rPr>
        <w:t xml:space="preserve">. The average pore size is 500 </w:t>
      </w:r>
      <w:r w:rsidR="005577FA" w:rsidRPr="005577FA">
        <w:rPr>
          <w:bCs/>
          <w:highlight w:val="yellow"/>
        </w:rPr>
        <w:t>m, a size that ensures faster bone growth, as Karageorgiou found in his study</w:t>
      </w:r>
      <w:r w:rsidR="005577FA" w:rsidRPr="005577FA">
        <w:rPr>
          <w:b/>
          <w:bCs/>
          <w:highlight w:val="yellow"/>
        </w:rPr>
        <w:fldChar w:fldCharType="begin"/>
      </w:r>
      <w:r w:rsidR="005577FA" w:rsidRPr="005577FA">
        <w:rPr>
          <w:bCs/>
          <w:highlight w:val="yellow"/>
        </w:rPr>
        <w:instrText xml:space="preserve"> ADDIN ZOTERO_ITEM CSL_CITATION {"citationID":"HcCp9aPP","properties":{"formattedCitation":"[17]","plainCitation":"[17]","noteIndex":0},"citationItems":[{"id":95,"uris":["http://zotero.org/users/local/nDUjQI4d/items/JUEG8844"],"itemData":{"id":95,"type":"article-journal","abstract":"Porosity and pore size of biomaterial scaffolds play a critical role in bone formation in vitro and in vivo. This review explores the state of knowledge regarding the relationship between porosity and pore size of biomaterials used for bone regeneration. The effect of these morphological features on osteogenesis in vitro and in vivo, as well as relationships to mechanical properties of the scaffolds, are addressed. In vitro, lower porosity stimulates osteogenesis by suppressing cell proliferation and forcing cell aggregation. In contrast, in vivo, higher porosity and pore size result in greater bone ingrowth, a conclusion that is supported by the absence of reports that show enhanced osteogenic outcomes for scaffolds with low void volumes. However, this trend results in diminished mechanical properties, thereby setting an upper functional limit for pore size and porosity. Thus, a balance must be reached depending on the repair, rate of remodeling and rate of degradation of the scaffold material. Based on early studies, the minimum requirement for pore size is considered to be approximately 100 microm due to cell size, migration requirements and transport. However, pore sizes &gt;300 microm are recommended, due to enhanced new bone formation and the formation of capillaries. Because of vascularization, pore size has been shown to affect the progression of osteogenesis. Small pores favored hypoxic conditions and induced osteochondral formation before osteogenesis, while large pores, that are well-vascularized, lead to direct osteogenesis (without preceding cartilage formation). Gradients in pore sizes are recommended for future studies focused on the formation of multiple tissues and tissue interfaces. New fabrication techniques, such as solid-free form fabrication, can potentially be used to generate scaffolds with morphological and mechanical properties more selectively designed to meet the specificity of bone-repair needs.","container-title":"Biomaterials","DOI":"10.1016/j.biomaterials.2005.02.002","ISSN":"0142-9612","issue":"27","journalAbbreviation":"Biomaterials","language":"eng","note":"PMID: 15860204","page":"5474-5491","source":"PubMed","title":"Porosity of 3D biomaterial scaffolds and osteogenesis","volume":"26","author":[{"family":"Karageorgiou","given":"Vassilis"},{"family":"Kaplan","given":"David"}],"issued":{"date-parts":[["2005",9]]}}}],"schema":"https://github.com/citation-style-language/schema/raw/master/csl-citation.json"} </w:instrText>
      </w:r>
      <w:r w:rsidR="005577FA" w:rsidRPr="005577FA">
        <w:rPr>
          <w:b/>
          <w:bCs/>
          <w:highlight w:val="yellow"/>
        </w:rPr>
        <w:fldChar w:fldCharType="separate"/>
      </w:r>
      <w:r w:rsidR="005577FA" w:rsidRPr="005577FA">
        <w:rPr>
          <w:bCs/>
          <w:noProof/>
          <w:highlight w:val="yellow"/>
        </w:rPr>
        <w:t>[17]</w:t>
      </w:r>
      <w:r w:rsidR="005577FA" w:rsidRPr="005577FA">
        <w:rPr>
          <w:b/>
          <w:bCs/>
          <w:highlight w:val="yellow"/>
        </w:rPr>
        <w:fldChar w:fldCharType="end"/>
      </w:r>
      <w:r w:rsidR="005577FA" w:rsidRPr="0069236C">
        <w:rPr>
          <w:bCs/>
        </w:rPr>
        <w:t>.</w:t>
      </w:r>
      <w:r w:rsidR="005577FA">
        <w:rPr>
          <w:bCs/>
        </w:rPr>
        <w:t>”</w:t>
      </w:r>
    </w:p>
    <w:p w14:paraId="24DDE9CA" w14:textId="77777777" w:rsidR="009E37B1" w:rsidRPr="00CF47E9" w:rsidRDefault="009E37B1">
      <w:pPr>
        <w:spacing w:line="360" w:lineRule="auto"/>
        <w:jc w:val="both"/>
        <w:rPr>
          <w:i/>
        </w:rPr>
      </w:pPr>
    </w:p>
    <w:p w14:paraId="3740776A" w14:textId="77777777" w:rsidR="00583A53" w:rsidRDefault="003B24C1" w:rsidP="00583A53">
      <w:pPr>
        <w:spacing w:line="360" w:lineRule="auto"/>
        <w:jc w:val="both"/>
      </w:pPr>
      <w:r w:rsidRPr="00583A53">
        <w:rPr>
          <w:b/>
          <w:highlight w:val="red"/>
        </w:rPr>
        <w:t>Reviewer #2</w:t>
      </w:r>
      <w:r>
        <w:rPr>
          <w:b/>
        </w:rPr>
        <w:t>:</w:t>
      </w:r>
      <w:r>
        <w:t xml:space="preserve"> </w:t>
      </w:r>
      <w:r w:rsidR="00583A53">
        <w:t>In introduction, in the second paragraph, I believe it would be beneficial for the readers to have some more information about SLM. Please expand a bit, the rationale behind this technology, how long has it been used, what outcomes have been reported.</w:t>
      </w:r>
    </w:p>
    <w:p w14:paraId="3F31F40D" w14:textId="77777777" w:rsidR="00583A53" w:rsidRDefault="00583A53" w:rsidP="00583A53">
      <w:pPr>
        <w:spacing w:line="360" w:lineRule="auto"/>
        <w:jc w:val="both"/>
      </w:pPr>
      <w:r>
        <w:t>The purpose is well written and clear.</w:t>
      </w:r>
    </w:p>
    <w:p w14:paraId="7A6C68B1" w14:textId="77777777" w:rsidR="00583A53" w:rsidRDefault="00583A53" w:rsidP="00583A53">
      <w:pPr>
        <w:spacing w:line="360" w:lineRule="auto"/>
        <w:jc w:val="both"/>
      </w:pPr>
      <w:r>
        <w:t xml:space="preserve">In methods section, as the authors stated this cup is 1mm larger than the respective reamer. In all cases you did not ream an additional 1mm. Having some experience with this cup, I find this information important for future studies, because there is a subjective “feeling” that more impact is </w:t>
      </w:r>
      <w:r>
        <w:lastRenderedPageBreak/>
        <w:t>needed to position this cup. Of course this is not the aim of the study but I think if this info is available it should be stated.</w:t>
      </w:r>
    </w:p>
    <w:p w14:paraId="2BF94391" w14:textId="77777777" w:rsidR="00583A53" w:rsidRDefault="00583A53" w:rsidP="00583A53">
      <w:pPr>
        <w:spacing w:line="360" w:lineRule="auto"/>
        <w:jc w:val="both"/>
      </w:pPr>
      <w:r>
        <w:t>Please also expand on what is standard antibiotic and antithrombotic prophylaxis. Many institutions use different protocols.</w:t>
      </w:r>
    </w:p>
    <w:p w14:paraId="14A1CF7F" w14:textId="77777777" w:rsidR="00583A53" w:rsidRDefault="00583A53" w:rsidP="00583A53">
      <w:pPr>
        <w:spacing w:line="360" w:lineRule="auto"/>
        <w:jc w:val="both"/>
      </w:pPr>
      <w:r>
        <w:t>At 2.3 : Were there any standard follow-up visits? When the scores were evaluated? Only one time at the end? Please expand.</w:t>
      </w:r>
    </w:p>
    <w:p w14:paraId="1EA1E8FF" w14:textId="77777777" w:rsidR="00583A53" w:rsidRDefault="00583A53" w:rsidP="00583A53">
      <w:pPr>
        <w:spacing w:line="360" w:lineRule="auto"/>
        <w:jc w:val="both"/>
      </w:pPr>
      <w:r>
        <w:t>At 2.4: Pretty much the same comment as 2.3 when the radiologic evaluation took place?</w:t>
      </w:r>
    </w:p>
    <w:p w14:paraId="44743868" w14:textId="77777777" w:rsidR="00583A53" w:rsidRDefault="00583A53" w:rsidP="00583A53">
      <w:pPr>
        <w:spacing w:line="360" w:lineRule="auto"/>
        <w:jc w:val="both"/>
      </w:pPr>
      <w:r>
        <w:t>In result, line 146, better rephrase to “ ..11 patients had passed away”</w:t>
      </w:r>
    </w:p>
    <w:p w14:paraId="39A4C958" w14:textId="77777777" w:rsidR="00583A53" w:rsidRDefault="00583A53" w:rsidP="00583A53">
      <w:pPr>
        <w:spacing w:line="360" w:lineRule="auto"/>
        <w:jc w:val="both"/>
      </w:pPr>
      <w:r>
        <w:t>The results are nicely depicted but there is no data regarding when the follow-up occurred? Are all these data at the medial appr. 60 months follow-up??? This should be clear in Methods and Results.</w:t>
      </w:r>
    </w:p>
    <w:p w14:paraId="01CD0D77" w14:textId="77777777" w:rsidR="00583A53" w:rsidRDefault="00583A53" w:rsidP="00583A53">
      <w:pPr>
        <w:spacing w:line="360" w:lineRule="auto"/>
        <w:jc w:val="both"/>
      </w:pPr>
      <w:r>
        <w:t>In discussion, line 219 , not “our”, “with the use of SLM-titanium…”</w:t>
      </w:r>
    </w:p>
    <w:p w14:paraId="328A2F33" w14:textId="77777777" w:rsidR="00583A53" w:rsidRDefault="00583A53" w:rsidP="00583A53">
      <w:pPr>
        <w:spacing w:line="360" w:lineRule="auto"/>
        <w:jc w:val="both"/>
      </w:pPr>
      <w:r>
        <w:t>A major limitation that has not been addressed and could be a reason for rejection in some journals is the relatively short period of follow-up. Usually in arthroplasties a follow-up of 5 years is required. In my opinion, this is not a reason to reject this study, but this definitely needs to be stated in the limitations section. Perhaps the authors should consider changing the title (the midterm results is a bit exaggerating- these were mainly short term results)</w:t>
      </w:r>
    </w:p>
    <w:p w14:paraId="0000003D" w14:textId="7A418E5E" w:rsidR="003D75CE" w:rsidRDefault="00583A53" w:rsidP="00583A53">
      <w:pPr>
        <w:spacing w:line="360" w:lineRule="auto"/>
        <w:jc w:val="both"/>
      </w:pPr>
      <w:r>
        <w:t>In general, this is a well-written and interesting paper. Hip surgeons value such data. I congratulate the authors for their work.</w:t>
      </w:r>
    </w:p>
    <w:p w14:paraId="0000003E" w14:textId="7968EE29" w:rsidR="003D75CE" w:rsidRDefault="003B24C1">
      <w:pPr>
        <w:spacing w:line="360" w:lineRule="auto"/>
        <w:jc w:val="both"/>
        <w:rPr>
          <w:i/>
        </w:rPr>
      </w:pPr>
      <w:bookmarkStart w:id="0" w:name="_heading=h.gjdgxs" w:colFirst="0" w:colLast="0"/>
      <w:bookmarkEnd w:id="0"/>
      <w:r>
        <w:rPr>
          <w:b/>
          <w:i/>
        </w:rPr>
        <w:t>Reply:</w:t>
      </w:r>
      <w:r>
        <w:rPr>
          <w:i/>
        </w:rPr>
        <w:t xml:space="preserve"> Thanks for your constructive and insightful comments. We updated the manuscript, which is now improved according to your suggestions. Please find the detailed point-by point replies below.</w:t>
      </w:r>
    </w:p>
    <w:p w14:paraId="59699386" w14:textId="77777777" w:rsidR="00333E61" w:rsidRDefault="00333E61">
      <w:pPr>
        <w:spacing w:line="360" w:lineRule="auto"/>
        <w:jc w:val="both"/>
        <w:rPr>
          <w:i/>
        </w:rPr>
      </w:pPr>
    </w:p>
    <w:p w14:paraId="0000003F" w14:textId="3F25B893" w:rsidR="003D75CE" w:rsidRPr="00333E61" w:rsidRDefault="003B24C1">
      <w:pPr>
        <w:spacing w:line="360" w:lineRule="auto"/>
        <w:jc w:val="both"/>
        <w:rPr>
          <w:b/>
          <w:bCs/>
          <w:i/>
          <w:iCs/>
        </w:rPr>
      </w:pPr>
      <w:r w:rsidRPr="00333E61">
        <w:rPr>
          <w:b/>
          <w:bCs/>
          <w:i/>
          <w:iCs/>
        </w:rPr>
        <w:t xml:space="preserve">1. </w:t>
      </w:r>
      <w:r w:rsidR="00333E61" w:rsidRPr="00333E61">
        <w:rPr>
          <w:b/>
          <w:bCs/>
          <w:i/>
          <w:iCs/>
        </w:rPr>
        <w:t>In introduction, in the second paragraph, I believe it would be beneficial for the readers to have some more information about SLM. Please expand a bit, the rationale behind this technology, how long has it been used, what outcomes have been reported.</w:t>
      </w:r>
    </w:p>
    <w:p w14:paraId="00000040" w14:textId="7989A21F" w:rsidR="003D75CE" w:rsidRDefault="003B24C1">
      <w:pPr>
        <w:spacing w:line="360" w:lineRule="auto"/>
        <w:jc w:val="both"/>
      </w:pPr>
      <w:r>
        <w:rPr>
          <w:b/>
          <w:i/>
        </w:rPr>
        <w:t>1. Reply:</w:t>
      </w:r>
      <w:r>
        <w:rPr>
          <w:i/>
        </w:rPr>
        <w:t xml:space="preserve"> </w:t>
      </w:r>
      <w:r w:rsidR="00333E61" w:rsidRPr="002F690B">
        <w:rPr>
          <w:bCs/>
        </w:rPr>
        <w:t>Selective laser melting (SLM) represents one of the more advanced additive manufacturing technologies and consists of a 3D-printing process of the component through the iterative application layer by layer of a metal powder bed melted by a laser beam</w:t>
      </w:r>
      <w:r w:rsidR="00333E61" w:rsidRPr="002F690B">
        <w:rPr>
          <w:b/>
          <w:bCs/>
        </w:rPr>
        <w:fldChar w:fldCharType="begin"/>
      </w:r>
      <w:r w:rsidR="00333E61" w:rsidRPr="002F690B">
        <w:rPr>
          <w:bCs/>
        </w:rPr>
        <w:instrText xml:space="preserve"> ADDIN ZOTERO_ITEM CSL_CITATION {"citationID":"yLcBDWvA","properties":{"formattedCitation":"[9]","plainCitation":"[9]","noteIndex":0},"citationItems":[{"id":20,"uris":["http://zotero.org/users/local/nDUjQI4d/items/DVNPW5QM"],"itemData":{"id":20,"type":"article-journal","abstract":"SLM (Selective Laser Melting) is a unique additive manufacturing technology which plays an irreplaceable role in the modern industrial revolution. 3D printers can directly process metal powder quickly to obtain the necessary parts faster. Shortly, it will be possible to manufacture products at unparalleled speeds. Advanced manufacturing technology is used to produce durable and efficient parts with different metals that have good metal structure performance and excellent metal thermal performance, to lead the way for laser powder printing technology. Traditional creative ways are usually limited by time, and cannot respond to customers' needs fast enough; for some parts with high precision and complexity, conventional manufacturing methods are inadequate. Contrary to this, SLM technology offers some advantages, such as requiring no molds this decreases production time and helps to reduce costs. In addition, SLM technology has strong comprehensive functions, which can reduce assembly time and improve material utilization. Parts with complex structures, such as cavities and three-dimensional grids, can be made without restricting the shape of products. Products or parts can be printed quickly without the use of expensive production equipment. The product quality is better, and the mechanical load performance is comparable to traditional production technologies (such as forging). This paper introduces in detail the process parameters that affect SLM technology and how they affect SLM, commonly used metal materials and non-metallic materials, and summarizes the current research. Finally, the problems faced by SLM are prospected.","container-title":"Micromachines","DOI":"10.3390/mi14010057","ISSN":"2072-666X","issue":"1","journalAbbreviation":"Micromachines (Basel)","language":"eng","note":"PMID: 36677118\nPMCID: PMC9861605","page":"57","source":"PubMed","title":"A Review of Research Progress in Selective Laser Melting (SLM)","volume":"14","author":[{"family":"Gao","given":"Bingwei"},{"family":"Zhao","given":"Hongjian"},{"family":"Peng","given":"Liqing"},{"family":"Sun","given":"Zhixin"}],"issued":{"date-parts":[["2022",12,25]]}}}],"schema":"https://github.com/citation-style-language/schema/raw/master/csl-citation.json"} </w:instrText>
      </w:r>
      <w:r w:rsidR="00333E61" w:rsidRPr="002F690B">
        <w:rPr>
          <w:b/>
          <w:bCs/>
        </w:rPr>
        <w:fldChar w:fldCharType="separate"/>
      </w:r>
      <w:r w:rsidR="00333E61" w:rsidRPr="002F690B">
        <w:rPr>
          <w:bCs/>
        </w:rPr>
        <w:t>[9]</w:t>
      </w:r>
      <w:r w:rsidR="00333E61" w:rsidRPr="002F690B">
        <w:rPr>
          <w:b/>
          <w:bCs/>
        </w:rPr>
        <w:fldChar w:fldCharType="end"/>
      </w:r>
      <w:r w:rsidR="00333E61" w:rsidRPr="002F690B">
        <w:rPr>
          <w:bCs/>
        </w:rPr>
        <w:t>.</w:t>
      </w:r>
      <w:r w:rsidR="00333E61">
        <w:rPr>
          <w:b/>
          <w:bCs/>
        </w:rPr>
        <w:t xml:space="preserve"> </w:t>
      </w:r>
      <w:r w:rsidR="005577FA" w:rsidRPr="005577FA">
        <w:rPr>
          <w:bCs/>
          <w:highlight w:val="yellow"/>
        </w:rPr>
        <w:t xml:space="preserve">SLM is a technology in which metal parts are produced from a bed of metal powders that are melted with a high-power laser (100 to 1,500 W) with a concentrated beam (about 100 µm in diameter). This technology uses powders produced by a micronization process. The shape of the powder grains should be as spherical as possible to enable </w:t>
      </w:r>
      <w:r w:rsidR="005577FA" w:rsidRPr="005577FA">
        <w:rPr>
          <w:bCs/>
          <w:highlight w:val="yellow"/>
        </w:rPr>
        <w:lastRenderedPageBreak/>
        <w:t>better distribution when applying the coating. The size can vary depending on the results to be achieved, but there is a tendency to produce powders with a constant particle size, with 15 to 45 µm or 20 to 63 µm being the most commonly used.</w:t>
      </w:r>
      <w:r w:rsidR="005577FA">
        <w:rPr>
          <w:bCs/>
        </w:rPr>
        <w:t xml:space="preserve"> </w:t>
      </w:r>
      <w:r w:rsidR="00333E61">
        <w:rPr>
          <w:b/>
          <w:bCs/>
        </w:rPr>
        <w:t xml:space="preserve"> </w:t>
      </w:r>
      <w:r w:rsidR="00333E61" w:rsidRPr="002F690B">
        <w:rPr>
          <w:bCs/>
        </w:rPr>
        <w:t>This 3D-printing technology allows to manufacture highly complex designs as irregular highly-porous structures without continuity of solution over the outer portion of cementless titanium acetabular cups</w:t>
      </w:r>
      <w:r w:rsidR="00333E61">
        <w:rPr>
          <w:b/>
          <w:bCs/>
        </w:rPr>
        <w:t>.</w:t>
      </w:r>
    </w:p>
    <w:p w14:paraId="00000041" w14:textId="1921B55B" w:rsidR="003D75CE" w:rsidRPr="00A45F74" w:rsidRDefault="003B24C1">
      <w:pPr>
        <w:spacing w:line="360" w:lineRule="auto"/>
        <w:jc w:val="both"/>
        <w:rPr>
          <w:b/>
          <w:bCs/>
          <w:i/>
          <w:iCs/>
        </w:rPr>
      </w:pPr>
      <w:r w:rsidRPr="00A45F74">
        <w:rPr>
          <w:b/>
          <w:bCs/>
          <w:i/>
          <w:iCs/>
        </w:rPr>
        <w:t xml:space="preserve">2. </w:t>
      </w:r>
      <w:r w:rsidR="00A45F74" w:rsidRPr="00A45F74">
        <w:rPr>
          <w:b/>
          <w:bCs/>
          <w:i/>
          <w:iCs/>
        </w:rPr>
        <w:t>In methods section, as the authors stated this cup is 1mm larger than the respective reamer. In all cases you did not ream an additional 1mm. Having some experience with this cup, I find this information important for future studies, because there is a subjective “feeling” that more impact is needed to position this cup. Of course this is not the aim of the study but I think if this info is available it should be stated.</w:t>
      </w:r>
    </w:p>
    <w:p w14:paraId="00000042" w14:textId="420BBFB6" w:rsidR="003D75CE" w:rsidRPr="00A45F74" w:rsidRDefault="003B24C1">
      <w:pPr>
        <w:spacing w:line="360" w:lineRule="auto"/>
        <w:jc w:val="both"/>
        <w:rPr>
          <w:iCs/>
        </w:rPr>
      </w:pPr>
      <w:r w:rsidRPr="00A45F74">
        <w:rPr>
          <w:b/>
          <w:i/>
        </w:rPr>
        <w:t xml:space="preserve">2. Reply: </w:t>
      </w:r>
      <w:r w:rsidR="00A45F74" w:rsidRPr="00A45F74">
        <w:rPr>
          <w:iCs/>
        </w:rPr>
        <w:t>As well described by the reviewer, this cup requires more impact for its placement. The more cups are implanted, the more "feel" the experienced surgeon develops to determine when a TRASER cup is well implanted and stable.</w:t>
      </w:r>
      <w:r w:rsidR="00CF47E9">
        <w:rPr>
          <w:iCs/>
        </w:rPr>
        <w:t xml:space="preserve"> </w:t>
      </w:r>
      <w:r w:rsidR="00CF47E9" w:rsidRPr="00CF47E9">
        <w:rPr>
          <w:iCs/>
          <w:highlight w:val="yellow"/>
        </w:rPr>
        <w:t xml:space="preserve">As the cup is 1 mm larger than the respective reamer, the experience of the surgeon </w:t>
      </w:r>
      <w:r w:rsidR="00D24158">
        <w:rPr>
          <w:iCs/>
          <w:highlight w:val="yellow"/>
        </w:rPr>
        <w:t>wa</w:t>
      </w:r>
      <w:r w:rsidR="00CF47E9" w:rsidRPr="00CF47E9">
        <w:rPr>
          <w:iCs/>
          <w:highlight w:val="yellow"/>
        </w:rPr>
        <w:t>s important for the correct impaction and positioning.</w:t>
      </w:r>
    </w:p>
    <w:p w14:paraId="00000043" w14:textId="75AD5074" w:rsidR="003D75CE" w:rsidRPr="00A45F74" w:rsidRDefault="003B24C1">
      <w:pPr>
        <w:spacing w:line="360" w:lineRule="auto"/>
        <w:jc w:val="both"/>
        <w:rPr>
          <w:b/>
          <w:bCs/>
          <w:i/>
          <w:iCs/>
        </w:rPr>
      </w:pPr>
      <w:r w:rsidRPr="00A45F74">
        <w:rPr>
          <w:b/>
          <w:bCs/>
          <w:i/>
          <w:iCs/>
        </w:rPr>
        <w:t xml:space="preserve">3. </w:t>
      </w:r>
      <w:r w:rsidR="00A45F74" w:rsidRPr="00A45F74">
        <w:rPr>
          <w:b/>
          <w:bCs/>
          <w:i/>
          <w:iCs/>
        </w:rPr>
        <w:t>Please also expand on what is standard antibiotic and antithrombotic prophylaxis. Many institutions use different protocols.</w:t>
      </w:r>
    </w:p>
    <w:p w14:paraId="00000044" w14:textId="6DC32A49" w:rsidR="003D75CE" w:rsidRDefault="003B24C1">
      <w:pPr>
        <w:spacing w:line="360" w:lineRule="auto"/>
        <w:jc w:val="both"/>
      </w:pPr>
      <w:r>
        <w:rPr>
          <w:b/>
          <w:i/>
        </w:rPr>
        <w:t>3.Reply:</w:t>
      </w:r>
      <w:r>
        <w:rPr>
          <w:i/>
        </w:rPr>
        <w:t xml:space="preserve"> </w:t>
      </w:r>
      <w:r w:rsidR="00A47E3C">
        <w:rPr>
          <w:i/>
        </w:rPr>
        <w:t>“</w:t>
      </w:r>
      <w:r w:rsidR="005C79CD" w:rsidRPr="005C79CD">
        <w:rPr>
          <w:bCs/>
          <w:highlight w:val="yellow"/>
        </w:rPr>
        <w:t>Deep vein thrombosis (DVT) prophylaxis was carried out by administration of low-molecular-weight heparin</w:t>
      </w:r>
      <w:r w:rsidR="005C79CD" w:rsidRPr="005C79CD">
        <w:rPr>
          <w:b/>
          <w:bCs/>
          <w:highlight w:val="yellow"/>
        </w:rPr>
        <w:fldChar w:fldCharType="begin"/>
      </w:r>
      <w:r w:rsidR="005C79CD" w:rsidRPr="005C79CD">
        <w:rPr>
          <w:b/>
          <w:bCs/>
          <w:highlight w:val="yellow"/>
        </w:rPr>
        <w:instrText xml:space="preserve"> ADDIN ZOTERO_ITEM CSL_CITATION {"citationID":"0p5uWeXx","properties":{"formattedCitation":"[4]","plainCitation":"[4]","noteIndex":0},"citationItems":[{"id":85,"uris":["http://zotero.org/users/local/nDUjQI4d/items/H5HUSRX3"],"itemData":{"id":85,"type":"article-journal","abstract":"BACKGROUND: VTE is a serious, but decreasing complication following major orthopedic surgery. This guideline focuses on optimal prophylaxis to reduce postoperative pulmonary embolism and DVT.\nMETHODS: The methods of this guideline follow those described in Methodology for the Development of Antithrombotic Therapy and Prevention of Thrombosis Guidelines: Antithrombotic Therapy and Prevention of Thrombosis, 9th ed: American College of Chest Physicians Evidence-Based Clinical Practice Guidelines in this supplement.\nRESULTS: In patients undergoing major orthopedic surgery, we recommend the use of one of the following rather than no antithrombotic prophylaxis: low-molecular-weight heparin; fondaparinux; dabigatran, apixaban, rivaroxaban (total hip arthroplasty or total knee arthroplasty but not hip fracture surgery); low-dose unfractionated heparin; adjusted-dose vitamin K antagonist; aspirin (all Grade 1B); or an intermittent pneumatic compression device (IPCD) (Grade 1C) for a minimum of 10 to 14 days. We suggest the use of low-molecular-weight heparin in preference to the other agents we have recommended as alternatives (Grade 2C/2B), and in patients receiving pharmacologic prophylaxis, we suggest adding an IPCD during the hospital stay (Grade 2C). We suggest extending thromboprophylaxis for up to 35 days (Grade 2B). In patients at increased bleeding risk, we suggest an IPCD or no prophylaxis (Grade 2C). In patients who decline injections, we recommend using apixaban or dabigatran (all Grade 1B). We suggest against using inferior vena cava filter placement for primary prevention in patients with contraindications to both pharmacologic and mechanical thromboprophylaxis (Grade 2C). We recommend against Doppler (or duplex) ultrasonography screening before hospital discharge (Grade 1B). For patients with isolated lower-extremity injuries requiring leg immobilization, we suggest no thromboprophylaxis (Grade 2B). For patients undergoing knee arthroscopy without a history of VTE, we suggest no thromboprophylaxis (Grade 2B).\nCONCLUSIONS: Optimal strategies for thromboprophylaxis after major orthopedic surgery include pharmacologic and mechanical approaches.","container-title":"Chest","DOI":"10.1378/chest.11-2404","ISSN":"1931-3543","issue":"2 Suppl","journalAbbreviation":"Chest","language":"eng","note":"PMID: 22315265\nPMCID: PMC3278063","page":"e278S-e325S","source":"PubMed","title":"Prevention of VTE in orthopedic surgery patients: Antithrombotic Therapy and Prevention of Thrombosis, 9th ed: American College of Chest Physicians Evidence-Based Clinical Practice Guidelines","title-short":"Prevention of VTE in orthopedic surgery patients","volume":"141","author":[{"family":"Falck-Ytter","given":"Yngve"},{"family":"Francis","given":"Charles W."},{"family":"Johanson","given":"Norman A."},{"family":"Curley","given":"Catherine"},{"family":"Dahl","given":"Ola E."},{"family":"Schulman","given":"Sam"},{"family":"Ortel","given":"Thomas L."},{"family":"Pauker","given":"Stephen G."},{"family":"Colwell","given":"Clifford W."}],"issued":{"date-parts":[["2012",2]]}}}],"schema":"https://github.com/citation-style-language/schema/raw/master/csl-citation.json"} </w:instrText>
      </w:r>
      <w:r w:rsidR="005C79CD" w:rsidRPr="005C79CD">
        <w:rPr>
          <w:b/>
          <w:bCs/>
          <w:highlight w:val="yellow"/>
        </w:rPr>
        <w:fldChar w:fldCharType="separate"/>
      </w:r>
      <w:r w:rsidR="005C79CD" w:rsidRPr="005C79CD">
        <w:rPr>
          <w:b/>
          <w:bCs/>
          <w:noProof/>
          <w:highlight w:val="yellow"/>
        </w:rPr>
        <w:t>[4]</w:t>
      </w:r>
      <w:r w:rsidR="005C79CD" w:rsidRPr="005C79CD">
        <w:rPr>
          <w:b/>
          <w:bCs/>
          <w:highlight w:val="yellow"/>
        </w:rPr>
        <w:fldChar w:fldCharType="end"/>
      </w:r>
      <w:r w:rsidR="005C79CD" w:rsidRPr="005C79CD">
        <w:rPr>
          <w:bCs/>
          <w:highlight w:val="yellow"/>
        </w:rPr>
        <w:t>, antibiotic prophylaxis was administered intravenously as recommended</w:t>
      </w:r>
      <w:r w:rsidR="005C79CD" w:rsidRPr="005C79CD">
        <w:rPr>
          <w:b/>
          <w:bCs/>
          <w:highlight w:val="yellow"/>
        </w:rPr>
        <w:fldChar w:fldCharType="begin"/>
      </w:r>
      <w:r w:rsidR="005C79CD" w:rsidRPr="005C79CD">
        <w:rPr>
          <w:b/>
          <w:bCs/>
          <w:highlight w:val="yellow"/>
        </w:rPr>
        <w:instrText xml:space="preserve"> ADDIN ZOTERO_ITEM CSL_CITATION {"citationID":"0iOOoBMp","properties":{"formattedCitation":"[5]","plainCitation":"[5]","noteIndex":0},"citationItems":[{"id":88,"uris":["http://zotero.org/users/local/nDUjQI4d/items/JUEYXY5V"],"itemData":{"id":88,"type":"article-journal","container-title":"The Journal of Bone and Joint Surgery. American Volume","DOI":"10.2106/JBJS.19.00062","ISSN":"1535-1386","issue":"14","journalAbbreviation":"J Bone Joint Surg Am","language":"eng","note":"PMID: 31318814","page":"e69","source":"PubMed","title":"Definition of Successful Infection Management and Guidelines for Reporting of Outcomes After Surgical Treatment of Periprosthetic Joint Infection: From the Workgroup of the Musculoskeletal Infection Society (MSIS)","title-short":"Definition of Successful Infection Management and Guidelines for Reporting of Outcomes After Surgical Treatment of Periprosthetic Joint Infection","volume":"101","author":[{"family":"Fillingham","given":"Yale A."},{"family":"Della Valle","given":"Craig J."},{"family":"Suleiman","given":"Linda I."},{"family":"Springer","given":"Bryan D."},{"family":"Gehrke","given":"Thorsten"},{"family":"Bini","given":"Stefano A."},{"family":"Segreti","given":"John"},{"family":"Chen","given":"Antonia F."},{"family":"Goswami","given":"Karan"},{"family":"Tan","given":"Timothy L."},{"family":"Shohat","given":"Noam"},{"family":"Diaz-Ledezma","given":"Claudio"},{"family":"Schwartz","given":"Adam J."},{"family":"Parvizi","given":"Javad"}],"issued":{"date-parts":[["2019",7,17]]}}}],"schema":"https://github.com/citation-style-language/schema/raw/master/csl-citation.json"} </w:instrText>
      </w:r>
      <w:r w:rsidR="005C79CD" w:rsidRPr="005C79CD">
        <w:rPr>
          <w:b/>
          <w:bCs/>
          <w:highlight w:val="yellow"/>
        </w:rPr>
        <w:fldChar w:fldCharType="separate"/>
      </w:r>
      <w:r w:rsidR="005C79CD" w:rsidRPr="005C79CD">
        <w:rPr>
          <w:b/>
          <w:bCs/>
          <w:noProof/>
          <w:highlight w:val="yellow"/>
        </w:rPr>
        <w:t>[5]</w:t>
      </w:r>
      <w:r w:rsidR="005C79CD" w:rsidRPr="005C79CD">
        <w:rPr>
          <w:b/>
          <w:bCs/>
          <w:highlight w:val="yellow"/>
        </w:rPr>
        <w:fldChar w:fldCharType="end"/>
      </w:r>
      <w:r w:rsidR="005C79CD" w:rsidRPr="005C79CD">
        <w:rPr>
          <w:bCs/>
          <w:highlight w:val="yellow"/>
        </w:rPr>
        <w:t>, and in the absence of contraindications, either spinal or epidural anesthesia was performed for all procedures.</w:t>
      </w:r>
      <w:r w:rsidR="00A47E3C">
        <w:rPr>
          <w:bCs/>
        </w:rPr>
        <w:t>”</w:t>
      </w:r>
    </w:p>
    <w:p w14:paraId="00000045" w14:textId="07B8D5DB" w:rsidR="003D75CE" w:rsidRDefault="003B24C1">
      <w:pPr>
        <w:spacing w:line="360" w:lineRule="auto"/>
        <w:jc w:val="both"/>
      </w:pPr>
      <w:r w:rsidRPr="00EC0FE8">
        <w:rPr>
          <w:b/>
          <w:bCs/>
        </w:rPr>
        <w:t>4.</w:t>
      </w:r>
      <w:r>
        <w:t xml:space="preserve"> </w:t>
      </w:r>
      <w:r w:rsidR="00CC2345" w:rsidRPr="009B6EDA">
        <w:rPr>
          <w:b/>
          <w:bCs/>
          <w:i/>
          <w:iCs/>
        </w:rPr>
        <w:t>At 2.3: Were there any standard follow-up visits? When the scores were evaluated? Only one time at the end? Please expand.</w:t>
      </w:r>
    </w:p>
    <w:p w14:paraId="00000046" w14:textId="39C07F71" w:rsidR="003D75CE" w:rsidRDefault="003B24C1">
      <w:pPr>
        <w:spacing w:line="360" w:lineRule="auto"/>
        <w:jc w:val="both"/>
      </w:pPr>
      <w:r>
        <w:rPr>
          <w:b/>
          <w:i/>
        </w:rPr>
        <w:t>4. Reply:</w:t>
      </w:r>
      <w:r>
        <w:rPr>
          <w:i/>
        </w:rPr>
        <w:t xml:space="preserve"> </w:t>
      </w:r>
      <w:r w:rsidR="00CC2345" w:rsidRPr="00CF47E9">
        <w:rPr>
          <w:bCs/>
        </w:rPr>
        <w:t>All patients received a follow-up plan on discharge with clinical-functional and radiological (X-ray of the pelvis for hips) checks after 3 months, 6 months, 1 year, 3 years and 5 years.</w:t>
      </w:r>
      <w:r w:rsidR="009B6EDA" w:rsidRPr="00CF47E9">
        <w:t xml:space="preserve"> </w:t>
      </w:r>
      <w:r w:rsidR="009B6EDA" w:rsidRPr="00CF47E9">
        <w:rPr>
          <w:bCs/>
        </w:rPr>
        <w:t xml:space="preserve">However, the radiographic and clinical-functional evaluations </w:t>
      </w:r>
      <w:r w:rsidR="00CF47E9" w:rsidRPr="00CF47E9">
        <w:rPr>
          <w:bCs/>
        </w:rPr>
        <w:t xml:space="preserve">for the study were assessed </w:t>
      </w:r>
      <w:r w:rsidR="009B6EDA" w:rsidRPr="00CF47E9">
        <w:rPr>
          <w:bCs/>
        </w:rPr>
        <w:t>on the last available follow-up examination (minimum follow-up examination 3 years)</w:t>
      </w:r>
      <w:r w:rsidR="00CF47E9" w:rsidRPr="00CF47E9">
        <w:rPr>
          <w:bCs/>
        </w:rPr>
        <w:t>. We revised the text clarifying that the assessment was performed preoperatively and at the last follow-up.</w:t>
      </w:r>
    </w:p>
    <w:p w14:paraId="00000047" w14:textId="4110AA2C" w:rsidR="003D75CE" w:rsidRPr="009B6EDA" w:rsidRDefault="003B24C1">
      <w:pPr>
        <w:spacing w:line="360" w:lineRule="auto"/>
        <w:jc w:val="both"/>
        <w:rPr>
          <w:b/>
          <w:bCs/>
          <w:i/>
          <w:iCs/>
        </w:rPr>
      </w:pPr>
      <w:r w:rsidRPr="009B6EDA">
        <w:rPr>
          <w:b/>
          <w:bCs/>
          <w:i/>
          <w:iCs/>
        </w:rPr>
        <w:t xml:space="preserve">5. </w:t>
      </w:r>
      <w:r w:rsidR="009B6EDA" w:rsidRPr="009B6EDA">
        <w:rPr>
          <w:b/>
          <w:bCs/>
          <w:i/>
          <w:iCs/>
        </w:rPr>
        <w:t>In result, line 146, better rephrase to “ ..11 patients had passed away”</w:t>
      </w:r>
    </w:p>
    <w:p w14:paraId="07F0C273" w14:textId="790DB06D" w:rsidR="009B6EDA" w:rsidRDefault="003B24C1">
      <w:pPr>
        <w:spacing w:line="360" w:lineRule="auto"/>
        <w:jc w:val="both"/>
      </w:pPr>
      <w:r>
        <w:rPr>
          <w:b/>
          <w:i/>
        </w:rPr>
        <w:t xml:space="preserve">5. Reply: </w:t>
      </w:r>
      <w:r w:rsidR="00A47E3C">
        <w:rPr>
          <w:b/>
          <w:i/>
        </w:rPr>
        <w:t>“</w:t>
      </w:r>
      <w:r w:rsidR="009B6EDA" w:rsidRPr="002F690B">
        <w:t xml:space="preserve">Out of the initial cohort of 125 patients, </w:t>
      </w:r>
      <w:r w:rsidR="009B6EDA" w:rsidRPr="00CF47E9">
        <w:rPr>
          <w:highlight w:val="yellow"/>
        </w:rPr>
        <w:t>11 patients d</w:t>
      </w:r>
      <w:r w:rsidR="00D24158">
        <w:rPr>
          <w:highlight w:val="yellow"/>
        </w:rPr>
        <w:t>ied</w:t>
      </w:r>
      <w:r w:rsidR="009B6EDA" w:rsidRPr="00CF47E9">
        <w:rPr>
          <w:highlight w:val="yellow"/>
        </w:rPr>
        <w:t xml:space="preserve"> </w:t>
      </w:r>
      <w:r w:rsidR="00CF47E9" w:rsidRPr="00CF47E9">
        <w:rPr>
          <w:highlight w:val="yellow"/>
        </w:rPr>
        <w:t>of causes unrelated to the procedure.</w:t>
      </w:r>
      <w:r w:rsidR="00CF47E9">
        <w:t xml:space="preserve"> </w:t>
      </w:r>
    </w:p>
    <w:p w14:paraId="7046F920" w14:textId="77777777" w:rsidR="009B6EDA" w:rsidRPr="009B6EDA" w:rsidRDefault="003B24C1">
      <w:pPr>
        <w:spacing w:line="360" w:lineRule="auto"/>
        <w:jc w:val="both"/>
        <w:rPr>
          <w:b/>
          <w:bCs/>
          <w:i/>
          <w:iCs/>
        </w:rPr>
      </w:pPr>
      <w:r w:rsidRPr="009B6EDA">
        <w:rPr>
          <w:b/>
          <w:bCs/>
          <w:i/>
          <w:iCs/>
        </w:rPr>
        <w:lastRenderedPageBreak/>
        <w:t xml:space="preserve">6. </w:t>
      </w:r>
      <w:r w:rsidR="009B6EDA" w:rsidRPr="009B6EDA">
        <w:rPr>
          <w:b/>
          <w:bCs/>
          <w:i/>
          <w:iCs/>
        </w:rPr>
        <w:t>The results are nicely depicted but there is no data regarding when the follow-up occurred? Are all these data at the medial appr. 60 months follow-up??? This should be clear in Methods and Results.</w:t>
      </w:r>
    </w:p>
    <w:p w14:paraId="6D16F9E2" w14:textId="11AEA4BA" w:rsidR="009B6EDA" w:rsidRDefault="003B24C1" w:rsidP="009B6EDA">
      <w:pPr>
        <w:spacing w:line="360" w:lineRule="auto"/>
        <w:jc w:val="both"/>
        <w:rPr>
          <w:bCs/>
        </w:rPr>
      </w:pPr>
      <w:r>
        <w:rPr>
          <w:b/>
          <w:i/>
        </w:rPr>
        <w:t>6. Reply:</w:t>
      </w:r>
      <w:r>
        <w:rPr>
          <w:i/>
        </w:rPr>
        <w:t xml:space="preserve"> </w:t>
      </w:r>
      <w:r w:rsidR="00CF47E9" w:rsidRPr="00CF47E9">
        <w:rPr>
          <w:bCs/>
        </w:rPr>
        <w:t>All patients received a follow-up plan on discharge with clinical-functional and radiological (X-ray of the pelvis for hips) checks after 3 months, 6 months, 1 year, 3 years and 5 years.</w:t>
      </w:r>
      <w:r w:rsidR="00CF47E9" w:rsidRPr="00CF47E9">
        <w:t xml:space="preserve"> </w:t>
      </w:r>
      <w:r w:rsidR="00CF47E9" w:rsidRPr="00CF47E9">
        <w:rPr>
          <w:bCs/>
        </w:rPr>
        <w:t>However, the radiographic and clinical-functional evaluations for the study were assessed on the last available follow-up examination (minimum follow-up examination 3 years). We revised the text clarifying that the assessment was performed preoperatively and at the last follow-up.</w:t>
      </w:r>
    </w:p>
    <w:p w14:paraId="2E11BE0A" w14:textId="1524A94C" w:rsidR="009B6EDA" w:rsidRPr="009B6EDA" w:rsidRDefault="009B6EDA" w:rsidP="009B6EDA">
      <w:pPr>
        <w:spacing w:line="360" w:lineRule="auto"/>
        <w:jc w:val="both"/>
        <w:rPr>
          <w:b/>
          <w:bCs/>
          <w:i/>
          <w:iCs/>
        </w:rPr>
      </w:pPr>
      <w:r>
        <w:rPr>
          <w:b/>
          <w:bCs/>
          <w:i/>
          <w:iCs/>
        </w:rPr>
        <w:t>7.</w:t>
      </w:r>
      <w:r w:rsidRPr="009B6EDA">
        <w:t xml:space="preserve"> </w:t>
      </w:r>
      <w:r w:rsidRPr="009B6EDA">
        <w:rPr>
          <w:b/>
          <w:bCs/>
          <w:i/>
          <w:iCs/>
        </w:rPr>
        <w:t>A major limitation that has not been addressed and could be a reason for rejection in some journals is the relatively short period of follow-up. Usually in arthroplasties a follow-up of 5 years is required. In my opinion, this is not a reason to reject this study, but this definitely needs to be stated in the limitations section. Perhaps the authors should consider changing the title (the midterm results is a bit exaggerating- these were mainly short term results)</w:t>
      </w:r>
    </w:p>
    <w:p w14:paraId="0CD3C94C" w14:textId="388749C4" w:rsidR="009B6EDA" w:rsidRPr="001B09C8" w:rsidRDefault="009B6EDA" w:rsidP="009B6EDA">
      <w:pPr>
        <w:spacing w:line="360" w:lineRule="auto"/>
        <w:jc w:val="both"/>
        <w:rPr>
          <w:color w:val="000000" w:themeColor="text1"/>
        </w:rPr>
      </w:pPr>
      <w:r>
        <w:rPr>
          <w:b/>
          <w:i/>
        </w:rPr>
        <w:t>7. Reply:</w:t>
      </w:r>
      <w:r>
        <w:rPr>
          <w:i/>
        </w:rPr>
        <w:t xml:space="preserve"> </w:t>
      </w:r>
      <w:r w:rsidR="00A47E3C">
        <w:rPr>
          <w:i/>
        </w:rPr>
        <w:t>“</w:t>
      </w:r>
      <w:r w:rsidR="008D4F67" w:rsidRPr="005925CA">
        <w:t xml:space="preserve">Certain limitations of the current study should be addressed. First, the study design with a single cohort examination might have impeded to test the actual value of the used acetabular component in comparison with other implant types. Second, the sample size was too small to generalize our results to the general population of individuals underwent THA. Indeed, although the sample allowed us to achieve statistically significant and valuable results, our findings should be further confirmed by prospective studies on larger populations. </w:t>
      </w:r>
      <w:r w:rsidR="008D4F67" w:rsidRPr="008D4F67">
        <w:rPr>
          <w:highlight w:val="yellow"/>
        </w:rPr>
        <w:t>Third, the relatively short length of the minimum follow-up should be also considered.</w:t>
      </w:r>
      <w:r w:rsidR="008D4F67">
        <w:t xml:space="preserve"> </w:t>
      </w:r>
      <w:bookmarkStart w:id="1" w:name="_Hlk156241436"/>
      <w:r w:rsidR="008D4F67" w:rsidRPr="005925CA">
        <w:t>A further limitation is the lack of quality-of-life assessment</w:t>
      </w:r>
      <w:r w:rsidR="008D4F67">
        <w:t xml:space="preserve"> </w:t>
      </w:r>
      <w:r w:rsidR="008D4F67" w:rsidRPr="008D4F67">
        <w:rPr>
          <w:highlight w:val="yellow"/>
        </w:rPr>
        <w:t xml:space="preserve">and the lack of comparison between the immediate postoperative radiographs and those of the last follow-up </w:t>
      </w:r>
      <w:bookmarkEnd w:id="1"/>
      <w:r w:rsidR="008D4F67" w:rsidRPr="008D4F67">
        <w:rPr>
          <w:highlight w:val="yellow"/>
        </w:rPr>
        <w:fldChar w:fldCharType="begin"/>
      </w:r>
      <w:r w:rsidR="008D4F67" w:rsidRPr="008D4F67">
        <w:rPr>
          <w:highlight w:val="yellow"/>
        </w:rPr>
        <w:instrText xml:space="preserve"> ADDIN ZOTERO_ITEM CSL_CITATION {"citationID":"0rdaKDUo","properties":{"formattedCitation":"[38]","plainCitation":"[38]","noteIndex":0},"citationItems":[{"id":68,"uris":["http://zotero.org/users/local/nDUjQI4d/items/Y8Z5782X"],"itemData":{"id":68,"type":"article-journal","abstract":"BACKGROUND: There is a lack of data on the long-term outcome of total hip arthroplasty procedures, as assessed by validated tools.\nMETHODS: We conducted a follow-up study to evaluate the quality of life and functionality of 250 patients an average of 16 years (range: 11-23 years) after total hip arthroplasty using a validated assessment set including the SF-36 questionnaire, Harris Hip Score, WOMAC score, Functional Comorbidity Index, and a study specific questionnaire. Models of multiple stepwise linear and logistic regression analysis were constructed to evaluate the relationships between several explanatory variables and these functional outcomes.\nRESULTS: The SF-36 physical indexes of these patients compared negatively with the normative values but positively with the results obtained in untreated subjects with severe hip osteoarthritis. Similar results were detected for the Harris Hip Score and WOMAC score. There was a 96% rate of post-surgical satisfaction. Hip functionality and comorbidities were the most important determinants of physical measures on the SF-36.\nCONCLUSIONS: Patients who had undergone total hip arthroplasty have impaired long-term self-reported physical quality of life and hip functionality but they still perform physically better than untreated patients with advanced hip osteoarthritis. However, the level of post-surgical satisfaction is high.","container-title":"BMC musculoskeletal disorders","DOI":"10.1186/1471-2474-12-222","ISSN":"1471-2474","journalAbbreviation":"BMC Musculoskelet Disord","language":"eng","note":"PMID: 21978244\nPMCID: PMC3204273","page":"222","source":"PubMed","title":"Quality of life and functionality after total hip arthroplasty: a long-term follow-up study","title-short":"Quality of life and functionality after total hip arthroplasty","volume":"12","author":[{"family":"Mariconda","given":"Massimo"},{"family":"Galasso","given":"Olimpio"},{"family":"Costa","given":"Giovan Giuseppe"},{"family":"Recano","given":"Pasquale"},{"family":"Cerbasi","given":"Simone"}],"issued":{"date-parts":[["2011",10,6]]}}}],"schema":"https://github.com/citation-style-language/schema/raw/master/csl-citation.json"} </w:instrText>
      </w:r>
      <w:r w:rsidR="008D4F67" w:rsidRPr="008D4F67">
        <w:rPr>
          <w:highlight w:val="yellow"/>
        </w:rPr>
        <w:fldChar w:fldCharType="separate"/>
      </w:r>
      <w:r w:rsidR="008D4F67" w:rsidRPr="008D4F67">
        <w:rPr>
          <w:highlight w:val="yellow"/>
        </w:rPr>
        <w:t>[38]</w:t>
      </w:r>
      <w:r w:rsidR="008D4F67" w:rsidRPr="008D4F67">
        <w:rPr>
          <w:highlight w:val="yellow"/>
        </w:rPr>
        <w:fldChar w:fldCharType="end"/>
      </w:r>
      <w:r w:rsidR="008D4F67" w:rsidRPr="008D4F67">
        <w:rPr>
          <w:highlight w:val="yellow"/>
        </w:rPr>
        <w:t>. However, it should be considered that this series is representative of the first preliminary experiences with this new acetabular cup</w:t>
      </w:r>
      <w:r w:rsidR="008D4F67">
        <w:t>.</w:t>
      </w:r>
      <w:r w:rsidR="008D4F67" w:rsidRPr="005925CA">
        <w:t xml:space="preserve"> The prospective nature of the data collection methods, and the use of validated and standardized functional and radiological assessment represent considerable strengths of the present study</w:t>
      </w:r>
      <w:r w:rsidRPr="009B6EDA">
        <w:t>.</w:t>
      </w:r>
      <w:r w:rsidR="00A47E3C">
        <w:t>”</w:t>
      </w:r>
    </w:p>
    <w:p w14:paraId="7807FBAC" w14:textId="77777777" w:rsidR="001B09C8" w:rsidRDefault="001B09C8" w:rsidP="009B6EDA">
      <w:pPr>
        <w:spacing w:line="360" w:lineRule="auto"/>
        <w:jc w:val="both"/>
      </w:pPr>
    </w:p>
    <w:p w14:paraId="6AE7F0A8" w14:textId="77777777" w:rsidR="001B09C8" w:rsidRDefault="001B09C8" w:rsidP="001B09C8">
      <w:pPr>
        <w:spacing w:line="360" w:lineRule="auto"/>
        <w:jc w:val="both"/>
      </w:pPr>
      <w:r w:rsidRPr="00583A53">
        <w:rPr>
          <w:b/>
          <w:highlight w:val="red"/>
          <w:u w:val="single"/>
        </w:rPr>
        <w:t>Reviewer #</w:t>
      </w:r>
      <w:r w:rsidRPr="001B09C8">
        <w:rPr>
          <w:b/>
          <w:highlight w:val="red"/>
          <w:u w:val="single"/>
        </w:rPr>
        <w:t>3:</w:t>
      </w:r>
      <w:r>
        <w:t xml:space="preserve"> I read your manuscript with respect and appreciation. Below are some remarks I hope will improve the paper.</w:t>
      </w:r>
    </w:p>
    <w:p w14:paraId="5F0841E2" w14:textId="77777777" w:rsidR="001B09C8" w:rsidRDefault="001B09C8" w:rsidP="001B09C8">
      <w:pPr>
        <w:spacing w:line="360" w:lineRule="auto"/>
        <w:jc w:val="both"/>
      </w:pPr>
      <w:r>
        <w:t xml:space="preserve">1.     What is the name of the stem and its manufacturer that was implanted? </w:t>
      </w:r>
    </w:p>
    <w:p w14:paraId="5AD467AC" w14:textId="77777777" w:rsidR="001B09C8" w:rsidRDefault="001B09C8" w:rsidP="001B09C8">
      <w:pPr>
        <w:spacing w:line="360" w:lineRule="auto"/>
        <w:jc w:val="both"/>
      </w:pPr>
      <w:r>
        <w:t>2.     Did you use a solid back socket only? Were there any cases of implants with holes and additional screw fixation?</w:t>
      </w:r>
    </w:p>
    <w:p w14:paraId="219A12E5" w14:textId="77777777" w:rsidR="001B09C8" w:rsidRDefault="001B09C8" w:rsidP="001B09C8">
      <w:pPr>
        <w:spacing w:line="360" w:lineRule="auto"/>
        <w:jc w:val="both"/>
      </w:pPr>
      <w:r>
        <w:lastRenderedPageBreak/>
        <w:t>3.     Were there any problems with postoperative rehabilitation? Lateral approach is usually connected with temporary limping and Trendelenburg’s sign due to irritation of the gluteus medius. Did you notice such problems in operated patients?</w:t>
      </w:r>
    </w:p>
    <w:p w14:paraId="2ED393C3" w14:textId="77777777" w:rsidR="001B09C8" w:rsidRDefault="001B09C8" w:rsidP="001B09C8">
      <w:pPr>
        <w:spacing w:line="360" w:lineRule="auto"/>
        <w:jc w:val="both"/>
      </w:pPr>
      <w:r>
        <w:t>4.     Crutches are used to decrease weightbearing during the postoperative period, so did your patients really walk with full weightbearing while using crutches?</w:t>
      </w:r>
    </w:p>
    <w:p w14:paraId="05D87F01" w14:textId="77777777" w:rsidR="001B09C8" w:rsidRDefault="001B09C8" w:rsidP="001B09C8">
      <w:pPr>
        <w:spacing w:line="360" w:lineRule="auto"/>
        <w:jc w:val="both"/>
      </w:pPr>
      <w:r>
        <w:t xml:space="preserve">5.     You revealed the improvement in functional results (Harris hip score) by comparing preoperative and postoperative scores. Did you examine patients after standard periods of follow-up (for instance: 3 mths, 6 mths, 12 mths and then annually), or do you just present functional status at the longest possible follow-up? </w:t>
      </w:r>
    </w:p>
    <w:p w14:paraId="5D8CF0B3" w14:textId="77777777" w:rsidR="001B09C8" w:rsidRDefault="001B09C8" w:rsidP="001B09C8">
      <w:pPr>
        <w:spacing w:line="360" w:lineRule="auto"/>
        <w:jc w:val="both"/>
      </w:pPr>
      <w:r>
        <w:t>6.     Did you compare the immediate postoperative and long follow-up sockets geometry and presence of radiolucence lines?</w:t>
      </w:r>
    </w:p>
    <w:p w14:paraId="02FAEABB" w14:textId="77777777" w:rsidR="001B09C8" w:rsidRDefault="001B09C8" w:rsidP="001B09C8">
      <w:pPr>
        <w:spacing w:line="360" w:lineRule="auto"/>
        <w:jc w:val="both"/>
      </w:pPr>
      <w:r>
        <w:t>7.     Why did you not measure the possibility of horizontal and superior migration of the cups by comparing postoperative and long follow-up radiographic measurements?</w:t>
      </w:r>
    </w:p>
    <w:p w14:paraId="3CFF327B" w14:textId="6F0BCA64" w:rsidR="001B09C8" w:rsidRDefault="001B09C8" w:rsidP="001B09C8">
      <w:pPr>
        <w:spacing w:line="360" w:lineRule="auto"/>
        <w:jc w:val="both"/>
        <w:rPr>
          <w:i/>
        </w:rPr>
      </w:pPr>
      <w:r>
        <w:rPr>
          <w:b/>
          <w:i/>
        </w:rPr>
        <w:t>Reply:</w:t>
      </w:r>
      <w:r>
        <w:rPr>
          <w:i/>
        </w:rPr>
        <w:t xml:space="preserve"> Thanks for your constructive and insightful comments. We updated the manuscript, which is now improved according to your suggestions. </w:t>
      </w:r>
    </w:p>
    <w:p w14:paraId="7326D0D1" w14:textId="77777777" w:rsidR="00D73E34" w:rsidRDefault="00D73E34" w:rsidP="00D73E34">
      <w:pPr>
        <w:spacing w:line="360" w:lineRule="auto"/>
        <w:jc w:val="both"/>
        <w:rPr>
          <w:b/>
          <w:bCs/>
          <w:i/>
          <w:iCs/>
        </w:rPr>
      </w:pPr>
      <w:r w:rsidRPr="00333E61">
        <w:rPr>
          <w:b/>
          <w:bCs/>
          <w:i/>
          <w:iCs/>
        </w:rPr>
        <w:t xml:space="preserve">1. </w:t>
      </w:r>
      <w:r w:rsidRPr="00D73E34">
        <w:rPr>
          <w:b/>
          <w:bCs/>
          <w:i/>
          <w:iCs/>
        </w:rPr>
        <w:t xml:space="preserve">What is the name of the stem and its manufacturer that was implanted? </w:t>
      </w:r>
    </w:p>
    <w:p w14:paraId="42D429EF" w14:textId="193F0A05" w:rsidR="00D73E34" w:rsidRDefault="00D73E34" w:rsidP="00D73E34">
      <w:pPr>
        <w:spacing w:line="360" w:lineRule="auto"/>
        <w:jc w:val="both"/>
        <w:rPr>
          <w:bCs/>
        </w:rPr>
      </w:pPr>
      <w:r>
        <w:rPr>
          <w:b/>
          <w:i/>
        </w:rPr>
        <w:t>1. Reply:</w:t>
      </w:r>
      <w:r>
        <w:rPr>
          <w:i/>
        </w:rPr>
        <w:t xml:space="preserve"> </w:t>
      </w:r>
      <w:r w:rsidR="00A47E3C">
        <w:rPr>
          <w:i/>
        </w:rPr>
        <w:t>“</w:t>
      </w:r>
      <w:r w:rsidRPr="002F690B">
        <w:rPr>
          <w:bCs/>
        </w:rPr>
        <w:t>A press-fit conical geometry straight stem with bone-sparing characteristics was used in all implants</w:t>
      </w:r>
      <w:r>
        <w:rPr>
          <w:b/>
          <w:bCs/>
        </w:rPr>
        <w:t xml:space="preserve"> </w:t>
      </w:r>
      <w:r w:rsidRPr="00D73E34">
        <w:rPr>
          <w:highlight w:val="yellow"/>
        </w:rPr>
        <w:t>(SL X-Pore</w:t>
      </w:r>
      <w:r w:rsidRPr="00D73E34">
        <w:rPr>
          <w:bCs/>
          <w:highlight w:val="yellow"/>
        </w:rPr>
        <w:t xml:space="preserve"> Traser®, Permedica Orthopaedics, Merate, Italy).</w:t>
      </w:r>
      <w:r w:rsidR="00A47E3C">
        <w:rPr>
          <w:bCs/>
        </w:rPr>
        <w:t>”</w:t>
      </w:r>
    </w:p>
    <w:p w14:paraId="06F10D3C" w14:textId="0A8E7B39" w:rsidR="00D73E34" w:rsidRPr="00A45F74" w:rsidRDefault="00D73E34" w:rsidP="00D73E34">
      <w:pPr>
        <w:spacing w:line="360" w:lineRule="auto"/>
        <w:jc w:val="both"/>
        <w:rPr>
          <w:b/>
          <w:bCs/>
          <w:i/>
          <w:iCs/>
        </w:rPr>
      </w:pPr>
      <w:r w:rsidRPr="00A45F74">
        <w:rPr>
          <w:b/>
          <w:bCs/>
          <w:i/>
          <w:iCs/>
        </w:rPr>
        <w:t xml:space="preserve">2. </w:t>
      </w:r>
      <w:r w:rsidRPr="00D73E34">
        <w:rPr>
          <w:b/>
          <w:bCs/>
          <w:i/>
          <w:iCs/>
        </w:rPr>
        <w:t>Did you use a solid back socket only? Were there any cases of implants with holes and additional screw fixation?</w:t>
      </w:r>
    </w:p>
    <w:p w14:paraId="68955FC8" w14:textId="24A756F5" w:rsidR="00D73E34" w:rsidRPr="00D73E34" w:rsidRDefault="00D73E34" w:rsidP="00D73E34">
      <w:pPr>
        <w:spacing w:line="360" w:lineRule="auto"/>
        <w:jc w:val="both"/>
        <w:rPr>
          <w:iCs/>
        </w:rPr>
      </w:pPr>
      <w:r w:rsidRPr="00D73E34">
        <w:rPr>
          <w:b/>
          <w:i/>
        </w:rPr>
        <w:t>2. Reply:</w:t>
      </w:r>
      <w:r w:rsidR="00EC0FE8">
        <w:rPr>
          <w:iCs/>
        </w:rPr>
        <w:t xml:space="preserve"> </w:t>
      </w:r>
      <w:r w:rsidR="00A47E3C">
        <w:rPr>
          <w:iCs/>
        </w:rPr>
        <w:t>“</w:t>
      </w:r>
      <w:r w:rsidR="00EC0FE8" w:rsidRPr="002F690B">
        <w:t>Out of the initial cohort of 125 patients, 11 patients were dead</w:t>
      </w:r>
      <w:r w:rsidR="00EC0FE8">
        <w:t xml:space="preserve"> </w:t>
      </w:r>
      <w:r w:rsidR="00EC0FE8" w:rsidRPr="00944CC5">
        <w:t>For reasons not related to the orthopedic surgery performed, but to comorbidities</w:t>
      </w:r>
      <w:r w:rsidR="00EC0FE8">
        <w:t>,</w:t>
      </w:r>
      <w:r w:rsidR="00EC0FE8" w:rsidRPr="002F690B">
        <w:t xml:space="preserve"> and 10 were lost to follow-up, leaving 104 patients (104 hips) available for complete clinical and radiographic evaluation.</w:t>
      </w:r>
      <w:r w:rsidR="00EC0FE8">
        <w:t xml:space="preserve"> </w:t>
      </w:r>
      <w:r w:rsidR="008D4F67" w:rsidRPr="008D4F67">
        <w:rPr>
          <w:highlight w:val="yellow"/>
        </w:rPr>
        <w:t>Only in one case the highly porous acetabular implant was further stabilized with 2 screws; the patient was an 83-year-old female who suffered from severe osteoporosis.</w:t>
      </w:r>
      <w:r w:rsidR="008D4F67">
        <w:t>”</w:t>
      </w:r>
    </w:p>
    <w:p w14:paraId="45886335" w14:textId="153C19CB" w:rsidR="00D73E34" w:rsidRPr="00A45F74" w:rsidRDefault="00D73E34" w:rsidP="00D73E34">
      <w:pPr>
        <w:spacing w:line="360" w:lineRule="auto"/>
        <w:jc w:val="both"/>
        <w:rPr>
          <w:b/>
          <w:bCs/>
          <w:i/>
          <w:iCs/>
        </w:rPr>
      </w:pPr>
      <w:r w:rsidRPr="00A45F74">
        <w:rPr>
          <w:b/>
          <w:bCs/>
          <w:i/>
          <w:iCs/>
        </w:rPr>
        <w:t xml:space="preserve">3. </w:t>
      </w:r>
      <w:r w:rsidR="00EC0FE8" w:rsidRPr="00EC0FE8">
        <w:rPr>
          <w:b/>
          <w:bCs/>
          <w:i/>
          <w:iCs/>
        </w:rPr>
        <w:t>Were there any problems with postoperative rehabilitation? Lateral approach is usually connected with temporary limping and Trendelenburg’s sign due to irritation of the gluteus medius. Did you notice such problems in operated patients?</w:t>
      </w:r>
    </w:p>
    <w:p w14:paraId="1C52C325" w14:textId="56522E65" w:rsidR="00D73E34" w:rsidRPr="00EC0FE8" w:rsidRDefault="00D73E34" w:rsidP="00D73E34">
      <w:pPr>
        <w:spacing w:line="360" w:lineRule="auto"/>
        <w:jc w:val="both"/>
        <w:rPr>
          <w:iCs/>
        </w:rPr>
      </w:pPr>
      <w:r w:rsidRPr="00EC0FE8">
        <w:rPr>
          <w:b/>
          <w:i/>
        </w:rPr>
        <w:t>3.Reply:</w:t>
      </w:r>
      <w:r w:rsidRPr="00EC0FE8">
        <w:rPr>
          <w:i/>
        </w:rPr>
        <w:t xml:space="preserve"> </w:t>
      </w:r>
      <w:r w:rsidR="00EC0FE8" w:rsidRPr="00EC0FE8">
        <w:rPr>
          <w:iCs/>
        </w:rPr>
        <w:t>No. We had no cases of Trendelenburg’s sign.</w:t>
      </w:r>
    </w:p>
    <w:p w14:paraId="2E152295" w14:textId="6C6D4417" w:rsidR="00D73E34" w:rsidRDefault="00D73E34" w:rsidP="00D73E34">
      <w:pPr>
        <w:spacing w:line="360" w:lineRule="auto"/>
        <w:jc w:val="both"/>
      </w:pPr>
      <w:r w:rsidRPr="00EC0FE8">
        <w:rPr>
          <w:b/>
          <w:bCs/>
        </w:rPr>
        <w:lastRenderedPageBreak/>
        <w:t>4</w:t>
      </w:r>
      <w:r>
        <w:t xml:space="preserve">. </w:t>
      </w:r>
      <w:r w:rsidR="00EC0FE8" w:rsidRPr="00EC0FE8">
        <w:rPr>
          <w:b/>
          <w:bCs/>
          <w:i/>
          <w:iCs/>
        </w:rPr>
        <w:t>Crutches are used to decrease weightbearing during the postoperative period, so did your patients really walk with full weightbearing while using crutches?</w:t>
      </w:r>
    </w:p>
    <w:p w14:paraId="7BDC742F" w14:textId="59310F7E" w:rsidR="00D73E34" w:rsidRPr="00EC0FE8" w:rsidRDefault="00D73E34" w:rsidP="00D73E34">
      <w:pPr>
        <w:spacing w:line="360" w:lineRule="auto"/>
        <w:jc w:val="both"/>
        <w:rPr>
          <w:iCs/>
        </w:rPr>
      </w:pPr>
      <w:r>
        <w:rPr>
          <w:b/>
          <w:i/>
        </w:rPr>
        <w:t>4. Reply:</w:t>
      </w:r>
      <w:r>
        <w:rPr>
          <w:i/>
        </w:rPr>
        <w:t xml:space="preserve"> </w:t>
      </w:r>
      <w:r w:rsidR="00EC0FE8" w:rsidRPr="00EC0FE8">
        <w:rPr>
          <w:iCs/>
        </w:rPr>
        <w:t>We updated the manuscript, which is now improved according to your suggestions</w:t>
      </w:r>
      <w:r w:rsidR="00A47E3C">
        <w:rPr>
          <w:iCs/>
        </w:rPr>
        <w:t>.</w:t>
      </w:r>
    </w:p>
    <w:p w14:paraId="2D73DE9E" w14:textId="77777777" w:rsidR="00EC0FE8" w:rsidRDefault="00D73E34" w:rsidP="00D73E34">
      <w:pPr>
        <w:spacing w:line="360" w:lineRule="auto"/>
        <w:jc w:val="both"/>
        <w:rPr>
          <w:rFonts w:ascii="Arial" w:eastAsia="Times New Roman" w:hAnsi="Arial" w:cs="Arial"/>
          <w:color w:val="0A0A0A"/>
          <w:sz w:val="20"/>
          <w:szCs w:val="20"/>
        </w:rPr>
      </w:pPr>
      <w:r w:rsidRPr="009B6EDA">
        <w:rPr>
          <w:b/>
          <w:bCs/>
          <w:i/>
          <w:iCs/>
        </w:rPr>
        <w:t xml:space="preserve">5. </w:t>
      </w:r>
      <w:r w:rsidR="00EC0FE8" w:rsidRPr="00EC0FE8">
        <w:rPr>
          <w:b/>
          <w:bCs/>
          <w:i/>
          <w:iCs/>
        </w:rPr>
        <w:t>You revealed the improvement in functional results (Harris hip score) by comparing preoperative and postoperative scores. Did you examine patients after standard periods of follow-up (for instance: 3 mths, 6 mths, 12 mths and then annually), or do you just present functional status at the longest possible follow-up?</w:t>
      </w:r>
      <w:r w:rsidR="00EC0FE8" w:rsidRPr="00EB271B">
        <w:rPr>
          <w:rFonts w:ascii="Arial" w:eastAsia="Times New Roman" w:hAnsi="Arial" w:cs="Arial"/>
          <w:color w:val="0A0A0A"/>
          <w:sz w:val="20"/>
          <w:szCs w:val="20"/>
        </w:rPr>
        <w:t> </w:t>
      </w:r>
    </w:p>
    <w:p w14:paraId="77C83374" w14:textId="6E04A432" w:rsidR="00D73E34" w:rsidRDefault="00D73E34" w:rsidP="00D73E34">
      <w:pPr>
        <w:spacing w:line="360" w:lineRule="auto"/>
        <w:jc w:val="both"/>
      </w:pPr>
      <w:r>
        <w:rPr>
          <w:b/>
          <w:i/>
        </w:rPr>
        <w:t xml:space="preserve">5. Reply: </w:t>
      </w:r>
      <w:r w:rsidR="003B24C1" w:rsidRPr="00CF47E9">
        <w:rPr>
          <w:bCs/>
        </w:rPr>
        <w:t>All patients received a follow-up plan on discharge with clinical-functional and radiological (X-ray of the pelvis for hips) checks after 3 months, 6 months, 1 year, 3 years and 5 years.</w:t>
      </w:r>
      <w:r w:rsidR="003B24C1" w:rsidRPr="00CF47E9">
        <w:t xml:space="preserve"> </w:t>
      </w:r>
      <w:r w:rsidR="003B24C1" w:rsidRPr="00CF47E9">
        <w:rPr>
          <w:bCs/>
        </w:rPr>
        <w:t>However, the radiographic and clinical-functional evaluations for the study were assessed on the last available follow-up examination (minimum follow-up examination 3 years). We revised the text clarifying that the assessment was performed preoperatively and at the last follow-up.</w:t>
      </w:r>
    </w:p>
    <w:p w14:paraId="566AEDEA" w14:textId="288161F3" w:rsidR="00D73E34" w:rsidRPr="009B6EDA" w:rsidRDefault="00D73E34" w:rsidP="00D73E34">
      <w:pPr>
        <w:spacing w:line="360" w:lineRule="auto"/>
        <w:jc w:val="both"/>
        <w:rPr>
          <w:b/>
          <w:bCs/>
          <w:i/>
          <w:iCs/>
        </w:rPr>
      </w:pPr>
      <w:r w:rsidRPr="009B6EDA">
        <w:rPr>
          <w:b/>
          <w:bCs/>
          <w:i/>
          <w:iCs/>
        </w:rPr>
        <w:t xml:space="preserve">6. </w:t>
      </w:r>
      <w:r w:rsidR="00EC0FE8" w:rsidRPr="00EC0FE8">
        <w:rPr>
          <w:b/>
          <w:bCs/>
          <w:i/>
          <w:iCs/>
        </w:rPr>
        <w:t>Did you compare the immediate postoperative and long follow-up sockets geometry and presence of radiolucence lines?</w:t>
      </w:r>
    </w:p>
    <w:p w14:paraId="5F35FEC0" w14:textId="26023D05" w:rsidR="00D73E34" w:rsidRPr="003B24C1" w:rsidRDefault="00D73E34" w:rsidP="00D73E34">
      <w:pPr>
        <w:spacing w:line="360" w:lineRule="auto"/>
        <w:jc w:val="both"/>
        <w:rPr>
          <w:bCs/>
        </w:rPr>
      </w:pPr>
      <w:r>
        <w:rPr>
          <w:b/>
          <w:i/>
        </w:rPr>
        <w:t>6. Reply:</w:t>
      </w:r>
      <w:r>
        <w:rPr>
          <w:i/>
        </w:rPr>
        <w:t xml:space="preserve"> </w:t>
      </w:r>
      <w:r w:rsidR="003B24C1" w:rsidRPr="00CF47E9">
        <w:rPr>
          <w:bCs/>
        </w:rPr>
        <w:t>All patients received a follow-up plan on discharge with clinical-functional and radiological (X-ray of the pelvis for hips) checks after 3 months, 6 months, 1 year, 3 years and 5 years.</w:t>
      </w:r>
      <w:r w:rsidR="003B24C1" w:rsidRPr="00CF47E9">
        <w:t xml:space="preserve"> </w:t>
      </w:r>
      <w:r w:rsidR="003B24C1" w:rsidRPr="00CF47E9">
        <w:rPr>
          <w:bCs/>
        </w:rPr>
        <w:t>However, the radiographic and clinical-functional evaluations for the study were assessed on the last available follow-up examination (minimum follow-up examination 3 years). We revised the text clarifying that the assessment was performed preoperatively and at the last follow-up.</w:t>
      </w:r>
    </w:p>
    <w:p w14:paraId="357AF64D" w14:textId="18F94700" w:rsidR="00D73E34" w:rsidRPr="009B6EDA" w:rsidRDefault="00D73E34" w:rsidP="00D73E34">
      <w:pPr>
        <w:spacing w:line="360" w:lineRule="auto"/>
        <w:jc w:val="both"/>
        <w:rPr>
          <w:b/>
          <w:bCs/>
          <w:i/>
          <w:iCs/>
        </w:rPr>
      </w:pPr>
      <w:r>
        <w:rPr>
          <w:b/>
          <w:bCs/>
          <w:i/>
          <w:iCs/>
        </w:rPr>
        <w:t>7.</w:t>
      </w:r>
      <w:r w:rsidRPr="009B6EDA">
        <w:t xml:space="preserve"> </w:t>
      </w:r>
      <w:r w:rsidR="00EC0FE8" w:rsidRPr="00EC0FE8">
        <w:rPr>
          <w:b/>
          <w:bCs/>
          <w:i/>
          <w:iCs/>
        </w:rPr>
        <w:t>Why did you not measure the possibility of horizontal and superior migration of the cups by comparing postoperative and long follow-up radiographic measurements?</w:t>
      </w:r>
    </w:p>
    <w:p w14:paraId="4947A6B0" w14:textId="6CCB3F36" w:rsidR="00D73E34" w:rsidRPr="003B24C1" w:rsidRDefault="00D73E34" w:rsidP="00D73E34">
      <w:pPr>
        <w:spacing w:line="360" w:lineRule="auto"/>
        <w:jc w:val="both"/>
        <w:rPr>
          <w:color w:val="000000" w:themeColor="text1"/>
        </w:rPr>
      </w:pPr>
      <w:r w:rsidRPr="003B24C1">
        <w:rPr>
          <w:b/>
          <w:i/>
        </w:rPr>
        <w:t>7. Reply:</w:t>
      </w:r>
      <w:r w:rsidRPr="003B24C1">
        <w:rPr>
          <w:i/>
        </w:rPr>
        <w:t xml:space="preserve"> </w:t>
      </w:r>
      <w:r w:rsidR="003B24C1" w:rsidRPr="00CF47E9">
        <w:rPr>
          <w:bCs/>
        </w:rPr>
        <w:t>All patients received a follow-up plan on discharge with clinical-functional and radiological (X-ray of the pelvis for hips) checks after 3 months, 6 months, 1 year, 3 years and 5 years.</w:t>
      </w:r>
      <w:r w:rsidR="003B24C1" w:rsidRPr="00CF47E9">
        <w:t xml:space="preserve"> </w:t>
      </w:r>
      <w:r w:rsidR="003B24C1" w:rsidRPr="00CF47E9">
        <w:rPr>
          <w:bCs/>
        </w:rPr>
        <w:t>However, the radiographic and clinical-functional evaluations for the study were assessed on the last available follow-up examination (minimum follow-up examination 3 years). We revised the text clarifying that the assessment was performed preoperatively and at the last follow-up.</w:t>
      </w:r>
      <w:r w:rsidR="003B24C1">
        <w:rPr>
          <w:bCs/>
        </w:rPr>
        <w:t xml:space="preserve"> We introduced this topic as limitation of the study. </w:t>
      </w:r>
      <w:r w:rsidR="003B24C1" w:rsidRPr="003B24C1">
        <w:rPr>
          <w:highlight w:val="yellow"/>
        </w:rPr>
        <w:t>A further limitation is the lack of quality-of-life assessment and the lack of comparison between the immediate postoperative radiographs and those of the last follow-up</w:t>
      </w:r>
      <w:r w:rsidR="003B24C1">
        <w:t>.</w:t>
      </w:r>
    </w:p>
    <w:p w14:paraId="2DE72B7E" w14:textId="77777777" w:rsidR="00D73E34" w:rsidRPr="003B24C1" w:rsidRDefault="00D73E34" w:rsidP="001B09C8">
      <w:pPr>
        <w:spacing w:line="360" w:lineRule="auto"/>
        <w:jc w:val="both"/>
        <w:rPr>
          <w:i/>
        </w:rPr>
      </w:pPr>
    </w:p>
    <w:p w14:paraId="1F8AC5D4" w14:textId="77777777" w:rsidR="001B09C8" w:rsidRPr="003B24C1" w:rsidRDefault="001B09C8" w:rsidP="009B6EDA">
      <w:pPr>
        <w:spacing w:line="360" w:lineRule="auto"/>
        <w:jc w:val="both"/>
      </w:pPr>
    </w:p>
    <w:p w14:paraId="0000004A" w14:textId="257D33FC" w:rsidR="003D75CE" w:rsidRPr="003B24C1" w:rsidRDefault="003D75CE">
      <w:pPr>
        <w:spacing w:line="360" w:lineRule="auto"/>
        <w:jc w:val="both"/>
        <w:rPr>
          <w:i/>
        </w:rPr>
      </w:pPr>
    </w:p>
    <w:sectPr w:rsidR="003D75CE" w:rsidRPr="003B24C1">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E7500"/>
    <w:multiLevelType w:val="multilevel"/>
    <w:tmpl w:val="8A485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34990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5CE"/>
    <w:rsid w:val="000B34F3"/>
    <w:rsid w:val="0019385A"/>
    <w:rsid w:val="001B09C8"/>
    <w:rsid w:val="00235195"/>
    <w:rsid w:val="00333E61"/>
    <w:rsid w:val="003B24C1"/>
    <w:rsid w:val="003D75CE"/>
    <w:rsid w:val="004B4D5B"/>
    <w:rsid w:val="005577FA"/>
    <w:rsid w:val="00583A53"/>
    <w:rsid w:val="00590B64"/>
    <w:rsid w:val="005C79CD"/>
    <w:rsid w:val="006D1FD6"/>
    <w:rsid w:val="0087583E"/>
    <w:rsid w:val="008925EF"/>
    <w:rsid w:val="008D4F67"/>
    <w:rsid w:val="009B6EDA"/>
    <w:rsid w:val="009E37B1"/>
    <w:rsid w:val="00A06F81"/>
    <w:rsid w:val="00A45F74"/>
    <w:rsid w:val="00A47E3C"/>
    <w:rsid w:val="00A86DEE"/>
    <w:rsid w:val="00AF3118"/>
    <w:rsid w:val="00B100FB"/>
    <w:rsid w:val="00BA2DB6"/>
    <w:rsid w:val="00CC2345"/>
    <w:rsid w:val="00CF47E9"/>
    <w:rsid w:val="00D21E05"/>
    <w:rsid w:val="00D24158"/>
    <w:rsid w:val="00D73E34"/>
    <w:rsid w:val="00D90468"/>
    <w:rsid w:val="00E43685"/>
    <w:rsid w:val="00EB5FB3"/>
    <w:rsid w:val="00EC0FE8"/>
    <w:rsid w:val="00F540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CEAE2"/>
  <w15:docId w15:val="{542000DE-4D28-4C31-9A33-5203C932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Paragrafoelenco">
    <w:name w:val="List Paragraph"/>
    <w:basedOn w:val="Normale"/>
    <w:uiPriority w:val="34"/>
    <w:qFormat/>
    <w:rsid w:val="00995508"/>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Soggettocommento">
    <w:name w:val="annotation subject"/>
    <w:basedOn w:val="Testocommento"/>
    <w:next w:val="Testocommento"/>
    <w:link w:val="SoggettocommentoCarattere"/>
    <w:uiPriority w:val="99"/>
    <w:semiHidden/>
    <w:unhideWhenUsed/>
    <w:rsid w:val="004B4D5B"/>
    <w:rPr>
      <w:b/>
      <w:bCs/>
    </w:rPr>
  </w:style>
  <w:style w:type="character" w:customStyle="1" w:styleId="SoggettocommentoCarattere">
    <w:name w:val="Soggetto commento Carattere"/>
    <w:basedOn w:val="TestocommentoCarattere"/>
    <w:link w:val="Soggettocommento"/>
    <w:uiPriority w:val="99"/>
    <w:semiHidden/>
    <w:rsid w:val="004B4D5B"/>
    <w:rPr>
      <w:b/>
      <w:bCs/>
      <w:sz w:val="20"/>
      <w:szCs w:val="20"/>
    </w:rPr>
  </w:style>
  <w:style w:type="paragraph" w:styleId="Revisione">
    <w:name w:val="Revision"/>
    <w:hidden/>
    <w:uiPriority w:val="99"/>
    <w:semiHidden/>
    <w:rsid w:val="004B4D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jP5ELnOCATavcd1cjFoWJCLXw==">CgMxLjAaJwoBMBIiCiAIBCocCgtBQUFBM0MwbTRKWRAIGgtBQUFBM0MwbTRKWRonCgExEiIKIAgEKhwKC0FBQUEzQzBtNEpjEAgaC0FBQUEzQzBtNEpjIv4CCgtBQUFBM0MwbTRKWRLMAgoLQUFBQTNDMG00SlkSC0FBQUEzQzBtNEpZGkYKCXRleHQvaHRtbBI5U2hvdWxkIHdlIHJlcG9ydCB0aGlzIGluZm9ybWF0aW9uIGFsc28gaW4gdGhlIG1hbnVzY3JpcHQ/IkcKCnRleHQvcGxhaW4SOVNob3VsZCB3ZSByZXBvcnQgdGhpcyBpbmZvcm1hdGlvbiBhbHNvIGluIHRoZSBtYW51c2NyaXB0PyobIhUxMDY2OTQ1MDczMjM5MzQ5ODQzNDMoADgAMOOBzp2gMTjjgc6doDFKEwoKdGV4dC9wbGFpbhIFUmVwbHlaDGNlOHFid2FyY3EzZnICIAB4AJoBBggAEAAYAKoBOxI5U2hvdWxkIHdlIHJlcG9ydCB0aGlzIGluZm9ybWF0aW9uIGFsc28gaW4gdGhlIG1hbnVzY3JpcHQ/sAEAuAEAGOOBzp2gMSDjgc6doDEwAEIQa2l4LjhueGJncWZldWM5OSL/AgoLQUFBQTNDMG00SmMSzQIKC0FBQUEzQzBtNEpjEgtBQUFBM0MwbTRKYxpGCgl0ZXh0L2h0bWwSOVNob3VsZCB3ZSByZXBvcnQgdGhpcyBpbmZvcm1hdGlvbiBhbHNvIGluIHRoZSBtYW51c2NyaXB0PyJHCgp0ZXh0L3BsYWluEjlTaG91bGQgd2UgcmVwb3J0IHRoaXMgaW5mb3JtYXRpb24gYWxzbyBpbiB0aGUgbWFudXNjcmlwdD8qGyIVMTA2Njk0NTA3MzIzOTM0OTg0MzQzKAA4ADCGps+doDE4hqbPnaAxShQKCnRleHQvcGxhaW4SBlJlcGx5OloMeTlndGlzZmJlMnF4cgIgAHgAmgEGCAAQABgAqgE7EjlTaG91bGQgd2UgcmVwb3J0IHRoaXMgaW5mb3JtYXRpb24gYWxzbyBpbiB0aGUgbWFudXNjcmlwdD+wAQC4AQAYhqbPnaAxIIamz52gMTAAQhBraXguN3hlNTlraXJreTl3MghoLmdqZGd4czIIaC5namRneHM4AHIhMTRKenkwZkM3VE5NZXRDbGZKc3FQWEFuY2hPRngybUp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4831</Words>
  <Characters>27538</Characters>
  <Application>Microsoft Office Word</Application>
  <DocSecurity>0</DocSecurity>
  <Lines>229</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Michele Mercurio</cp:lastModifiedBy>
  <cp:revision>4</cp:revision>
  <dcterms:created xsi:type="dcterms:W3CDTF">2024-01-16T06:52:00Z</dcterms:created>
  <dcterms:modified xsi:type="dcterms:W3CDTF">2024-01-16T07:34:00Z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97626651b29cbde2c3475f736bdfd217e95ab7301cf17332b7670a904cb3d2bb</vt:lpwstr>
  </property>
</Properties>
</file>