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23E52" w14:textId="77777777" w:rsidR="002E5764" w:rsidRPr="007550AF" w:rsidRDefault="002E5764" w:rsidP="002E5764">
      <w:pPr>
        <w:widowControl/>
        <w:shd w:val="clear" w:color="auto" w:fill="FFFFFF"/>
        <w:spacing w:line="360" w:lineRule="auto"/>
        <w:rPr>
          <w:rFonts w:ascii="Times New Roman" w:eastAsia="Microsoft YaHei UI" w:hAnsi="Times New Roman" w:cs="Times New Roman"/>
          <w:b/>
          <w:bCs/>
          <w:kern w:val="0"/>
          <w:sz w:val="22"/>
        </w:rPr>
      </w:pPr>
      <w:r w:rsidRPr="007550AF">
        <w:rPr>
          <w:rFonts w:ascii="Times New Roman" w:hAnsi="Times New Roman" w:cs="Times New Roman"/>
          <w:b/>
          <w:sz w:val="22"/>
        </w:rPr>
        <w:t>Re</w:t>
      </w:r>
      <w:r w:rsidRPr="000B4F87">
        <w:rPr>
          <w:rFonts w:ascii="Times New Roman" w:hAnsi="Times New Roman" w:cs="Times New Roman"/>
          <w:b/>
          <w:sz w:val="22"/>
        </w:rPr>
        <w:t xml:space="preserve"> </w:t>
      </w:r>
      <w:r w:rsidRPr="007550AF">
        <w:rPr>
          <w:rFonts w:ascii="Times New Roman" w:hAnsi="Times New Roman" w:cs="Times New Roman"/>
          <w:b/>
          <w:sz w:val="22"/>
        </w:rPr>
        <w:t>to Reviewer #1:</w:t>
      </w:r>
    </w:p>
    <w:p w14:paraId="22ADAD14" w14:textId="77777777" w:rsidR="002E5764" w:rsidRDefault="002E5764" w:rsidP="002E5764">
      <w:pPr>
        <w:widowControl/>
        <w:shd w:val="clear" w:color="auto" w:fill="FFFFFF"/>
        <w:spacing w:line="360" w:lineRule="auto"/>
        <w:rPr>
          <w:rFonts w:ascii="Times New Roman" w:eastAsia="Microsoft YaHei UI" w:hAnsi="Times New Roman" w:cs="Times New Roman"/>
          <w:kern w:val="0"/>
          <w:sz w:val="22"/>
        </w:rPr>
      </w:pPr>
      <w:r w:rsidRPr="004933B3">
        <w:rPr>
          <w:rFonts w:ascii="Times New Roman" w:eastAsia="Microsoft YaHei UI" w:hAnsi="Times New Roman" w:cs="Times New Roman"/>
          <w:kern w:val="0"/>
          <w:sz w:val="22"/>
        </w:rPr>
        <w:t>Spatial spillover effects of “new farmers” on diffusion of sustainable agricultural practices: evidence from China</w:t>
      </w:r>
      <w:r w:rsidRPr="007550AF">
        <w:rPr>
          <w:rFonts w:ascii="Times New Roman" w:eastAsia="Microsoft YaHei UI" w:hAnsi="Times New Roman" w:cs="Times New Roman"/>
          <w:kern w:val="0"/>
          <w:sz w:val="22"/>
        </w:rPr>
        <w:t xml:space="preserve"> (Manuscript ID: </w:t>
      </w:r>
      <w:r w:rsidRPr="004933B3">
        <w:rPr>
          <w:rFonts w:ascii="Times New Roman" w:eastAsia="Microsoft YaHei UI" w:hAnsi="Times New Roman" w:cs="Times New Roman"/>
          <w:kern w:val="0"/>
          <w:sz w:val="22"/>
        </w:rPr>
        <w:t>land-2803479</w:t>
      </w:r>
      <w:r w:rsidRPr="007550AF">
        <w:rPr>
          <w:rFonts w:ascii="Times New Roman" w:eastAsia="Microsoft YaHei UI" w:hAnsi="Times New Roman" w:cs="Times New Roman"/>
          <w:kern w:val="0"/>
          <w:sz w:val="22"/>
        </w:rPr>
        <w:t>)</w:t>
      </w:r>
    </w:p>
    <w:p w14:paraId="7BD59135" w14:textId="77777777" w:rsidR="002E5764" w:rsidRPr="007550AF" w:rsidRDefault="002E5764" w:rsidP="002E5764">
      <w:pPr>
        <w:widowControl/>
        <w:shd w:val="clear" w:color="auto" w:fill="FFFFFF"/>
        <w:spacing w:line="360" w:lineRule="auto"/>
        <w:rPr>
          <w:rFonts w:ascii="Times New Roman" w:eastAsia="Microsoft YaHei UI" w:hAnsi="Times New Roman" w:cs="Times New Roman"/>
          <w:kern w:val="0"/>
          <w:sz w:val="22"/>
        </w:rPr>
      </w:pPr>
    </w:p>
    <w:p w14:paraId="4B30A041" w14:textId="77777777" w:rsidR="002E5764" w:rsidRPr="007550AF" w:rsidRDefault="002E5764" w:rsidP="002E5764">
      <w:pPr>
        <w:widowControl/>
        <w:shd w:val="clear" w:color="auto" w:fill="FFFFFF"/>
        <w:spacing w:line="360" w:lineRule="auto"/>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Dear Editor and Reviewer</w:t>
      </w:r>
      <w:r>
        <w:rPr>
          <w:rFonts w:ascii="Times New Roman" w:eastAsia="Microsoft YaHei UI" w:hAnsi="Times New Roman" w:cs="Times New Roman"/>
          <w:kern w:val="0"/>
          <w:sz w:val="22"/>
        </w:rPr>
        <w:t xml:space="preserve"> </w:t>
      </w:r>
      <w:r w:rsidRPr="000B4F87">
        <w:rPr>
          <w:rFonts w:ascii="Times New Roman" w:hAnsi="Times New Roman" w:cs="Times New Roman"/>
          <w:bCs/>
          <w:sz w:val="22"/>
        </w:rPr>
        <w:t>#1</w:t>
      </w:r>
      <w:r w:rsidRPr="007550AF">
        <w:rPr>
          <w:rFonts w:ascii="Times New Roman" w:eastAsia="Microsoft YaHei UI" w:hAnsi="Times New Roman" w:cs="Times New Roman"/>
          <w:kern w:val="0"/>
          <w:sz w:val="22"/>
        </w:rPr>
        <w:t>,</w:t>
      </w:r>
    </w:p>
    <w:p w14:paraId="2380BD26" w14:textId="77777777" w:rsidR="002E5764" w:rsidRDefault="002E5764" w:rsidP="002E5764">
      <w:pPr>
        <w:widowControl/>
        <w:shd w:val="clear" w:color="auto" w:fill="FFFFFF"/>
        <w:spacing w:line="360" w:lineRule="auto"/>
        <w:ind w:firstLine="420"/>
        <w:rPr>
          <w:rFonts w:ascii="Times New Roman" w:eastAsia="Microsoft YaHei UI" w:hAnsi="Times New Roman" w:cs="Times New Roman"/>
          <w:kern w:val="0"/>
          <w:sz w:val="22"/>
        </w:rPr>
      </w:pPr>
      <w:r>
        <w:rPr>
          <w:rFonts w:ascii="Times New Roman" w:eastAsia="Microsoft YaHei UI" w:hAnsi="Times New Roman" w:cs="Times New Roman" w:hint="eastAsia"/>
          <w:kern w:val="0"/>
          <w:sz w:val="22"/>
        </w:rPr>
        <w:t>M</w:t>
      </w:r>
      <w:r>
        <w:rPr>
          <w:rFonts w:ascii="Times New Roman" w:eastAsia="Microsoft YaHei UI" w:hAnsi="Times New Roman" w:cs="Times New Roman"/>
          <w:kern w:val="0"/>
          <w:sz w:val="22"/>
        </w:rPr>
        <w:t>any t</w:t>
      </w:r>
      <w:r w:rsidRPr="007550AF">
        <w:rPr>
          <w:rFonts w:ascii="Times New Roman" w:eastAsia="Microsoft YaHei UI" w:hAnsi="Times New Roman" w:cs="Times New Roman"/>
          <w:kern w:val="0"/>
          <w:sz w:val="22"/>
        </w:rPr>
        <w:t>hank</w:t>
      </w:r>
      <w:r>
        <w:rPr>
          <w:rFonts w:ascii="Times New Roman" w:eastAsia="Microsoft YaHei UI" w:hAnsi="Times New Roman" w:cs="Times New Roman"/>
          <w:kern w:val="0"/>
          <w:sz w:val="22"/>
        </w:rPr>
        <w:t>s</w:t>
      </w:r>
      <w:r w:rsidRPr="007550AF">
        <w:rPr>
          <w:rFonts w:ascii="Times New Roman" w:eastAsia="Microsoft YaHei UI" w:hAnsi="Times New Roman" w:cs="Times New Roman"/>
          <w:kern w:val="0"/>
          <w:sz w:val="22"/>
        </w:rPr>
        <w:t xml:space="preserve"> for your constructive, helpful, and guiding comments. We have carefully studied your suggestions and revised the manuscript.</w:t>
      </w:r>
      <w:r w:rsidRPr="004A37D2">
        <w:rPr>
          <w:rFonts w:ascii="Times New Roman" w:eastAsia="Microsoft YaHei UI" w:hAnsi="Times New Roman" w:cs="Times New Roman"/>
          <w:kern w:val="0"/>
          <w:sz w:val="22"/>
        </w:rPr>
        <w:t xml:space="preserve"> </w:t>
      </w:r>
      <w:r w:rsidRPr="007550AF">
        <w:rPr>
          <w:rFonts w:ascii="Times New Roman" w:eastAsia="Microsoft YaHei UI" w:hAnsi="Times New Roman" w:cs="Times New Roman"/>
          <w:kern w:val="0"/>
          <w:sz w:val="22"/>
        </w:rPr>
        <w:t>The main revisions in the paper and the responses to the editor’s and reviewers’ comments are shown below</w:t>
      </w:r>
      <w:r>
        <w:rPr>
          <w:rFonts w:ascii="Times New Roman" w:eastAsia="Microsoft YaHei UI" w:hAnsi="Times New Roman" w:cs="Times New Roman"/>
          <w:kern w:val="0"/>
          <w:sz w:val="22"/>
        </w:rPr>
        <w:t>.</w:t>
      </w:r>
    </w:p>
    <w:p w14:paraId="1CE524FC" w14:textId="77777777" w:rsidR="002E5764" w:rsidRPr="007550AF" w:rsidRDefault="002E5764" w:rsidP="002E5764">
      <w:pPr>
        <w:widowControl/>
        <w:shd w:val="clear" w:color="auto" w:fill="FFFFFF"/>
        <w:spacing w:line="360" w:lineRule="auto"/>
        <w:ind w:firstLine="420"/>
        <w:rPr>
          <w:rFonts w:ascii="Times New Roman" w:eastAsia="宋体" w:hAnsi="Times New Roman" w:cs="Times New Roman"/>
          <w:kern w:val="0"/>
          <w:sz w:val="22"/>
        </w:rPr>
      </w:pPr>
    </w:p>
    <w:p w14:paraId="1DC8AAA5"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#1. </w:t>
      </w:r>
      <w:r w:rsidRPr="00D82D29">
        <w:rPr>
          <w:rFonts w:ascii="Times New Roman" w:eastAsia="Microsoft YaHei UI" w:hAnsi="Times New Roman" w:cs="Times New Roman"/>
          <w:bCs/>
          <w:kern w:val="0"/>
          <w:sz w:val="22"/>
        </w:rPr>
        <w:t>The rationale behind using the Tobit model is not explained in the paper, which should be supplemented</w:t>
      </w:r>
      <w:r w:rsidRPr="007550AF">
        <w:rPr>
          <w:rFonts w:ascii="Times New Roman" w:eastAsia="Microsoft YaHei UI" w:hAnsi="Times New Roman" w:cs="Times New Roman"/>
          <w:bCs/>
          <w:kern w:val="0"/>
          <w:sz w:val="22"/>
        </w:rPr>
        <w:t>.</w:t>
      </w:r>
      <w:r w:rsidRPr="007550AF">
        <w:rPr>
          <w:rFonts w:ascii="Times New Roman" w:hAnsi="Times New Roman" w:cs="Times New Roman"/>
          <w:sz w:val="22"/>
        </w:rPr>
        <w:t xml:space="preserve"> </w:t>
      </w:r>
    </w:p>
    <w:p w14:paraId="36474047"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6679B071"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We have </w:t>
      </w:r>
      <w:r>
        <w:rPr>
          <w:rFonts w:ascii="Times New Roman" w:eastAsia="Microsoft YaHei UI" w:hAnsi="Times New Roman" w:cs="Times New Roman"/>
          <w:kern w:val="0"/>
          <w:sz w:val="22"/>
        </w:rPr>
        <w:t>added</w:t>
      </w:r>
      <w:r w:rsidRPr="007550AF">
        <w:rPr>
          <w:rFonts w:ascii="Times New Roman" w:eastAsia="Microsoft YaHei UI" w:hAnsi="Times New Roman" w:cs="Times New Roman"/>
          <w:kern w:val="0"/>
          <w:sz w:val="22"/>
        </w:rPr>
        <w:t xml:space="preserve"> the </w:t>
      </w:r>
      <w:r>
        <w:rPr>
          <w:rFonts w:ascii="Times New Roman" w:eastAsia="Microsoft YaHei UI" w:hAnsi="Times New Roman" w:cs="Times New Roman"/>
          <w:kern w:val="0"/>
          <w:sz w:val="22"/>
        </w:rPr>
        <w:t xml:space="preserve">explanation of Tobit model in </w:t>
      </w:r>
      <w:r w:rsidRPr="00834FF9">
        <w:rPr>
          <w:rFonts w:ascii="Times New Roman" w:eastAsia="Microsoft YaHei UI" w:hAnsi="Times New Roman" w:cs="Times New Roman"/>
          <w:kern w:val="0"/>
          <w:sz w:val="22"/>
        </w:rPr>
        <w:t>3.1.1. Model specification</w:t>
      </w:r>
      <w:r w:rsidRPr="007550AF">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199</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204</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5</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w:t>
      </w:r>
      <w:r>
        <w:rPr>
          <w:rFonts w:ascii="Times New Roman" w:eastAsia="Microsoft YaHei UI" w:hAnsi="Times New Roman" w:cs="Times New Roman"/>
          <w:kern w:val="0"/>
          <w:sz w:val="22"/>
        </w:rPr>
        <w:t>content</w:t>
      </w:r>
      <w:r w:rsidRPr="007550AF">
        <w:rPr>
          <w:rFonts w:ascii="Times New Roman" w:eastAsia="Microsoft YaHei UI" w:hAnsi="Times New Roman" w:cs="Times New Roman"/>
          <w:kern w:val="0"/>
          <w:sz w:val="22"/>
        </w:rPr>
        <w:t xml:space="preserve"> is shown below: </w:t>
      </w:r>
    </w:p>
    <w:p w14:paraId="6572D848"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834FF9">
        <w:rPr>
          <w:rFonts w:ascii="Times New Roman" w:hAnsi="Times New Roman" w:cs="Times New Roman"/>
          <w:sz w:val="22"/>
        </w:rPr>
        <w:t>Since the adoption of SAPs by farmers is random and there are farmers who do not adopt SAPs, the sustainability score exhibit the traits of merge data (is greater than or equal to 0) (34). Thus, the sustainability score of farmers' practices that we used as the dependent variable in the model is a continuous variable. We used the Tobit spatial cross-section regression model (the great likelihood estimation) to estimate global spillovers and localized spillovers.</w:t>
      </w:r>
      <w:r w:rsidRPr="007550AF">
        <w:rPr>
          <w:rFonts w:ascii="Times New Roman" w:eastAsia="Microsoft YaHei UI" w:hAnsi="Times New Roman" w:cs="Times New Roman"/>
          <w:bCs/>
          <w:kern w:val="0"/>
          <w:sz w:val="22"/>
        </w:rPr>
        <w:t>”</w:t>
      </w:r>
    </w:p>
    <w:p w14:paraId="01E03E51" w14:textId="77777777" w:rsidR="002E5764" w:rsidRDefault="002E5764" w:rsidP="002E5764">
      <w:pPr>
        <w:widowControl/>
        <w:shd w:val="clear" w:color="auto" w:fill="FFFFFF"/>
        <w:spacing w:line="360" w:lineRule="auto"/>
        <w:rPr>
          <w:rFonts w:ascii="Times New Roman" w:eastAsia="Microsoft YaHei UI" w:hAnsi="Times New Roman" w:cs="Times New Roman"/>
          <w:kern w:val="0"/>
          <w:sz w:val="22"/>
        </w:rPr>
      </w:pPr>
    </w:p>
    <w:p w14:paraId="12C35C15" w14:textId="77777777" w:rsidR="002E5764" w:rsidRPr="007550AF" w:rsidRDefault="002E5764" w:rsidP="002E5764">
      <w:pPr>
        <w:widowControl/>
        <w:shd w:val="clear" w:color="auto" w:fill="FFFFFF"/>
        <w:spacing w:line="360" w:lineRule="auto"/>
        <w:rPr>
          <w:rFonts w:ascii="Times New Roman" w:eastAsia="Microsoft YaHei UI" w:hAnsi="Times New Roman" w:cs="Times New Roman"/>
          <w:kern w:val="0"/>
          <w:sz w:val="22"/>
        </w:rPr>
      </w:pPr>
    </w:p>
    <w:p w14:paraId="6BB03D03"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#2. </w:t>
      </w:r>
      <w:r w:rsidRPr="00EA62A9">
        <w:rPr>
          <w:rFonts w:ascii="Times New Roman" w:eastAsia="Microsoft YaHei UI" w:hAnsi="Times New Roman" w:cs="Times New Roman"/>
          <w:bCs/>
          <w:kern w:val="0"/>
          <w:sz w:val="22"/>
        </w:rPr>
        <w:t>The paper sets three different spatial weight matrices but lacks comparison of their advantages and disadvantages, which needs further discussion</w:t>
      </w:r>
      <w:r>
        <w:rPr>
          <w:rFonts w:ascii="Times New Roman" w:eastAsia="Microsoft YaHei UI" w:hAnsi="Times New Roman" w:cs="Times New Roman"/>
          <w:bCs/>
          <w:kern w:val="0"/>
          <w:sz w:val="22"/>
        </w:rPr>
        <w:t>.</w:t>
      </w:r>
    </w:p>
    <w:p w14:paraId="63219373"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1A228A42" w14:textId="77777777" w:rsidR="002E5764"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We have rewritten</w:t>
      </w:r>
      <w:r>
        <w:rPr>
          <w:rFonts w:ascii="Times New Roman" w:eastAsia="Microsoft YaHei UI" w:hAnsi="Times New Roman" w:cs="Times New Roman"/>
          <w:kern w:val="0"/>
          <w:sz w:val="22"/>
        </w:rPr>
        <w:t xml:space="preserve"> </w:t>
      </w:r>
      <w:r w:rsidRPr="00592BC2">
        <w:rPr>
          <w:rFonts w:ascii="Times New Roman" w:eastAsia="Microsoft YaHei UI" w:hAnsi="Times New Roman" w:cs="Times New Roman"/>
          <w:kern w:val="0"/>
          <w:sz w:val="22"/>
        </w:rPr>
        <w:t>3.1.2. Spatial weight matrix specifications</w:t>
      </w:r>
      <w:r>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sidRPr="005244C9">
        <w:rPr>
          <w:rFonts w:ascii="Times New Roman" w:eastAsia="等线" w:hAnsi="Times New Roman" w:cs="Times New Roman"/>
          <w:kern w:val="0"/>
          <w:sz w:val="22"/>
          <w:highlight w:val="yellow"/>
        </w:rPr>
        <w:t>2</w:t>
      </w:r>
      <w:r>
        <w:rPr>
          <w:rFonts w:ascii="Times New Roman" w:eastAsia="等线" w:hAnsi="Times New Roman" w:cs="Times New Roman"/>
          <w:kern w:val="0"/>
          <w:sz w:val="22"/>
          <w:highlight w:val="yellow"/>
        </w:rPr>
        <w:t>24</w:t>
      </w:r>
      <w:r w:rsidRPr="007550AF">
        <w:rPr>
          <w:rFonts w:ascii="Times New Roman" w:eastAsia="等线" w:hAnsi="Times New Roman" w:cs="Times New Roman"/>
          <w:kern w:val="0"/>
          <w:sz w:val="22"/>
          <w:highlight w:val="yellow"/>
        </w:rPr>
        <w:t xml:space="preserve"> to line </w:t>
      </w:r>
      <w:r w:rsidRPr="005244C9">
        <w:rPr>
          <w:rFonts w:ascii="Times New Roman" w:eastAsia="等线" w:hAnsi="Times New Roman" w:cs="Times New Roman"/>
          <w:kern w:val="0"/>
          <w:sz w:val="22"/>
          <w:highlight w:val="yellow"/>
        </w:rPr>
        <w:t>2</w:t>
      </w:r>
      <w:r>
        <w:rPr>
          <w:rFonts w:ascii="Times New Roman" w:eastAsia="等线" w:hAnsi="Times New Roman" w:cs="Times New Roman"/>
          <w:kern w:val="0"/>
          <w:sz w:val="22"/>
          <w:highlight w:val="yellow"/>
        </w:rPr>
        <w:t>68</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6</w:t>
      </w:r>
      <w:r w:rsidRPr="007550AF">
        <w:rPr>
          <w:rFonts w:ascii="Times New Roman" w:eastAsia="Microsoft YaHei UI" w:hAnsi="Times New Roman" w:cs="Times New Roman"/>
          <w:kern w:val="0"/>
          <w:sz w:val="22"/>
          <w:highlight w:val="yellow"/>
        </w:rPr>
        <w:t>)</w:t>
      </w:r>
      <w:r>
        <w:rPr>
          <w:rFonts w:ascii="Times New Roman" w:eastAsia="Microsoft YaHei UI" w:hAnsi="Times New Roman" w:cs="Times New Roman"/>
          <w:kern w:val="0"/>
          <w:sz w:val="22"/>
        </w:rPr>
        <w:t xml:space="preserve"> and added the comparison of different matrices in </w:t>
      </w:r>
      <w:r w:rsidRPr="00592BC2">
        <w:rPr>
          <w:rFonts w:ascii="Times New Roman" w:eastAsia="Microsoft YaHei UI" w:hAnsi="Times New Roman" w:cs="Times New Roman"/>
          <w:kern w:val="0"/>
          <w:sz w:val="22"/>
        </w:rPr>
        <w:t>4.2. Results of the spatial effects of sustainable agricultural practices</w:t>
      </w:r>
      <w:r>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418</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428</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17</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w:t>
      </w:r>
      <w:r w:rsidRPr="00656899">
        <w:rPr>
          <w:rFonts w:ascii="Times New Roman" w:eastAsia="Microsoft YaHei UI" w:hAnsi="Times New Roman" w:cs="Times New Roman"/>
          <w:kern w:val="0"/>
          <w:sz w:val="22"/>
        </w:rPr>
        <w:t xml:space="preserve"> </w:t>
      </w:r>
      <w:r w:rsidRPr="007550AF">
        <w:rPr>
          <w:rFonts w:ascii="Times New Roman" w:eastAsia="Microsoft YaHei UI" w:hAnsi="Times New Roman" w:cs="Times New Roman"/>
          <w:kern w:val="0"/>
          <w:sz w:val="22"/>
        </w:rPr>
        <w:t xml:space="preserve">The revised </w:t>
      </w:r>
      <w:r>
        <w:rPr>
          <w:rFonts w:ascii="Times New Roman" w:eastAsia="Microsoft YaHei UI" w:hAnsi="Times New Roman" w:cs="Times New Roman"/>
          <w:kern w:val="0"/>
          <w:sz w:val="22"/>
        </w:rPr>
        <w:t>content</w:t>
      </w:r>
      <w:r w:rsidRPr="007550AF">
        <w:rPr>
          <w:rFonts w:ascii="Times New Roman" w:eastAsia="Microsoft YaHei UI" w:hAnsi="Times New Roman" w:cs="Times New Roman"/>
          <w:kern w:val="0"/>
          <w:sz w:val="22"/>
        </w:rPr>
        <w:t xml:space="preserve"> is shown below:</w:t>
      </w:r>
    </w:p>
    <w:p w14:paraId="3A1EB389" w14:textId="77777777" w:rsidR="002E5764" w:rsidRPr="00592BC2"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592BC2">
        <w:rPr>
          <w:rFonts w:ascii="Times New Roman" w:hAnsi="Times New Roman" w:cs="Times New Roman"/>
          <w:sz w:val="22"/>
        </w:rPr>
        <w:t>3.1.2. Spatial weight matrix specifications</w:t>
      </w:r>
    </w:p>
    <w:p w14:paraId="46DA5307" w14:textId="77777777" w:rsidR="002E5764" w:rsidRDefault="002E5764" w:rsidP="002E5764">
      <w:pPr>
        <w:spacing w:line="360" w:lineRule="auto"/>
        <w:ind w:firstLine="420"/>
        <w:rPr>
          <w:rFonts w:ascii="Times New Roman" w:hAnsi="Times New Roman" w:cs="Times New Roman"/>
          <w:sz w:val="22"/>
        </w:rPr>
      </w:pPr>
      <w:r w:rsidRPr="00592BC2">
        <w:rPr>
          <w:rFonts w:ascii="Times New Roman" w:hAnsi="Times New Roman" w:cs="Times New Roman"/>
          <w:sz w:val="22"/>
        </w:rPr>
        <w:lastRenderedPageBreak/>
        <w:t xml:space="preserve">The impact between farmers decreases as the distance between them increases (30). The commonly used adjacency matrix adjacency matrix makes a broader judgment about the proximity between farmers and its impractical assumption that the effects of neighboring farmers are equivalent. So, to reflect the spatial dependence and mutual influence between farmers with different distances, instead of using the Neighboring Spatial Weight Matrix (which is set according to whether the farmers were in the same district or in the district where the edges are neighboring), we used the Inverse Distance Spatial Weight Matrix. We have set two additional treatments for the inverse distance weight matrix to better characterize the spatial dependence between farmers (36). Firstly, for the inverse distance weight matrix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1</m:t>
            </m:r>
          </m:sup>
        </m:sSubSup>
      </m:oMath>
      <w:r w:rsidRPr="00592BC2">
        <w:rPr>
          <w:rFonts w:ascii="Times New Roman" w:hAnsi="Times New Roman" w:cs="Times New Roman"/>
          <w:sz w:val="22"/>
        </w:rPr>
        <w:t xml:space="preserve">, in which </w:t>
      </w:r>
      <m:oMath>
        <m:sSubSup>
          <m:sSubSupPr>
            <m:ctrlPr>
              <w:rPr>
                <w:rFonts w:ascii="Cambria Math" w:hAnsi="Cambria Math" w:cs="Times New Roman"/>
                <w:sz w:val="22"/>
              </w:rPr>
            </m:ctrlPr>
          </m:sSubSupPr>
          <m:e>
            <m:r>
              <w:rPr>
                <w:rFonts w:ascii="Cambria Math" w:hAnsi="Cambria Math" w:cs="Times New Roman"/>
                <w:sz w:val="22"/>
              </w:rPr>
              <m:t>w</m:t>
            </m:r>
          </m:e>
          <m:sub>
            <m:r>
              <w:rPr>
                <w:rFonts w:ascii="Cambria Math" w:hAnsi="Cambria Math" w:cs="Times New Roman"/>
                <w:sz w:val="22"/>
              </w:rPr>
              <m:t>ij</m:t>
            </m:r>
          </m:sub>
          <m:sup>
            <m:r>
              <m:rPr>
                <m:sty m:val="p"/>
              </m:rPr>
              <w:rPr>
                <w:rFonts w:ascii="Cambria Math" w:hAnsi="Cambria Math" w:cs="Times New Roman"/>
                <w:sz w:val="22"/>
              </w:rPr>
              <m:t>1</m:t>
            </m:r>
          </m:sup>
        </m:sSubSup>
      </m:oMath>
      <w:r w:rsidRPr="00592BC2">
        <w:rPr>
          <w:rFonts w:ascii="Times New Roman" w:hAnsi="Times New Roman" w:cs="Times New Roman"/>
          <w:sz w:val="22"/>
        </w:rPr>
        <w:t xml:space="preserve"> </w:t>
      </w:r>
      <w:r w:rsidRPr="00592BC2">
        <w:rPr>
          <w:rFonts w:ascii="Times New Roman" w:hAnsi="Times New Roman" w:cs="Times New Roman" w:hint="eastAsia"/>
          <w:sz w:val="22"/>
        </w:rPr>
        <w:t xml:space="preserve">is the inverse of the </w:t>
      </w:r>
      <w:r w:rsidRPr="00592BC2">
        <w:rPr>
          <w:rFonts w:ascii="Times New Roman" w:hAnsi="Times New Roman" w:cs="Times New Roman"/>
          <w:sz w:val="22"/>
        </w:rPr>
        <w:t>e</w:t>
      </w:r>
      <w:r w:rsidRPr="00592BC2">
        <w:rPr>
          <w:rFonts w:ascii="Times New Roman" w:hAnsi="Times New Roman" w:cs="Times New Roman" w:hint="eastAsia"/>
          <w:sz w:val="22"/>
        </w:rPr>
        <w:t xml:space="preserve">uclidean distance </w:t>
      </w:r>
      <m:oMath>
        <m:sSub>
          <m:sSubPr>
            <m:ctrlPr>
              <w:rPr>
                <w:rFonts w:ascii="Cambria Math" w:hAnsi="Cambria Math" w:cs="Times New Roman"/>
                <w:sz w:val="22"/>
              </w:rPr>
            </m:ctrlPr>
          </m:sSubPr>
          <m:e>
            <m:r>
              <w:rPr>
                <w:rFonts w:ascii="Cambria Math" w:hAnsi="Cambria Math" w:cs="Times New Roman" w:hint="eastAsia"/>
                <w:sz w:val="22"/>
              </w:rPr>
              <m:t>d</m:t>
            </m:r>
          </m:e>
          <m:sub>
            <m:r>
              <w:rPr>
                <w:rFonts w:ascii="Cambria Math" w:hAnsi="Cambria Math" w:cs="Times New Roman"/>
                <w:sz w:val="22"/>
              </w:rPr>
              <m:t>ij</m:t>
            </m:r>
          </m:sub>
        </m:sSub>
      </m:oMath>
      <w:r w:rsidRPr="00592BC2">
        <w:rPr>
          <w:rFonts w:ascii="Times New Roman" w:hAnsi="Times New Roman" w:cs="Times New Roman" w:hint="eastAsia"/>
          <w:sz w:val="22"/>
        </w:rPr>
        <w:t xml:space="preserve"> between the farms run by farmer </w:t>
      </w:r>
      <m:oMath>
        <m:r>
          <w:rPr>
            <w:rFonts w:ascii="Cambria Math" w:hAnsi="Cambria Math" w:cs="Times New Roman"/>
            <w:sz w:val="22"/>
          </w:rPr>
          <m:t>i</m:t>
        </m:r>
      </m:oMath>
      <w:r w:rsidRPr="00592BC2">
        <w:rPr>
          <w:rFonts w:ascii="Times New Roman" w:hAnsi="Times New Roman" w:cs="Times New Roman" w:hint="eastAsia"/>
          <w:sz w:val="22"/>
        </w:rPr>
        <w:t xml:space="preserve"> and farmer </w:t>
      </w:r>
      <m:oMath>
        <m:r>
          <w:rPr>
            <w:rFonts w:ascii="Cambria Math" w:hAnsi="Cambria Math" w:cs="Times New Roman"/>
            <w:sz w:val="22"/>
          </w:rPr>
          <m:t>j</m:t>
        </m:r>
      </m:oMath>
      <w:r w:rsidRPr="00592BC2">
        <w:rPr>
          <w:rFonts w:ascii="Times New Roman" w:hAnsi="Times New Roman" w:cs="Times New Roman" w:hint="eastAsia"/>
          <w:sz w:val="22"/>
        </w:rPr>
        <w:t>.</w:t>
      </w:r>
      <w:r w:rsidRPr="00592BC2">
        <w:rPr>
          <w:rFonts w:ascii="Times New Roman" w:hAnsi="Times New Roman" w:cs="Times New Roman"/>
          <w:sz w:val="22"/>
        </w:rPr>
        <w:t xml:space="preserve"> Secondly, we set the inverse distance weight matrix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2</m:t>
            </m:r>
          </m:sup>
        </m:sSubSup>
      </m:oMath>
      <w:r w:rsidRPr="00592BC2">
        <w:rPr>
          <w:rFonts w:ascii="Times New Roman" w:hAnsi="Times New Roman" w:cs="Times New Roman"/>
          <w:sz w:val="22"/>
        </w:rPr>
        <w:t xml:space="preserve"> based on the threshold </w:t>
      </w:r>
      <m:oMath>
        <m:sSup>
          <m:sSupPr>
            <m:ctrlPr>
              <w:rPr>
                <w:rFonts w:ascii="Cambria Math" w:hAnsi="Cambria Math" w:cs="Times New Roman"/>
                <w:sz w:val="22"/>
              </w:rPr>
            </m:ctrlPr>
          </m:sSupPr>
          <m:e>
            <m:r>
              <w:rPr>
                <w:rFonts w:ascii="Cambria Math" w:hAnsi="Cambria Math" w:cs="Times New Roman" w:hint="eastAsia"/>
                <w:sz w:val="22"/>
              </w:rPr>
              <m:t>d</m:t>
            </m:r>
          </m:e>
          <m:sup>
            <m:r>
              <m:rPr>
                <m:sty m:val="p"/>
              </m:rPr>
              <w:rPr>
                <w:rFonts w:ascii="Cambria Math" w:hAnsi="Cambria Math" w:cs="Times New Roman"/>
                <w:sz w:val="22"/>
              </w:rPr>
              <m:t>*</m:t>
            </m:r>
          </m:sup>
        </m:sSup>
      </m:oMath>
      <w:r w:rsidRPr="00592BC2">
        <w:rPr>
          <w:rFonts w:ascii="Times New Roman" w:hAnsi="Times New Roman" w:cs="Times New Roman"/>
          <w:sz w:val="22"/>
        </w:rPr>
        <w:t xml:space="preserve"> of the distance between farmers. When the euclidean distance </w:t>
      </w:r>
      <m:oMath>
        <m:sSub>
          <m:sSubPr>
            <m:ctrlPr>
              <w:rPr>
                <w:rFonts w:ascii="Cambria Math" w:hAnsi="Cambria Math" w:cs="Times New Roman"/>
                <w:sz w:val="22"/>
              </w:rPr>
            </m:ctrlPr>
          </m:sSubPr>
          <m:e>
            <m:r>
              <w:rPr>
                <w:rFonts w:ascii="Cambria Math" w:hAnsi="Cambria Math" w:cs="Times New Roman" w:hint="eastAsia"/>
                <w:sz w:val="22"/>
              </w:rPr>
              <m:t>d</m:t>
            </m:r>
          </m:e>
          <m:sub>
            <m:r>
              <w:rPr>
                <w:rFonts w:ascii="Cambria Math" w:hAnsi="Cambria Math" w:cs="Times New Roman"/>
                <w:sz w:val="22"/>
              </w:rPr>
              <m:t>ij</m:t>
            </m:r>
          </m:sub>
        </m:sSub>
      </m:oMath>
      <w:r w:rsidRPr="00592BC2">
        <w:rPr>
          <w:rFonts w:ascii="Times New Roman" w:hAnsi="Times New Roman" w:cs="Times New Roman"/>
          <w:sz w:val="22"/>
        </w:rPr>
        <w:t xml:space="preserve"> is less than the threshold </w:t>
      </w:r>
      <m:oMath>
        <m:sSup>
          <m:sSupPr>
            <m:ctrlPr>
              <w:rPr>
                <w:rFonts w:ascii="Cambria Math" w:hAnsi="Cambria Math" w:cs="Times New Roman"/>
                <w:sz w:val="22"/>
              </w:rPr>
            </m:ctrlPr>
          </m:sSupPr>
          <m:e>
            <m:r>
              <w:rPr>
                <w:rFonts w:ascii="Cambria Math" w:hAnsi="Cambria Math" w:cs="Times New Roman" w:hint="eastAsia"/>
                <w:sz w:val="22"/>
              </w:rPr>
              <m:t>d</m:t>
            </m:r>
          </m:e>
          <m:sup>
            <m:r>
              <m:rPr>
                <m:sty m:val="p"/>
              </m:rPr>
              <w:rPr>
                <w:rFonts w:ascii="Cambria Math" w:hAnsi="Cambria Math" w:cs="Times New Roman"/>
                <w:sz w:val="22"/>
              </w:rPr>
              <m:t>*</m:t>
            </m:r>
          </m:sup>
        </m:sSup>
      </m:oMath>
      <w:r w:rsidRPr="00592BC2">
        <w:rPr>
          <w:rFonts w:ascii="Times New Roman" w:hAnsi="Times New Roman" w:cs="Times New Roman"/>
          <w:sz w:val="22"/>
        </w:rPr>
        <w:t xml:space="preserve">, we set </w:t>
      </w:r>
      <m:oMath>
        <m:sSubSup>
          <m:sSubSupPr>
            <m:ctrlPr>
              <w:rPr>
                <w:rFonts w:ascii="Cambria Math" w:hAnsi="Cambria Math" w:cs="Times New Roman"/>
                <w:sz w:val="22"/>
              </w:rPr>
            </m:ctrlPr>
          </m:sSubSupPr>
          <m:e>
            <m:r>
              <w:rPr>
                <w:rFonts w:ascii="Cambria Math" w:hAnsi="Cambria Math" w:cs="Times New Roman"/>
                <w:sz w:val="22"/>
              </w:rPr>
              <m:t>w</m:t>
            </m:r>
          </m:e>
          <m:sub>
            <m:r>
              <w:rPr>
                <w:rFonts w:ascii="Cambria Math" w:hAnsi="Cambria Math" w:cs="Times New Roman"/>
                <w:sz w:val="22"/>
              </w:rPr>
              <m:t>ij</m:t>
            </m:r>
          </m:sub>
          <m:sup>
            <m:r>
              <m:rPr>
                <m:sty m:val="p"/>
              </m:rPr>
              <w:rPr>
                <w:rFonts w:ascii="Cambria Math" w:hAnsi="Cambria Math" w:cs="Times New Roman"/>
                <w:sz w:val="22"/>
              </w:rPr>
              <m:t>2</m:t>
            </m:r>
          </m:sup>
        </m:sSubSup>
        <m:r>
          <m:rPr>
            <m:sty m:val="p"/>
          </m:rPr>
          <w:rPr>
            <w:rFonts w:ascii="Cambria Math" w:hAnsi="Cambria Math" w:cs="Times New Roman"/>
            <w:sz w:val="22"/>
          </w:rPr>
          <m:t>=1</m:t>
        </m:r>
      </m:oMath>
      <w:r w:rsidRPr="00592BC2">
        <w:rPr>
          <w:rFonts w:ascii="Times New Roman" w:hAnsi="Times New Roman" w:cs="Times New Roman"/>
          <w:sz w:val="22"/>
        </w:rPr>
        <w:t xml:space="preserve">, otherwise </w:t>
      </w:r>
      <m:oMath>
        <m:sSubSup>
          <m:sSubSupPr>
            <m:ctrlPr>
              <w:rPr>
                <w:rFonts w:ascii="Cambria Math" w:hAnsi="Cambria Math" w:cs="Times New Roman"/>
                <w:sz w:val="22"/>
              </w:rPr>
            </m:ctrlPr>
          </m:sSubSupPr>
          <m:e>
            <m:r>
              <w:rPr>
                <w:rFonts w:ascii="Cambria Math" w:hAnsi="Cambria Math" w:cs="Times New Roman"/>
                <w:sz w:val="22"/>
              </w:rPr>
              <m:t>w</m:t>
            </m:r>
          </m:e>
          <m:sub>
            <m:r>
              <w:rPr>
                <w:rFonts w:ascii="Cambria Math" w:hAnsi="Cambria Math" w:cs="Times New Roman"/>
                <w:sz w:val="22"/>
              </w:rPr>
              <m:t>ij</m:t>
            </m:r>
          </m:sub>
          <m:sup>
            <m:r>
              <m:rPr>
                <m:sty m:val="p"/>
              </m:rPr>
              <w:rPr>
                <w:rFonts w:ascii="Cambria Math" w:hAnsi="Cambria Math" w:cs="Times New Roman"/>
                <w:sz w:val="22"/>
              </w:rPr>
              <m:t>2</m:t>
            </m:r>
          </m:sup>
        </m:sSubSup>
        <m:r>
          <m:rPr>
            <m:sty m:val="p"/>
          </m:rPr>
          <w:rPr>
            <w:rFonts w:ascii="Cambria Math" w:hAnsi="Cambria Math" w:cs="Times New Roman"/>
            <w:sz w:val="22"/>
          </w:rPr>
          <m:t>=0</m:t>
        </m:r>
      </m:oMath>
      <w:r w:rsidRPr="00592BC2">
        <w:rPr>
          <w:rFonts w:ascii="Times New Roman" w:hAnsi="Times New Roman" w:cs="Times New Roman"/>
          <w:sz w:val="22"/>
        </w:rPr>
        <w:t xml:space="preserve">. We set the minimum distance between farmers (0.215 km) as the distance threshold that would allow all surveyed farmers to have at least one neighbor. This matrix assumes that farmer interactions are the same for those with a distance less than the threshold. In addition, for more densely distributed farmers, the impact of interactions on altering preferences or decisions is probably more noticeable (26). While the number of farmers surveyed in each district was determined based on the proportion of agricultural employees in each district in 2020. And the higher the proportion, the more farmers were surveyed. Accordingly, the spatial effect analysis of the survey data on farmers’ decision-making may be affected by "the missing neighbor problem" (26). That is, the very small number of neighbors of some farmers who have adopted SAPs may be related to the survey sampling, instead of the actual situation. Therefore, we included an agricultural labor intensity distance indicator </w:t>
      </w:r>
      <m:oMath>
        <m:sSub>
          <m:sSubPr>
            <m:ctrlPr>
              <w:rPr>
                <w:rFonts w:ascii="Cambria Math" w:hAnsi="Cambria Math" w:cs="Times New Roman"/>
                <w:sz w:val="22"/>
              </w:rPr>
            </m:ctrlPr>
          </m:sSubPr>
          <m:e>
            <m:r>
              <w:rPr>
                <w:rFonts w:ascii="Cambria Math" w:hAnsi="Cambria Math" w:cs="Times New Roman"/>
                <w:sz w:val="22"/>
              </w:rPr>
              <m:t>f</m:t>
            </m:r>
          </m:e>
          <m:sub>
            <m:r>
              <w:rPr>
                <w:rFonts w:ascii="Cambria Math" w:hAnsi="Cambria Math" w:cs="Times New Roman"/>
                <w:sz w:val="22"/>
              </w:rPr>
              <m:t>ij</m:t>
            </m:r>
          </m:sub>
        </m:sSub>
      </m:oMath>
      <w:r w:rsidRPr="00592BC2">
        <w:rPr>
          <w:rFonts w:ascii="Times New Roman" w:hAnsi="Times New Roman" w:cs="Times New Roman"/>
          <w:sz w:val="22"/>
        </w:rPr>
        <w:t xml:space="preserve"> to measure the average intensity of agricultural workers in the area where </w:t>
      </w:r>
      <w:r w:rsidRPr="00592BC2">
        <w:rPr>
          <w:rFonts w:ascii="Times New Roman" w:hAnsi="Times New Roman" w:cs="Times New Roman" w:hint="eastAsia"/>
          <w:sz w:val="22"/>
        </w:rPr>
        <w:t xml:space="preserve">farmer </w:t>
      </w:r>
      <m:oMath>
        <m:r>
          <w:rPr>
            <w:rFonts w:ascii="Cambria Math" w:hAnsi="Cambria Math" w:cs="Times New Roman"/>
            <w:sz w:val="22"/>
          </w:rPr>
          <m:t>i</m:t>
        </m:r>
      </m:oMath>
      <w:r w:rsidRPr="00592BC2">
        <w:rPr>
          <w:rFonts w:ascii="Times New Roman" w:hAnsi="Times New Roman" w:cs="Times New Roman" w:hint="eastAsia"/>
          <w:sz w:val="22"/>
        </w:rPr>
        <w:t xml:space="preserve"> and farmer </w:t>
      </w:r>
      <m:oMath>
        <m:r>
          <w:rPr>
            <w:rFonts w:ascii="Cambria Math" w:hAnsi="Cambria Math" w:cs="Times New Roman"/>
            <w:sz w:val="22"/>
          </w:rPr>
          <m:t>j</m:t>
        </m:r>
      </m:oMath>
      <w:r w:rsidRPr="00592BC2">
        <w:rPr>
          <w:rFonts w:ascii="Times New Roman" w:hAnsi="Times New Roman" w:cs="Times New Roman"/>
          <w:sz w:val="22"/>
        </w:rPr>
        <w:t xml:space="preserve"> are located (</w:t>
      </w:r>
      <m:oMath>
        <m:sSub>
          <m:sSubPr>
            <m:ctrlPr>
              <w:rPr>
                <w:rFonts w:ascii="Cambria Math" w:hAnsi="Cambria Math" w:cs="Times New Roman"/>
                <w:sz w:val="22"/>
              </w:rPr>
            </m:ctrlPr>
          </m:sSubPr>
          <m:e>
            <m:r>
              <w:rPr>
                <w:rFonts w:ascii="Cambria Math" w:hAnsi="Cambria Math" w:cs="Times New Roman"/>
                <w:sz w:val="22"/>
              </w:rPr>
              <m:t>f</m:t>
            </m:r>
          </m:e>
          <m:sub>
            <m:r>
              <w:rPr>
                <w:rFonts w:ascii="Cambria Math" w:hAnsi="Cambria Math" w:cs="Times New Roman"/>
                <w:sz w:val="22"/>
              </w:rPr>
              <m:t>ij</m:t>
            </m:r>
          </m:sub>
        </m:sSub>
        <m:r>
          <m:rPr>
            <m:sty m:val="p"/>
          </m:rPr>
          <w:rPr>
            <w:rFonts w:ascii="Cambria Math" w:hAnsi="Cambria Math" w:cs="Times New Roman"/>
            <w:sz w:val="22"/>
          </w:rPr>
          <m:t>=</m:t>
        </m:r>
        <m:f>
          <m:fPr>
            <m:ctrlPr>
              <w:rPr>
                <w:rFonts w:ascii="Cambria Math" w:hAnsi="Cambria Math" w:cs="Times New Roman"/>
                <w:sz w:val="22"/>
              </w:rPr>
            </m:ctrlPr>
          </m:fPr>
          <m:num>
            <m:sSub>
              <m:sSubPr>
                <m:ctrlPr>
                  <w:rPr>
                    <w:rFonts w:ascii="Cambria Math" w:hAnsi="Cambria Math" w:cs="Times New Roman"/>
                    <w:sz w:val="22"/>
                  </w:rPr>
                </m:ctrlPr>
              </m:sSubPr>
              <m:e>
                <m:r>
                  <w:rPr>
                    <w:rFonts w:ascii="Cambria Math" w:hAnsi="Cambria Math" w:cs="Times New Roman"/>
                    <w:sz w:val="22"/>
                  </w:rPr>
                  <m:t>F</m:t>
                </m:r>
              </m:e>
              <m:sub>
                <m:r>
                  <w:rPr>
                    <w:rFonts w:ascii="Cambria Math" w:hAnsi="Cambria Math" w:cs="Times New Roman"/>
                    <w:sz w:val="22"/>
                  </w:rPr>
                  <m:t>i</m:t>
                </m:r>
              </m:sub>
            </m:sSub>
            <m:r>
              <m:rPr>
                <m:sty m:val="p"/>
              </m:rPr>
              <w:rPr>
                <w:rFonts w:ascii="Cambria Math" w:hAnsi="Cambria Math" w:cs="Times New Roman"/>
                <w:sz w:val="22"/>
              </w:rPr>
              <m:t>+</m:t>
            </m:r>
            <m:sSub>
              <m:sSubPr>
                <m:ctrlPr>
                  <w:rPr>
                    <w:rFonts w:ascii="Cambria Math" w:hAnsi="Cambria Math" w:cs="Times New Roman"/>
                    <w:sz w:val="22"/>
                  </w:rPr>
                </m:ctrlPr>
              </m:sSubPr>
              <m:e>
                <m:r>
                  <w:rPr>
                    <w:rFonts w:ascii="Cambria Math" w:hAnsi="Cambria Math" w:cs="Times New Roman"/>
                    <w:sz w:val="22"/>
                  </w:rPr>
                  <m:t>F</m:t>
                </m:r>
              </m:e>
              <m:sub>
                <m:r>
                  <w:rPr>
                    <w:rFonts w:ascii="Cambria Math" w:hAnsi="Cambria Math" w:cs="Times New Roman"/>
                    <w:sz w:val="22"/>
                  </w:rPr>
                  <m:t>j</m:t>
                </m:r>
              </m:sub>
            </m:sSub>
          </m:num>
          <m:den>
            <m:r>
              <m:rPr>
                <m:sty m:val="p"/>
              </m:rPr>
              <w:rPr>
                <w:rFonts w:ascii="Cambria Math" w:hAnsi="Cambria Math" w:cs="Times New Roman"/>
                <w:sz w:val="22"/>
              </w:rPr>
              <m:t>2</m:t>
            </m:r>
          </m:den>
        </m:f>
      </m:oMath>
      <w:r w:rsidRPr="00592BC2">
        <w:rPr>
          <w:rFonts w:ascii="Times New Roman" w:hAnsi="Times New Roman" w:cs="Times New Roman"/>
          <w:sz w:val="22"/>
        </w:rPr>
        <w:t xml:space="preserve">), while setting the spatial weighting matrix. The ‘agricultural labor intensity matrix’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hint="eastAsia"/>
                <w:sz w:val="22"/>
              </w:rPr>
              <m:t>d</m:t>
            </m:r>
          </m:sub>
          <m:sup>
            <m:r>
              <m:rPr>
                <m:sty m:val="p"/>
              </m:rPr>
              <w:rPr>
                <w:rFonts w:ascii="Cambria Math" w:hAnsi="Cambria Math" w:cs="Times New Roman"/>
                <w:sz w:val="22"/>
              </w:rPr>
              <m:t>3</m:t>
            </m:r>
          </m:sup>
        </m:sSubSup>
      </m:oMath>
      <w:r w:rsidRPr="00592BC2">
        <w:rPr>
          <w:rFonts w:ascii="Times New Roman" w:hAnsi="Times New Roman" w:cs="Times New Roman"/>
          <w:sz w:val="22"/>
        </w:rPr>
        <w:t xml:space="preserve">, further sets the intensity of the spatial weights between </w:t>
      </w:r>
      <w:r w:rsidRPr="00592BC2">
        <w:rPr>
          <w:rFonts w:ascii="Times New Roman" w:hAnsi="Times New Roman" w:cs="Times New Roman" w:hint="eastAsia"/>
          <w:sz w:val="22"/>
        </w:rPr>
        <w:t xml:space="preserve">farmer </w:t>
      </w:r>
      <m:oMath>
        <m:r>
          <w:rPr>
            <w:rFonts w:ascii="Cambria Math" w:hAnsi="Cambria Math" w:cs="Times New Roman"/>
            <w:sz w:val="22"/>
          </w:rPr>
          <m:t>i</m:t>
        </m:r>
      </m:oMath>
      <w:r w:rsidRPr="00592BC2">
        <w:rPr>
          <w:rFonts w:ascii="Times New Roman" w:hAnsi="Times New Roman" w:cs="Times New Roman" w:hint="eastAsia"/>
          <w:sz w:val="22"/>
        </w:rPr>
        <w:t xml:space="preserve"> and farmer </w:t>
      </w:r>
      <m:oMath>
        <m:r>
          <w:rPr>
            <w:rFonts w:ascii="Cambria Math" w:hAnsi="Cambria Math" w:cs="Times New Roman"/>
            <w:sz w:val="22"/>
          </w:rPr>
          <m:t>j</m:t>
        </m:r>
      </m:oMath>
      <w:r w:rsidRPr="00592BC2">
        <w:rPr>
          <w:rFonts w:ascii="Times New Roman" w:hAnsi="Times New Roman" w:cs="Times New Roman"/>
          <w:sz w:val="22"/>
        </w:rPr>
        <w:t xml:space="preserve"> who are regarded as neighbors in the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2</m:t>
            </m:r>
          </m:sup>
        </m:sSubSup>
      </m:oMath>
      <w:r w:rsidRPr="00592BC2">
        <w:rPr>
          <w:rFonts w:ascii="Times New Roman" w:hAnsi="Times New Roman" w:cs="Times New Roman"/>
          <w:sz w:val="22"/>
        </w:rPr>
        <w:t xml:space="preserve"> matrix (</w:t>
      </w:r>
      <m:oMath>
        <m:sSubSup>
          <m:sSubSupPr>
            <m:ctrlPr>
              <w:rPr>
                <w:rFonts w:ascii="Cambria Math" w:hAnsi="Cambria Math" w:cs="Times New Roman"/>
                <w:sz w:val="22"/>
              </w:rPr>
            </m:ctrlPr>
          </m:sSubSupPr>
          <m:e>
            <m:r>
              <w:rPr>
                <w:rFonts w:ascii="Cambria Math" w:hAnsi="Cambria Math" w:cs="Times New Roman"/>
                <w:sz w:val="22"/>
              </w:rPr>
              <m:t>w</m:t>
            </m:r>
          </m:e>
          <m:sub>
            <m:r>
              <w:rPr>
                <w:rFonts w:ascii="Cambria Math" w:hAnsi="Cambria Math" w:cs="Times New Roman"/>
                <w:sz w:val="22"/>
              </w:rPr>
              <m:t>ij</m:t>
            </m:r>
          </m:sub>
          <m:sup>
            <m:r>
              <m:rPr>
                <m:sty m:val="p"/>
              </m:rPr>
              <w:rPr>
                <w:rFonts w:ascii="Cambria Math" w:hAnsi="Cambria Math" w:cs="Times New Roman"/>
                <w:sz w:val="22"/>
              </w:rPr>
              <m:t>2</m:t>
            </m:r>
          </m:sup>
        </m:sSubSup>
        <m:r>
          <m:rPr>
            <m:sty m:val="p"/>
          </m:rPr>
          <w:rPr>
            <w:rFonts w:ascii="Cambria Math" w:hAnsi="Cambria Math" w:cs="Times New Roman"/>
            <w:sz w:val="22"/>
          </w:rPr>
          <m:t>=1</m:t>
        </m:r>
      </m:oMath>
      <w:r w:rsidRPr="00592BC2">
        <w:rPr>
          <w:rFonts w:ascii="Times New Roman" w:hAnsi="Times New Roman" w:cs="Times New Roman"/>
          <w:sz w:val="22"/>
        </w:rPr>
        <w:t>), as the corresponding agricultural labor intensity indicator value (</w:t>
      </w:r>
      <m:oMath>
        <m:sSubSup>
          <m:sSubSupPr>
            <m:ctrlPr>
              <w:rPr>
                <w:rFonts w:ascii="Cambria Math" w:hAnsi="Cambria Math" w:cs="Times New Roman"/>
                <w:sz w:val="22"/>
              </w:rPr>
            </m:ctrlPr>
          </m:sSubSupPr>
          <m:e>
            <m:r>
              <w:rPr>
                <w:rFonts w:ascii="Cambria Math" w:hAnsi="Cambria Math" w:cs="Times New Roman"/>
                <w:sz w:val="22"/>
              </w:rPr>
              <m:t>w</m:t>
            </m:r>
          </m:e>
          <m:sub>
            <m:r>
              <w:rPr>
                <w:rFonts w:ascii="Cambria Math" w:hAnsi="Cambria Math" w:cs="Times New Roman"/>
                <w:sz w:val="22"/>
              </w:rPr>
              <m:t>ij</m:t>
            </m:r>
          </m:sub>
          <m:sup>
            <m:r>
              <m:rPr>
                <m:sty m:val="p"/>
              </m:rPr>
              <w:rPr>
                <w:rFonts w:ascii="Cambria Math" w:hAnsi="Cambria Math" w:cs="Times New Roman"/>
                <w:sz w:val="22"/>
              </w:rPr>
              <m:t>3</m:t>
            </m:r>
          </m:sup>
        </m:sSubSup>
        <m:r>
          <m:rPr>
            <m:sty m:val="p"/>
          </m:rPr>
          <w:rPr>
            <w:rFonts w:ascii="Cambria Math" w:hAnsi="Cambria Math" w:cs="Times New Roman"/>
            <w:sz w:val="22"/>
          </w:rPr>
          <m:t>=</m:t>
        </m:r>
        <m:sSub>
          <m:sSubPr>
            <m:ctrlPr>
              <w:rPr>
                <w:rFonts w:ascii="Cambria Math" w:hAnsi="Cambria Math" w:cs="Times New Roman"/>
                <w:sz w:val="22"/>
              </w:rPr>
            </m:ctrlPr>
          </m:sSubPr>
          <m:e>
            <m:r>
              <w:rPr>
                <w:rFonts w:ascii="Cambria Math" w:hAnsi="Cambria Math" w:cs="Times New Roman"/>
                <w:sz w:val="22"/>
              </w:rPr>
              <m:t>f</m:t>
            </m:r>
          </m:e>
          <m:sub>
            <m:r>
              <w:rPr>
                <w:rFonts w:ascii="Cambria Math" w:hAnsi="Cambria Math" w:cs="Times New Roman"/>
                <w:sz w:val="22"/>
              </w:rPr>
              <m:t>ij</m:t>
            </m:r>
          </m:sub>
        </m:sSub>
      </m:oMath>
      <w:r w:rsidRPr="00592BC2">
        <w:rPr>
          <w:rFonts w:ascii="Times New Roman" w:hAnsi="Times New Roman" w:cs="Times New Roman"/>
          <w:sz w:val="22"/>
        </w:rPr>
        <w:t xml:space="preserve">). This matrix assumes that the interaction between farmers whose distances are less than a threshold equals the average intensity of </w:t>
      </w:r>
      <w:r w:rsidRPr="00592BC2">
        <w:rPr>
          <w:rFonts w:ascii="Times New Roman" w:hAnsi="Times New Roman" w:cs="Times New Roman"/>
          <w:sz w:val="22"/>
        </w:rPr>
        <w:lastRenderedPageBreak/>
        <w:t>agricultural workers in the area where the farmers are located.”</w:t>
      </w:r>
    </w:p>
    <w:p w14:paraId="40B01F97" w14:textId="77777777" w:rsidR="002E5764" w:rsidRDefault="002E5764" w:rsidP="002E5764">
      <w:pPr>
        <w:spacing w:line="360" w:lineRule="auto"/>
        <w:ind w:firstLine="420"/>
        <w:rPr>
          <w:rFonts w:ascii="Times New Roman" w:hAnsi="Times New Roman" w:cs="Times New Roman"/>
          <w:sz w:val="22"/>
        </w:rPr>
      </w:pPr>
    </w:p>
    <w:p w14:paraId="3FB8BAD9" w14:textId="77777777" w:rsidR="002E5764" w:rsidRPr="007550AF" w:rsidRDefault="002E5764" w:rsidP="002E5764">
      <w:pPr>
        <w:spacing w:line="360" w:lineRule="auto"/>
        <w:ind w:firstLine="420"/>
        <w:rPr>
          <w:rFonts w:ascii="Times New Roman" w:hAnsi="Times New Roman" w:cs="Times New Roman"/>
          <w:sz w:val="22"/>
        </w:rPr>
      </w:pPr>
      <w:r>
        <w:rPr>
          <w:rFonts w:ascii="Times New Roman" w:hAnsi="Times New Roman" w:cs="Times New Roman"/>
          <w:sz w:val="22"/>
        </w:rPr>
        <w:t>“</w:t>
      </w:r>
      <w:r w:rsidRPr="00592BC2">
        <w:rPr>
          <w:rFonts w:ascii="Times New Roman" w:hAnsi="Times New Roman" w:cs="Times New Roman"/>
          <w:sz w:val="22"/>
        </w:rPr>
        <w:t>We introduced three spatial weight matrices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1</m:t>
            </m:r>
          </m:sup>
        </m:sSubSup>
      </m:oMath>
      <w:r w:rsidRPr="00592BC2">
        <w:rPr>
          <w:rFonts w:ascii="Times New Roman" w:hAnsi="Times New Roman" w:cs="Times New Roman"/>
          <w:sz w:val="22"/>
        </w:rPr>
        <w:t xml:space="preserve">,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2</m:t>
            </m:r>
          </m:sup>
        </m:sSubSup>
      </m:oMath>
      <w:r w:rsidRPr="00592BC2">
        <w:rPr>
          <w:rFonts w:ascii="Times New Roman" w:hAnsi="Times New Roman" w:cs="Times New Roman"/>
          <w:sz w:val="22"/>
        </w:rPr>
        <w:t xml:space="preserve">,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hint="eastAsia"/>
                <w:sz w:val="22"/>
              </w:rPr>
              <m:t>d</m:t>
            </m:r>
          </m:sub>
          <m:sup>
            <m:r>
              <m:rPr>
                <m:sty m:val="p"/>
              </m:rPr>
              <w:rPr>
                <w:rFonts w:ascii="Cambria Math" w:hAnsi="Cambria Math" w:cs="Times New Roman"/>
                <w:sz w:val="22"/>
              </w:rPr>
              <m:t>3</m:t>
            </m:r>
          </m:sup>
        </m:sSubSup>
      </m:oMath>
      <w:r w:rsidRPr="00592BC2">
        <w:rPr>
          <w:rFonts w:ascii="Times New Roman" w:hAnsi="Times New Roman" w:cs="Times New Roman"/>
          <w:sz w:val="22"/>
        </w:rPr>
        <w:t xml:space="preserve">) set into the Tobit MLE Spatial cross sections regression spatial regression models (SLM, SEM, SDM, and SDEM) to measure the composite adoption intensity of SAPs and the spatial effects of the specific six categories of SAPs adoption intensity, respectively. After testing, we found that the majority of the models using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2</m:t>
            </m:r>
          </m:sup>
        </m:sSubSup>
      </m:oMath>
      <w:r w:rsidRPr="00592BC2">
        <w:rPr>
          <w:rFonts w:ascii="Times New Roman" w:hAnsi="Times New Roman" w:cs="Times New Roman"/>
          <w:sz w:val="22"/>
        </w:rPr>
        <w:t xml:space="preserve"> and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hint="eastAsia"/>
                <w:sz w:val="22"/>
              </w:rPr>
              <m:t>d</m:t>
            </m:r>
          </m:sub>
          <m:sup>
            <m:r>
              <m:rPr>
                <m:sty m:val="p"/>
              </m:rPr>
              <w:rPr>
                <w:rFonts w:ascii="Cambria Math" w:hAnsi="Cambria Math" w:cs="Times New Roman"/>
                <w:sz w:val="22"/>
              </w:rPr>
              <m:t>3</m:t>
            </m:r>
          </m:sup>
        </m:sSubSup>
      </m:oMath>
      <w:r w:rsidRPr="00592BC2">
        <w:rPr>
          <w:rFonts w:ascii="Times New Roman" w:hAnsi="Times New Roman" w:cs="Times New Roman"/>
          <w:sz w:val="22"/>
        </w:rPr>
        <w:t xml:space="preserve"> passed the LR test, while none of the spatial effects measured by the inverse distance-weighted neighborhood matrix </w:t>
      </w:r>
      <m:oMath>
        <m:sSubSup>
          <m:sSubSupPr>
            <m:ctrlPr>
              <w:rPr>
                <w:rFonts w:ascii="Cambria Math" w:hAnsi="Cambria Math" w:cs="Times New Roman"/>
                <w:sz w:val="22"/>
              </w:rPr>
            </m:ctrlPr>
          </m:sSubSupPr>
          <m:e>
            <m:r>
              <w:rPr>
                <w:rFonts w:ascii="Cambria Math" w:hAnsi="Cambria Math" w:cs="Times New Roman" w:hint="eastAsia"/>
                <w:sz w:val="22"/>
              </w:rPr>
              <m:t>W</m:t>
            </m:r>
          </m:e>
          <m:sub>
            <m:r>
              <w:rPr>
                <w:rFonts w:ascii="Cambria Math" w:hAnsi="Cambria Math" w:cs="Times New Roman"/>
                <w:sz w:val="22"/>
              </w:rPr>
              <m:t>d</m:t>
            </m:r>
          </m:sub>
          <m:sup>
            <m:r>
              <m:rPr>
                <m:sty m:val="p"/>
              </m:rPr>
              <w:rPr>
                <w:rFonts w:ascii="Cambria Math" w:hAnsi="Cambria Math" w:cs="Times New Roman"/>
                <w:sz w:val="22"/>
              </w:rPr>
              <m:t>1</m:t>
            </m:r>
          </m:sup>
        </m:sSubSup>
      </m:oMath>
      <w:r w:rsidRPr="00592BC2">
        <w:rPr>
          <w:rFonts w:ascii="Times New Roman" w:hAnsi="Times New Roman" w:cs="Times New Roman"/>
          <w:sz w:val="22"/>
        </w:rPr>
        <w:t xml:space="preserve"> did. This may be due to the fact that the inverse distance weights contain complex spatial interaction effects, and the estimation of spatial dependence between farmers at different distances is not well-fitted. Using the matrices with threshold distances and agricultural labor intensity had relatively better fitting results.</w:t>
      </w:r>
      <w:r>
        <w:rPr>
          <w:rFonts w:ascii="Times New Roman" w:hAnsi="Times New Roman" w:cs="Times New Roman"/>
          <w:sz w:val="22"/>
        </w:rPr>
        <w:t>”</w:t>
      </w:r>
    </w:p>
    <w:p w14:paraId="2CE4EC40" w14:textId="77777777" w:rsidR="002E5764" w:rsidRDefault="002E5764" w:rsidP="002E5764">
      <w:pPr>
        <w:widowControl/>
        <w:spacing w:line="360" w:lineRule="auto"/>
        <w:ind w:firstLine="420"/>
        <w:rPr>
          <w:rFonts w:ascii="Times New Roman" w:eastAsia="Microsoft YaHei UI" w:hAnsi="Times New Roman" w:cs="Times New Roman"/>
          <w:kern w:val="0"/>
          <w:sz w:val="22"/>
        </w:rPr>
      </w:pPr>
    </w:p>
    <w:p w14:paraId="65482FC9"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r>
        <w:rPr>
          <w:rFonts w:ascii="Times New Roman" w:eastAsia="Microsoft YaHei UI" w:hAnsi="Times New Roman" w:cs="Times New Roman"/>
          <w:kern w:val="0"/>
          <w:sz w:val="22"/>
        </w:rPr>
        <w:tab/>
      </w:r>
    </w:p>
    <w:p w14:paraId="1D5E1860"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#3. </w:t>
      </w:r>
      <w:r w:rsidRPr="00F250D3">
        <w:rPr>
          <w:rFonts w:ascii="Times New Roman" w:eastAsia="Microsoft YaHei UI" w:hAnsi="Times New Roman" w:cs="Times New Roman"/>
          <w:bCs/>
          <w:kern w:val="0"/>
          <w:sz w:val="22"/>
        </w:rPr>
        <w:t>There may exist some subjectivity in the evaluation index system of sustainable agricultural practices. The scoring by different experts could be biased. The reliability of the scores needs elaboration.</w:t>
      </w:r>
    </w:p>
    <w:p w14:paraId="3DD9D2FF"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68805C59"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We have rewritten the </w:t>
      </w:r>
      <w:r>
        <w:rPr>
          <w:rFonts w:ascii="Times New Roman" w:eastAsia="Microsoft YaHei UI" w:hAnsi="Times New Roman" w:cs="Times New Roman"/>
          <w:kern w:val="0"/>
          <w:sz w:val="22"/>
        </w:rPr>
        <w:t xml:space="preserve">description of evaluation index system in </w:t>
      </w:r>
      <w:r w:rsidRPr="00656899">
        <w:rPr>
          <w:rFonts w:ascii="Times New Roman" w:eastAsia="Microsoft YaHei UI" w:hAnsi="Times New Roman" w:cs="Times New Roman"/>
          <w:kern w:val="0"/>
          <w:sz w:val="22"/>
        </w:rPr>
        <w:t>3.2.1. Dependent variables</w:t>
      </w:r>
      <w:r>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275</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307</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10</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1F63A8C3"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656899">
        <w:rPr>
          <w:rFonts w:ascii="Times New Roman" w:eastAsia="Microsoft YaHei UI" w:hAnsi="Times New Roman" w:cs="Times New Roman"/>
          <w:bCs/>
          <w:kern w:val="0"/>
          <w:sz w:val="22"/>
        </w:rPr>
        <w:t>Farmers' farming practices are characterized by diversity and complexity, and different behaviors may have different levels of impact on agricultural sustainability. Therefore, we combined relevant studies (16, 27), experts' advice, and farmers</w:t>
      </w:r>
      <w:r>
        <w:rPr>
          <w:rFonts w:ascii="Times New Roman" w:eastAsia="Microsoft YaHei UI" w:hAnsi="Times New Roman" w:cs="Times New Roman"/>
          <w:bCs/>
          <w:kern w:val="0"/>
          <w:sz w:val="22"/>
        </w:rPr>
        <w:t>’</w:t>
      </w:r>
      <w:r w:rsidRPr="00656899">
        <w:rPr>
          <w:rFonts w:ascii="Times New Roman" w:eastAsia="Microsoft YaHei UI" w:hAnsi="Times New Roman" w:cs="Times New Roman"/>
          <w:bCs/>
          <w:kern w:val="0"/>
          <w:sz w:val="22"/>
        </w:rPr>
        <w:t xml:space="preserve"> feedback (10) to collect farmers’ adoption of SAPs in six aspects: nutrient cycling, pest control, disease control, weed treatment, diversification, and farm certification. While evaluating the sustainability level of farmers' farming strategies, we adopted expert scoring and counting methods to calculate the weights, and obtained two sets of scores. Considering that the difficulty and ecological impact of various practices vary, we assigned scores to the various practices based on expert advice and applied the entropy weighting method to calculate the weights of each type of practices </w:t>
      </w:r>
      <w:r w:rsidRPr="00656899">
        <w:rPr>
          <w:rFonts w:ascii="Times New Roman" w:eastAsia="Microsoft YaHei UI" w:hAnsi="Times New Roman" w:cs="Times New Roman"/>
          <w:bCs/>
          <w:kern w:val="0"/>
          <w:sz w:val="22"/>
        </w:rPr>
        <w:lastRenderedPageBreak/>
        <w:t>(the specific description and weight values of the indicator system are shown in Table 1), as well as the farmer’s score on the adoption of each type of SAPs and the composite sustainability score (recorded as score 1). Specifically, the scores for the nutrient cycling, pest control, disease control, and weed treatment were mainly judged by whether the practice relied on external inputs, and the role of the practice in restoring the ecosystem's material cycle and improving the ecosystem's ability to selfregulate. For example, insecticides, pesticides, and herbicides are all external inputs and pose a threat to the ecosystem and physical health, so they are all assigned a value of 0. The scores for diversification are based on the combination of planting and breeding, and the abundance of species. The combination of planting and raising helps the farm to recycle materials, while monoculture makes the ecosystem more fragile (11). For the farm certification scores, we refer to the difficulty of getting different certifications to assign values, such as organic product certification is relatively the most difficult and costly, so is assigned the highest value. Besides, considering that there is a certain degree of subjectivity in the scoring of experts and that experts’ views on certain SAPs may differ from that of farmers. Therefore, we counted the number of types of various SAPs adopted by farmers and calculated the weights and scores of each type of SAPs and the composite sustainability score (recorded as score 2). In addition, we also set the dummy variable Sustainable to distinguish whether farmers have adopted SAPs or not (see Table 2).</w:t>
      </w:r>
      <w:r w:rsidRPr="007550AF">
        <w:rPr>
          <w:rFonts w:ascii="Times New Roman" w:eastAsia="Microsoft YaHei UI" w:hAnsi="Times New Roman" w:cs="Times New Roman"/>
          <w:bCs/>
          <w:kern w:val="0"/>
          <w:sz w:val="22"/>
        </w:rPr>
        <w:t>”</w:t>
      </w:r>
    </w:p>
    <w:p w14:paraId="4D4DFFEE"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4460250D"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377A4A86"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#4. </w:t>
      </w:r>
      <w:r w:rsidRPr="00F250D3">
        <w:rPr>
          <w:rFonts w:ascii="Times New Roman" w:eastAsia="Microsoft YaHei UI" w:hAnsi="Times New Roman" w:cs="Times New Roman"/>
          <w:bCs/>
          <w:kern w:val="0"/>
          <w:sz w:val="22"/>
        </w:rPr>
        <w:t>The sample size is only 174 households. Whether it can represent the overall situation in the study area and meet the requirements of model estimation needs explanation.</w:t>
      </w:r>
    </w:p>
    <w:p w14:paraId="6989D89C"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6847C205"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We have </w:t>
      </w:r>
      <w:r>
        <w:rPr>
          <w:rFonts w:ascii="Times New Roman" w:eastAsia="Microsoft YaHei UI" w:hAnsi="Times New Roman" w:cs="Times New Roman"/>
          <w:kern w:val="0"/>
          <w:sz w:val="22"/>
        </w:rPr>
        <w:t xml:space="preserve">rewritten </w:t>
      </w:r>
      <w:r w:rsidRPr="009A4E00">
        <w:rPr>
          <w:rFonts w:ascii="Times New Roman" w:eastAsia="Microsoft YaHei UI" w:hAnsi="Times New Roman" w:cs="Times New Roman"/>
          <w:kern w:val="0"/>
          <w:sz w:val="22"/>
        </w:rPr>
        <w:t xml:space="preserve">3.3. Data sources </w:t>
      </w:r>
      <w:r>
        <w:rPr>
          <w:rFonts w:ascii="Times New Roman" w:eastAsia="Microsoft YaHei UI" w:hAnsi="Times New Roman" w:cs="Times New Roman"/>
          <w:kern w:val="0"/>
          <w:sz w:val="22"/>
        </w:rPr>
        <w:t xml:space="preserve">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376</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391</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14</w:t>
      </w:r>
      <w:r w:rsidRPr="007550AF">
        <w:rPr>
          <w:rFonts w:ascii="Times New Roman" w:eastAsia="Microsoft YaHei UI" w:hAnsi="Times New Roman" w:cs="Times New Roman"/>
          <w:kern w:val="0"/>
          <w:sz w:val="22"/>
          <w:highlight w:val="yellow"/>
        </w:rPr>
        <w:t>)</w:t>
      </w:r>
      <w:r>
        <w:rPr>
          <w:rFonts w:ascii="Times New Roman" w:eastAsia="Microsoft YaHei UI" w:hAnsi="Times New Roman" w:cs="Times New Roman"/>
          <w:kern w:val="0"/>
          <w:sz w:val="22"/>
        </w:rPr>
        <w:t xml:space="preserve"> to better explain the sampling and added the </w:t>
      </w:r>
      <w:r w:rsidRPr="00192C79">
        <w:rPr>
          <w:rFonts w:ascii="Times New Roman" w:eastAsia="Microsoft YaHei UI" w:hAnsi="Times New Roman" w:cs="Times New Roman"/>
          <w:kern w:val="0"/>
          <w:sz w:val="22"/>
        </w:rPr>
        <w:t xml:space="preserve">acknowledge </w:t>
      </w:r>
      <w:r>
        <w:rPr>
          <w:rFonts w:ascii="Times New Roman" w:eastAsia="Microsoft YaHei UI" w:hAnsi="Times New Roman" w:cs="Times New Roman"/>
          <w:kern w:val="0"/>
          <w:sz w:val="22"/>
        </w:rPr>
        <w:t>of sampling</w:t>
      </w:r>
      <w:r w:rsidRPr="00192C79">
        <w:rPr>
          <w:rFonts w:ascii="Times New Roman" w:eastAsia="Microsoft YaHei UI" w:hAnsi="Times New Roman" w:cs="Times New Roman"/>
          <w:kern w:val="0"/>
          <w:sz w:val="22"/>
        </w:rPr>
        <w:t xml:space="preserve"> limitations </w:t>
      </w:r>
      <w:r>
        <w:rPr>
          <w:rFonts w:ascii="Times New Roman" w:eastAsia="Microsoft YaHei UI" w:hAnsi="Times New Roman" w:cs="Times New Roman"/>
          <w:kern w:val="0"/>
          <w:sz w:val="22"/>
        </w:rPr>
        <w:t xml:space="preserve">and </w:t>
      </w:r>
      <w:r w:rsidRPr="00192C79">
        <w:rPr>
          <w:rFonts w:ascii="Times New Roman" w:eastAsia="Microsoft YaHei UI" w:hAnsi="Times New Roman" w:cs="Times New Roman"/>
          <w:kern w:val="0"/>
          <w:sz w:val="22"/>
        </w:rPr>
        <w:t xml:space="preserve">prospects </w:t>
      </w:r>
      <w:r>
        <w:rPr>
          <w:rFonts w:ascii="Times New Roman" w:eastAsia="Microsoft YaHei UI" w:hAnsi="Times New Roman" w:cs="Times New Roman"/>
          <w:kern w:val="0"/>
          <w:sz w:val="22"/>
        </w:rPr>
        <w:t xml:space="preserve">for future study in </w:t>
      </w:r>
      <w:r w:rsidRPr="00192C79">
        <w:rPr>
          <w:rFonts w:ascii="Times New Roman" w:eastAsia="Microsoft YaHei UI" w:hAnsi="Times New Roman" w:cs="Times New Roman"/>
          <w:bCs/>
          <w:kern w:val="0"/>
          <w:sz w:val="22"/>
        </w:rPr>
        <w:t>6. Conclusions</w:t>
      </w:r>
      <w:r w:rsidRPr="007550AF">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809</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 xml:space="preserve">814 </w:t>
      </w:r>
      <w:r w:rsidRPr="007550AF">
        <w:rPr>
          <w:rFonts w:ascii="Times New Roman" w:eastAsia="等线" w:hAnsi="Times New Roman" w:cs="Times New Roman"/>
          <w:kern w:val="0"/>
          <w:sz w:val="22"/>
          <w:highlight w:val="yellow"/>
        </w:rPr>
        <w:t xml:space="preserve">of Page </w:t>
      </w:r>
      <w:r>
        <w:rPr>
          <w:rFonts w:ascii="Times New Roman" w:eastAsia="等线" w:hAnsi="Times New Roman" w:cs="Times New Roman"/>
          <w:kern w:val="0"/>
          <w:sz w:val="22"/>
          <w:highlight w:val="yellow"/>
        </w:rPr>
        <w:t>28</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23EB227E" w14:textId="77777777" w:rsidR="002E5764" w:rsidRDefault="002E5764" w:rsidP="002E5764">
      <w:pPr>
        <w:spacing w:line="360" w:lineRule="auto"/>
        <w:ind w:firstLine="420"/>
        <w:rPr>
          <w:rFonts w:ascii="Times New Roman" w:eastAsia="Microsoft YaHei UI" w:hAnsi="Times New Roman" w:cs="Times New Roman"/>
          <w:bCs/>
          <w:kern w:val="0"/>
          <w:sz w:val="22"/>
        </w:rPr>
      </w:pPr>
      <w:r w:rsidRPr="007550AF">
        <w:rPr>
          <w:rFonts w:ascii="Times New Roman" w:eastAsia="Microsoft YaHei UI" w:hAnsi="Times New Roman" w:cs="Times New Roman"/>
          <w:bCs/>
          <w:kern w:val="0"/>
          <w:sz w:val="22"/>
        </w:rPr>
        <w:t>“</w:t>
      </w:r>
      <w:r w:rsidRPr="006D5622">
        <w:rPr>
          <w:rFonts w:ascii="Times New Roman" w:eastAsia="Microsoft YaHei UI" w:hAnsi="Times New Roman" w:cs="Times New Roman"/>
          <w:bCs/>
          <w:kern w:val="0"/>
          <w:sz w:val="22"/>
        </w:rPr>
        <w:t xml:space="preserve">The empirical data used in this paper is derived from a survey conducted in June 2021 in the suburbs of Nanjing, China (10). The case study of Nanjing is located in an important economic center in eastern China, where the local government has long placed priority on the </w:t>
      </w:r>
      <w:r w:rsidRPr="006D5622">
        <w:rPr>
          <w:rFonts w:ascii="Times New Roman" w:eastAsia="Microsoft YaHei UI" w:hAnsi="Times New Roman" w:cs="Times New Roman"/>
          <w:bCs/>
          <w:kern w:val="0"/>
          <w:sz w:val="22"/>
        </w:rPr>
        <w:lastRenderedPageBreak/>
        <w:t>growth of ecological agriculture (57, 58). And a survey indicated that the city’s high-quality land resources have attracted a large number of ‘new farmers’ to agriculture sector (59). Therefore, studying farmers' transformation and sustain-able agricultural development in Nanjing is of great reference significance and can provide instructive suggestions for agricultural development in other metropolitan areas. Specifically, we first identified the survey areas based on the current status of arable land in each district of Nanjing, including Luhe (41 samples), Pukou (27 samples), Qixia (17 samples), Jiangning (56 samples), and Lishui (33 samples) District (See Figure 2). Further, we determined the expected sample size for the survey in each district with reference to the proportion of agricultural labor in these five districts from the Nanjing Statistical Yearbook 2021 (60). We conducted a field survey by using the snowball sampling methods and surveyed a total of 174 farmers.</w:t>
      </w:r>
      <w:r w:rsidRPr="007550AF">
        <w:rPr>
          <w:rFonts w:ascii="Times New Roman" w:eastAsia="Microsoft YaHei UI" w:hAnsi="Times New Roman" w:cs="Times New Roman"/>
          <w:bCs/>
          <w:kern w:val="0"/>
          <w:sz w:val="22"/>
        </w:rPr>
        <w:t>”</w:t>
      </w:r>
    </w:p>
    <w:p w14:paraId="0E970C1A" w14:textId="77777777" w:rsidR="002E5764" w:rsidRPr="007550AF" w:rsidRDefault="002E5764" w:rsidP="002E5764">
      <w:pPr>
        <w:spacing w:line="360" w:lineRule="auto"/>
        <w:ind w:firstLine="420"/>
        <w:rPr>
          <w:rFonts w:ascii="Times New Roman" w:hAnsi="Times New Roman" w:cs="Times New Roman"/>
          <w:sz w:val="22"/>
        </w:rPr>
      </w:pPr>
    </w:p>
    <w:p w14:paraId="53B7EA21"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192C79">
        <w:rPr>
          <w:rFonts w:ascii="Times New Roman" w:eastAsia="Microsoft YaHei UI" w:hAnsi="Times New Roman" w:cs="Times New Roman"/>
          <w:bCs/>
          <w:kern w:val="0"/>
          <w:sz w:val="22"/>
        </w:rPr>
        <w:t>In addition, our findings are based on cross-sectional data of surveyed farmers in Nanjing, which could not represent the whole country. And it is also difficult to broaden into a timeseries panel analysis and explore the influence of pioneers on farmers</w:t>
      </w:r>
      <w:r>
        <w:rPr>
          <w:rFonts w:ascii="Times New Roman" w:eastAsia="Microsoft YaHei UI" w:hAnsi="Times New Roman" w:cs="Times New Roman"/>
          <w:bCs/>
          <w:kern w:val="0"/>
          <w:sz w:val="22"/>
        </w:rPr>
        <w:t>’</w:t>
      </w:r>
      <w:r w:rsidRPr="00192C79">
        <w:rPr>
          <w:rFonts w:ascii="Times New Roman" w:eastAsia="Microsoft YaHei UI" w:hAnsi="Times New Roman" w:cs="Times New Roman"/>
          <w:bCs/>
          <w:kern w:val="0"/>
          <w:sz w:val="22"/>
        </w:rPr>
        <w:t xml:space="preserve"> decisions. To this end, subsequent studies could further explore and improve the indicator system for evaluating farmers’ adoption of sustainable agricultural practices by expanding the survey sample.</w:t>
      </w:r>
      <w:r w:rsidRPr="007550AF">
        <w:rPr>
          <w:rFonts w:ascii="Times New Roman" w:eastAsia="Microsoft YaHei UI" w:hAnsi="Times New Roman" w:cs="Times New Roman"/>
          <w:bCs/>
          <w:kern w:val="0"/>
          <w:sz w:val="22"/>
        </w:rPr>
        <w:t>”</w:t>
      </w:r>
    </w:p>
    <w:p w14:paraId="519DE607" w14:textId="77777777" w:rsidR="002E5764" w:rsidRPr="00691D6B" w:rsidRDefault="002E5764" w:rsidP="002E5764">
      <w:pPr>
        <w:spacing w:line="360" w:lineRule="auto"/>
        <w:ind w:firstLine="420"/>
        <w:rPr>
          <w:rFonts w:ascii="Times New Roman" w:hAnsi="Times New Roman" w:cs="Times New Roman"/>
          <w:sz w:val="22"/>
        </w:rPr>
      </w:pPr>
    </w:p>
    <w:p w14:paraId="318E85EB"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r>
        <w:rPr>
          <w:rFonts w:ascii="Times New Roman" w:eastAsia="Microsoft YaHei UI" w:hAnsi="Times New Roman" w:cs="Times New Roman"/>
          <w:kern w:val="0"/>
          <w:sz w:val="22"/>
        </w:rPr>
        <w:tab/>
      </w:r>
    </w:p>
    <w:p w14:paraId="43B44703"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#5. </w:t>
      </w:r>
      <w:r w:rsidRPr="00F250D3">
        <w:rPr>
          <w:rFonts w:ascii="Times New Roman" w:eastAsia="Microsoft YaHei UI" w:hAnsi="Times New Roman" w:cs="Times New Roman"/>
          <w:bCs/>
          <w:kern w:val="0"/>
          <w:sz w:val="22"/>
        </w:rPr>
        <w:t>The definition and scope of the concept "new farmers" are not clear enough in the paper.</w:t>
      </w:r>
    </w:p>
    <w:p w14:paraId="7615123B"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216960F7"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We </w:t>
      </w:r>
      <w:r>
        <w:rPr>
          <w:rFonts w:ascii="Times New Roman" w:eastAsia="Microsoft YaHei UI" w:hAnsi="Times New Roman" w:cs="Times New Roman"/>
          <w:kern w:val="0"/>
          <w:sz w:val="22"/>
        </w:rPr>
        <w:t xml:space="preserve">added the description of new farmer’s definition in </w:t>
      </w:r>
      <w:r w:rsidRPr="00DA218F">
        <w:rPr>
          <w:rFonts w:ascii="Times New Roman" w:eastAsia="Microsoft YaHei UI" w:hAnsi="Times New Roman" w:cs="Times New Roman"/>
          <w:kern w:val="0"/>
          <w:sz w:val="22"/>
        </w:rPr>
        <w:t>1. Introduction</w:t>
      </w:r>
      <w:r>
        <w:rPr>
          <w:rFonts w:ascii="Times New Roman" w:eastAsia="Microsoft YaHei UI" w:hAnsi="Times New Roman" w:cs="Times New Roman"/>
          <w:kern w:val="0"/>
          <w:sz w:val="22"/>
        </w:rPr>
        <w:t xml:space="preserve"> section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62</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88</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62B99D33"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DA218F">
        <w:rPr>
          <w:rFonts w:ascii="Times New Roman" w:hAnsi="Times New Roman" w:cs="Times New Roman"/>
          <w:sz w:val="22"/>
        </w:rPr>
        <w:t xml:space="preserve">During the rapid transformation phase to modern agriculture, new urban-rural population migration trends have emerged, influenced by policies such as the popularity of rural ecommerce, the new professional farmer training program (17), the policy of supporting graduates in farming (18), and the “Three Villages Project”, which supports citizens, capable people and enterprises to set up businesses in the countryside (19). In addition to the existing </w:t>
      </w:r>
      <w:r w:rsidRPr="00DA218F">
        <w:rPr>
          <w:rFonts w:ascii="Times New Roman" w:hAnsi="Times New Roman" w:cs="Times New Roman"/>
          <w:sz w:val="22"/>
        </w:rPr>
        <w:lastRenderedPageBreak/>
        <w:t>rural-urban migration of farmers, many rural-urban, urban-rural and rural-rural agricultural migrants have emerged in rural areas and sub-urbs of large cities. Among them, cross-border entrepreneurial groups (e.g., citizens, graduates, returning farmers, etc.) who actively migrate from urban to rural areas and from non-agricultural to agricultural sectors are considered as the “New Farmers” by researchers (20, 21). Our study combines the views of different researchers and argues that "new farmers" have a comprehensive Internet and marketing mindset, hold the principle of sustainable development, master modern agricultural technology, are younger than traditional farmers, and have a higher level of education on average (20, 22). Although the definition of the new farmers and related statistical data standards have not yet been unified, the scale of the new farmers should not be underestimated, judging from the data of various types of people returning to their hometowns or entering the countryside to carry out innovation and entrepreneurship released by the Ministry of Agriculture and Rural Affairs of China, which by the end of 2022, the cumulative amount has reached 12.2 million (23). A rising number of studies have shown that the emergence and development of new farmers have contributed to the transformation of farmers’ structural and agriculture, and brought new impetus to the development of sustainable agriculture (24). Exploring the spatial effects of new farmers</w:t>
      </w:r>
      <w:r>
        <w:rPr>
          <w:rFonts w:ascii="Times New Roman" w:hAnsi="Times New Roman" w:cs="Times New Roman"/>
          <w:sz w:val="22"/>
        </w:rPr>
        <w:t>’</w:t>
      </w:r>
      <w:r w:rsidRPr="00DA218F">
        <w:rPr>
          <w:rFonts w:ascii="Times New Roman" w:hAnsi="Times New Roman" w:cs="Times New Roman"/>
          <w:sz w:val="22"/>
        </w:rPr>
        <w:t xml:space="preserve"> farming decisions is of great practical significance for the development of farmer training programs.</w:t>
      </w:r>
      <w:r w:rsidRPr="007550AF">
        <w:rPr>
          <w:rFonts w:ascii="Times New Roman" w:eastAsia="Microsoft YaHei UI" w:hAnsi="Times New Roman" w:cs="Times New Roman"/>
          <w:bCs/>
          <w:kern w:val="0"/>
          <w:sz w:val="22"/>
        </w:rPr>
        <w:t>”</w:t>
      </w:r>
    </w:p>
    <w:p w14:paraId="05D09395"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2DBA7DBE"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6676A7DB"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 xml:space="preserve">Comment #6. </w:t>
      </w:r>
      <w:r w:rsidRPr="00F250D3">
        <w:rPr>
          <w:rFonts w:ascii="Times New Roman" w:eastAsia="Microsoft YaHei UI" w:hAnsi="Times New Roman" w:cs="Times New Roman"/>
          <w:bCs/>
          <w:kern w:val="0"/>
          <w:sz w:val="22"/>
        </w:rPr>
        <w:t>The paper compares new farmers with traditional ones but does not control other differences (e.g. education level) between the two groups, which may lead to omitted variable bias.</w:t>
      </w:r>
    </w:p>
    <w:p w14:paraId="7112617C"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6932C596"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D160DF">
        <w:rPr>
          <w:rFonts w:ascii="Times New Roman" w:hAnsi="Times New Roman" w:cs="Times New Roman"/>
          <w:sz w:val="22"/>
        </w:rPr>
        <w:t>Farmer's age, education level, whether he/she is a professional farmer, and farm operation may be factors that contribute to the differences in decision making between new farmers and traditional farmers. Therefore, we added two sets of covariates, farmer characteristics and farm operation characteristics to our model</w:t>
      </w:r>
      <w:r>
        <w:rPr>
          <w:rFonts w:ascii="Times New Roman" w:hAnsi="Times New Roman" w:cs="Times New Roman"/>
          <w:sz w:val="22"/>
        </w:rPr>
        <w:t xml:space="preserve">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326</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367</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13</w:t>
      </w:r>
      <w:r w:rsidRPr="007550AF">
        <w:rPr>
          <w:rFonts w:ascii="Times New Roman" w:eastAsia="Microsoft YaHei UI" w:hAnsi="Times New Roman" w:cs="Times New Roman"/>
          <w:kern w:val="0"/>
          <w:sz w:val="22"/>
          <w:highlight w:val="yellow"/>
        </w:rPr>
        <w:t>)</w:t>
      </w:r>
      <w:r w:rsidRPr="00D160DF">
        <w:rPr>
          <w:rFonts w:ascii="Times New Roman" w:hAnsi="Times New Roman" w:cs="Times New Roman"/>
          <w:sz w:val="22"/>
        </w:rPr>
        <w:t>.</w:t>
      </w:r>
      <w:r w:rsidRPr="00D160DF">
        <w:t xml:space="preserve"> </w:t>
      </w:r>
      <w:r w:rsidRPr="00D160DF">
        <w:rPr>
          <w:rFonts w:ascii="Times New Roman" w:hAnsi="Times New Roman" w:cs="Times New Roman"/>
          <w:sz w:val="22"/>
        </w:rPr>
        <w:t xml:space="preserve">We analyzed the estimation results of the covariates of farmer characteristics and farm business characteristics in the section describing the impact of </w:t>
      </w:r>
      <w:r w:rsidRPr="00D160DF">
        <w:rPr>
          <w:rFonts w:ascii="Times New Roman" w:hAnsi="Times New Roman" w:cs="Times New Roman"/>
          <w:sz w:val="22"/>
        </w:rPr>
        <w:lastRenderedPageBreak/>
        <w:t xml:space="preserve">new farmers on composite </w:t>
      </w:r>
      <w:r>
        <w:rPr>
          <w:rFonts w:ascii="Times New Roman" w:hAnsi="Times New Roman" w:cs="Times New Roman"/>
          <w:sz w:val="22"/>
        </w:rPr>
        <w:t xml:space="preserve">adoption extent of </w:t>
      </w:r>
      <w:r w:rsidRPr="00D160DF">
        <w:rPr>
          <w:rFonts w:ascii="Times New Roman" w:hAnsi="Times New Roman" w:cs="Times New Roman"/>
          <w:sz w:val="22"/>
        </w:rPr>
        <w:t xml:space="preserve">sustainable agricultural practices as well as on specific </w:t>
      </w:r>
      <w:r>
        <w:rPr>
          <w:rFonts w:ascii="Times New Roman" w:hAnsi="Times New Roman" w:cs="Times New Roman"/>
          <w:sz w:val="22"/>
        </w:rPr>
        <w:t xml:space="preserve">adoption extent of 6 types of </w:t>
      </w:r>
      <w:r w:rsidRPr="00D160DF">
        <w:rPr>
          <w:rFonts w:ascii="Times New Roman" w:hAnsi="Times New Roman" w:cs="Times New Roman"/>
          <w:sz w:val="22"/>
        </w:rPr>
        <w:t>sustainable agricultural practices</w:t>
      </w:r>
      <w:r>
        <w:rPr>
          <w:rFonts w:ascii="Times New Roman" w:hAnsi="Times New Roman" w:cs="Times New Roman"/>
          <w:sz w:val="22"/>
        </w:rPr>
        <w:t xml:space="preserve">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sidRPr="0061224E">
        <w:rPr>
          <w:rFonts w:ascii="Times New Roman" w:eastAsia="等线" w:hAnsi="Times New Roman" w:cs="Times New Roman"/>
          <w:kern w:val="0"/>
          <w:sz w:val="22"/>
          <w:highlight w:val="yellow"/>
        </w:rPr>
        <w:t>4</w:t>
      </w:r>
      <w:r>
        <w:rPr>
          <w:rFonts w:ascii="Times New Roman" w:eastAsia="等线" w:hAnsi="Times New Roman" w:cs="Times New Roman"/>
          <w:kern w:val="0"/>
          <w:sz w:val="22"/>
          <w:highlight w:val="yellow"/>
        </w:rPr>
        <w:t>62</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 xml:space="preserve">19 </w:t>
      </w:r>
      <w:r w:rsidRPr="007550AF">
        <w:rPr>
          <w:rFonts w:ascii="Times New Roman" w:eastAsia="等线" w:hAnsi="Times New Roman" w:cs="Times New Roman"/>
          <w:kern w:val="0"/>
          <w:sz w:val="22"/>
          <w:highlight w:val="yellow"/>
        </w:rPr>
        <w:t xml:space="preserve">to line </w:t>
      </w:r>
      <w:r>
        <w:rPr>
          <w:rFonts w:ascii="Times New Roman" w:eastAsia="等线" w:hAnsi="Times New Roman" w:cs="Times New Roman"/>
          <w:kern w:val="0"/>
          <w:sz w:val="22"/>
          <w:highlight w:val="yellow"/>
        </w:rPr>
        <w:t>477</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 xml:space="preserve">20 and </w:t>
      </w:r>
      <w:r w:rsidRPr="007550AF">
        <w:rPr>
          <w:rFonts w:ascii="Times New Roman" w:eastAsia="等线" w:hAnsi="Times New Roman" w:cs="Times New Roman"/>
          <w:kern w:val="0"/>
          <w:sz w:val="22"/>
          <w:highlight w:val="yellow"/>
        </w:rPr>
        <w:t xml:space="preserve">line </w:t>
      </w:r>
      <w:r w:rsidRPr="0061224E">
        <w:rPr>
          <w:rFonts w:ascii="Times New Roman" w:eastAsia="等线" w:hAnsi="Times New Roman" w:cs="Times New Roman"/>
          <w:kern w:val="0"/>
          <w:sz w:val="22"/>
          <w:highlight w:val="yellow"/>
        </w:rPr>
        <w:t>4</w:t>
      </w:r>
      <w:r>
        <w:rPr>
          <w:rFonts w:ascii="Times New Roman" w:eastAsia="等线" w:hAnsi="Times New Roman" w:cs="Times New Roman"/>
          <w:kern w:val="0"/>
          <w:sz w:val="22"/>
          <w:highlight w:val="yellow"/>
        </w:rPr>
        <w:t>88</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501</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20</w:t>
      </w:r>
      <w:r w:rsidRPr="007550AF">
        <w:rPr>
          <w:rFonts w:ascii="Times New Roman" w:eastAsia="Microsoft YaHei UI" w:hAnsi="Times New Roman" w:cs="Times New Roman"/>
          <w:kern w:val="0"/>
          <w:sz w:val="22"/>
          <w:highlight w:val="yellow"/>
        </w:rPr>
        <w:t>)</w:t>
      </w:r>
      <w:r w:rsidRPr="00D160DF">
        <w:rPr>
          <w:rFonts w:ascii="Times New Roman" w:hAnsi="Times New Roman" w:cs="Times New Roman"/>
          <w:sz w:val="22"/>
        </w:rPr>
        <w:t>.</w:t>
      </w:r>
      <w:r>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The </w:t>
      </w:r>
      <w:r>
        <w:rPr>
          <w:rFonts w:ascii="Times New Roman" w:eastAsia="Microsoft YaHei UI" w:hAnsi="Times New Roman" w:cs="Times New Roman"/>
          <w:kern w:val="0"/>
          <w:sz w:val="22"/>
        </w:rPr>
        <w:t>relevant content</w:t>
      </w:r>
      <w:r w:rsidRPr="007550AF">
        <w:rPr>
          <w:rFonts w:ascii="Times New Roman" w:eastAsia="Microsoft YaHei UI" w:hAnsi="Times New Roman" w:cs="Times New Roman"/>
          <w:kern w:val="0"/>
          <w:sz w:val="22"/>
        </w:rPr>
        <w:t xml:space="preserve"> is shown below:</w:t>
      </w:r>
    </w:p>
    <w:p w14:paraId="5BD2E8ED" w14:textId="77777777" w:rsidR="002E5764" w:rsidRPr="00D160DF" w:rsidRDefault="002E5764" w:rsidP="002E5764">
      <w:pPr>
        <w:spacing w:line="360" w:lineRule="auto"/>
        <w:ind w:firstLine="420"/>
        <w:rPr>
          <w:rFonts w:ascii="Times New Roman" w:eastAsia="Microsoft YaHei UI" w:hAnsi="Times New Roman" w:cs="Times New Roman"/>
          <w:bCs/>
          <w:kern w:val="0"/>
          <w:sz w:val="22"/>
        </w:rPr>
      </w:pPr>
      <w:r w:rsidRPr="007550AF">
        <w:rPr>
          <w:rFonts w:ascii="Times New Roman" w:eastAsia="Microsoft YaHei UI" w:hAnsi="Times New Roman" w:cs="Times New Roman"/>
          <w:bCs/>
          <w:kern w:val="0"/>
          <w:sz w:val="22"/>
        </w:rPr>
        <w:t>“</w:t>
      </w:r>
      <w:r w:rsidRPr="00D160DF">
        <w:rPr>
          <w:rFonts w:ascii="Times New Roman" w:eastAsia="Microsoft YaHei UI" w:hAnsi="Times New Roman" w:cs="Times New Roman"/>
          <w:bCs/>
          <w:kern w:val="0"/>
          <w:sz w:val="22"/>
        </w:rPr>
        <w:t>3.2.2. Covariates</w:t>
      </w:r>
    </w:p>
    <w:p w14:paraId="453EB958" w14:textId="77777777" w:rsidR="002E5764" w:rsidRPr="00D160DF" w:rsidRDefault="002E5764" w:rsidP="002E5764">
      <w:pPr>
        <w:spacing w:line="360" w:lineRule="auto"/>
        <w:ind w:firstLine="420"/>
        <w:rPr>
          <w:rFonts w:ascii="Times New Roman" w:eastAsia="Microsoft YaHei UI" w:hAnsi="Times New Roman" w:cs="Times New Roman"/>
          <w:bCs/>
          <w:kern w:val="0"/>
          <w:sz w:val="22"/>
        </w:rPr>
      </w:pPr>
      <w:r w:rsidRPr="00D160DF">
        <w:rPr>
          <w:rFonts w:ascii="Times New Roman" w:eastAsia="Microsoft YaHei UI" w:hAnsi="Times New Roman" w:cs="Times New Roman"/>
          <w:bCs/>
          <w:kern w:val="0"/>
          <w:sz w:val="22"/>
        </w:rPr>
        <w:t>As farmers’ decisions are also influenced by other factors, we included three sets of covariates in the model to lessen estimate bias caused by omitted variables (see Table 2).</w:t>
      </w:r>
    </w:p>
    <w:p w14:paraId="1259385E" w14:textId="77777777" w:rsidR="002E5764" w:rsidRPr="00D160DF" w:rsidRDefault="002E5764" w:rsidP="002E5764">
      <w:pPr>
        <w:spacing w:line="360" w:lineRule="auto"/>
        <w:ind w:firstLine="420"/>
        <w:rPr>
          <w:rFonts w:ascii="Times New Roman" w:eastAsia="Microsoft YaHei UI" w:hAnsi="Times New Roman" w:cs="Times New Roman"/>
          <w:bCs/>
          <w:kern w:val="0"/>
          <w:sz w:val="22"/>
        </w:rPr>
      </w:pPr>
      <w:r w:rsidRPr="00D160DF">
        <w:rPr>
          <w:rFonts w:ascii="Times New Roman" w:eastAsia="Microsoft YaHei UI" w:hAnsi="Times New Roman" w:cs="Times New Roman"/>
          <w:bCs/>
          <w:kern w:val="0"/>
          <w:sz w:val="22"/>
        </w:rPr>
        <w:t>The first set of variables characterizes farmer characteristics (</w:t>
      </w:r>
      <w:r w:rsidRPr="00EC0920">
        <w:rPr>
          <w:rFonts w:ascii="Times New Roman" w:eastAsia="Microsoft YaHei UI" w:hAnsi="Times New Roman" w:cs="Times New Roman"/>
          <w:bCs/>
          <w:i/>
          <w:iCs/>
          <w:kern w:val="0"/>
          <w:sz w:val="22"/>
        </w:rPr>
        <w:t>FC</w:t>
      </w:r>
      <w:r w:rsidRPr="00D160DF">
        <w:rPr>
          <w:rFonts w:ascii="Times New Roman" w:eastAsia="Microsoft YaHei UI" w:hAnsi="Times New Roman" w:cs="Times New Roman"/>
          <w:bCs/>
          <w:kern w:val="0"/>
          <w:sz w:val="22"/>
        </w:rPr>
        <w:t xml:space="preserve">). Farmers’ decisions have been demonstrated to be complicatedly impacted by intergenerational disparities among farmers and involvement in agricultural training. Although Zhang, Liu (39) found that the new generation of farmers had a relatively lower sense of responsibility for arable land conservation, Zhang, Zhou (40) found that the new generation of farmers could significantly promote the recycling of straw resources. We take the division approach for farmer generations in Chen, Yuan (41) as the reference and set the dummy variable </w:t>
      </w:r>
      <w:r w:rsidRPr="00EC0920">
        <w:rPr>
          <w:rFonts w:ascii="Times New Roman" w:eastAsia="Microsoft YaHei UI" w:hAnsi="Times New Roman" w:cs="Times New Roman"/>
          <w:bCs/>
          <w:i/>
          <w:iCs/>
          <w:kern w:val="0"/>
          <w:sz w:val="22"/>
        </w:rPr>
        <w:t>GGap</w:t>
      </w:r>
      <w:r w:rsidRPr="00D160DF">
        <w:rPr>
          <w:rFonts w:ascii="Times New Roman" w:eastAsia="Microsoft YaHei UI" w:hAnsi="Times New Roman" w:cs="Times New Roman"/>
          <w:bCs/>
          <w:kern w:val="0"/>
          <w:sz w:val="22"/>
        </w:rPr>
        <w:t xml:space="preserve"> to distinguish older generation farmers from newer generation farmers, with birth in 1975 as the cutoff year. Regarding the impact of agricultural training, Jørs, Konradsen (42) demonstrated that agricultural technology training changed most farmers’ poor management practices of pests and diseases. Also, Damalas and Koutroubas (43) concluded that training could motivate farmers to use pesticides in a safe and correct manner. However, some farmers are not willing to participate in agricultural training because they believe some of the training is not sufficiently integrated with production practices and is not helpful (11, 44). We set the dummy variable </w:t>
      </w:r>
      <w:r w:rsidRPr="00EC0920">
        <w:rPr>
          <w:rFonts w:ascii="Times New Roman" w:eastAsia="Microsoft YaHei UI" w:hAnsi="Times New Roman" w:cs="Times New Roman"/>
          <w:bCs/>
          <w:i/>
          <w:iCs/>
          <w:kern w:val="0"/>
          <w:sz w:val="22"/>
        </w:rPr>
        <w:t>Certificate</w:t>
      </w:r>
      <w:r w:rsidRPr="00D160DF">
        <w:rPr>
          <w:rFonts w:ascii="Times New Roman" w:eastAsia="Microsoft YaHei UI" w:hAnsi="Times New Roman" w:cs="Times New Roman"/>
          <w:bCs/>
          <w:kern w:val="0"/>
          <w:sz w:val="22"/>
        </w:rPr>
        <w:t xml:space="preserve"> to distinguish whether or not farmers were certified as professional farmers and used the continuous variable </w:t>
      </w:r>
      <w:r w:rsidRPr="00EC0920">
        <w:rPr>
          <w:rFonts w:ascii="Times New Roman" w:eastAsia="Microsoft YaHei UI" w:hAnsi="Times New Roman" w:cs="Times New Roman"/>
          <w:bCs/>
          <w:i/>
          <w:iCs/>
          <w:kern w:val="0"/>
          <w:sz w:val="22"/>
        </w:rPr>
        <w:t>NTraining</w:t>
      </w:r>
      <w:r w:rsidRPr="00D160DF">
        <w:rPr>
          <w:rFonts w:ascii="Times New Roman" w:eastAsia="Microsoft YaHei UI" w:hAnsi="Times New Roman" w:cs="Times New Roman"/>
          <w:bCs/>
          <w:kern w:val="0"/>
          <w:sz w:val="22"/>
        </w:rPr>
        <w:t xml:space="preserve"> to describe farmers’ participation in agricultural production training. Farmers’ educational level is strongly related to their perceptions of SAPs (45) and farm management competencies (46). Better-educated farmers are more likely to increase the adoption of SAPs because they have a relatively higher understanding of agricultural policies and acceptance of new technologies (47). Therefore, we set the categorical variable </w:t>
      </w:r>
      <w:r w:rsidRPr="00EC0920">
        <w:rPr>
          <w:rFonts w:ascii="Times New Roman" w:eastAsia="Microsoft YaHei UI" w:hAnsi="Times New Roman" w:cs="Times New Roman"/>
          <w:bCs/>
          <w:i/>
          <w:iCs/>
          <w:kern w:val="0"/>
          <w:sz w:val="22"/>
        </w:rPr>
        <w:t>ELevel</w:t>
      </w:r>
      <w:r w:rsidRPr="00D160DF">
        <w:rPr>
          <w:rFonts w:ascii="Times New Roman" w:eastAsia="Microsoft YaHei UI" w:hAnsi="Times New Roman" w:cs="Times New Roman"/>
          <w:bCs/>
          <w:kern w:val="0"/>
          <w:sz w:val="22"/>
        </w:rPr>
        <w:t xml:space="preserve"> to characterize the education level of farmers. In addition, there are gender differences in farmers’ decision-making in most regions, influenced by social status. For instance, Zawedde, Harris (48) reported that male farmers were more inclined to adopt diversification production </w:t>
      </w:r>
      <w:r w:rsidRPr="00D160DF">
        <w:rPr>
          <w:rFonts w:ascii="Times New Roman" w:eastAsia="Microsoft YaHei UI" w:hAnsi="Times New Roman" w:cs="Times New Roman"/>
          <w:bCs/>
          <w:kern w:val="0"/>
          <w:sz w:val="22"/>
        </w:rPr>
        <w:lastRenderedPageBreak/>
        <w:t xml:space="preserve">strategies than female farmers. Thus, we set the dummy variable </w:t>
      </w:r>
      <w:r w:rsidRPr="00EC0920">
        <w:rPr>
          <w:rFonts w:ascii="Times New Roman" w:eastAsia="Microsoft YaHei UI" w:hAnsi="Times New Roman" w:cs="Times New Roman"/>
          <w:bCs/>
          <w:i/>
          <w:iCs/>
          <w:kern w:val="0"/>
          <w:sz w:val="22"/>
        </w:rPr>
        <w:t>Gender</w:t>
      </w:r>
      <w:r w:rsidRPr="00D160DF">
        <w:rPr>
          <w:rFonts w:ascii="Times New Roman" w:eastAsia="Microsoft YaHei UI" w:hAnsi="Times New Roman" w:cs="Times New Roman"/>
          <w:bCs/>
          <w:kern w:val="0"/>
          <w:sz w:val="22"/>
        </w:rPr>
        <w:t xml:space="preserve"> to differentiate the male and female.</w:t>
      </w:r>
    </w:p>
    <w:p w14:paraId="03D427FF" w14:textId="77777777" w:rsidR="002E5764" w:rsidRDefault="002E5764" w:rsidP="002E5764">
      <w:pPr>
        <w:spacing w:line="360" w:lineRule="auto"/>
        <w:ind w:firstLine="420"/>
        <w:rPr>
          <w:rFonts w:ascii="Times New Roman" w:eastAsia="Microsoft YaHei UI" w:hAnsi="Times New Roman" w:cs="Times New Roman"/>
          <w:bCs/>
          <w:kern w:val="0"/>
          <w:sz w:val="22"/>
        </w:rPr>
      </w:pPr>
      <w:r w:rsidRPr="00D160DF">
        <w:rPr>
          <w:rFonts w:ascii="Times New Roman" w:eastAsia="Microsoft YaHei UI" w:hAnsi="Times New Roman" w:cs="Times New Roman"/>
          <w:bCs/>
          <w:kern w:val="0"/>
          <w:sz w:val="22"/>
        </w:rPr>
        <w:t>The second set of variables characterizes farm business characteristics (</w:t>
      </w:r>
      <w:r w:rsidRPr="00EC0920">
        <w:rPr>
          <w:rFonts w:ascii="Times New Roman" w:eastAsia="Microsoft YaHei UI" w:hAnsi="Times New Roman" w:cs="Times New Roman"/>
          <w:bCs/>
          <w:i/>
          <w:iCs/>
          <w:kern w:val="0"/>
          <w:sz w:val="22"/>
        </w:rPr>
        <w:t>FBC)</w:t>
      </w:r>
      <w:r w:rsidRPr="00D160DF">
        <w:rPr>
          <w:rFonts w:ascii="Times New Roman" w:eastAsia="Microsoft YaHei UI" w:hAnsi="Times New Roman" w:cs="Times New Roman"/>
          <w:bCs/>
          <w:kern w:val="0"/>
          <w:sz w:val="22"/>
        </w:rPr>
        <w:t>. It has been discovered that farm size and land fragmentation could impact the economic efficiency of farming strategies (49, 50). For example, the economic efficiency of large-scale production with machinery depends on the farm size and degree of land fragmentation (51). Farmers can adopt rich agricultural practices if the plot fragmentation are large (52, 53). Therefore, we set the continuous variables</w:t>
      </w:r>
      <w:r w:rsidRPr="00EC0920">
        <w:rPr>
          <w:rFonts w:ascii="Times New Roman" w:eastAsia="Microsoft YaHei UI" w:hAnsi="Times New Roman" w:cs="Times New Roman"/>
          <w:bCs/>
          <w:i/>
          <w:iCs/>
          <w:kern w:val="0"/>
          <w:sz w:val="22"/>
        </w:rPr>
        <w:t xml:space="preserve"> lnFSize</w:t>
      </w:r>
      <w:r w:rsidRPr="00D160DF">
        <w:rPr>
          <w:rFonts w:ascii="Times New Roman" w:eastAsia="Microsoft YaHei UI" w:hAnsi="Times New Roman" w:cs="Times New Roman"/>
          <w:bCs/>
          <w:kern w:val="0"/>
          <w:sz w:val="22"/>
        </w:rPr>
        <w:t xml:space="preserve">, </w:t>
      </w:r>
      <w:r w:rsidRPr="00EC0920">
        <w:rPr>
          <w:rFonts w:ascii="Times New Roman" w:eastAsia="Microsoft YaHei UI" w:hAnsi="Times New Roman" w:cs="Times New Roman"/>
          <w:bCs/>
          <w:i/>
          <w:iCs/>
          <w:kern w:val="0"/>
          <w:sz w:val="22"/>
        </w:rPr>
        <w:t>FPlot</w:t>
      </w:r>
      <w:r w:rsidRPr="00D160DF">
        <w:rPr>
          <w:rFonts w:ascii="Times New Roman" w:eastAsia="Microsoft YaHei UI" w:hAnsi="Times New Roman" w:cs="Times New Roman"/>
          <w:bCs/>
          <w:kern w:val="0"/>
          <w:sz w:val="22"/>
        </w:rPr>
        <w:t xml:space="preserve">, and </w:t>
      </w:r>
      <w:r w:rsidRPr="00EC0920">
        <w:rPr>
          <w:rFonts w:ascii="Times New Roman" w:eastAsia="Microsoft YaHei UI" w:hAnsi="Times New Roman" w:cs="Times New Roman"/>
          <w:bCs/>
          <w:i/>
          <w:iCs/>
          <w:kern w:val="0"/>
          <w:sz w:val="22"/>
        </w:rPr>
        <w:t>NMarketing</w:t>
      </w:r>
      <w:r w:rsidRPr="00D160DF">
        <w:rPr>
          <w:rFonts w:ascii="Times New Roman" w:eastAsia="Microsoft YaHei UI" w:hAnsi="Times New Roman" w:cs="Times New Roman"/>
          <w:bCs/>
          <w:kern w:val="0"/>
          <w:sz w:val="22"/>
        </w:rPr>
        <w:t xml:space="preserve"> to characterize farm size, the number of plots, and the variety of marketing strategies for agricultural products, respectively. Furthermore, the majority of studies have stated that the decision of whether or not to hire farm labor depends on the number of household agricultural labors (54-56). However, Tesfaye and Tirivayi (57) found that the impact of household size on crop diversity was negligible. Therefore, we set the continuous variable </w:t>
      </w:r>
      <w:r w:rsidRPr="00EC0920">
        <w:rPr>
          <w:rFonts w:ascii="Times New Roman" w:eastAsia="Microsoft YaHei UI" w:hAnsi="Times New Roman" w:cs="Times New Roman"/>
          <w:bCs/>
          <w:i/>
          <w:iCs/>
          <w:kern w:val="0"/>
          <w:sz w:val="22"/>
        </w:rPr>
        <w:t>HAgrilabor</w:t>
      </w:r>
      <w:r w:rsidRPr="00D160DF">
        <w:rPr>
          <w:rFonts w:ascii="Times New Roman" w:eastAsia="Microsoft YaHei UI" w:hAnsi="Times New Roman" w:cs="Times New Roman"/>
          <w:bCs/>
          <w:kern w:val="0"/>
          <w:sz w:val="22"/>
        </w:rPr>
        <w:t xml:space="preserve"> to characterize household agricultural labor and the dummy variable Employment to indicate whether a farm has employed supplementary labor.</w:t>
      </w:r>
      <w:r w:rsidRPr="007550AF">
        <w:rPr>
          <w:rFonts w:ascii="Times New Roman" w:eastAsia="Microsoft YaHei UI" w:hAnsi="Times New Roman" w:cs="Times New Roman"/>
          <w:bCs/>
          <w:kern w:val="0"/>
          <w:sz w:val="22"/>
        </w:rPr>
        <w:t>”</w:t>
      </w:r>
    </w:p>
    <w:p w14:paraId="7D0F1DCD" w14:textId="77777777" w:rsidR="002E5764" w:rsidRDefault="002E5764" w:rsidP="002E5764">
      <w:pPr>
        <w:spacing w:line="360" w:lineRule="auto"/>
        <w:ind w:firstLine="420"/>
        <w:rPr>
          <w:rFonts w:ascii="Times New Roman" w:eastAsia="Microsoft YaHei UI" w:hAnsi="Times New Roman" w:cs="Times New Roman"/>
          <w:bCs/>
          <w:kern w:val="0"/>
          <w:sz w:val="22"/>
        </w:rPr>
      </w:pPr>
    </w:p>
    <w:p w14:paraId="47F73C34" w14:textId="77777777" w:rsidR="002E5764" w:rsidRDefault="002E5764" w:rsidP="002E5764">
      <w:pPr>
        <w:spacing w:line="360" w:lineRule="auto"/>
        <w:ind w:firstLine="420"/>
        <w:rPr>
          <w:rFonts w:ascii="Times New Roman" w:eastAsia="Microsoft YaHei UI" w:hAnsi="Times New Roman" w:cs="Times New Roman"/>
          <w:bCs/>
          <w:kern w:val="0"/>
          <w:sz w:val="22"/>
        </w:rPr>
      </w:pPr>
      <w:r w:rsidRPr="007550AF">
        <w:rPr>
          <w:rFonts w:ascii="Times New Roman" w:eastAsia="Microsoft YaHei UI" w:hAnsi="Times New Roman" w:cs="Times New Roman"/>
          <w:bCs/>
          <w:kern w:val="0"/>
          <w:sz w:val="22"/>
        </w:rPr>
        <w:t>“</w:t>
      </w:r>
      <w:r w:rsidRPr="00EC0920">
        <w:rPr>
          <w:rFonts w:ascii="Times New Roman" w:eastAsia="Microsoft YaHei UI" w:hAnsi="Times New Roman" w:cs="Times New Roman"/>
          <w:bCs/>
          <w:kern w:val="0"/>
          <w:sz w:val="22"/>
        </w:rPr>
        <w:t xml:space="preserve">As shown in the estimated coefficients of the spatially lagged dependent variable Rho, there was a significant negative spatial spillover effect on the composite adoption degree of SAPs among neighboring farmers (the coefficient corresponding to the variable CSS1 was -0.021 and the variable CSS2 was -0.024). This indicates that the SAPs had not been widely adopted. According to the estimated coefficients of the explanatory variables and their lagged terms, both farmers’ characteristics as new farmers and possessing the new professional certificate had a significant positive effect on increasing their composite adoption degree of SAPs. However, there was a significant adverse impact from the neighboring new farmers and farmers with a new professional certificate. The education level, the variety of marketing strategies, and the employment of farm workers among the farmer’s own and neighboring farmers’ characteristics all significantly increased the composite adoption degree of SAPs. The adoption of SAPs had significantly decreased as the result of both male farmers and farmers who believe that technology issues will affect their farms in the future. Besides, the traits of the new generation farmers themselves and the neighboring farms’ size also had a significant </w:t>
      </w:r>
      <w:r w:rsidRPr="00EC0920">
        <w:rPr>
          <w:rFonts w:ascii="Times New Roman" w:eastAsia="Microsoft YaHei UI" w:hAnsi="Times New Roman" w:cs="Times New Roman"/>
          <w:bCs/>
          <w:kern w:val="0"/>
          <w:sz w:val="22"/>
        </w:rPr>
        <w:lastRenderedPageBreak/>
        <w:t>negative impact on the composite adoption level of SAPs.</w:t>
      </w:r>
    </w:p>
    <w:p w14:paraId="72CD851B" w14:textId="77777777" w:rsidR="002E5764" w:rsidRPr="007550AF" w:rsidRDefault="002E5764" w:rsidP="002E5764">
      <w:pPr>
        <w:spacing w:line="360" w:lineRule="auto"/>
        <w:ind w:firstLine="420"/>
        <w:rPr>
          <w:rFonts w:ascii="Times New Roman" w:hAnsi="Times New Roman" w:cs="Times New Roman" w:hint="eastAsia"/>
          <w:sz w:val="22"/>
        </w:rPr>
      </w:pPr>
      <w:r w:rsidRPr="00EC0920">
        <w:rPr>
          <w:rFonts w:ascii="Times New Roman" w:eastAsia="Microsoft YaHei UI" w:hAnsi="Times New Roman" w:cs="Times New Roman"/>
          <w:bCs/>
          <w:kern w:val="0"/>
          <w:sz w:val="22"/>
        </w:rPr>
        <w:t>According to the decomposition of the explanatory variables’ marginal effects (see Table 5), the SAPs adoption degree of farmers themselves was significantly and positively influenced by new farmers, farmers who employed on-farm workers, farmers with new professional farmer certificates, farmers who adopted a variety of marketing strategies, and farmers’ education level. These factors had significant negative spatial spillover effects on neighboring farmers and their overall effects were decreasing. In addition, the degree to which farmers themselves adopt SAPs was significantly and negatively impacted by the new generation of farmers, male farmers, and farmers who perceived that technology will be the main source of future challenges. Overall, new farmers tended to prioritize SAPs. Those who were better educated and had more experience and knowledge of farming practices were more likely to adopt SAPs, though they had very little advantage over nearby farmers. However, farmers who were concerned about the future farming technology, male farmers, and young farmers had a positive influence on their neighbors, although they did not adopt SAPs to a greater extent.</w:t>
      </w:r>
      <w:r w:rsidRPr="007550AF">
        <w:rPr>
          <w:rFonts w:ascii="Times New Roman" w:eastAsia="Microsoft YaHei UI" w:hAnsi="Times New Roman" w:cs="Times New Roman"/>
          <w:bCs/>
          <w:kern w:val="0"/>
          <w:sz w:val="22"/>
        </w:rPr>
        <w:t>”</w:t>
      </w:r>
    </w:p>
    <w:p w14:paraId="5178646E"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12B1A11D"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437E7E25" w14:textId="77777777" w:rsidR="002E5764" w:rsidRPr="00F250D3" w:rsidRDefault="002E5764" w:rsidP="002E5764">
      <w:pPr>
        <w:pStyle w:val="a7"/>
        <w:spacing w:line="360" w:lineRule="auto"/>
        <w:jc w:val="both"/>
        <w:rPr>
          <w:rFonts w:ascii="Times New Roman" w:hAnsi="Times New Roman" w:cs="Times New Roman"/>
          <w:sz w:val="22"/>
          <w:lang w:val="en-US"/>
        </w:rPr>
      </w:pPr>
      <w:r w:rsidRPr="00F23F84">
        <w:rPr>
          <w:rFonts w:ascii="Times New Roman" w:eastAsia="宋体" w:hAnsi="Times New Roman" w:cs="Times New Roman"/>
          <w:b/>
          <w:color w:val="0070C0"/>
          <w:sz w:val="22"/>
          <w:lang w:val="en-US"/>
        </w:rPr>
        <w:t xml:space="preserve">Comment #7. </w:t>
      </w:r>
      <w:r w:rsidRPr="00F250D3">
        <w:rPr>
          <w:rFonts w:ascii="Times New Roman" w:eastAsia="Microsoft YaHei UI" w:hAnsi="Times New Roman" w:cs="Times New Roman"/>
          <w:bCs/>
          <w:kern w:val="0"/>
          <w:sz w:val="22"/>
          <w:lang w:val="en-US"/>
        </w:rPr>
        <w:t>The theoretical basis for selecting independent variables in the spatial econometric models is not solid enough. Whether to consider variables like attitude and risk perception could be discussed.</w:t>
      </w:r>
    </w:p>
    <w:p w14:paraId="66BA3C83" w14:textId="77777777" w:rsidR="002E5764" w:rsidRPr="00531EE3" w:rsidRDefault="002E5764" w:rsidP="002E5764">
      <w:pPr>
        <w:widowControl/>
        <w:shd w:val="clear" w:color="auto" w:fill="FFFFFF"/>
        <w:spacing w:line="360" w:lineRule="auto"/>
        <w:rPr>
          <w:rFonts w:ascii="Times New Roman" w:eastAsia="微软雅黑" w:hAnsi="Times New Roman" w:cs="Times New Roman"/>
          <w:b/>
          <w:kern w:val="0"/>
          <w:sz w:val="22"/>
        </w:rPr>
      </w:pPr>
      <w:r w:rsidRPr="00531EE3">
        <w:rPr>
          <w:rFonts w:ascii="Times New Roman" w:eastAsia="微软雅黑" w:hAnsi="Times New Roman" w:cs="Times New Roman"/>
          <w:b/>
          <w:kern w:val="0"/>
          <w:sz w:val="22"/>
        </w:rPr>
        <w:t xml:space="preserve">Reply: </w:t>
      </w:r>
    </w:p>
    <w:p w14:paraId="11B05D16" w14:textId="77777777" w:rsidR="002E5764" w:rsidRPr="00531EE3" w:rsidRDefault="002E5764" w:rsidP="002E5764">
      <w:pPr>
        <w:widowControl/>
        <w:spacing w:line="360" w:lineRule="auto"/>
        <w:ind w:firstLine="420"/>
        <w:rPr>
          <w:rFonts w:ascii="Times New Roman" w:eastAsia="Microsoft YaHei UI" w:hAnsi="Times New Roman" w:cs="Times New Roman"/>
          <w:kern w:val="0"/>
          <w:sz w:val="22"/>
        </w:rPr>
      </w:pPr>
      <w:r w:rsidRPr="00531EE3">
        <w:rPr>
          <w:rFonts w:ascii="Times New Roman" w:eastAsia="Microsoft YaHei UI" w:hAnsi="Times New Roman" w:cs="Times New Roman"/>
          <w:kern w:val="0"/>
          <w:sz w:val="22"/>
        </w:rPr>
        <w:t>Thank you for pointing out this.</w:t>
      </w:r>
      <w:r w:rsidRPr="00531EE3">
        <w:rPr>
          <w:rFonts w:ascii="Times New Roman" w:hAnsi="Times New Roman" w:cs="Times New Roman"/>
          <w:sz w:val="22"/>
        </w:rPr>
        <w:t xml:space="preserve"> </w:t>
      </w:r>
      <w:r w:rsidRPr="00B74B14">
        <w:rPr>
          <w:rFonts w:ascii="Times New Roman" w:eastAsia="Microsoft YaHei UI" w:hAnsi="Times New Roman" w:cs="Times New Roman"/>
          <w:kern w:val="0"/>
          <w:sz w:val="22"/>
        </w:rPr>
        <w:t>Due to the limitations of the survey data, we only considered the impact of two attitudinal factors on the adoption extent of sustainable agricultural practices, farmers</w:t>
      </w:r>
      <w:r>
        <w:rPr>
          <w:rFonts w:ascii="Times New Roman" w:eastAsia="Microsoft YaHei UI" w:hAnsi="Times New Roman" w:cs="Times New Roman"/>
          <w:kern w:val="0"/>
          <w:sz w:val="22"/>
        </w:rPr>
        <w:t>’</w:t>
      </w:r>
      <w:r w:rsidRPr="00B74B14">
        <w:rPr>
          <w:rFonts w:ascii="Times New Roman" w:eastAsia="Microsoft YaHei UI" w:hAnsi="Times New Roman" w:cs="Times New Roman"/>
          <w:kern w:val="0"/>
          <w:sz w:val="22"/>
        </w:rPr>
        <w:t xml:space="preserve"> perceptions of the local farming prospects and farmers</w:t>
      </w:r>
      <w:r>
        <w:rPr>
          <w:rFonts w:ascii="Times New Roman" w:eastAsia="Microsoft YaHei UI" w:hAnsi="Times New Roman" w:cs="Times New Roman"/>
          <w:kern w:val="0"/>
          <w:sz w:val="22"/>
        </w:rPr>
        <w:t>’</w:t>
      </w:r>
      <w:r w:rsidRPr="00B74B14">
        <w:rPr>
          <w:rFonts w:ascii="Times New Roman" w:eastAsia="Microsoft YaHei UI" w:hAnsi="Times New Roman" w:cs="Times New Roman"/>
          <w:kern w:val="0"/>
          <w:sz w:val="22"/>
        </w:rPr>
        <w:t xml:space="preserve"> understanding of the future challenges of agriculture.</w:t>
      </w:r>
      <w:r w:rsidRPr="00B74B14">
        <w:t xml:space="preserve"> </w:t>
      </w:r>
      <w:r w:rsidRPr="00B74B14">
        <w:rPr>
          <w:rFonts w:ascii="Times New Roman" w:eastAsia="Microsoft YaHei UI" w:hAnsi="Times New Roman" w:cs="Times New Roman"/>
          <w:kern w:val="0"/>
          <w:sz w:val="22"/>
        </w:rPr>
        <w:t>An extended analysis of farmers</w:t>
      </w:r>
      <w:r>
        <w:rPr>
          <w:rFonts w:ascii="Times New Roman" w:eastAsia="Microsoft YaHei UI" w:hAnsi="Times New Roman" w:cs="Times New Roman"/>
          <w:kern w:val="0"/>
          <w:sz w:val="22"/>
        </w:rPr>
        <w:t>’</w:t>
      </w:r>
      <w:r w:rsidRPr="00B74B14">
        <w:rPr>
          <w:rFonts w:ascii="Times New Roman" w:eastAsia="Microsoft YaHei UI" w:hAnsi="Times New Roman" w:cs="Times New Roman"/>
          <w:kern w:val="0"/>
          <w:sz w:val="22"/>
        </w:rPr>
        <w:t xml:space="preserve"> reasons for </w:t>
      </w:r>
      <w:r>
        <w:rPr>
          <w:rFonts w:ascii="Times New Roman" w:eastAsia="Microsoft YaHei UI" w:hAnsi="Times New Roman" w:cs="Times New Roman"/>
          <w:kern w:val="0"/>
          <w:sz w:val="22"/>
        </w:rPr>
        <w:t>adop</w:t>
      </w:r>
      <w:r w:rsidRPr="00B74B14">
        <w:rPr>
          <w:rFonts w:ascii="Times New Roman" w:eastAsia="Microsoft YaHei UI" w:hAnsi="Times New Roman" w:cs="Times New Roman"/>
          <w:kern w:val="0"/>
          <w:sz w:val="22"/>
        </w:rPr>
        <w:t>ting sustainable agricultural practices and the correlation between the subjective sharing willingness and the diffusion of sustainable practice agricultural strategies needs to be followed up by looking at farmers</w:t>
      </w:r>
      <w:r>
        <w:rPr>
          <w:rFonts w:ascii="Times New Roman" w:eastAsia="Microsoft YaHei UI" w:hAnsi="Times New Roman" w:cs="Times New Roman"/>
          <w:kern w:val="0"/>
          <w:sz w:val="22"/>
        </w:rPr>
        <w:t>’</w:t>
      </w:r>
      <w:r w:rsidRPr="00B74B14">
        <w:rPr>
          <w:rFonts w:ascii="Times New Roman" w:eastAsia="Microsoft YaHei UI" w:hAnsi="Times New Roman" w:cs="Times New Roman"/>
          <w:kern w:val="0"/>
          <w:sz w:val="22"/>
        </w:rPr>
        <w:t xml:space="preserve"> perceptions of sustainable agricultural practices and their willingness to share and communicate with other farmers.</w:t>
      </w:r>
      <w:r w:rsidRPr="00531EE3">
        <w:rPr>
          <w:rFonts w:ascii="Times New Roman" w:eastAsia="Microsoft YaHei UI" w:hAnsi="Times New Roman" w:cs="Times New Roman"/>
          <w:kern w:val="0"/>
          <w:sz w:val="22"/>
        </w:rPr>
        <w:t xml:space="preserve"> </w:t>
      </w:r>
      <w:r w:rsidRPr="00531EE3">
        <w:rPr>
          <w:rFonts w:ascii="Times New Roman" w:eastAsia="Microsoft YaHei UI" w:hAnsi="Times New Roman" w:cs="Times New Roman"/>
          <w:kern w:val="0"/>
          <w:sz w:val="22"/>
          <w:highlight w:val="yellow"/>
        </w:rPr>
        <w:t>(</w:t>
      </w:r>
      <w:r w:rsidRPr="00531EE3">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368</w:t>
      </w:r>
      <w:r w:rsidRPr="00531EE3">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374</w:t>
      </w:r>
      <w:r w:rsidRPr="00531EE3">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14</w:t>
      </w:r>
      <w:r w:rsidRPr="00531EE3">
        <w:rPr>
          <w:rFonts w:ascii="Times New Roman" w:eastAsia="Microsoft YaHei UI" w:hAnsi="Times New Roman" w:cs="Times New Roman"/>
          <w:kern w:val="0"/>
          <w:sz w:val="22"/>
          <w:highlight w:val="yellow"/>
        </w:rPr>
        <w:t>)</w:t>
      </w:r>
      <w:r w:rsidRPr="00531EE3">
        <w:rPr>
          <w:rFonts w:ascii="Times New Roman" w:eastAsia="Microsoft YaHei UI" w:hAnsi="Times New Roman" w:cs="Times New Roman"/>
          <w:kern w:val="0"/>
          <w:sz w:val="22"/>
        </w:rPr>
        <w:t xml:space="preserve">. The </w:t>
      </w:r>
      <w:r>
        <w:rPr>
          <w:rFonts w:ascii="Times New Roman" w:eastAsia="Microsoft YaHei UI" w:hAnsi="Times New Roman" w:cs="Times New Roman"/>
          <w:kern w:val="0"/>
          <w:sz w:val="22"/>
        </w:rPr>
        <w:t>relevant content</w:t>
      </w:r>
      <w:r w:rsidRPr="00531EE3">
        <w:rPr>
          <w:rFonts w:ascii="Times New Roman" w:eastAsia="Microsoft YaHei UI" w:hAnsi="Times New Roman" w:cs="Times New Roman"/>
          <w:kern w:val="0"/>
          <w:sz w:val="22"/>
        </w:rPr>
        <w:t xml:space="preserve"> is shown below: </w:t>
      </w:r>
    </w:p>
    <w:p w14:paraId="35EFD342" w14:textId="77777777" w:rsidR="002E5764" w:rsidRPr="00531EE3" w:rsidRDefault="002E5764" w:rsidP="002E5764">
      <w:pPr>
        <w:spacing w:line="360" w:lineRule="auto"/>
        <w:ind w:firstLine="420"/>
        <w:rPr>
          <w:rFonts w:ascii="Times New Roman" w:eastAsia="Microsoft YaHei UI" w:hAnsi="Times New Roman" w:cs="Times New Roman"/>
          <w:kern w:val="0"/>
          <w:sz w:val="22"/>
        </w:rPr>
      </w:pPr>
      <w:r w:rsidRPr="00531EE3">
        <w:rPr>
          <w:rFonts w:ascii="Times New Roman" w:eastAsia="Microsoft YaHei UI" w:hAnsi="Times New Roman" w:cs="Times New Roman"/>
          <w:bCs/>
          <w:kern w:val="0"/>
          <w:sz w:val="22"/>
        </w:rPr>
        <w:t>“</w:t>
      </w:r>
      <w:r w:rsidRPr="00B74B14">
        <w:rPr>
          <w:rFonts w:ascii="Times New Roman" w:eastAsia="Microsoft YaHei UI" w:hAnsi="Times New Roman" w:cs="Times New Roman"/>
          <w:bCs/>
          <w:kern w:val="0"/>
          <w:sz w:val="22"/>
        </w:rPr>
        <w:t xml:space="preserve">The third set of variables characterizes the farmer’s viewpoint (FV). Different types of </w:t>
      </w:r>
      <w:r w:rsidRPr="00B74B14">
        <w:rPr>
          <w:rFonts w:ascii="Times New Roman" w:eastAsia="Microsoft YaHei UI" w:hAnsi="Times New Roman" w:cs="Times New Roman"/>
          <w:bCs/>
          <w:kern w:val="0"/>
          <w:sz w:val="22"/>
        </w:rPr>
        <w:lastRenderedPageBreak/>
        <w:t xml:space="preserve">farmers have different goals and objectives when it comes to farming (11). And farmers’ perceptions and attitudes towards agriculture could directly influence their decisions. For example, Cakirli Akyüz and Theuvsen (12) found that increasing farmers’ positive intentions towards organic practices could help to achieve sustainable agricultural development. Therefore, we set the dummy variables </w:t>
      </w:r>
      <w:r w:rsidRPr="00B74B14">
        <w:rPr>
          <w:rFonts w:ascii="Times New Roman" w:eastAsia="Microsoft YaHei UI" w:hAnsi="Times New Roman" w:cs="Times New Roman"/>
          <w:bCs/>
          <w:i/>
          <w:iCs/>
          <w:kern w:val="0"/>
          <w:sz w:val="22"/>
        </w:rPr>
        <w:t>FReason</w:t>
      </w:r>
      <w:r w:rsidRPr="00B74B14">
        <w:rPr>
          <w:rFonts w:ascii="Times New Roman" w:eastAsia="Microsoft YaHei UI" w:hAnsi="Times New Roman" w:cs="Times New Roman"/>
          <w:bCs/>
          <w:kern w:val="0"/>
          <w:sz w:val="22"/>
        </w:rPr>
        <w:t xml:space="preserve"> and </w:t>
      </w:r>
      <w:r w:rsidRPr="00B74B14">
        <w:rPr>
          <w:rFonts w:ascii="Times New Roman" w:eastAsia="Microsoft YaHei UI" w:hAnsi="Times New Roman" w:cs="Times New Roman"/>
          <w:bCs/>
          <w:i/>
          <w:iCs/>
          <w:kern w:val="0"/>
          <w:sz w:val="22"/>
        </w:rPr>
        <w:t>FCha</w:t>
      </w:r>
      <w:r w:rsidRPr="00B74B14">
        <w:rPr>
          <w:rFonts w:ascii="Times New Roman" w:eastAsia="Microsoft YaHei UI" w:hAnsi="Times New Roman" w:cs="Times New Roman"/>
          <w:bCs/>
          <w:kern w:val="0"/>
          <w:sz w:val="22"/>
        </w:rPr>
        <w:t xml:space="preserve"> to characterize farmers’ reasons for farming and their viewpoint on future challenges, respectively.</w:t>
      </w:r>
      <w:r w:rsidRPr="00531EE3">
        <w:rPr>
          <w:rFonts w:ascii="Times New Roman" w:eastAsia="Microsoft YaHei UI" w:hAnsi="Times New Roman" w:cs="Times New Roman"/>
          <w:bCs/>
          <w:kern w:val="0"/>
          <w:sz w:val="22"/>
        </w:rPr>
        <w:t>”</w:t>
      </w:r>
    </w:p>
    <w:p w14:paraId="4C8862A4"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273D1B5A"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6E4F0324"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Comment #</w:t>
      </w:r>
      <w:r>
        <w:rPr>
          <w:rFonts w:ascii="Times New Roman" w:eastAsia="宋体" w:hAnsi="Times New Roman" w:cs="Times New Roman"/>
          <w:b/>
          <w:color w:val="0070C0"/>
          <w:sz w:val="22"/>
        </w:rPr>
        <w:t>8</w:t>
      </w:r>
      <w:r w:rsidRPr="007550AF">
        <w:rPr>
          <w:rFonts w:ascii="Times New Roman" w:eastAsia="宋体" w:hAnsi="Times New Roman" w:cs="Times New Roman"/>
          <w:b/>
          <w:color w:val="0070C0"/>
          <w:sz w:val="22"/>
        </w:rPr>
        <w:t xml:space="preserve">. </w:t>
      </w:r>
      <w:r w:rsidRPr="00F250D3">
        <w:rPr>
          <w:rFonts w:ascii="Times New Roman" w:eastAsia="Microsoft YaHei UI" w:hAnsi="Times New Roman" w:cs="Times New Roman"/>
          <w:bCs/>
          <w:kern w:val="0"/>
          <w:sz w:val="22"/>
        </w:rPr>
        <w:t>The analysis of the reasons behind heterogeneous spatial effects of different types of sustainable agricultural practices is not deep enough. Explanations from the policy and institutional perspectives could be helpful.</w:t>
      </w:r>
    </w:p>
    <w:p w14:paraId="683865CD"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56A64EB3"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691D6B">
        <w:rPr>
          <w:rFonts w:ascii="Times New Roman" w:hAnsi="Times New Roman" w:cs="Times New Roman"/>
          <w:sz w:val="22"/>
        </w:rPr>
        <w:t xml:space="preserve">We have rewritten the discussion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552</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 xml:space="preserve">22 </w:t>
      </w:r>
      <w:r w:rsidRPr="007550AF">
        <w:rPr>
          <w:rFonts w:ascii="Times New Roman" w:eastAsia="等线" w:hAnsi="Times New Roman" w:cs="Times New Roman"/>
          <w:kern w:val="0"/>
          <w:sz w:val="22"/>
          <w:highlight w:val="yellow"/>
        </w:rPr>
        <w:t xml:space="preserve">to line </w:t>
      </w:r>
      <w:r>
        <w:rPr>
          <w:rFonts w:ascii="Times New Roman" w:eastAsia="等线" w:hAnsi="Times New Roman" w:cs="Times New Roman"/>
          <w:kern w:val="0"/>
          <w:sz w:val="22"/>
          <w:highlight w:val="yellow"/>
        </w:rPr>
        <w:t>705</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26</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w:t>
      </w:r>
      <w:r>
        <w:rPr>
          <w:rFonts w:ascii="Times New Roman" w:eastAsia="Microsoft YaHei UI" w:hAnsi="Times New Roman" w:cs="Times New Roman"/>
          <w:kern w:val="0"/>
          <w:sz w:val="22"/>
        </w:rPr>
        <w:t>content</w:t>
      </w:r>
      <w:r w:rsidRPr="007550AF">
        <w:rPr>
          <w:rFonts w:ascii="Times New Roman" w:eastAsia="Microsoft YaHei UI" w:hAnsi="Times New Roman" w:cs="Times New Roman"/>
          <w:kern w:val="0"/>
          <w:sz w:val="22"/>
        </w:rPr>
        <w:t xml:space="preserve"> is shown below:</w:t>
      </w:r>
      <w:r w:rsidRPr="007550AF">
        <w:rPr>
          <w:rFonts w:ascii="Times New Roman" w:eastAsia="Microsoft YaHei UI" w:hAnsi="Times New Roman" w:cs="Times New Roman" w:hint="eastAsia"/>
          <w:kern w:val="0"/>
          <w:sz w:val="22"/>
        </w:rPr>
        <w:t xml:space="preserve"> </w:t>
      </w:r>
    </w:p>
    <w:p w14:paraId="45261214"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7550AF">
        <w:rPr>
          <w:rFonts w:ascii="Times New Roman" w:eastAsia="Microsoft YaHei UI" w:hAnsi="Times New Roman" w:cs="Times New Roman"/>
          <w:bCs/>
          <w:kern w:val="0"/>
          <w:sz w:val="22"/>
        </w:rPr>
        <w:t>“</w:t>
      </w:r>
      <w:r w:rsidRPr="00801E5B">
        <w:rPr>
          <w:rFonts w:ascii="Times New Roman" w:eastAsia="Microsoft YaHei UI" w:hAnsi="Times New Roman" w:cs="Times New Roman"/>
          <w:bCs/>
          <w:kern w:val="0"/>
          <w:sz w:val="22"/>
        </w:rPr>
        <w:t>5. Discussions</w:t>
      </w:r>
    </w:p>
    <w:p w14:paraId="60905611"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5.1. Spillover effects of ‘new farmers’ on sustainable agricultural practices diffusion</w:t>
      </w:r>
    </w:p>
    <w:p w14:paraId="1C42AAFC"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 xml:space="preserve">There are large differences in the adoption extent of SAPs between new farmers and traditional farmers. The average adoption degree of SAPs by new farmers is higher than that of traditional farmers (see Table 2), and new farmers have a significant positive impact on increasing the composite adoption extent of SAPs by farmers (see the significantly positive direct and total effects of the </w:t>
      </w:r>
      <w:r w:rsidRPr="00801E5B">
        <w:rPr>
          <w:rFonts w:ascii="Times New Roman" w:eastAsia="Microsoft YaHei UI" w:hAnsi="Times New Roman" w:cs="Times New Roman"/>
          <w:bCs/>
          <w:i/>
          <w:iCs/>
          <w:kern w:val="0"/>
          <w:sz w:val="22"/>
        </w:rPr>
        <w:t>Ftype</w:t>
      </w:r>
      <w:r w:rsidRPr="00801E5B">
        <w:rPr>
          <w:rFonts w:ascii="Times New Roman" w:eastAsia="Microsoft YaHei UI" w:hAnsi="Times New Roman" w:cs="Times New Roman"/>
          <w:bCs/>
          <w:kern w:val="0"/>
          <w:sz w:val="22"/>
        </w:rPr>
        <w:t xml:space="preserve"> variable in Table 5). However, the estimated coefficient of the lagged term </w:t>
      </w:r>
      <w:r w:rsidRPr="00801E5B">
        <w:rPr>
          <w:rFonts w:ascii="Times New Roman" w:eastAsia="Microsoft YaHei UI" w:hAnsi="Times New Roman" w:cs="Times New Roman"/>
          <w:bCs/>
          <w:i/>
          <w:iCs/>
          <w:kern w:val="0"/>
          <w:sz w:val="22"/>
        </w:rPr>
        <w:t>wx-Ftype</w:t>
      </w:r>
      <w:r w:rsidRPr="00801E5B">
        <w:rPr>
          <w:rFonts w:ascii="Times New Roman" w:eastAsia="Microsoft YaHei UI" w:hAnsi="Times New Roman" w:cs="Times New Roman"/>
          <w:bCs/>
          <w:kern w:val="0"/>
          <w:sz w:val="22"/>
        </w:rPr>
        <w:t xml:space="preserve"> in Table 4 and the indirect effect corresponding to the variable </w:t>
      </w:r>
      <w:r w:rsidRPr="00801E5B">
        <w:rPr>
          <w:rFonts w:ascii="Times New Roman" w:eastAsia="Microsoft YaHei UI" w:hAnsi="Times New Roman" w:cs="Times New Roman"/>
          <w:bCs/>
          <w:i/>
          <w:iCs/>
          <w:kern w:val="0"/>
          <w:sz w:val="22"/>
        </w:rPr>
        <w:t xml:space="preserve">Ftype </w:t>
      </w:r>
      <w:r w:rsidRPr="00801E5B">
        <w:rPr>
          <w:rFonts w:ascii="Times New Roman" w:eastAsia="Microsoft YaHei UI" w:hAnsi="Times New Roman" w:cs="Times New Roman"/>
          <w:bCs/>
          <w:kern w:val="0"/>
          <w:sz w:val="22"/>
        </w:rPr>
        <w:t>in Table 5 both demonstrate that the new farmers had a significant negative spatial spillover effect on their neighboring farmers. This suggests that the new farmers have a weak negative shock to the adoption degree of SAPs by neighboring farmers. This suggests that the neighborhood effect among farmers may exacerbate decision differences rather than necessarily causing a convergence of decisions. This may be due to the fact that farmers’ decisions for SAPs are influenced by a combination of their own and neighboring farmers’ traits as well as neighboring farmers’ decisions.</w:t>
      </w:r>
    </w:p>
    <w:p w14:paraId="44A65319"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 xml:space="preserve">The new farmers group holds a positive attitude toward the adoption of SAPs due to their </w:t>
      </w:r>
      <w:r w:rsidRPr="00801E5B">
        <w:rPr>
          <w:rFonts w:ascii="Times New Roman" w:eastAsia="Microsoft YaHei UI" w:hAnsi="Times New Roman" w:cs="Times New Roman"/>
          <w:bCs/>
          <w:kern w:val="0"/>
          <w:sz w:val="22"/>
        </w:rPr>
        <w:lastRenderedPageBreak/>
        <w:t>considerably higher level of education and specialization traits. As shown in Table 4, the education level, the variety of marketing strategies, as well as farmers with new professional farmer certificates, and farmers who employed workers on their farms all enhanced the adoption of SAPs, and there is a significant upward trend in effectiveness. Whilst the sub-sample statistics in Table 2 clearly reflect the differences in competencies and business practices between new farmers and traditional farmers. Compared to traditional farmers, new farmers were generally more educated (average years of education was 14.688), had a greater diversity of marketing strategies (average number of agricultural marketing practices was 4), had a higher proportion of being certified as new professional farmers (18.8%), and had a greater proportion of employing farm workers (93.8%). New farmers who switch from other sectors to agriculture have greater advantages in terms of accessing policy support, comprehending sustainable development concepts, mastering new production technologies, innovating business models, and expanding marketing channels (11, 21, 38). They are more eager to test out innovative sustainable agricultural development models and are more likely to adopt specialized business strategies (37). As a result, they are less likely to adopt wrong or unsafe farming practices (42, 45) and overall have a more positive attitude toward the correct application of SAPs. The adoption of SAPs in this group is comparable to the traits of the new farmers group in our survey sample, with higher scores for the level of marketing diversification and higher adoption of SAPs.</w:t>
      </w:r>
    </w:p>
    <w:p w14:paraId="3BCEBFD9"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Diffusion of SAPs among farmers is hampered by the closeness of farmers' connections and the difficulty of SAPs. As shown in Table 5, farmers with the above-mentioned positive traits all had negative spatial spillover effects on neighboring farmers’ adoption of SAPs. Among them, the new farmers group had the largest negative spatial spillover effect on their neighboring farmers. Additionally, the adoption of SAPs was significantly negatively impacted by neighboring male farmers, neighboring farmers who perceived that their farms will face technological challenges in the future, and the size of neighboring farms (see Table 4). This result is different from the positive impacts of neighborhood effects found in some studies that can promote communication, learning, and imitation among farmers, as well as raising farmers’ willingness to adopt SAPs (4, 15).</w:t>
      </w:r>
      <w:r>
        <w:rPr>
          <w:rFonts w:ascii="Times New Roman" w:eastAsia="Microsoft YaHei UI" w:hAnsi="Times New Roman" w:cs="Times New Roman"/>
          <w:bCs/>
          <w:kern w:val="0"/>
          <w:sz w:val="22"/>
        </w:rPr>
        <w:t xml:space="preserve"> </w:t>
      </w:r>
      <w:r w:rsidRPr="00801E5B">
        <w:rPr>
          <w:rFonts w:ascii="Times New Roman" w:eastAsia="Microsoft YaHei UI" w:hAnsi="Times New Roman" w:cs="Times New Roman"/>
          <w:bCs/>
          <w:kern w:val="0"/>
          <w:sz w:val="22"/>
        </w:rPr>
        <w:t xml:space="preserve">On the one hand, it may be due to the fact that geographically neighboring farmers are not necessarily more connected to each other. As a cross-border </w:t>
      </w:r>
      <w:r w:rsidRPr="00801E5B">
        <w:rPr>
          <w:rFonts w:ascii="Times New Roman" w:eastAsia="Microsoft YaHei UI" w:hAnsi="Times New Roman" w:cs="Times New Roman"/>
          <w:bCs/>
          <w:kern w:val="0"/>
          <w:sz w:val="22"/>
        </w:rPr>
        <w:lastRenderedPageBreak/>
        <w:t>entrepreneurial and outsider group, new farmers may have difficulty integrating into the local community (63), which limits mutual communication and learning between new farmers and their neighbors. Also, since SAPs improve the quality of agricultural outputs and the environment (6). With the rising demand for healthy food, producing high-quality agricultural products could assist farmers in capturing a larger share of the market for mid- to high-end products, which in turn could lead to higher economic returns (7). Thus, farmers who prefer egoism may not be closely allied with their neighbors, due to their unwillingness to let their neighbors piggyback or compete on the market for mid- to high-end products (4). On the other hand, SAPs are more challenging to adopt and have a longer payoff period and high economic benefits uncertainty (16). For farmers who adopt SAPs, especially new farmers, the farming experience is not always easy, and the economic returns might not be great. Due to the ‘neighborhood effects</w:t>
      </w:r>
      <w:r w:rsidRPr="00801E5B">
        <w:rPr>
          <w:rFonts w:ascii="Times New Roman" w:eastAsia="Microsoft YaHei UI" w:hAnsi="Times New Roman" w:cs="Times New Roman" w:hint="eastAsia"/>
          <w:bCs/>
          <w:kern w:val="0"/>
          <w:sz w:val="22"/>
        </w:rPr>
        <w:t>’</w:t>
      </w:r>
      <w:r w:rsidRPr="00801E5B">
        <w:rPr>
          <w:rFonts w:ascii="Times New Roman" w:eastAsia="Microsoft YaHei UI" w:hAnsi="Times New Roman" w:cs="Times New Roman"/>
          <w:bCs/>
          <w:kern w:val="0"/>
          <w:sz w:val="22"/>
        </w:rPr>
        <w:t>, these farmers’ neighbors can be well-informed about the advantages and disadvantages of SAPs. Farmers’ decisions are mostly based on rational judgments about their personal circumstances, including whether their families could afford higher economic and labor inputs, unpredictable risks, longer reward cycles, and faith in competitively favorable prices. Therefore, neighboring farmers may prefer to remain conservative rather than adopt SAPs. As Xie, Tian (64) found, communication with nearby villagers could raise farmers’ acceptance of ecological farming, but it does not significantly boost their willingness to adopt it.</w:t>
      </w:r>
    </w:p>
    <w:p w14:paraId="05A2B28A"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Overall, the new farmers group did significantly contribute to the adoption extent of SAPs, but it only had a small demonstrative impact on neighboring farmers’ adoption of these practices. The promotion of sustainable agriculture by the new farmers has not been sufficiently successful in the area, and it is necessary to think more carefully about how to strengthen their catalytic function.</w:t>
      </w:r>
    </w:p>
    <w:p w14:paraId="4DA80F48"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5.2. Heterogeneity in diffusion of different sustainable agricultural practices</w:t>
      </w:r>
    </w:p>
    <w:p w14:paraId="435F0B02"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 xml:space="preserve">There were significantly different spatial effects when farmers adopted various types of SAPs. As shown in Table 6, there were significant positive spatial spillover effects on neighboring farmers for both weed treatment and pest control practices, and negative spatial spillover effects on nearby farmers for both diversification and nutrient cycling practices, all </w:t>
      </w:r>
      <w:r w:rsidRPr="00801E5B">
        <w:rPr>
          <w:rFonts w:ascii="Times New Roman" w:eastAsia="Microsoft YaHei UI" w:hAnsi="Times New Roman" w:cs="Times New Roman"/>
          <w:bCs/>
          <w:kern w:val="0"/>
          <w:sz w:val="22"/>
        </w:rPr>
        <w:lastRenderedPageBreak/>
        <w:t>with a significance level of 10%. Farmers who adopted disease management and farm certification practices had no discernible spatial effects. In addition, there was considerable variation in the impact of the farm size, the number of plots, and the variety of marketing practices on the extent of various types of SAPs adoption by neighboring farmers. Specifically, diversification of marketing practices had a significant positive effect on increasing the neighboring farmers’ adoption of weed treatment and pest control practices, but it had a significant negative effect on the neighboring farmers’ adoption of diversified farming practices. The farm size had a significant positive impact on increasing the neighboring farmers’ adoption of weed treatment and nutrient cycling practices, and a significant negative impact on the neighboring farmers’ adoption of diversification practices. Whilst the number of farm plots had a significant negative effect on neighboring farmers’ adoption of nutrient cycling practices, it had a significant positive effect on promoting the adoption of pest control practices by neighboring farmers. These may be related to the challenges of implementing SAPs, farmers’ perceptions of comparative efficiency, and relevant policy prescriptions.</w:t>
      </w:r>
    </w:p>
    <w:p w14:paraId="30361B01"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As for the weed treatment and pest control practices, the majority of the practices mentioned in Table 1 with a rating of 1 or 3 are typical, fundamental farming practices that could have a direct impact on agricultural product yield and compliance with market demand and food safety standards. For example, manual/mechanical weeding, manual/mechanical pest trapping, the use of yellow/blue boards, planting of tree hedges/flower strips, etc. Therefore, rational farmers are highly motivated to adopt weed treatment and pest control practices. According to Table 3, the results of Moran’s I (Global) index for these two types of practices corresponding to show that farmers who adopted weed treatment and pest control practices were spatially characterised by a substantial positive correlation of clustering. This indicates that neighboring farmers are willing to share their experiences in weed treatment and pest control, which could have positive effects for both.</w:t>
      </w:r>
    </w:p>
    <w:p w14:paraId="26B6AF96"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 xml:space="preserve">As for the diversification and nutrient cycling practices, farmers’ decisions are influenced by farm size and the extent of farmers’ dependence on agriculture (11). As shown in Table 6, the larger the farm size and the higher diversification of marketing practices, the greater the likelihood of farming diversification increased. While with smaller farm size and less household agricultural labor force, the greater the likelihood that farmers will increase the </w:t>
      </w:r>
      <w:r w:rsidRPr="00801E5B">
        <w:rPr>
          <w:rFonts w:ascii="Times New Roman" w:eastAsia="Microsoft YaHei UI" w:hAnsi="Times New Roman" w:cs="Times New Roman"/>
          <w:bCs/>
          <w:kern w:val="0"/>
          <w:sz w:val="22"/>
        </w:rPr>
        <w:lastRenderedPageBreak/>
        <w:t>adoption extent of nutrient cycling practices. However, the standard deviations of the three variables in our sample – the number of household agricultural labors, the farm size, and the variety of marketing practices – were all relatively high, at 0.796, 1.414, and 1.581 respectively. The majority of farmers did adopt these two types of practices. However, the adoption extent of these two types of practices varied greatly, with the largest difference in scores exceeding 2. This suggests that farmers’ motivations for implementing diversity and nutrient cycling vary greatly. Farmers’ decisions are further complicated by the fact that the more prominent long-term economic and environmental benefits of the diversification and nutrient cycling categories are relative to the short-term ones. As illustrated by Wollni and Andersson (4), farmers are more likely to adopt these SAPs when they perceive it would benefit them more in the process of benefiting others. However, farmers with this mindset are few. Overall, farmers are reluctant to share their experiences with their neighbors due to their diverse attitudes regarding varied farming and nutrient cycling practices as well as their unwillingness to let neighboring farmers piggyback on them.</w:t>
      </w:r>
    </w:p>
    <w:p w14:paraId="497AC623" w14:textId="77777777" w:rsidR="002E5764" w:rsidRPr="00801E5B" w:rsidRDefault="002E5764" w:rsidP="002E5764">
      <w:pPr>
        <w:spacing w:line="360" w:lineRule="auto"/>
        <w:ind w:firstLine="420"/>
        <w:rPr>
          <w:rFonts w:ascii="Times New Roman" w:eastAsia="Microsoft YaHei UI" w:hAnsi="Times New Roman" w:cs="Times New Roman"/>
          <w:bCs/>
          <w:kern w:val="0"/>
          <w:sz w:val="22"/>
        </w:rPr>
      </w:pPr>
      <w:r w:rsidRPr="00801E5B">
        <w:rPr>
          <w:rFonts w:ascii="Times New Roman" w:eastAsia="Microsoft YaHei UI" w:hAnsi="Times New Roman" w:cs="Times New Roman"/>
          <w:bCs/>
          <w:kern w:val="0"/>
          <w:sz w:val="22"/>
        </w:rPr>
        <w:t>As for the disease control and farm certification practices, most of the practices mentioned in Table 1 are difficult to implement and require additional financial investments, which are also viewed as unnecessary by most farmers (10). These would be practices such as enhancing the soil, cultivating disease-resistant varieties, and applying for organic certification. Farmers’ willingness to adopt these two types of practices was extremely low, with only 18.966% of the survey farmers adopting disease control measures and 16.667% having certification. Moreover, there are no discernible clustering characteristics among farmers who have implemented these two types of practices. In other words, farmers’ willingness to adopt disease management and farm certification practices is directly impacted by the difficulty and high expense of doing so, as well as the likelihood that they will discuss them with nearby farmers.</w:t>
      </w:r>
    </w:p>
    <w:p w14:paraId="061012D9" w14:textId="77777777" w:rsidR="002E5764" w:rsidRPr="007550AF" w:rsidRDefault="002E5764" w:rsidP="002E5764">
      <w:pPr>
        <w:spacing w:line="360" w:lineRule="auto"/>
        <w:ind w:firstLine="420"/>
        <w:rPr>
          <w:rFonts w:ascii="Times New Roman" w:hAnsi="Times New Roman" w:cs="Times New Roman"/>
          <w:sz w:val="22"/>
        </w:rPr>
      </w:pPr>
      <w:r w:rsidRPr="00801E5B">
        <w:rPr>
          <w:rFonts w:ascii="Times New Roman" w:eastAsia="Microsoft YaHei UI" w:hAnsi="Times New Roman" w:cs="Times New Roman"/>
          <w:bCs/>
          <w:kern w:val="0"/>
          <w:sz w:val="22"/>
        </w:rPr>
        <w:t xml:space="preserve">In terms of specific farming strategies, most countries have issued clear regulations on the application standards of some chemical fertilizers, pesticides and herbicides, and at the same time encourage farmers to use fewer chemical fertilizers, apply organic/green fertilizers, use bioagents, release natural enemies, and take measures such as combining farming with farming. However, most traditional farmers' farming strategies are to maximize their benefits by setting the national standards as the bottom line. Their willingness to adopt stateencouraged, more </w:t>
      </w:r>
      <w:r w:rsidRPr="00801E5B">
        <w:rPr>
          <w:rFonts w:ascii="Times New Roman" w:eastAsia="Microsoft YaHei UI" w:hAnsi="Times New Roman" w:cs="Times New Roman"/>
          <w:bCs/>
          <w:kern w:val="0"/>
          <w:sz w:val="22"/>
        </w:rPr>
        <w:lastRenderedPageBreak/>
        <w:t>costly and difficult measures is unclear. This reminds us that we should not generalize when looking at issues relating to SAPs. We need a combination of comprehensive and specific analyses to draw reliable conclusions.</w:t>
      </w:r>
      <w:r w:rsidRPr="007550AF">
        <w:rPr>
          <w:rFonts w:ascii="Times New Roman" w:eastAsia="Microsoft YaHei UI" w:hAnsi="Times New Roman" w:cs="Times New Roman"/>
          <w:bCs/>
          <w:kern w:val="0"/>
          <w:sz w:val="22"/>
        </w:rPr>
        <w:t>”</w:t>
      </w:r>
    </w:p>
    <w:p w14:paraId="31AFB20D"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3C4E5E6F" w14:textId="77777777" w:rsidR="002E5764" w:rsidRPr="007550AF" w:rsidRDefault="002E5764" w:rsidP="002E5764">
      <w:pPr>
        <w:pStyle w:val="a9"/>
        <w:spacing w:line="360" w:lineRule="auto"/>
        <w:ind w:firstLineChars="0" w:firstLine="0"/>
        <w:rPr>
          <w:rFonts w:ascii="Times New Roman" w:eastAsia="Microsoft YaHei UI" w:hAnsi="Times New Roman" w:cs="Times New Roman"/>
          <w:kern w:val="0"/>
          <w:sz w:val="22"/>
        </w:rPr>
      </w:pPr>
    </w:p>
    <w:p w14:paraId="2589ADA1"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Comment #</w:t>
      </w:r>
      <w:r>
        <w:rPr>
          <w:rFonts w:ascii="Times New Roman" w:eastAsia="宋体" w:hAnsi="Times New Roman" w:cs="Times New Roman"/>
          <w:b/>
          <w:color w:val="0070C0"/>
          <w:sz w:val="22"/>
        </w:rPr>
        <w:t>9</w:t>
      </w:r>
      <w:r w:rsidRPr="007550AF">
        <w:rPr>
          <w:rFonts w:ascii="Times New Roman" w:eastAsia="宋体" w:hAnsi="Times New Roman" w:cs="Times New Roman"/>
          <w:b/>
          <w:color w:val="0070C0"/>
          <w:sz w:val="22"/>
        </w:rPr>
        <w:t xml:space="preserve">. </w:t>
      </w:r>
      <w:r w:rsidRPr="00F250D3">
        <w:rPr>
          <w:rFonts w:ascii="Times New Roman" w:eastAsia="Microsoft YaHei UI" w:hAnsi="Times New Roman" w:cs="Times New Roman"/>
          <w:bCs/>
          <w:kern w:val="0"/>
          <w:sz w:val="22"/>
        </w:rPr>
        <w:t>The research has some regional limitations. Expanding the sample scope may help verify the robustness of the findings.</w:t>
      </w:r>
    </w:p>
    <w:p w14:paraId="2DD6C325"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23092B20" w14:textId="77777777" w:rsidR="002E5764" w:rsidRPr="007550AF" w:rsidRDefault="002E5764" w:rsidP="002E5764">
      <w:pPr>
        <w:spacing w:line="360" w:lineRule="auto"/>
        <w:rPr>
          <w:rFonts w:ascii="Times New Roman" w:eastAsia="Microsoft YaHei UI" w:hAnsi="Times New Roman" w:cs="Times New Roman"/>
          <w:kern w:val="0"/>
          <w:sz w:val="22"/>
        </w:rPr>
      </w:pPr>
      <w:r w:rsidRPr="006D5622">
        <w:rPr>
          <w:rFonts w:ascii="Times New Roman" w:eastAsia="Microsoft YaHei UI" w:hAnsi="Times New Roman" w:cs="Times New Roman"/>
          <w:bCs/>
          <w:kern w:val="0"/>
          <w:sz w:val="22"/>
        </w:rPr>
        <w:t>Many thanks for this suggestion. Although the study of new farmers in Nanjing is not sufficiently representative of the overall picture, our findings on the spatial effects of new farmers' sustainable agricultural practices do deepen our understanding of the new farmer community. This is helpful for us to develop farmer training programs and achieve agricultural transformation. We are planning to do more extensive sampling of the new farmer group in the</w:t>
      </w:r>
      <w:r w:rsidRPr="006D5622">
        <w:rPr>
          <w:rFonts w:ascii="Times New Roman" w:hAnsi="Times New Roman" w:cs="Times New Roman"/>
          <w:sz w:val="22"/>
        </w:rPr>
        <w:t xml:space="preserve"> future to improve the reliability and reference value of our analysis.</w:t>
      </w:r>
      <w:r w:rsidRPr="007550AF">
        <w:rPr>
          <w:rFonts w:ascii="Times New Roman" w:eastAsia="Microsoft YaHei UI" w:hAnsi="Times New Roman" w:cs="Times New Roman"/>
          <w:kern w:val="0"/>
          <w:sz w:val="22"/>
        </w:rPr>
        <w:t xml:space="preserve">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817</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831</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28</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31C82572"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6D5622">
        <w:rPr>
          <w:rFonts w:ascii="Times New Roman" w:eastAsia="Microsoft YaHei UI" w:hAnsi="Times New Roman" w:cs="Times New Roman"/>
          <w:bCs/>
          <w:kern w:val="0"/>
          <w:sz w:val="22"/>
        </w:rPr>
        <w:t>In addition, our findings are based on cross-sectional data of surveyed farmers in Nanjing, which could not represent the whole country. And it is also difficult to broaden into a time-series panel analysis and explore the influence of pioneers on farmers</w:t>
      </w:r>
      <w:r>
        <w:rPr>
          <w:rFonts w:ascii="Times New Roman" w:eastAsia="Microsoft YaHei UI" w:hAnsi="Times New Roman" w:cs="Times New Roman"/>
          <w:bCs/>
          <w:kern w:val="0"/>
          <w:sz w:val="22"/>
        </w:rPr>
        <w:t>’</w:t>
      </w:r>
      <w:r w:rsidRPr="006D5622">
        <w:rPr>
          <w:rFonts w:ascii="Times New Roman" w:eastAsia="Microsoft YaHei UI" w:hAnsi="Times New Roman" w:cs="Times New Roman"/>
          <w:bCs/>
          <w:kern w:val="0"/>
          <w:sz w:val="22"/>
        </w:rPr>
        <w:t xml:space="preserve"> decisions. To this end, subsequent studies could further explore and improve the indicator system for evaluating farmers’ adoption of sustainable agricultural practices by expanding the survey sample. It is possible to portray the strength of social connections among farmers by counting the number and frequency of online and offline interactions between the surveyed farmers with other farmers or experts, and to untangle the evolutionary characteristics of farmers</w:t>
      </w:r>
      <w:r>
        <w:rPr>
          <w:rFonts w:ascii="Times New Roman" w:eastAsia="Microsoft YaHei UI" w:hAnsi="Times New Roman" w:cs="Times New Roman"/>
          <w:bCs/>
          <w:kern w:val="0"/>
          <w:sz w:val="22"/>
        </w:rPr>
        <w:t>’</w:t>
      </w:r>
      <w:r w:rsidRPr="006D5622">
        <w:rPr>
          <w:rFonts w:ascii="Times New Roman" w:eastAsia="Microsoft YaHei UI" w:hAnsi="Times New Roman" w:cs="Times New Roman"/>
          <w:bCs/>
          <w:kern w:val="0"/>
          <w:sz w:val="22"/>
        </w:rPr>
        <w:t xml:space="preserve"> decision-making through multiple follow-up surveys and time-series analyses. Through the in-depth analysis of farmers’ influence on sustainable agricultural practices, we could provide references for policy recommendations to promote sustainable agricultural development.</w:t>
      </w:r>
      <w:r w:rsidRPr="007550AF">
        <w:rPr>
          <w:rFonts w:ascii="Times New Roman" w:eastAsia="Microsoft YaHei UI" w:hAnsi="Times New Roman" w:cs="Times New Roman"/>
          <w:bCs/>
          <w:kern w:val="0"/>
          <w:sz w:val="22"/>
        </w:rPr>
        <w:t>”</w:t>
      </w:r>
    </w:p>
    <w:p w14:paraId="66515071" w14:textId="77777777" w:rsidR="002E5764" w:rsidRDefault="002E5764" w:rsidP="002E5764">
      <w:pPr>
        <w:pStyle w:val="a9"/>
        <w:spacing w:line="360" w:lineRule="auto"/>
        <w:ind w:firstLineChars="0" w:firstLine="0"/>
        <w:rPr>
          <w:rFonts w:ascii="Times New Roman" w:eastAsia="Microsoft YaHei UI" w:hAnsi="Times New Roman" w:cs="Times New Roman"/>
          <w:kern w:val="0"/>
          <w:sz w:val="22"/>
        </w:rPr>
      </w:pPr>
    </w:p>
    <w:p w14:paraId="5887EA92" w14:textId="77777777" w:rsidR="002E5764" w:rsidRDefault="002E5764" w:rsidP="002E5764">
      <w:pPr>
        <w:pStyle w:val="a9"/>
        <w:spacing w:line="360" w:lineRule="auto"/>
        <w:ind w:firstLineChars="0" w:firstLine="0"/>
        <w:rPr>
          <w:rFonts w:ascii="Times New Roman" w:eastAsia="Microsoft YaHei UI" w:hAnsi="Times New Roman" w:cs="Times New Roman"/>
          <w:kern w:val="0"/>
          <w:sz w:val="22"/>
        </w:rPr>
      </w:pPr>
    </w:p>
    <w:p w14:paraId="713ED5FA"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Comment #</w:t>
      </w:r>
      <w:r>
        <w:rPr>
          <w:rFonts w:ascii="Times New Roman" w:eastAsia="宋体" w:hAnsi="Times New Roman" w:cs="Times New Roman"/>
          <w:b/>
          <w:color w:val="0070C0"/>
          <w:sz w:val="22"/>
        </w:rPr>
        <w:t>10</w:t>
      </w:r>
      <w:r w:rsidRPr="007550AF">
        <w:rPr>
          <w:rFonts w:ascii="Times New Roman" w:eastAsia="宋体" w:hAnsi="Times New Roman" w:cs="Times New Roman"/>
          <w:b/>
          <w:color w:val="0070C0"/>
          <w:sz w:val="22"/>
        </w:rPr>
        <w:t xml:space="preserve">. </w:t>
      </w:r>
      <w:r w:rsidRPr="00F250D3">
        <w:rPr>
          <w:rFonts w:ascii="Times New Roman" w:eastAsia="Microsoft YaHei UI" w:hAnsi="Times New Roman" w:cs="Times New Roman"/>
          <w:bCs/>
          <w:kern w:val="0"/>
          <w:sz w:val="22"/>
        </w:rPr>
        <w:t xml:space="preserve">The research is based on cross-sectional data, which cannot examine the spatiotemporal dynamics of sustainable agricultural practices adoption. Panel data could be </w:t>
      </w:r>
      <w:r w:rsidRPr="00F250D3">
        <w:rPr>
          <w:rFonts w:ascii="Times New Roman" w:eastAsia="Microsoft YaHei UI" w:hAnsi="Times New Roman" w:cs="Times New Roman"/>
          <w:bCs/>
          <w:kern w:val="0"/>
          <w:sz w:val="22"/>
        </w:rPr>
        <w:lastRenderedPageBreak/>
        <w:t>considered in further studies.</w:t>
      </w:r>
    </w:p>
    <w:p w14:paraId="12A3CA17"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308C87FB"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D50547">
        <w:rPr>
          <w:rFonts w:ascii="Times New Roman" w:eastAsia="Microsoft YaHei UI" w:hAnsi="Times New Roman" w:cs="Times New Roman"/>
          <w:kern w:val="0"/>
          <w:sz w:val="22"/>
        </w:rPr>
        <w:t>Due to the limitation of our available data, we can only use the cross-sectional data obtained from the field survey to conduct spatial effect analysis and cannot analyze the temporal evolution characteristics of the new farmers</w:t>
      </w:r>
      <w:r>
        <w:rPr>
          <w:rFonts w:ascii="Times New Roman" w:eastAsia="Microsoft YaHei UI" w:hAnsi="Times New Roman" w:cs="Times New Roman"/>
          <w:kern w:val="0"/>
          <w:sz w:val="22"/>
        </w:rPr>
        <w:t>’</w:t>
      </w:r>
      <w:r w:rsidRPr="00D50547">
        <w:rPr>
          <w:rFonts w:ascii="Times New Roman" w:eastAsia="Microsoft YaHei UI" w:hAnsi="Times New Roman" w:cs="Times New Roman"/>
          <w:kern w:val="0"/>
          <w:sz w:val="22"/>
        </w:rPr>
        <w:t xml:space="preserve"> decision-making and its impact on the adoption extent of sustainable agriculture</w:t>
      </w:r>
      <w:r>
        <w:rPr>
          <w:rFonts w:ascii="Times New Roman" w:eastAsia="Microsoft YaHei UI" w:hAnsi="Times New Roman" w:cs="Times New Roman"/>
          <w:kern w:val="0"/>
          <w:sz w:val="22"/>
        </w:rPr>
        <w:t xml:space="preserve"> prectices</w:t>
      </w:r>
      <w:r w:rsidRPr="00D50547">
        <w:rPr>
          <w:rFonts w:ascii="Times New Roman" w:eastAsia="Microsoft YaHei UI" w:hAnsi="Times New Roman" w:cs="Times New Roman"/>
          <w:kern w:val="0"/>
          <w:sz w:val="22"/>
        </w:rPr>
        <w:t xml:space="preserve"> by the neighboring farmers. We are expecting to obtain long time panel data through multiple follow-up surveys in the future, and then analyze the spatio-temporal evolution characteristics of farmers</w:t>
      </w:r>
      <w:r>
        <w:rPr>
          <w:rFonts w:ascii="Times New Roman" w:eastAsia="Microsoft YaHei UI" w:hAnsi="Times New Roman" w:cs="Times New Roman"/>
          <w:kern w:val="0"/>
          <w:sz w:val="22"/>
        </w:rPr>
        <w:t>’</w:t>
      </w:r>
      <w:r w:rsidRPr="00D50547">
        <w:rPr>
          <w:rFonts w:ascii="Times New Roman" w:eastAsia="Microsoft YaHei UI" w:hAnsi="Times New Roman" w:cs="Times New Roman"/>
          <w:kern w:val="0"/>
          <w:sz w:val="22"/>
        </w:rPr>
        <w:t xml:space="preserve"> decision-making.</w:t>
      </w:r>
      <w:r w:rsidRPr="007550AF">
        <w:rPr>
          <w:rFonts w:ascii="Times New Roman" w:eastAsia="Microsoft YaHei UI" w:hAnsi="Times New Roman" w:cs="Times New Roman"/>
          <w:kern w:val="0"/>
          <w:sz w:val="22"/>
        </w:rPr>
        <w:t xml:space="preserve">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811</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821</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28</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1A4987CB"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D50547">
        <w:rPr>
          <w:rFonts w:ascii="Times New Roman" w:eastAsia="Microsoft YaHei UI" w:hAnsi="Times New Roman" w:cs="Times New Roman"/>
          <w:bCs/>
          <w:kern w:val="0"/>
          <w:sz w:val="22"/>
        </w:rPr>
        <w:t>To this end, subsequent studies could further explore and improve the indicator system for evaluating farmers’ adoption of sustainable agricultural practices by expanding the survey sample. It is possible to portray the strength of social connections among farmers by counting the number and frequency of online and offline interactions between the surveyed farmers with other farmers or experts, and to untangle the evolutionary characteristics of farmers’ decision-making through multiple follow-up surveys and time-series analyses. Through the in-depth analysis of farmers’ influence on sustainable agricultural practices, we could provide references for policy recommendations to promote sustainable agricultural development.</w:t>
      </w:r>
      <w:r w:rsidRPr="007550AF">
        <w:rPr>
          <w:rFonts w:ascii="Times New Roman" w:eastAsia="Microsoft YaHei UI" w:hAnsi="Times New Roman" w:cs="Times New Roman"/>
          <w:bCs/>
          <w:kern w:val="0"/>
          <w:sz w:val="22"/>
        </w:rPr>
        <w:t>”</w:t>
      </w:r>
    </w:p>
    <w:p w14:paraId="11EB47E6" w14:textId="77777777" w:rsidR="002E5764" w:rsidRDefault="002E5764" w:rsidP="002E5764">
      <w:pPr>
        <w:pStyle w:val="a9"/>
        <w:spacing w:line="360" w:lineRule="auto"/>
        <w:ind w:firstLineChars="0" w:firstLine="0"/>
        <w:rPr>
          <w:rFonts w:ascii="Times New Roman" w:eastAsia="Microsoft YaHei UI" w:hAnsi="Times New Roman" w:cs="Times New Roman"/>
          <w:kern w:val="0"/>
          <w:sz w:val="22"/>
        </w:rPr>
      </w:pPr>
    </w:p>
    <w:p w14:paraId="0A31EB2B" w14:textId="77777777" w:rsidR="002E5764" w:rsidRDefault="002E5764" w:rsidP="002E5764">
      <w:pPr>
        <w:pStyle w:val="a9"/>
        <w:spacing w:line="360" w:lineRule="auto"/>
        <w:ind w:firstLineChars="0" w:firstLine="0"/>
        <w:rPr>
          <w:rFonts w:ascii="Times New Roman" w:eastAsia="Microsoft YaHei UI" w:hAnsi="Times New Roman" w:cs="Times New Roman"/>
          <w:kern w:val="0"/>
          <w:sz w:val="22"/>
        </w:rPr>
      </w:pPr>
    </w:p>
    <w:p w14:paraId="38179555" w14:textId="77777777" w:rsidR="002E5764" w:rsidRPr="007550AF" w:rsidRDefault="002E5764" w:rsidP="002E5764">
      <w:pPr>
        <w:pStyle w:val="a7"/>
        <w:spacing w:line="360" w:lineRule="auto"/>
        <w:jc w:val="both"/>
        <w:rPr>
          <w:rFonts w:ascii="Times New Roman" w:hAnsi="Times New Roman" w:cs="Times New Roman"/>
          <w:sz w:val="22"/>
        </w:rPr>
      </w:pPr>
      <w:r w:rsidRPr="007550AF">
        <w:rPr>
          <w:rFonts w:ascii="Times New Roman" w:eastAsia="宋体" w:hAnsi="Times New Roman" w:cs="Times New Roman"/>
          <w:b/>
          <w:color w:val="0070C0"/>
          <w:sz w:val="22"/>
        </w:rPr>
        <w:t>Comment #</w:t>
      </w:r>
      <w:r>
        <w:rPr>
          <w:rFonts w:ascii="Times New Roman" w:eastAsia="宋体" w:hAnsi="Times New Roman" w:cs="Times New Roman"/>
          <w:b/>
          <w:color w:val="0070C0"/>
          <w:sz w:val="22"/>
        </w:rPr>
        <w:t>11</w:t>
      </w:r>
      <w:r w:rsidRPr="007550AF">
        <w:rPr>
          <w:rFonts w:ascii="Times New Roman" w:eastAsia="宋体" w:hAnsi="Times New Roman" w:cs="Times New Roman"/>
          <w:b/>
          <w:color w:val="0070C0"/>
          <w:sz w:val="22"/>
        </w:rPr>
        <w:t xml:space="preserve">. </w:t>
      </w:r>
      <w:r w:rsidRPr="00F250D3">
        <w:rPr>
          <w:rFonts w:ascii="Times New Roman" w:eastAsia="Microsoft YaHei UI" w:hAnsi="Times New Roman" w:cs="Times New Roman"/>
          <w:bCs/>
          <w:kern w:val="0"/>
          <w:sz w:val="22"/>
        </w:rPr>
        <w:t>The policy implications of the research findings for sustainable agricultural development need further expansion. More targeted policy suggestions could be proposed.</w:t>
      </w:r>
    </w:p>
    <w:p w14:paraId="7BC8A701" w14:textId="77777777" w:rsidR="002E5764" w:rsidRPr="007550AF" w:rsidRDefault="002E5764" w:rsidP="002E5764">
      <w:pPr>
        <w:widowControl/>
        <w:shd w:val="clear" w:color="auto" w:fill="FFFFFF"/>
        <w:spacing w:line="360" w:lineRule="auto"/>
        <w:rPr>
          <w:rFonts w:ascii="Times New Roman" w:eastAsia="微软雅黑" w:hAnsi="Times New Roman" w:cs="Times New Roman"/>
          <w:b/>
          <w:kern w:val="0"/>
          <w:sz w:val="22"/>
        </w:rPr>
      </w:pPr>
      <w:r w:rsidRPr="007550AF">
        <w:rPr>
          <w:rFonts w:ascii="Times New Roman" w:eastAsia="微软雅黑" w:hAnsi="Times New Roman" w:cs="Times New Roman"/>
          <w:b/>
          <w:kern w:val="0"/>
          <w:sz w:val="22"/>
        </w:rPr>
        <w:t xml:space="preserve">Reply: </w:t>
      </w:r>
    </w:p>
    <w:p w14:paraId="5BBBDC5B" w14:textId="77777777" w:rsidR="002E5764" w:rsidRPr="007550AF" w:rsidRDefault="002E5764" w:rsidP="002E5764">
      <w:pPr>
        <w:widowControl/>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Thank you for pointing out this.</w:t>
      </w:r>
      <w:r w:rsidRPr="007550AF">
        <w:rPr>
          <w:rFonts w:ascii="Times New Roman" w:hAnsi="Times New Roman" w:cs="Times New Roman"/>
          <w:sz w:val="22"/>
        </w:rPr>
        <w:t xml:space="preserve"> </w:t>
      </w:r>
      <w:r w:rsidRPr="007550AF">
        <w:rPr>
          <w:rFonts w:ascii="Times New Roman" w:eastAsia="Microsoft YaHei UI" w:hAnsi="Times New Roman" w:cs="Times New Roman"/>
          <w:kern w:val="0"/>
          <w:sz w:val="22"/>
        </w:rPr>
        <w:t xml:space="preserve">We have </w:t>
      </w:r>
      <w:r>
        <w:rPr>
          <w:rFonts w:ascii="Times New Roman" w:eastAsia="Microsoft YaHei UI" w:hAnsi="Times New Roman" w:cs="Times New Roman"/>
          <w:bCs/>
          <w:kern w:val="0"/>
          <w:sz w:val="22"/>
        </w:rPr>
        <w:t>add</w:t>
      </w:r>
      <w:r w:rsidRPr="007550AF">
        <w:rPr>
          <w:rFonts w:ascii="Times New Roman" w:eastAsia="Microsoft YaHei UI" w:hAnsi="Times New Roman" w:cs="Times New Roman"/>
          <w:bCs/>
          <w:kern w:val="0"/>
          <w:sz w:val="22"/>
        </w:rPr>
        <w:t>ed</w:t>
      </w:r>
      <w:r w:rsidRPr="007550AF">
        <w:rPr>
          <w:rFonts w:ascii="Times New Roman" w:eastAsia="Microsoft YaHei UI" w:hAnsi="Times New Roman" w:cs="Times New Roman"/>
          <w:kern w:val="0"/>
          <w:sz w:val="22"/>
        </w:rPr>
        <w:t xml:space="preserve"> </w:t>
      </w:r>
      <w:r w:rsidRPr="003F0904">
        <w:rPr>
          <w:rFonts w:ascii="Times New Roman" w:eastAsia="Microsoft YaHei UI" w:hAnsi="Times New Roman" w:cs="Times New Roman"/>
          <w:kern w:val="0"/>
          <w:sz w:val="22"/>
        </w:rPr>
        <w:t>some policy recommendations in the 6. Conclusions section</w:t>
      </w:r>
      <w:r w:rsidRPr="007550AF">
        <w:rPr>
          <w:rFonts w:ascii="Times New Roman" w:eastAsia="Microsoft YaHei UI" w:hAnsi="Times New Roman" w:cs="Times New Roman"/>
          <w:bCs/>
          <w:kern w:val="0"/>
          <w:sz w:val="22"/>
        </w:rPr>
        <w:t xml:space="preserve"> </w:t>
      </w:r>
      <w:r w:rsidRPr="007550AF">
        <w:rPr>
          <w:rFonts w:ascii="Times New Roman" w:eastAsia="Microsoft YaHei UI" w:hAnsi="Times New Roman" w:cs="Times New Roman"/>
          <w:kern w:val="0"/>
          <w:sz w:val="22"/>
          <w:highlight w:val="yellow"/>
        </w:rPr>
        <w:t>(</w:t>
      </w:r>
      <w:r w:rsidRPr="007550AF">
        <w:rPr>
          <w:rFonts w:ascii="Times New Roman" w:eastAsia="等线" w:hAnsi="Times New Roman" w:cs="Times New Roman"/>
          <w:kern w:val="0"/>
          <w:sz w:val="22"/>
          <w:highlight w:val="yellow"/>
        </w:rPr>
        <w:t xml:space="preserve">please see the line </w:t>
      </w:r>
      <w:r>
        <w:rPr>
          <w:rFonts w:ascii="Times New Roman" w:eastAsia="等线" w:hAnsi="Times New Roman" w:cs="Times New Roman"/>
          <w:kern w:val="0"/>
          <w:sz w:val="22"/>
          <w:highlight w:val="yellow"/>
        </w:rPr>
        <w:t>772</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27</w:t>
      </w:r>
      <w:r w:rsidRPr="007550AF">
        <w:rPr>
          <w:rFonts w:ascii="Times New Roman" w:eastAsia="等线" w:hAnsi="Times New Roman" w:cs="Times New Roman"/>
          <w:kern w:val="0"/>
          <w:sz w:val="22"/>
          <w:highlight w:val="yellow"/>
        </w:rPr>
        <w:t xml:space="preserve"> to line </w:t>
      </w:r>
      <w:r>
        <w:rPr>
          <w:rFonts w:ascii="Times New Roman" w:eastAsia="等线" w:hAnsi="Times New Roman" w:cs="Times New Roman"/>
          <w:kern w:val="0"/>
          <w:sz w:val="22"/>
          <w:highlight w:val="yellow"/>
        </w:rPr>
        <w:t>796</w:t>
      </w:r>
      <w:r w:rsidRPr="007550AF">
        <w:rPr>
          <w:rFonts w:ascii="Times New Roman" w:eastAsia="等线" w:hAnsi="Times New Roman" w:cs="Times New Roman"/>
          <w:kern w:val="0"/>
          <w:sz w:val="22"/>
          <w:highlight w:val="yellow"/>
        </w:rPr>
        <w:t xml:space="preserve"> of Page </w:t>
      </w:r>
      <w:r>
        <w:rPr>
          <w:rFonts w:ascii="Times New Roman" w:eastAsia="等线" w:hAnsi="Times New Roman" w:cs="Times New Roman"/>
          <w:kern w:val="0"/>
          <w:sz w:val="22"/>
          <w:highlight w:val="yellow"/>
        </w:rPr>
        <w:t>28</w:t>
      </w:r>
      <w:r w:rsidRPr="007550AF">
        <w:rPr>
          <w:rFonts w:ascii="Times New Roman" w:eastAsia="Microsoft YaHei UI" w:hAnsi="Times New Roman" w:cs="Times New Roman"/>
          <w:kern w:val="0"/>
          <w:sz w:val="22"/>
          <w:highlight w:val="yellow"/>
        </w:rPr>
        <w:t>)</w:t>
      </w:r>
      <w:r w:rsidRPr="007550AF">
        <w:rPr>
          <w:rFonts w:ascii="Times New Roman" w:eastAsia="Microsoft YaHei UI" w:hAnsi="Times New Roman" w:cs="Times New Roman"/>
          <w:kern w:val="0"/>
          <w:sz w:val="22"/>
        </w:rPr>
        <w:t xml:space="preserve">. The revised paragraph is shown below: </w:t>
      </w:r>
    </w:p>
    <w:p w14:paraId="510166CD" w14:textId="77777777" w:rsidR="002E5764" w:rsidRPr="007550AF" w:rsidRDefault="002E5764" w:rsidP="002E5764">
      <w:pPr>
        <w:spacing w:line="360" w:lineRule="auto"/>
        <w:ind w:firstLine="420"/>
        <w:rPr>
          <w:rFonts w:ascii="Times New Roman" w:hAnsi="Times New Roman" w:cs="Times New Roman"/>
          <w:sz w:val="22"/>
        </w:rPr>
      </w:pPr>
      <w:r w:rsidRPr="007550AF">
        <w:rPr>
          <w:rFonts w:ascii="Times New Roman" w:eastAsia="Microsoft YaHei UI" w:hAnsi="Times New Roman" w:cs="Times New Roman"/>
          <w:bCs/>
          <w:kern w:val="0"/>
          <w:sz w:val="22"/>
        </w:rPr>
        <w:t>“</w:t>
      </w:r>
      <w:r w:rsidRPr="003F0904">
        <w:rPr>
          <w:rFonts w:ascii="Times New Roman" w:eastAsia="Microsoft YaHei UI" w:hAnsi="Times New Roman" w:cs="Times New Roman"/>
          <w:bCs/>
          <w:kern w:val="0"/>
          <w:sz w:val="22"/>
        </w:rPr>
        <w:t xml:space="preserve">Despite the increasing focus on sustainable development, it is important to note that sustainable agricultural practices are still not widely adopted in the majority of nations and regions and the composite adoption content of sustainable agricultural practices by traditional farmers is not very high (65). New farmers have brought new impetus to the agricultural modernization transformation (20) and have had a significant positive impact on increasing the </w:t>
      </w:r>
      <w:r w:rsidRPr="003F0904">
        <w:rPr>
          <w:rFonts w:ascii="Times New Roman" w:eastAsia="Microsoft YaHei UI" w:hAnsi="Times New Roman" w:cs="Times New Roman"/>
          <w:bCs/>
          <w:kern w:val="0"/>
          <w:sz w:val="22"/>
        </w:rPr>
        <w:lastRenderedPageBreak/>
        <w:t>composite adoption level of sustainable agricultural practices. However, we need to recognize that new farmers have not generated a strong driving effect on neighboring farmers in terms of increasing the composite adoption level of sustainable agricultural practices, have only contributed to the proliferation of sustainable weed treatment and pest control practices. To this end, referring to our findings, it can be said that governments could continue to enhance both the adoption of sustainable agricultural practices by new farmers and the effectiveness of new farmers’ incentives, as well as address the obstacles to the implementation and spread of various sustainable agricultural practices. For instance, the construction of regional or national farmers' online communication platforms and the regular organization of farmers' learning and sharing activities will promote interaction among farmers, thereby improving the mutual driving effect among farmers, which may also at-tract more new farmers to cross-border entrepreneurship. Enhancing the development of online agricultural trading platforms and delivery systems, providing traditional farmers with targeted marketing programs for agricultural products, and providing subsidies for agricultural certification, will improve the benefits of sustainable agriculture, and thus increase the willingness of farmers to adopt sustainable agricultural practices.</w:t>
      </w:r>
      <w:r w:rsidRPr="007550AF">
        <w:rPr>
          <w:rFonts w:ascii="Times New Roman" w:eastAsia="Microsoft YaHei UI" w:hAnsi="Times New Roman" w:cs="Times New Roman"/>
          <w:bCs/>
          <w:kern w:val="0"/>
          <w:sz w:val="22"/>
        </w:rPr>
        <w:t>”</w:t>
      </w:r>
    </w:p>
    <w:p w14:paraId="3DD194D9" w14:textId="77777777" w:rsidR="002E5764" w:rsidRDefault="002E5764" w:rsidP="002E5764">
      <w:pPr>
        <w:pStyle w:val="a9"/>
        <w:spacing w:line="360" w:lineRule="auto"/>
        <w:ind w:firstLineChars="0" w:firstLine="0"/>
        <w:rPr>
          <w:rFonts w:ascii="Times New Roman" w:eastAsia="Microsoft YaHei UI" w:hAnsi="Times New Roman" w:cs="Times New Roman"/>
          <w:kern w:val="0"/>
          <w:sz w:val="22"/>
        </w:rPr>
      </w:pPr>
    </w:p>
    <w:p w14:paraId="2C482286" w14:textId="77777777" w:rsidR="002E5764" w:rsidRPr="00313D2A" w:rsidRDefault="002E5764" w:rsidP="002E5764">
      <w:pPr>
        <w:spacing w:line="360" w:lineRule="auto"/>
        <w:ind w:firstLineChars="200" w:firstLine="440"/>
        <w:rPr>
          <w:rFonts w:ascii="Times New Roman" w:eastAsia="Microsoft YaHei UI" w:hAnsi="Times New Roman" w:cs="Times New Roman"/>
          <w:kern w:val="0"/>
          <w:sz w:val="22"/>
        </w:rPr>
      </w:pPr>
    </w:p>
    <w:p w14:paraId="6661326A" w14:textId="77777777" w:rsidR="002E5764" w:rsidRPr="007550AF" w:rsidRDefault="002E5764" w:rsidP="002E5764">
      <w:pPr>
        <w:spacing w:line="360" w:lineRule="auto"/>
        <w:ind w:firstLineChars="200" w:firstLine="44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 xml:space="preserve">We tried our best to improve the manuscript and made some other changes in the manuscript. These changes will not influence the content and framework of the paper. </w:t>
      </w:r>
      <w:r>
        <w:rPr>
          <w:rFonts w:ascii="Times New Roman" w:eastAsia="Microsoft YaHei UI" w:hAnsi="Times New Roman" w:cs="Times New Roman"/>
          <w:kern w:val="0"/>
          <w:sz w:val="22"/>
        </w:rPr>
        <w:t>Some</w:t>
      </w:r>
      <w:r w:rsidRPr="007550AF">
        <w:rPr>
          <w:rFonts w:ascii="Times New Roman" w:eastAsia="Microsoft YaHei UI" w:hAnsi="Times New Roman" w:cs="Times New Roman"/>
          <w:kern w:val="0"/>
          <w:sz w:val="22"/>
        </w:rPr>
        <w:t xml:space="preserve"> changes are not listed here but are marked in the revised paper with a revision pattern.</w:t>
      </w:r>
    </w:p>
    <w:p w14:paraId="39D7EE24" w14:textId="77777777" w:rsidR="002E5764" w:rsidRPr="007550AF" w:rsidRDefault="002E5764" w:rsidP="002E5764">
      <w:pPr>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We appreciate the Editors and Reviewer’ thoughtful responses and hope that these changes now make our manuscript acceptable for publication.</w:t>
      </w:r>
    </w:p>
    <w:p w14:paraId="2BD7A88E" w14:textId="77777777" w:rsidR="002E5764" w:rsidRPr="007550AF" w:rsidRDefault="002E5764" w:rsidP="002E5764">
      <w:pPr>
        <w:spacing w:line="360" w:lineRule="auto"/>
        <w:ind w:firstLine="420"/>
        <w:rPr>
          <w:rFonts w:ascii="Times New Roman" w:eastAsia="Microsoft YaHei UI" w:hAnsi="Times New Roman" w:cs="Times New Roman"/>
          <w:kern w:val="0"/>
          <w:sz w:val="22"/>
        </w:rPr>
      </w:pPr>
      <w:r w:rsidRPr="007550AF">
        <w:rPr>
          <w:rFonts w:ascii="Times New Roman" w:eastAsia="Microsoft YaHei UI" w:hAnsi="Times New Roman" w:cs="Times New Roman"/>
          <w:kern w:val="0"/>
          <w:sz w:val="22"/>
        </w:rPr>
        <w:t xml:space="preserve">Once again, thank you very much for your </w:t>
      </w:r>
      <w:r w:rsidRPr="007550AF">
        <w:rPr>
          <w:rFonts w:ascii="Times New Roman" w:hAnsi="Times New Roman" w:cs="Times New Roman"/>
          <w:color w:val="000000" w:themeColor="text1"/>
          <w:sz w:val="22"/>
        </w:rPr>
        <w:t>patience, helpful and thought-provoking feedback,</w:t>
      </w:r>
      <w:r>
        <w:rPr>
          <w:rFonts w:ascii="Times New Roman" w:hAnsi="Times New Roman" w:cs="Times New Roman"/>
          <w:color w:val="000000" w:themeColor="text1"/>
          <w:sz w:val="22"/>
        </w:rPr>
        <w:t xml:space="preserve"> </w:t>
      </w:r>
      <w:r w:rsidRPr="007550AF">
        <w:rPr>
          <w:rFonts w:ascii="Times New Roman" w:eastAsia="Microsoft YaHei UI" w:hAnsi="Times New Roman" w:cs="Times New Roman"/>
          <w:kern w:val="0"/>
          <w:sz w:val="22"/>
        </w:rPr>
        <w:t>comments and suggestions.</w:t>
      </w:r>
    </w:p>
    <w:p w14:paraId="0B6A2263" w14:textId="77777777" w:rsidR="002E5764" w:rsidRPr="007550AF" w:rsidRDefault="002E5764" w:rsidP="002E5764">
      <w:pPr>
        <w:pStyle w:val="HTML"/>
        <w:spacing w:line="360" w:lineRule="auto"/>
        <w:jc w:val="both"/>
        <w:rPr>
          <w:rFonts w:ascii="Times New Roman" w:eastAsia="Microsoft YaHei UI" w:hAnsi="Times New Roman" w:cs="Times New Roman"/>
          <w:sz w:val="22"/>
          <w:szCs w:val="22"/>
        </w:rPr>
      </w:pPr>
    </w:p>
    <w:p w14:paraId="01B5D86E" w14:textId="77777777" w:rsidR="002E5764" w:rsidRPr="007550AF" w:rsidRDefault="002E5764" w:rsidP="002E5764">
      <w:pPr>
        <w:pStyle w:val="HTML"/>
        <w:spacing w:line="360" w:lineRule="auto"/>
        <w:jc w:val="both"/>
        <w:rPr>
          <w:rFonts w:ascii="Times New Roman" w:eastAsia="Microsoft YaHei UI" w:hAnsi="Times New Roman" w:cs="Times New Roman"/>
          <w:sz w:val="22"/>
          <w:szCs w:val="22"/>
        </w:rPr>
      </w:pPr>
      <w:r>
        <w:rPr>
          <w:rFonts w:ascii="Times New Roman" w:eastAsia="Microsoft YaHei UI" w:hAnsi="Times New Roman" w:cs="Times New Roman"/>
          <w:sz w:val="22"/>
          <w:szCs w:val="22"/>
        </w:rPr>
        <w:t>All the best</w:t>
      </w:r>
      <w:r w:rsidRPr="007550AF">
        <w:rPr>
          <w:rFonts w:ascii="Times New Roman" w:eastAsia="Microsoft YaHei UI" w:hAnsi="Times New Roman" w:cs="Times New Roman"/>
          <w:sz w:val="22"/>
          <w:szCs w:val="22"/>
        </w:rPr>
        <w:t>,</w:t>
      </w:r>
    </w:p>
    <w:p w14:paraId="383CAABC" w14:textId="77777777" w:rsidR="002E5764" w:rsidRDefault="002E5764" w:rsidP="002E5764">
      <w:pPr>
        <w:spacing w:line="360" w:lineRule="auto"/>
        <w:rPr>
          <w:rFonts w:ascii="Times New Roman" w:hAnsi="Times New Roman" w:cs="Times New Roman"/>
          <w:sz w:val="22"/>
        </w:rPr>
      </w:pPr>
      <w:r w:rsidRPr="007550AF">
        <w:rPr>
          <w:rFonts w:ascii="Times New Roman" w:hAnsi="Times New Roman" w:cs="Times New Roman"/>
          <w:sz w:val="22"/>
        </w:rPr>
        <w:t>Authors</w:t>
      </w:r>
    </w:p>
    <w:p w14:paraId="02E8B3D8" w14:textId="77777777" w:rsidR="00D63299" w:rsidRDefault="00D63299"/>
    <w:sectPr w:rsidR="00D632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7FE97" w14:textId="77777777" w:rsidR="00AF6EE1" w:rsidRDefault="00AF6EE1" w:rsidP="002E5764">
      <w:r>
        <w:separator/>
      </w:r>
    </w:p>
  </w:endnote>
  <w:endnote w:type="continuationSeparator" w:id="0">
    <w:p w14:paraId="549FCD48" w14:textId="77777777" w:rsidR="00AF6EE1" w:rsidRDefault="00AF6EE1" w:rsidP="002E5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ˎ̥">
    <w:altName w:val="Times New Roman"/>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C6D68" w14:textId="77777777" w:rsidR="00AF6EE1" w:rsidRDefault="00AF6EE1" w:rsidP="002E5764">
      <w:r>
        <w:separator/>
      </w:r>
    </w:p>
  </w:footnote>
  <w:footnote w:type="continuationSeparator" w:id="0">
    <w:p w14:paraId="6B6E927E" w14:textId="77777777" w:rsidR="00AF6EE1" w:rsidRDefault="00AF6EE1" w:rsidP="002E57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C47"/>
    <w:rsid w:val="001A49A2"/>
    <w:rsid w:val="002E5764"/>
    <w:rsid w:val="00474C47"/>
    <w:rsid w:val="00530BB1"/>
    <w:rsid w:val="00AF6EE1"/>
    <w:rsid w:val="00D63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7507416-602E-46AE-A35E-C181102F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5764"/>
    <w:pPr>
      <w:widowControl w:val="0"/>
      <w:jc w:val="both"/>
    </w:pPr>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5764"/>
    <w:pPr>
      <w:tabs>
        <w:tab w:val="center" w:pos="4153"/>
        <w:tab w:val="right" w:pos="8306"/>
      </w:tabs>
      <w:snapToGrid w:val="0"/>
      <w:jc w:val="center"/>
    </w:pPr>
    <w:rPr>
      <w:sz w:val="18"/>
      <w:szCs w:val="18"/>
      <w:lang w:val="en-US"/>
    </w:rPr>
  </w:style>
  <w:style w:type="character" w:customStyle="1" w:styleId="a4">
    <w:name w:val="页眉 字符"/>
    <w:basedOn w:val="a0"/>
    <w:link w:val="a3"/>
    <w:uiPriority w:val="99"/>
    <w:rsid w:val="002E5764"/>
    <w:rPr>
      <w:sz w:val="18"/>
      <w:szCs w:val="18"/>
    </w:rPr>
  </w:style>
  <w:style w:type="paragraph" w:styleId="a5">
    <w:name w:val="footer"/>
    <w:basedOn w:val="a"/>
    <w:link w:val="a6"/>
    <w:uiPriority w:val="99"/>
    <w:unhideWhenUsed/>
    <w:rsid w:val="002E5764"/>
    <w:pPr>
      <w:tabs>
        <w:tab w:val="center" w:pos="4153"/>
        <w:tab w:val="right" w:pos="8306"/>
      </w:tabs>
      <w:snapToGrid w:val="0"/>
      <w:jc w:val="left"/>
    </w:pPr>
    <w:rPr>
      <w:sz w:val="18"/>
      <w:szCs w:val="18"/>
      <w:lang w:val="en-US"/>
    </w:rPr>
  </w:style>
  <w:style w:type="character" w:customStyle="1" w:styleId="a6">
    <w:name w:val="页脚 字符"/>
    <w:basedOn w:val="a0"/>
    <w:link w:val="a5"/>
    <w:uiPriority w:val="99"/>
    <w:rsid w:val="002E5764"/>
    <w:rPr>
      <w:sz w:val="18"/>
      <w:szCs w:val="18"/>
    </w:rPr>
  </w:style>
  <w:style w:type="paragraph" w:styleId="a7">
    <w:name w:val="annotation text"/>
    <w:basedOn w:val="a"/>
    <w:link w:val="a8"/>
    <w:uiPriority w:val="99"/>
    <w:unhideWhenUsed/>
    <w:qFormat/>
    <w:rsid w:val="002E5764"/>
    <w:pPr>
      <w:jc w:val="left"/>
    </w:pPr>
  </w:style>
  <w:style w:type="character" w:customStyle="1" w:styleId="a8">
    <w:name w:val="批注文字 字符"/>
    <w:basedOn w:val="a0"/>
    <w:link w:val="a7"/>
    <w:uiPriority w:val="99"/>
    <w:qFormat/>
    <w:rsid w:val="002E5764"/>
    <w:rPr>
      <w:lang w:val="en-GB"/>
    </w:rPr>
  </w:style>
  <w:style w:type="paragraph" w:styleId="HTML">
    <w:name w:val="HTML Preformatted"/>
    <w:basedOn w:val="a"/>
    <w:link w:val="HTML0"/>
    <w:qFormat/>
    <w:rsid w:val="002E57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ˎ̥" w:eastAsia="宋体" w:hAnsi="ˎ̥" w:cs="宋体"/>
      <w:kern w:val="0"/>
      <w:sz w:val="18"/>
      <w:szCs w:val="18"/>
    </w:rPr>
  </w:style>
  <w:style w:type="character" w:customStyle="1" w:styleId="HTML0">
    <w:name w:val="HTML 预设格式 字符"/>
    <w:basedOn w:val="a0"/>
    <w:link w:val="HTML"/>
    <w:qFormat/>
    <w:rsid w:val="002E5764"/>
    <w:rPr>
      <w:rFonts w:ascii="ˎ̥" w:eastAsia="宋体" w:hAnsi="ˎ̥" w:cs="宋体"/>
      <w:kern w:val="0"/>
      <w:sz w:val="18"/>
      <w:szCs w:val="18"/>
      <w:lang w:val="en-GB"/>
    </w:rPr>
  </w:style>
  <w:style w:type="paragraph" w:styleId="a9">
    <w:name w:val="List Paragraph"/>
    <w:basedOn w:val="a"/>
    <w:uiPriority w:val="99"/>
    <w:qFormat/>
    <w:rsid w:val="002E576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6070</Words>
  <Characters>34604</Characters>
  <Application>Microsoft Office Word</Application>
  <DocSecurity>0</DocSecurity>
  <Lines>288</Lines>
  <Paragraphs>81</Paragraphs>
  <ScaleCrop>false</ScaleCrop>
  <Company/>
  <LinksUpToDate>false</LinksUpToDate>
  <CharactersWithSpaces>40593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Liu</dc:creator>
  <cp:keywords/>
  <dc:description/>
  <cp:lastModifiedBy>Min Liu</cp:lastModifiedBy>
  <cp:revision>2</cp:revision>
  <dcterms:created xsi:type="dcterms:W3CDTF">2024-01-03T17:29:00Z</dcterms:created>
  <dcterms:modified xsi:type="dcterms:W3CDTF">2024-01-03T17:29:00Z</dcterms:modified>
</cp:coreProperties>
</file>