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4021" w:rsidRDefault="00564021" w:rsidP="0056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lang w:val="en-GB"/>
        </w:rPr>
      </w:pPr>
      <w:r>
        <w:rPr>
          <w:lang w:val="en-GB"/>
        </w:rPr>
        <w:t>Dear Reviewer,</w:t>
      </w:r>
    </w:p>
    <w:p w:rsidR="00564021" w:rsidRPr="00C02D88" w:rsidRDefault="00564021" w:rsidP="0056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lang w:val="en-GB"/>
        </w:rPr>
      </w:pPr>
      <w:r w:rsidRPr="00C02D88">
        <w:rPr>
          <w:lang w:val="en-GB"/>
        </w:rPr>
        <w:t>Thank you for taking the time to review our paper and for your valuable comments and suggestions. They were very insightful, and we appreciate the positive feedback. We hope that this revised version is satisfactory for publication in the 'Sustainability' journal.</w:t>
      </w:r>
    </w:p>
    <w:p w:rsidR="00564021" w:rsidRPr="00C02D88" w:rsidRDefault="00564021" w:rsidP="0056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lang w:val="en-GB"/>
        </w:rPr>
      </w:pPr>
      <w:r w:rsidRPr="00C02D88">
        <w:rPr>
          <w:lang w:val="en-GB"/>
        </w:rPr>
        <w:t>We are now submitting our edited revised manuscript, considering all the necessary corrections</w:t>
      </w:r>
      <w:r>
        <w:rPr>
          <w:lang w:val="en-GB"/>
        </w:rPr>
        <w:t xml:space="preserve">. </w:t>
      </w:r>
      <w:r w:rsidRPr="00C02D88">
        <w:rPr>
          <w:lang w:val="en-GB"/>
        </w:rPr>
        <w:t>We believe that the quality of our paper has been improved, and we hope that it now meets the required publication standards in 'Sustainability.'</w:t>
      </w:r>
    </w:p>
    <w:p w:rsidR="00564021" w:rsidRPr="00C02D88" w:rsidRDefault="00564021" w:rsidP="0056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lang w:val="en-GB"/>
        </w:rPr>
      </w:pPr>
      <w:r w:rsidRPr="00C02D88">
        <w:rPr>
          <w:lang w:val="en-GB"/>
        </w:rPr>
        <w:t>Thank you in advance, and we look forward to hearing from you.</w:t>
      </w:r>
    </w:p>
    <w:p w:rsidR="00564021" w:rsidRPr="00C02D88" w:rsidRDefault="00564021" w:rsidP="0056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lang w:val="en-GB"/>
        </w:rPr>
      </w:pPr>
      <w:r w:rsidRPr="00C02D88">
        <w:rPr>
          <w:lang w:val="en-GB"/>
        </w:rPr>
        <w:t>Best regards,</w:t>
      </w:r>
    </w:p>
    <w:p w:rsidR="00564021" w:rsidRPr="00C02D88" w:rsidRDefault="00564021" w:rsidP="005640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lang w:val="en-GB"/>
        </w:rPr>
      </w:pPr>
      <w:r w:rsidRPr="00C02D88">
        <w:rPr>
          <w:lang w:val="en-GB"/>
        </w:rPr>
        <w:t>Prof. Hatem DHAOUADI</w:t>
      </w:r>
      <w:r w:rsidRPr="00C02D88">
        <w:fldChar w:fldCharType="begin"/>
      </w:r>
      <w:r w:rsidRPr="006638FB">
        <w:rPr>
          <w:lang w:val="en-US"/>
        </w:rPr>
        <w:instrText xml:space="preserve"> ADDIN EN.REFLIST </w:instrText>
      </w:r>
      <w:r w:rsidRPr="00C02D88">
        <w:fldChar w:fldCharType="end"/>
      </w:r>
    </w:p>
    <w:p w:rsidR="00564021" w:rsidRDefault="00564021" w:rsidP="00564021">
      <w:pPr>
        <w:spacing w:line="360" w:lineRule="auto"/>
        <w:jc w:val="both"/>
        <w:rPr>
          <w:rFonts w:eastAsia="Times New Roman"/>
          <w:b/>
          <w:u w:val="single"/>
          <w:lang w:val="en-US" w:eastAsia="fr-CA"/>
        </w:rPr>
      </w:pPr>
      <w:r>
        <w:rPr>
          <w:rFonts w:eastAsia="Times New Roman"/>
          <w:bCs/>
          <w:lang w:val="en-GB" w:eastAsia="fr-CA"/>
        </w:rPr>
        <w:t>--------------------------------------------------</w:t>
      </w:r>
    </w:p>
    <w:p w:rsidR="00C3410E" w:rsidRDefault="00C3410E" w:rsidP="00CC76E4">
      <w:pPr>
        <w:spacing w:line="240" w:lineRule="auto"/>
        <w:jc w:val="both"/>
        <w:rPr>
          <w:i/>
          <w:iCs/>
          <w:sz w:val="20"/>
          <w:szCs w:val="20"/>
          <w:lang w:val="en-US"/>
        </w:rPr>
      </w:pPr>
    </w:p>
    <w:p w:rsidR="00CC76E4" w:rsidRPr="00C02D88" w:rsidRDefault="00CC76E4" w:rsidP="00CC76E4">
      <w:pPr>
        <w:spacing w:line="240" w:lineRule="auto"/>
        <w:jc w:val="both"/>
        <w:rPr>
          <w:b/>
          <w:bCs/>
          <w:i/>
          <w:iCs/>
          <w:sz w:val="20"/>
          <w:szCs w:val="20"/>
          <w:u w:val="single"/>
          <w:lang w:val="en-US"/>
        </w:rPr>
      </w:pPr>
      <w:bookmarkStart w:id="0" w:name="_GoBack"/>
      <w:bookmarkEnd w:id="0"/>
      <w:r w:rsidRPr="00C02D88">
        <w:rPr>
          <w:i/>
          <w:iCs/>
          <w:sz w:val="20"/>
          <w:szCs w:val="20"/>
          <w:lang w:val="en-US"/>
        </w:rPr>
        <w:t>The manuscript describes the use of activated carbon from pear seeds for pesticide removal and investigates physicochemical aspects of the adsorption process. The text is mostly clear and concise and may be of interest to the audience reached by the journal. Hence, I recommend its acceptance after some revisions, as stated below.</w:t>
      </w:r>
    </w:p>
    <w:p w:rsidR="00CC76E4" w:rsidRPr="00C02D88" w:rsidRDefault="00CC76E4" w:rsidP="00CC76E4">
      <w:pPr>
        <w:spacing w:line="240" w:lineRule="auto"/>
        <w:jc w:val="both"/>
        <w:rPr>
          <w:lang w:val="en-GB"/>
        </w:rPr>
      </w:pPr>
      <w:r w:rsidRPr="00C02D88">
        <w:rPr>
          <w:b/>
          <w:bCs/>
          <w:lang w:val="en-GB"/>
        </w:rPr>
        <w:t>Reply</w:t>
      </w:r>
      <w:r w:rsidRPr="00C02D88">
        <w:rPr>
          <w:lang w:val="en-GB"/>
        </w:rPr>
        <w:t>:</w:t>
      </w:r>
    </w:p>
    <w:p w:rsidR="00CC76E4" w:rsidRPr="00C02D88" w:rsidRDefault="00CC76E4" w:rsidP="00CC76E4">
      <w:pPr>
        <w:spacing w:line="240" w:lineRule="auto"/>
        <w:ind w:left="426"/>
        <w:jc w:val="both"/>
        <w:rPr>
          <w:lang w:val="en-US"/>
        </w:rPr>
      </w:pPr>
      <w:r w:rsidRPr="00C02D88">
        <w:rPr>
          <w:lang w:val="en-US"/>
        </w:rPr>
        <w:t>We appreciate your positive feedback. Thank you for taking the time to review our paper and for your valuable comments and compliments.</w:t>
      </w:r>
    </w:p>
    <w:p w:rsidR="00CC76E4" w:rsidRPr="00C02D88" w:rsidRDefault="00CC76E4" w:rsidP="00CC76E4">
      <w:pPr>
        <w:spacing w:line="240" w:lineRule="auto"/>
        <w:ind w:left="426"/>
        <w:jc w:val="both"/>
        <w:rPr>
          <w:rFonts w:eastAsia="Times New Roman"/>
          <w:lang w:val="en-US"/>
        </w:rPr>
      </w:pPr>
    </w:p>
    <w:p w:rsidR="00CC76E4" w:rsidRPr="00C02D88" w:rsidRDefault="00CC76E4" w:rsidP="00CC76E4">
      <w:pPr>
        <w:spacing w:line="360" w:lineRule="auto"/>
        <w:jc w:val="both"/>
        <w:rPr>
          <w:rFonts w:cstheme="majorBidi"/>
          <w:i/>
          <w:iCs/>
          <w:sz w:val="20"/>
          <w:szCs w:val="20"/>
          <w:lang w:val="en-US"/>
        </w:rPr>
      </w:pPr>
      <w:r w:rsidRPr="00C02D88">
        <w:rPr>
          <w:rFonts w:cstheme="majorBidi"/>
          <w:b/>
          <w:bCs/>
          <w:i/>
          <w:iCs/>
          <w:sz w:val="20"/>
          <w:szCs w:val="20"/>
          <w:lang w:val="en-US"/>
        </w:rPr>
        <w:t>1/</w:t>
      </w:r>
      <w:r w:rsidRPr="00C02D88">
        <w:rPr>
          <w:rFonts w:cstheme="majorBidi"/>
          <w:i/>
          <w:iCs/>
          <w:sz w:val="20"/>
          <w:szCs w:val="20"/>
          <w:lang w:val="en-US"/>
        </w:rPr>
        <w:t xml:space="preserve"> It is not clear if the pesticide Deltamethrin is soluble in water. Hence, it should be clarified in which media the adsorption experiments were performed.</w:t>
      </w:r>
    </w:p>
    <w:p w:rsidR="00CC76E4" w:rsidRPr="00C02D88" w:rsidRDefault="00CC76E4" w:rsidP="00CC76E4">
      <w:pPr>
        <w:spacing w:line="360" w:lineRule="auto"/>
        <w:jc w:val="both"/>
        <w:rPr>
          <w:lang w:val="en-GB"/>
        </w:rPr>
      </w:pPr>
      <w:r w:rsidRPr="00C02D88">
        <w:rPr>
          <w:b/>
          <w:bCs/>
          <w:lang w:val="en-GB"/>
        </w:rPr>
        <w:t>Reply</w:t>
      </w:r>
      <w:r w:rsidRPr="00C02D88">
        <w:rPr>
          <w:lang w:val="en-GB"/>
        </w:rPr>
        <w:t>:</w:t>
      </w:r>
    </w:p>
    <w:p w:rsidR="00CC76E4" w:rsidRPr="00C02D88" w:rsidRDefault="00CC76E4" w:rsidP="00CC76E4">
      <w:pPr>
        <w:spacing w:line="360" w:lineRule="auto"/>
        <w:ind w:left="357"/>
        <w:jc w:val="both"/>
        <w:rPr>
          <w:b/>
          <w:lang w:val="en-GB"/>
        </w:rPr>
      </w:pPr>
      <w:r w:rsidRPr="00C02D88">
        <w:rPr>
          <w:lang w:val="en-GB"/>
        </w:rPr>
        <w:t>Pure deltamethrin has low water solubility (0.2 µg L</w:t>
      </w:r>
      <w:r w:rsidRPr="00C02D88">
        <w:rPr>
          <w:vertAlign w:val="superscript"/>
          <w:lang w:val="en-GB"/>
        </w:rPr>
        <w:t>-1</w:t>
      </w:r>
      <w:r w:rsidRPr="00C02D88">
        <w:rPr>
          <w:lang w:val="en-GB"/>
        </w:rPr>
        <w:t xml:space="preserve"> at 25°C) but is soluble in some organic solvents. All experiments were conducted in ultra-pure water using a water-soluble form of the commercial pesticide (DECIS EXPERT, BAYER</w:t>
      </w:r>
      <w:r w:rsidRPr="00C02D88">
        <w:rPr>
          <w:vertAlign w:val="superscript"/>
          <w:lang w:val="en-GB"/>
        </w:rPr>
        <w:t>®</w:t>
      </w:r>
      <w:r w:rsidRPr="00C02D88">
        <w:rPr>
          <w:lang w:val="en-GB"/>
        </w:rPr>
        <w:t>), to ensure realistic results. This information has been added to the revised manuscript as per your request.</w:t>
      </w:r>
      <w:r w:rsidRPr="00C02D88">
        <w:rPr>
          <w:b/>
          <w:lang w:val="en-US"/>
        </w:rPr>
        <w:t xml:space="preserve"> </w:t>
      </w:r>
      <w:r w:rsidRPr="00C02D88">
        <w:rPr>
          <w:b/>
          <w:lang w:val="en-GB"/>
        </w:rPr>
        <w:t>(Please see Page 4 Line 125).</w:t>
      </w:r>
    </w:p>
    <w:p w:rsidR="00CC76E4" w:rsidRPr="00C02D88" w:rsidRDefault="00CC76E4" w:rsidP="00CC76E4">
      <w:pPr>
        <w:spacing w:line="360" w:lineRule="auto"/>
        <w:ind w:left="357"/>
        <w:jc w:val="both"/>
        <w:rPr>
          <w:lang w:val="en-GB"/>
        </w:rPr>
      </w:pPr>
    </w:p>
    <w:p w:rsidR="00CC76E4" w:rsidRPr="00C02D88" w:rsidRDefault="00CC76E4" w:rsidP="00CC76E4">
      <w:pPr>
        <w:spacing w:line="360" w:lineRule="auto"/>
        <w:jc w:val="both"/>
        <w:rPr>
          <w:rFonts w:cstheme="majorBidi"/>
          <w:i/>
          <w:iCs/>
          <w:sz w:val="20"/>
          <w:szCs w:val="20"/>
          <w:lang w:val="en-US"/>
        </w:rPr>
      </w:pPr>
      <w:r w:rsidRPr="00C02D88">
        <w:rPr>
          <w:rFonts w:cstheme="majorBidi"/>
          <w:b/>
          <w:bCs/>
          <w:i/>
          <w:iCs/>
          <w:sz w:val="20"/>
          <w:szCs w:val="20"/>
          <w:lang w:val="en-US"/>
        </w:rPr>
        <w:t>2/</w:t>
      </w:r>
      <w:r w:rsidRPr="00C02D88">
        <w:rPr>
          <w:rFonts w:cstheme="majorBidi"/>
          <w:i/>
          <w:iCs/>
          <w:sz w:val="20"/>
          <w:szCs w:val="20"/>
          <w:lang w:val="en-US"/>
        </w:rPr>
        <w:t xml:space="preserve"> Regarding the acidic groups found on the surface of activated carbon, is there any publication on similar systems that corroborate these results using spectroscopic techniques, like XPS?</w:t>
      </w:r>
    </w:p>
    <w:p w:rsidR="00CC76E4" w:rsidRPr="00C02D88" w:rsidRDefault="00CC76E4" w:rsidP="00CC76E4">
      <w:pPr>
        <w:spacing w:line="360" w:lineRule="auto"/>
        <w:jc w:val="both"/>
        <w:rPr>
          <w:lang w:val="en-GB"/>
        </w:rPr>
      </w:pPr>
      <w:r w:rsidRPr="00C02D88">
        <w:rPr>
          <w:b/>
          <w:bCs/>
          <w:lang w:val="en-GB"/>
        </w:rPr>
        <w:lastRenderedPageBreak/>
        <w:t>Reply</w:t>
      </w:r>
      <w:r w:rsidRPr="00C02D88">
        <w:rPr>
          <w:lang w:val="en-GB"/>
        </w:rPr>
        <w:t>:</w:t>
      </w:r>
    </w:p>
    <w:p w:rsidR="00CC76E4" w:rsidRPr="00C02D88" w:rsidRDefault="00CC76E4" w:rsidP="00CC76E4">
      <w:pPr>
        <w:spacing w:line="360" w:lineRule="auto"/>
        <w:ind w:left="357"/>
        <w:jc w:val="both"/>
        <w:rPr>
          <w:b/>
          <w:lang w:val="en-GB"/>
        </w:rPr>
      </w:pPr>
      <w:r w:rsidRPr="00C02D88">
        <w:rPr>
          <w:lang w:val="en-GB"/>
        </w:rPr>
        <w:t>Regarding the acidic groups found on the surface of activated carbon, our results are corroborated by some publications that used X-Ray Photoelectron Spectroscopy (XPS) on similar systems. As per your request, two new references (67 and 68)) have been added.</w:t>
      </w:r>
      <w:r w:rsidRPr="00C02D88">
        <w:rPr>
          <w:b/>
          <w:lang w:val="en-GB"/>
        </w:rPr>
        <w:t xml:space="preserve"> (Please see Page 9, line 315).</w:t>
      </w:r>
    </w:p>
    <w:p w:rsidR="00CC76E4" w:rsidRPr="00C02D88" w:rsidRDefault="00CC76E4" w:rsidP="00CC76E4">
      <w:pPr>
        <w:spacing w:line="360" w:lineRule="auto"/>
        <w:jc w:val="both"/>
        <w:rPr>
          <w:szCs w:val="24"/>
          <w:lang w:val="en-GB"/>
        </w:rPr>
      </w:pPr>
      <w:r w:rsidRPr="00C02D88">
        <w:rPr>
          <w:szCs w:val="24"/>
          <w:lang w:val="en-GB"/>
        </w:rPr>
        <w:t xml:space="preserve">[67] XPS and NMR studies of phosphoric acid activated carbons, A.M. </w:t>
      </w:r>
      <w:proofErr w:type="spellStart"/>
      <w:r w:rsidRPr="00C02D88">
        <w:rPr>
          <w:szCs w:val="24"/>
          <w:lang w:val="en-GB"/>
        </w:rPr>
        <w:t>Puziy</w:t>
      </w:r>
      <w:proofErr w:type="spellEnd"/>
      <w:r w:rsidRPr="00C02D88">
        <w:rPr>
          <w:szCs w:val="24"/>
          <w:lang w:val="en-GB"/>
        </w:rPr>
        <w:t xml:space="preserve">, O.I. </w:t>
      </w:r>
      <w:proofErr w:type="spellStart"/>
      <w:r w:rsidRPr="00C02D88">
        <w:rPr>
          <w:szCs w:val="24"/>
          <w:lang w:val="en-GB"/>
        </w:rPr>
        <w:t>Poddubnaya</w:t>
      </w:r>
      <w:proofErr w:type="spellEnd"/>
      <w:r w:rsidRPr="00C02D88">
        <w:rPr>
          <w:szCs w:val="24"/>
          <w:lang w:val="en-GB"/>
        </w:rPr>
        <w:t xml:space="preserve">, R.P. </w:t>
      </w:r>
      <w:proofErr w:type="spellStart"/>
      <w:r w:rsidRPr="00C02D88">
        <w:rPr>
          <w:szCs w:val="24"/>
          <w:lang w:val="en-GB"/>
        </w:rPr>
        <w:t>Socha</w:t>
      </w:r>
      <w:proofErr w:type="spellEnd"/>
      <w:r w:rsidRPr="00C02D88">
        <w:rPr>
          <w:szCs w:val="24"/>
          <w:lang w:val="en-GB"/>
        </w:rPr>
        <w:t xml:space="preserve">, J. </w:t>
      </w:r>
      <w:proofErr w:type="spellStart"/>
      <w:r w:rsidRPr="00C02D88">
        <w:rPr>
          <w:szCs w:val="24"/>
          <w:lang w:val="en-GB"/>
        </w:rPr>
        <w:t>Gurgul</w:t>
      </w:r>
      <w:proofErr w:type="spellEnd"/>
      <w:r w:rsidRPr="00C02D88">
        <w:rPr>
          <w:szCs w:val="24"/>
          <w:lang w:val="en-GB"/>
        </w:rPr>
        <w:t xml:space="preserve">, M. Wisniewski, CARBON 46 (2008) 2113 –2123, </w:t>
      </w:r>
      <w:proofErr w:type="gramStart"/>
      <w:r w:rsidRPr="00C02D88">
        <w:rPr>
          <w:szCs w:val="24"/>
          <w:lang w:val="en-GB"/>
        </w:rPr>
        <w:t>doi:10.1016/j.carbon</w:t>
      </w:r>
      <w:proofErr w:type="gramEnd"/>
      <w:r w:rsidRPr="00C02D88">
        <w:rPr>
          <w:szCs w:val="24"/>
          <w:lang w:val="en-GB"/>
        </w:rPr>
        <w:t>.2008.09.010</w:t>
      </w:r>
    </w:p>
    <w:p w:rsidR="00CC76E4" w:rsidRPr="00C02D88" w:rsidRDefault="00CC76E4" w:rsidP="00CC76E4">
      <w:pPr>
        <w:spacing w:line="360" w:lineRule="auto"/>
        <w:jc w:val="both"/>
        <w:rPr>
          <w:szCs w:val="24"/>
          <w:lang w:val="en-GB"/>
        </w:rPr>
      </w:pPr>
      <w:r w:rsidRPr="00C02D88">
        <w:rPr>
          <w:szCs w:val="24"/>
          <w:lang w:val="en-GB"/>
        </w:rPr>
        <w:t xml:space="preserve">[68] Oxygen and phosphorus enriched carbons from lignocellulosic material, Alexander M. </w:t>
      </w:r>
      <w:proofErr w:type="spellStart"/>
      <w:r w:rsidRPr="00C02D88">
        <w:rPr>
          <w:szCs w:val="24"/>
          <w:lang w:val="en-GB"/>
        </w:rPr>
        <w:t>Puziy</w:t>
      </w:r>
      <w:proofErr w:type="spellEnd"/>
      <w:r w:rsidRPr="00C02D88">
        <w:rPr>
          <w:szCs w:val="24"/>
          <w:lang w:val="en-GB"/>
        </w:rPr>
        <w:t xml:space="preserve">, Olga I. </w:t>
      </w:r>
      <w:proofErr w:type="spellStart"/>
      <w:r w:rsidRPr="00C02D88">
        <w:rPr>
          <w:szCs w:val="24"/>
          <w:lang w:val="en-GB"/>
        </w:rPr>
        <w:t>Poddubnaya</w:t>
      </w:r>
      <w:proofErr w:type="spellEnd"/>
      <w:r w:rsidRPr="00C02D88">
        <w:rPr>
          <w:szCs w:val="24"/>
          <w:lang w:val="en-GB"/>
        </w:rPr>
        <w:t>, Amelia Mart</w:t>
      </w:r>
      <w:r w:rsidRPr="00C02D88">
        <w:rPr>
          <w:rFonts w:cstheme="majorBidi"/>
          <w:szCs w:val="24"/>
          <w:lang w:val="en-GB"/>
        </w:rPr>
        <w:t>í</w:t>
      </w:r>
      <w:r w:rsidRPr="00C02D88">
        <w:rPr>
          <w:szCs w:val="24"/>
          <w:lang w:val="en-GB"/>
        </w:rPr>
        <w:t>nez-Alonso, Alberto Castro-</w:t>
      </w:r>
      <w:proofErr w:type="spellStart"/>
      <w:r w:rsidRPr="00C02D88">
        <w:rPr>
          <w:szCs w:val="24"/>
          <w:lang w:val="en-GB"/>
        </w:rPr>
        <w:t>Mu</w:t>
      </w:r>
      <w:r w:rsidRPr="00C02D88">
        <w:rPr>
          <w:rFonts w:cstheme="majorBidi"/>
          <w:szCs w:val="24"/>
          <w:lang w:val="en-GB"/>
        </w:rPr>
        <w:t>ñ</w:t>
      </w:r>
      <w:r w:rsidRPr="00C02D88">
        <w:rPr>
          <w:szCs w:val="24"/>
          <w:lang w:val="en-GB"/>
        </w:rPr>
        <w:t>iz</w:t>
      </w:r>
      <w:proofErr w:type="spellEnd"/>
      <w:r w:rsidRPr="00C02D88">
        <w:rPr>
          <w:szCs w:val="24"/>
          <w:lang w:val="en-GB"/>
        </w:rPr>
        <w:t>, Fabian Su</w:t>
      </w:r>
      <w:r w:rsidRPr="00C02D88">
        <w:rPr>
          <w:rFonts w:cstheme="majorBidi"/>
          <w:szCs w:val="24"/>
          <w:lang w:val="en-GB"/>
        </w:rPr>
        <w:t>á</w:t>
      </w:r>
      <w:r w:rsidRPr="00C02D88">
        <w:rPr>
          <w:szCs w:val="24"/>
          <w:lang w:val="en-GB"/>
        </w:rPr>
        <w:t>rez-Garc</w:t>
      </w:r>
      <w:r w:rsidRPr="00C02D88">
        <w:rPr>
          <w:rFonts w:cstheme="majorBidi"/>
          <w:szCs w:val="24"/>
          <w:lang w:val="en-GB"/>
        </w:rPr>
        <w:t>í</w:t>
      </w:r>
      <w:r w:rsidRPr="00C02D88">
        <w:rPr>
          <w:szCs w:val="24"/>
          <w:lang w:val="en-GB"/>
        </w:rPr>
        <w:t xml:space="preserve">a, Juan M.D. </w:t>
      </w:r>
      <w:proofErr w:type="spellStart"/>
      <w:r w:rsidRPr="00C02D88">
        <w:rPr>
          <w:szCs w:val="24"/>
          <w:lang w:val="en-GB"/>
        </w:rPr>
        <w:t>Tasc</w:t>
      </w:r>
      <w:r w:rsidRPr="00C02D88">
        <w:rPr>
          <w:rFonts w:cstheme="majorBidi"/>
          <w:szCs w:val="24"/>
          <w:lang w:val="en-GB"/>
        </w:rPr>
        <w:t>ó</w:t>
      </w:r>
      <w:r w:rsidRPr="00C02D88">
        <w:rPr>
          <w:szCs w:val="24"/>
          <w:lang w:val="en-GB"/>
        </w:rPr>
        <w:t>n</w:t>
      </w:r>
      <w:proofErr w:type="spellEnd"/>
      <w:r w:rsidRPr="00C02D88">
        <w:rPr>
          <w:szCs w:val="24"/>
          <w:lang w:val="en-GB"/>
        </w:rPr>
        <w:t xml:space="preserve">, Carbon 45 (2007) 1941–1950, </w:t>
      </w:r>
      <w:proofErr w:type="gramStart"/>
      <w:r w:rsidRPr="00C02D88">
        <w:rPr>
          <w:szCs w:val="24"/>
          <w:lang w:val="en-GB"/>
        </w:rPr>
        <w:t>doi:10.1016/j.carbon</w:t>
      </w:r>
      <w:proofErr w:type="gramEnd"/>
      <w:r w:rsidRPr="00C02D88">
        <w:rPr>
          <w:szCs w:val="24"/>
          <w:lang w:val="en-GB"/>
        </w:rPr>
        <w:t>.2007.06.014</w:t>
      </w:r>
    </w:p>
    <w:p w:rsidR="00CC76E4" w:rsidRPr="00C02D88" w:rsidRDefault="00CC76E4" w:rsidP="00CC76E4">
      <w:pPr>
        <w:spacing w:line="360" w:lineRule="auto"/>
        <w:ind w:left="357"/>
        <w:jc w:val="both"/>
        <w:rPr>
          <w:lang w:val="en-GB"/>
        </w:rPr>
      </w:pPr>
    </w:p>
    <w:p w:rsidR="00CC76E4" w:rsidRPr="00C02D88" w:rsidRDefault="00CC76E4" w:rsidP="00CC76E4">
      <w:pPr>
        <w:spacing w:line="360" w:lineRule="auto"/>
        <w:jc w:val="both"/>
        <w:rPr>
          <w:rFonts w:cstheme="majorBidi"/>
          <w:i/>
          <w:iCs/>
          <w:sz w:val="20"/>
          <w:szCs w:val="20"/>
          <w:lang w:val="en-US"/>
        </w:rPr>
      </w:pPr>
      <w:r w:rsidRPr="00C02D88">
        <w:rPr>
          <w:rFonts w:cstheme="majorBidi"/>
          <w:b/>
          <w:bCs/>
          <w:i/>
          <w:iCs/>
          <w:sz w:val="20"/>
          <w:szCs w:val="20"/>
          <w:lang w:val="en-US"/>
        </w:rPr>
        <w:t>3/</w:t>
      </w:r>
      <w:r w:rsidRPr="00C02D88">
        <w:rPr>
          <w:rFonts w:cstheme="majorBidi"/>
          <w:i/>
          <w:iCs/>
          <w:sz w:val="20"/>
          <w:szCs w:val="20"/>
          <w:lang w:val="en-US"/>
        </w:rPr>
        <w:t xml:space="preserve"> Pore size distribution seems to lay around 4 nm (Figure 3), although authors state that it is between 2 and 50 nm.</w:t>
      </w:r>
    </w:p>
    <w:p w:rsidR="00CC76E4" w:rsidRPr="00C02D88" w:rsidRDefault="00CC76E4" w:rsidP="00CC76E4">
      <w:pPr>
        <w:spacing w:line="360" w:lineRule="auto"/>
        <w:jc w:val="both"/>
        <w:rPr>
          <w:lang w:val="en-GB"/>
        </w:rPr>
      </w:pPr>
      <w:r w:rsidRPr="00C02D88">
        <w:rPr>
          <w:b/>
          <w:bCs/>
          <w:lang w:val="en-GB"/>
        </w:rPr>
        <w:t>Reply</w:t>
      </w:r>
      <w:r w:rsidRPr="00C02D88">
        <w:rPr>
          <w:lang w:val="en-GB"/>
        </w:rPr>
        <w:t>:</w:t>
      </w:r>
    </w:p>
    <w:p w:rsidR="00CC76E4" w:rsidRPr="00C02D88" w:rsidRDefault="00CC76E4" w:rsidP="00CC76E4">
      <w:pPr>
        <w:spacing w:line="360" w:lineRule="auto"/>
        <w:ind w:left="357"/>
        <w:jc w:val="both"/>
        <w:rPr>
          <w:lang w:val="en-GB"/>
        </w:rPr>
      </w:pPr>
      <w:r w:rsidRPr="00C02D88">
        <w:rPr>
          <w:lang w:val="en-GB"/>
        </w:rPr>
        <w:t xml:space="preserve">You are absolutely right. A mistake was made in choosing the correct figure. Figure 3, in fact, represents the BJH desorption </w:t>
      </w:r>
      <w:proofErr w:type="spellStart"/>
      <w:r w:rsidRPr="00C02D88">
        <w:rPr>
          <w:lang w:val="en-GB"/>
        </w:rPr>
        <w:t>dV</w:t>
      </w:r>
      <w:proofErr w:type="spellEnd"/>
      <w:r w:rsidRPr="00C02D88">
        <w:rPr>
          <w:lang w:val="en-GB"/>
        </w:rPr>
        <w:t>/</w:t>
      </w:r>
      <w:proofErr w:type="spellStart"/>
      <w:r w:rsidRPr="00C02D88">
        <w:rPr>
          <w:lang w:val="en-GB"/>
        </w:rPr>
        <w:t>dw</w:t>
      </w:r>
      <w:proofErr w:type="spellEnd"/>
      <w:r w:rsidRPr="00C02D88">
        <w:rPr>
          <w:lang w:val="en-GB"/>
        </w:rPr>
        <w:t xml:space="preserve"> Pore volume (</w:t>
      </w:r>
      <w:proofErr w:type="spellStart"/>
      <w:r w:rsidRPr="00C02D88">
        <w:rPr>
          <w:lang w:val="en-GB"/>
        </w:rPr>
        <w:t>dV</w:t>
      </w:r>
      <w:proofErr w:type="spellEnd"/>
      <w:r w:rsidRPr="00C02D88">
        <w:rPr>
          <w:lang w:val="en-GB"/>
        </w:rPr>
        <w:t>/</w:t>
      </w:r>
      <w:proofErr w:type="spellStart"/>
      <w:r w:rsidRPr="00C02D88">
        <w:rPr>
          <w:lang w:val="en-GB"/>
        </w:rPr>
        <w:t>dw</w:t>
      </w:r>
      <w:proofErr w:type="spellEnd"/>
      <w:r w:rsidRPr="00C02D88">
        <w:rPr>
          <w:lang w:val="en-GB"/>
        </w:rPr>
        <w:t xml:space="preserve"> Pore volume (cm</w:t>
      </w:r>
      <w:r w:rsidRPr="00C02D88">
        <w:rPr>
          <w:vertAlign w:val="superscript"/>
          <w:lang w:val="en-GB"/>
        </w:rPr>
        <w:t>3</w:t>
      </w:r>
      <w:r w:rsidRPr="00C02D88">
        <w:rPr>
          <w:lang w:val="en-GB"/>
        </w:rPr>
        <w:t>/</w:t>
      </w:r>
      <w:proofErr w:type="spellStart"/>
      <w:proofErr w:type="gramStart"/>
      <w:r w:rsidRPr="00C02D88">
        <w:rPr>
          <w:lang w:val="en-GB"/>
        </w:rPr>
        <w:t>g.nm</w:t>
      </w:r>
      <w:proofErr w:type="spellEnd"/>
      <w:proofErr w:type="gramEnd"/>
      <w:r w:rsidRPr="00C02D88">
        <w:rPr>
          <w:lang w:val="en-GB"/>
        </w:rPr>
        <w:t>) vs Pore width (nm)). The correct figure we intended to present is the incremental Pore Volume (cm</w:t>
      </w:r>
      <w:r w:rsidRPr="00C02D88">
        <w:rPr>
          <w:vertAlign w:val="superscript"/>
          <w:lang w:val="en-GB"/>
        </w:rPr>
        <w:t>3</w:t>
      </w:r>
      <w:r w:rsidRPr="00C02D88">
        <w:rPr>
          <w:lang w:val="en-GB"/>
        </w:rPr>
        <w:t>/g) vs the Pore width (nm), which is the BJH pore size distribution (Figure 4a).</w:t>
      </w:r>
    </w:p>
    <w:tbl>
      <w:tblPr>
        <w:tblStyle w:val="Grilledutableau"/>
        <w:tblW w:w="9959"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2"/>
        <w:gridCol w:w="4549"/>
      </w:tblGrid>
      <w:tr w:rsidR="00CC76E4" w:rsidRPr="00C02D88" w:rsidTr="001F5F82">
        <w:tc>
          <w:tcPr>
            <w:tcW w:w="5492" w:type="dxa"/>
          </w:tcPr>
          <w:p w:rsidR="00CC76E4" w:rsidRPr="00C02D88" w:rsidRDefault="00CC76E4" w:rsidP="001F5F82">
            <w:pPr>
              <w:spacing w:line="360" w:lineRule="auto"/>
              <w:jc w:val="both"/>
              <w:rPr>
                <w:lang w:val="en-GB"/>
              </w:rPr>
            </w:pPr>
            <w:r w:rsidRPr="00C02D88">
              <w:rPr>
                <w:noProof/>
              </w:rPr>
              <w:drawing>
                <wp:inline distT="0" distB="0" distL="0" distR="0" wp14:anchorId="258DC47D" wp14:editId="4AB7C581">
                  <wp:extent cx="2798218" cy="25200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798218" cy="2520000"/>
                          </a:xfrm>
                          <a:prstGeom prst="rect">
                            <a:avLst/>
                          </a:prstGeom>
                        </pic:spPr>
                      </pic:pic>
                    </a:graphicData>
                  </a:graphic>
                </wp:inline>
              </w:drawing>
            </w:r>
          </w:p>
        </w:tc>
        <w:tc>
          <w:tcPr>
            <w:tcW w:w="4467" w:type="dxa"/>
          </w:tcPr>
          <w:p w:rsidR="00CC76E4" w:rsidRPr="00C02D88" w:rsidRDefault="00CC76E4" w:rsidP="001F5F82">
            <w:pPr>
              <w:spacing w:line="360" w:lineRule="auto"/>
              <w:jc w:val="both"/>
              <w:rPr>
                <w:lang w:val="en-GB"/>
              </w:rPr>
            </w:pPr>
            <w:r w:rsidRPr="00C02D88">
              <w:rPr>
                <w:noProof/>
              </w:rPr>
              <w:drawing>
                <wp:inline distT="0" distB="0" distL="0" distR="0" wp14:anchorId="0720BFE5" wp14:editId="0E6E5DB4">
                  <wp:extent cx="2713202" cy="2520000"/>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713202" cy="2520000"/>
                          </a:xfrm>
                          <a:prstGeom prst="rect">
                            <a:avLst/>
                          </a:prstGeom>
                        </pic:spPr>
                      </pic:pic>
                    </a:graphicData>
                  </a:graphic>
                </wp:inline>
              </w:drawing>
            </w:r>
          </w:p>
        </w:tc>
      </w:tr>
      <w:tr w:rsidR="00CC76E4" w:rsidRPr="001B1D9C" w:rsidTr="001F5F82">
        <w:tc>
          <w:tcPr>
            <w:tcW w:w="5492" w:type="dxa"/>
          </w:tcPr>
          <w:p w:rsidR="00CC76E4" w:rsidRPr="00C02D88" w:rsidRDefault="00CC76E4" w:rsidP="001F5F82">
            <w:pPr>
              <w:spacing w:line="360" w:lineRule="auto"/>
              <w:jc w:val="both"/>
              <w:rPr>
                <w:lang w:val="en-GB"/>
              </w:rPr>
            </w:pPr>
            <w:r w:rsidRPr="00C02D88">
              <w:rPr>
                <w:lang w:val="en-GB"/>
              </w:rPr>
              <w:lastRenderedPageBreak/>
              <w:t>Figure 3 (initially)</w:t>
            </w:r>
          </w:p>
        </w:tc>
        <w:tc>
          <w:tcPr>
            <w:tcW w:w="4467" w:type="dxa"/>
          </w:tcPr>
          <w:p w:rsidR="00CC76E4" w:rsidRPr="00C02D88" w:rsidRDefault="00CC76E4" w:rsidP="001F5F82">
            <w:pPr>
              <w:spacing w:line="360" w:lineRule="auto"/>
              <w:jc w:val="both"/>
              <w:rPr>
                <w:lang w:val="en-GB"/>
              </w:rPr>
            </w:pPr>
            <w:r w:rsidRPr="00C02D88">
              <w:rPr>
                <w:lang w:val="en-GB"/>
              </w:rPr>
              <w:t xml:space="preserve">Figure 4a </w:t>
            </w:r>
            <w:r w:rsidRPr="00C02D88">
              <w:rPr>
                <w:sz w:val="20"/>
                <w:szCs w:val="20"/>
                <w:lang w:val="en-GB"/>
              </w:rPr>
              <w:t>(new numbering after a figure addition)</w:t>
            </w:r>
          </w:p>
        </w:tc>
      </w:tr>
      <w:tr w:rsidR="00CC76E4" w:rsidRPr="00C02D88" w:rsidTr="001F5F82">
        <w:tc>
          <w:tcPr>
            <w:tcW w:w="5492" w:type="dxa"/>
          </w:tcPr>
          <w:p w:rsidR="00CC76E4" w:rsidRPr="00C02D88" w:rsidRDefault="00CC76E4" w:rsidP="001F5F82">
            <w:pPr>
              <w:spacing w:line="360" w:lineRule="auto"/>
              <w:jc w:val="both"/>
              <w:rPr>
                <w:lang w:val="en-GB"/>
              </w:rPr>
            </w:pPr>
            <w:r w:rsidRPr="00C02D88">
              <w:rPr>
                <w:noProof/>
              </w:rPr>
              <w:drawing>
                <wp:inline distT="0" distB="0" distL="0" distR="0" wp14:anchorId="3B0D8DFE" wp14:editId="120D2DAE">
                  <wp:extent cx="3350388" cy="2520000"/>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350388" cy="2520000"/>
                          </a:xfrm>
                          <a:prstGeom prst="rect">
                            <a:avLst/>
                          </a:prstGeom>
                          <a:noFill/>
                          <a:ln>
                            <a:noFill/>
                          </a:ln>
                        </pic:spPr>
                      </pic:pic>
                    </a:graphicData>
                  </a:graphic>
                </wp:inline>
              </w:drawing>
            </w:r>
          </w:p>
        </w:tc>
        <w:tc>
          <w:tcPr>
            <w:tcW w:w="4467" w:type="dxa"/>
          </w:tcPr>
          <w:p w:rsidR="00CC76E4" w:rsidRPr="00C02D88" w:rsidRDefault="00CC76E4" w:rsidP="001F5F82">
            <w:pPr>
              <w:spacing w:line="360" w:lineRule="auto"/>
              <w:jc w:val="both"/>
              <w:rPr>
                <w:lang w:val="en-GB"/>
              </w:rPr>
            </w:pPr>
            <w:r w:rsidRPr="00C02D88">
              <w:rPr>
                <w:noProof/>
              </w:rPr>
              <w:drawing>
                <wp:inline distT="0" distB="0" distL="0" distR="0" wp14:anchorId="1E9E2EF9" wp14:editId="357CDA3A">
                  <wp:extent cx="2751738" cy="2520000"/>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751738" cy="2520000"/>
                          </a:xfrm>
                          <a:prstGeom prst="rect">
                            <a:avLst/>
                          </a:prstGeom>
                        </pic:spPr>
                      </pic:pic>
                    </a:graphicData>
                  </a:graphic>
                </wp:inline>
              </w:drawing>
            </w:r>
          </w:p>
        </w:tc>
      </w:tr>
      <w:tr w:rsidR="00CC76E4" w:rsidRPr="00C02D88" w:rsidTr="001F5F82">
        <w:tc>
          <w:tcPr>
            <w:tcW w:w="5492" w:type="dxa"/>
          </w:tcPr>
          <w:p w:rsidR="00CC76E4" w:rsidRPr="00C02D88" w:rsidRDefault="00CC76E4" w:rsidP="001F5F82">
            <w:pPr>
              <w:spacing w:line="360" w:lineRule="auto"/>
              <w:jc w:val="both"/>
              <w:rPr>
                <w:lang w:val="en-GB"/>
              </w:rPr>
            </w:pPr>
            <w:r w:rsidRPr="00C02D88">
              <w:rPr>
                <w:noProof/>
              </w:rPr>
              <w:t>DFT pore size distribution</w:t>
            </w:r>
          </w:p>
        </w:tc>
        <w:tc>
          <w:tcPr>
            <w:tcW w:w="4467" w:type="dxa"/>
          </w:tcPr>
          <w:p w:rsidR="00CC76E4" w:rsidRPr="00C02D88" w:rsidRDefault="00CC76E4" w:rsidP="001F5F82">
            <w:pPr>
              <w:spacing w:line="360" w:lineRule="auto"/>
              <w:jc w:val="both"/>
              <w:rPr>
                <w:lang w:val="en-GB"/>
              </w:rPr>
            </w:pPr>
            <w:r w:rsidRPr="00C02D88">
              <w:rPr>
                <w:lang w:val="en-GB"/>
              </w:rPr>
              <w:t>Figure 4b</w:t>
            </w:r>
          </w:p>
        </w:tc>
      </w:tr>
    </w:tbl>
    <w:p w:rsidR="00CC76E4" w:rsidRPr="00C02D88" w:rsidRDefault="00CC76E4" w:rsidP="00CC76E4">
      <w:pPr>
        <w:spacing w:line="360" w:lineRule="auto"/>
        <w:ind w:left="357"/>
        <w:jc w:val="both"/>
        <w:rPr>
          <w:lang w:val="en-GB"/>
        </w:rPr>
      </w:pPr>
    </w:p>
    <w:p w:rsidR="00CC76E4" w:rsidRPr="00C02D88" w:rsidRDefault="00CC76E4" w:rsidP="00CC76E4">
      <w:pPr>
        <w:spacing w:line="360" w:lineRule="auto"/>
        <w:ind w:left="357"/>
        <w:jc w:val="both"/>
        <w:rPr>
          <w:lang w:val="en-US"/>
        </w:rPr>
      </w:pPr>
      <w:bookmarkStart w:id="1" w:name="_Hlk152768242"/>
      <w:r w:rsidRPr="00C02D88">
        <w:rPr>
          <w:lang w:val="en-GB"/>
        </w:rPr>
        <w:t xml:space="preserve">The BJH pore size distribution of our elaborated AC indicates a majority of </w:t>
      </w:r>
      <w:proofErr w:type="spellStart"/>
      <w:r w:rsidRPr="00C02D88">
        <w:rPr>
          <w:lang w:val="en-GB"/>
        </w:rPr>
        <w:t>microporosity</w:t>
      </w:r>
      <w:proofErr w:type="spellEnd"/>
      <w:r w:rsidRPr="00C02D88">
        <w:rPr>
          <w:lang w:val="en-GB"/>
        </w:rPr>
        <w:t xml:space="preserve">, with a mean pore width slightly less than 2 nm. </w:t>
      </w:r>
      <w:bookmarkEnd w:id="1"/>
      <w:r w:rsidRPr="00C02D88">
        <w:rPr>
          <w:lang w:val="en-GB"/>
        </w:rPr>
        <w:t>This result is also confirmed by the DFT model (left lower part of the above four figures), where the Pore width is presented in Angstrom (</w:t>
      </w:r>
      <w:r w:rsidRPr="00C02D88">
        <w:rPr>
          <w:rFonts w:cstheme="majorBidi"/>
          <w:lang w:val="en-GB"/>
        </w:rPr>
        <w:t>Å</w:t>
      </w:r>
      <w:r w:rsidRPr="00C02D88">
        <w:rPr>
          <w:lang w:val="en-GB"/>
        </w:rPr>
        <w:t>). The adsorption-desorption isotherm (Figure 4b) is characterized by a rapid adsorption at low relative pressures, followed by a slower adsorption at higher pressures. During desorption, a slow desorption is observed at higher relative pressures, followed by a rapid desorption at low pressures. This behaviour, combined with the absence of hysteresis during the adsorption-desorption process (see figure 4b), is characteristic of microporous material.</w:t>
      </w:r>
    </w:p>
    <w:p w:rsidR="00CC76E4" w:rsidRPr="00C02D88" w:rsidRDefault="00CC76E4" w:rsidP="00CC76E4">
      <w:pPr>
        <w:spacing w:line="360" w:lineRule="auto"/>
        <w:ind w:left="357"/>
        <w:jc w:val="both"/>
        <w:rPr>
          <w:lang w:val="en-GB"/>
        </w:rPr>
      </w:pPr>
      <w:r w:rsidRPr="00C02D88">
        <w:rPr>
          <w:lang w:val="en-GB"/>
        </w:rPr>
        <w:t xml:space="preserve">The former sentence </w:t>
      </w:r>
      <w:r w:rsidRPr="00C02D88">
        <w:rPr>
          <w:b/>
          <w:bCs/>
          <w:lang w:val="en-GB"/>
        </w:rPr>
        <w:t>(page 9 line 340)</w:t>
      </w:r>
      <w:r w:rsidRPr="00C02D88">
        <w:rPr>
          <w:lang w:val="en-GB"/>
        </w:rPr>
        <w:t xml:space="preserve"> is replaced by the following one “The Barrett-Joyner-</w:t>
      </w:r>
      <w:proofErr w:type="spellStart"/>
      <w:r w:rsidRPr="00C02D88">
        <w:rPr>
          <w:lang w:val="en-GB"/>
        </w:rPr>
        <w:t>Halenda</w:t>
      </w:r>
      <w:proofErr w:type="spellEnd"/>
      <w:r w:rsidRPr="00C02D88">
        <w:rPr>
          <w:lang w:val="en-GB"/>
        </w:rPr>
        <w:t xml:space="preserve"> (BJH) pore size distribution (Figure 4a) clearly indicates a majority of </w:t>
      </w:r>
      <w:proofErr w:type="spellStart"/>
      <w:r w:rsidRPr="00C02D88">
        <w:rPr>
          <w:lang w:val="en-GB"/>
        </w:rPr>
        <w:t>microporosity</w:t>
      </w:r>
      <w:proofErr w:type="spellEnd"/>
      <w:r w:rsidRPr="00C02D88">
        <w:rPr>
          <w:lang w:val="en-GB"/>
        </w:rPr>
        <w:t>, with a mean pore width slightly less than 2 nm. This is corroborated by the shape of the adsorption-desorption isotherm and the absence of hysteresis (Figure 4b), which is expected in the case of microporous material.”</w:t>
      </w:r>
    </w:p>
    <w:p w:rsidR="00CC76E4" w:rsidRPr="00C02D88" w:rsidRDefault="00CC76E4" w:rsidP="00CC76E4">
      <w:pPr>
        <w:spacing w:line="360" w:lineRule="auto"/>
        <w:ind w:left="357"/>
        <w:jc w:val="both"/>
        <w:rPr>
          <w:lang w:val="en-GB"/>
        </w:rPr>
      </w:pPr>
      <w:r w:rsidRPr="00C02D88">
        <w:rPr>
          <w:lang w:val="en-GB"/>
        </w:rPr>
        <w:t>The Figure 4b has been added as requested by reviewer 2 and reviewer 4.</w:t>
      </w:r>
    </w:p>
    <w:p w:rsidR="00CC76E4" w:rsidRPr="00C02D88" w:rsidRDefault="00CC76E4" w:rsidP="00CC76E4">
      <w:pPr>
        <w:spacing w:line="360" w:lineRule="auto"/>
        <w:ind w:left="357"/>
        <w:jc w:val="both"/>
        <w:rPr>
          <w:rFonts w:cstheme="majorBidi"/>
          <w:szCs w:val="24"/>
          <w:lang w:val="en-US"/>
        </w:rPr>
      </w:pPr>
    </w:p>
    <w:p w:rsidR="00CC76E4" w:rsidRPr="00C02D88" w:rsidRDefault="00CC76E4" w:rsidP="00CC76E4">
      <w:pPr>
        <w:spacing w:line="360" w:lineRule="auto"/>
        <w:jc w:val="both"/>
        <w:rPr>
          <w:rFonts w:cstheme="majorBidi"/>
          <w:i/>
          <w:iCs/>
          <w:sz w:val="20"/>
          <w:szCs w:val="20"/>
          <w:lang w:val="en-US"/>
        </w:rPr>
      </w:pPr>
      <w:r w:rsidRPr="00C02D88">
        <w:rPr>
          <w:rFonts w:cstheme="majorBidi"/>
          <w:b/>
          <w:bCs/>
          <w:i/>
          <w:iCs/>
          <w:sz w:val="20"/>
          <w:szCs w:val="20"/>
          <w:lang w:val="en-US"/>
        </w:rPr>
        <w:lastRenderedPageBreak/>
        <w:t>4/</w:t>
      </w:r>
      <w:r w:rsidRPr="00C02D88">
        <w:rPr>
          <w:rFonts w:cstheme="majorBidi"/>
          <w:i/>
          <w:iCs/>
          <w:sz w:val="20"/>
          <w:szCs w:val="20"/>
          <w:lang w:val="en-US"/>
        </w:rPr>
        <w:t xml:space="preserve"> Authors are invited to provide more SEM images of the materials. The only one presented in the manuscript has a low resolution and might not be representative for the whole material.</w:t>
      </w:r>
    </w:p>
    <w:p w:rsidR="00CC76E4" w:rsidRPr="00C02D88" w:rsidRDefault="00CC76E4" w:rsidP="00CC76E4">
      <w:pPr>
        <w:spacing w:line="360" w:lineRule="auto"/>
        <w:jc w:val="both"/>
        <w:rPr>
          <w:lang w:val="en-GB"/>
        </w:rPr>
      </w:pPr>
      <w:r w:rsidRPr="00C02D88">
        <w:rPr>
          <w:b/>
          <w:bCs/>
          <w:lang w:val="en-GB"/>
        </w:rPr>
        <w:t>Reply</w:t>
      </w:r>
      <w:r w:rsidRPr="00C02D88">
        <w:rPr>
          <w:lang w:val="en-GB"/>
        </w:rPr>
        <w:t>:</w:t>
      </w:r>
    </w:p>
    <w:p w:rsidR="00CC76E4" w:rsidRDefault="00CC76E4" w:rsidP="00CC76E4">
      <w:pPr>
        <w:spacing w:line="360" w:lineRule="auto"/>
        <w:ind w:left="357"/>
        <w:jc w:val="both"/>
        <w:rPr>
          <w:lang w:val="en-GB"/>
        </w:rPr>
      </w:pPr>
      <w:r w:rsidRPr="00C02D88">
        <w:rPr>
          <w:lang w:val="en-GB"/>
        </w:rPr>
        <w:t>According to your request, the resolution of the image have been improved.</w:t>
      </w:r>
    </w:p>
    <w:p w:rsidR="00CC76E4" w:rsidRPr="00C02D88" w:rsidRDefault="00CC76E4" w:rsidP="00CC76E4">
      <w:pPr>
        <w:spacing w:line="360" w:lineRule="auto"/>
        <w:ind w:left="357"/>
        <w:jc w:val="both"/>
        <w:rPr>
          <w:bCs/>
          <w:lang w:val="en-GB"/>
        </w:rPr>
      </w:pPr>
      <w:r w:rsidRPr="00C02D88">
        <w:rPr>
          <w:b/>
          <w:lang w:val="en-GB"/>
        </w:rPr>
        <w:t>(Please see Page 10 Figure 5)</w:t>
      </w:r>
      <w:r w:rsidRPr="00C02D88">
        <w:rPr>
          <w:bCs/>
          <w:lang w:val="en-GB"/>
        </w:rPr>
        <w:t>.</w:t>
      </w:r>
    </w:p>
    <w:p w:rsidR="00CC76E4" w:rsidRPr="00C02D88" w:rsidRDefault="00CC76E4" w:rsidP="00CC76E4">
      <w:pPr>
        <w:spacing w:line="360" w:lineRule="auto"/>
        <w:ind w:left="357"/>
        <w:jc w:val="both"/>
        <w:rPr>
          <w:lang w:val="en-GB"/>
        </w:rPr>
      </w:pPr>
      <w:r w:rsidRPr="00C02D88">
        <w:rPr>
          <w:lang w:val="en-GB"/>
        </w:rPr>
        <w:t>Unfortunately, we only have this SEM image.</w:t>
      </w:r>
    </w:p>
    <w:p w:rsidR="00CC76E4" w:rsidRPr="00C02D88" w:rsidRDefault="00CC76E4" w:rsidP="00CC76E4">
      <w:pPr>
        <w:spacing w:line="360" w:lineRule="auto"/>
        <w:jc w:val="both"/>
        <w:rPr>
          <w:rFonts w:cstheme="majorBidi"/>
          <w:b/>
          <w:bCs/>
          <w:szCs w:val="24"/>
          <w:lang w:val="en-US"/>
        </w:rPr>
      </w:pPr>
    </w:p>
    <w:p w:rsidR="00CC76E4" w:rsidRPr="00C02D88" w:rsidRDefault="00CC76E4" w:rsidP="00CC76E4">
      <w:pPr>
        <w:spacing w:line="360" w:lineRule="auto"/>
        <w:jc w:val="both"/>
        <w:rPr>
          <w:rFonts w:cstheme="majorBidi"/>
          <w:i/>
          <w:iCs/>
          <w:sz w:val="20"/>
          <w:szCs w:val="20"/>
          <w:lang w:val="en-US"/>
        </w:rPr>
      </w:pPr>
      <w:r w:rsidRPr="00C02D88">
        <w:rPr>
          <w:rFonts w:cstheme="majorBidi"/>
          <w:b/>
          <w:bCs/>
          <w:i/>
          <w:iCs/>
          <w:sz w:val="20"/>
          <w:szCs w:val="20"/>
          <w:lang w:val="en-US"/>
        </w:rPr>
        <w:t>5/</w:t>
      </w:r>
      <w:r w:rsidRPr="00C02D88">
        <w:rPr>
          <w:rFonts w:cstheme="majorBidi"/>
          <w:i/>
          <w:iCs/>
          <w:sz w:val="20"/>
          <w:szCs w:val="20"/>
          <w:lang w:val="en-US"/>
        </w:rPr>
        <w:t xml:space="preserve"> What are the lines that adjust the experimental points displayed in Figure 7?</w:t>
      </w:r>
    </w:p>
    <w:p w:rsidR="00CC76E4" w:rsidRPr="00C02D88" w:rsidRDefault="00CC76E4" w:rsidP="00CC76E4">
      <w:pPr>
        <w:spacing w:line="360" w:lineRule="auto"/>
        <w:jc w:val="both"/>
        <w:rPr>
          <w:lang w:val="en-GB"/>
        </w:rPr>
      </w:pPr>
      <w:r w:rsidRPr="00C02D88">
        <w:rPr>
          <w:b/>
          <w:bCs/>
          <w:lang w:val="en-GB"/>
        </w:rPr>
        <w:t>Reply</w:t>
      </w:r>
      <w:r w:rsidRPr="00C02D88">
        <w:rPr>
          <w:lang w:val="en-GB"/>
        </w:rPr>
        <w:t>:</w:t>
      </w:r>
    </w:p>
    <w:p w:rsidR="00CC76E4" w:rsidRPr="00C02D88" w:rsidRDefault="00CC76E4" w:rsidP="00CC76E4">
      <w:pPr>
        <w:spacing w:line="360" w:lineRule="auto"/>
        <w:ind w:left="357"/>
        <w:jc w:val="both"/>
        <w:rPr>
          <w:lang w:val="en-GB"/>
        </w:rPr>
      </w:pPr>
      <w:r w:rsidRPr="00C02D88">
        <w:rPr>
          <w:lang w:val="en-GB"/>
        </w:rPr>
        <w:t>In Figure 7 (now Figure 8), the lines that adjust the experimental points displayed are those of the Pseudo First Order (PFO) model. This detail is added to the figure legend.</w:t>
      </w:r>
    </w:p>
    <w:p w:rsidR="00CC76E4" w:rsidRPr="00C02D88" w:rsidRDefault="00CC76E4" w:rsidP="00CC76E4">
      <w:pPr>
        <w:spacing w:line="360" w:lineRule="auto"/>
        <w:jc w:val="both"/>
        <w:rPr>
          <w:rFonts w:cstheme="majorBidi"/>
          <w:b/>
          <w:bCs/>
          <w:szCs w:val="24"/>
          <w:lang w:val="en-US"/>
        </w:rPr>
      </w:pPr>
    </w:p>
    <w:p w:rsidR="00CC76E4" w:rsidRPr="00C02D88" w:rsidRDefault="00CC76E4" w:rsidP="00CC76E4">
      <w:pPr>
        <w:spacing w:line="360" w:lineRule="auto"/>
        <w:jc w:val="both"/>
        <w:rPr>
          <w:rFonts w:cstheme="majorBidi"/>
          <w:i/>
          <w:iCs/>
          <w:sz w:val="20"/>
          <w:szCs w:val="20"/>
          <w:lang w:val="en-US"/>
        </w:rPr>
      </w:pPr>
      <w:r w:rsidRPr="00C02D88">
        <w:rPr>
          <w:rFonts w:cstheme="majorBidi"/>
          <w:b/>
          <w:bCs/>
          <w:i/>
          <w:iCs/>
          <w:sz w:val="20"/>
          <w:szCs w:val="20"/>
          <w:lang w:val="en-US"/>
        </w:rPr>
        <w:t>6/</w:t>
      </w:r>
      <w:r w:rsidRPr="00C02D88">
        <w:rPr>
          <w:rFonts w:cstheme="majorBidi"/>
          <w:i/>
          <w:iCs/>
          <w:sz w:val="20"/>
          <w:szCs w:val="20"/>
          <w:lang w:val="en-US"/>
        </w:rPr>
        <w:t xml:space="preserve"> In Table 6, why were the thermodynamic parameters calculated for one single temperature?</w:t>
      </w:r>
    </w:p>
    <w:p w:rsidR="00CC76E4" w:rsidRPr="00C02D88" w:rsidRDefault="00CC76E4" w:rsidP="00CC76E4">
      <w:pPr>
        <w:spacing w:line="360" w:lineRule="auto"/>
        <w:jc w:val="both"/>
        <w:rPr>
          <w:lang w:val="en-GB"/>
        </w:rPr>
      </w:pPr>
      <w:r w:rsidRPr="00C02D88">
        <w:rPr>
          <w:b/>
          <w:bCs/>
          <w:lang w:val="en-GB"/>
        </w:rPr>
        <w:t>Reply</w:t>
      </w:r>
      <w:r w:rsidRPr="00C02D88">
        <w:rPr>
          <w:lang w:val="en-GB"/>
        </w:rPr>
        <w:t>:</w:t>
      </w:r>
    </w:p>
    <w:p w:rsidR="00CC76E4" w:rsidRPr="00C02D88" w:rsidRDefault="00CC76E4" w:rsidP="00CC76E4">
      <w:pPr>
        <w:spacing w:line="360" w:lineRule="auto"/>
        <w:ind w:left="357"/>
        <w:jc w:val="both"/>
        <w:rPr>
          <w:bCs/>
          <w:lang w:val="en-GB"/>
        </w:rPr>
      </w:pPr>
      <w:r w:rsidRPr="00C02D88">
        <w:rPr>
          <w:lang w:val="en-GB"/>
        </w:rPr>
        <w:t xml:space="preserve">Equation (4) on page 7, line 255, states that the standard Gibbs free energy change (∆G°) is temperature-dependent. In the considered temperature range of 30-50°C, we assume that both enthalpy (∆H°) and entropy (∆S°) are constant and temperature-independent. This is the reason why the thermodynamic parameters are calculated for a single temperature. We have added this information to the revised manuscript as per your request </w:t>
      </w:r>
      <w:r w:rsidRPr="00C02D88">
        <w:rPr>
          <w:b/>
          <w:lang w:val="en-GB"/>
        </w:rPr>
        <w:t>(Please see Page 15 line 466).</w:t>
      </w:r>
    </w:p>
    <w:p w:rsidR="00CC76E4" w:rsidRPr="00C02D88" w:rsidRDefault="00CC76E4" w:rsidP="00CC76E4">
      <w:pPr>
        <w:spacing w:line="360" w:lineRule="auto"/>
        <w:ind w:left="357"/>
        <w:jc w:val="both"/>
        <w:rPr>
          <w:lang w:val="en-GB"/>
        </w:rPr>
      </w:pPr>
    </w:p>
    <w:p w:rsidR="00CC76E4" w:rsidRPr="00C02D88" w:rsidRDefault="00CC76E4" w:rsidP="00CC76E4">
      <w:pPr>
        <w:spacing w:line="360" w:lineRule="auto"/>
        <w:jc w:val="both"/>
        <w:rPr>
          <w:rFonts w:cstheme="majorBidi"/>
          <w:i/>
          <w:iCs/>
          <w:sz w:val="20"/>
          <w:szCs w:val="20"/>
          <w:lang w:val="en-US"/>
        </w:rPr>
      </w:pPr>
      <w:r w:rsidRPr="00C02D88">
        <w:rPr>
          <w:rFonts w:cstheme="majorBidi"/>
          <w:b/>
          <w:bCs/>
          <w:i/>
          <w:iCs/>
          <w:sz w:val="20"/>
          <w:szCs w:val="20"/>
          <w:lang w:val="en-US"/>
        </w:rPr>
        <w:t>7</w:t>
      </w:r>
      <w:r w:rsidRPr="00C02D88">
        <w:rPr>
          <w:rFonts w:cstheme="majorBidi"/>
          <w:i/>
          <w:iCs/>
          <w:sz w:val="20"/>
          <w:szCs w:val="20"/>
          <w:lang w:val="en-US"/>
        </w:rPr>
        <w:t>/ English editing is recommended in the whole manuscript.</w:t>
      </w:r>
    </w:p>
    <w:p w:rsidR="00CC76E4" w:rsidRPr="00C02D88" w:rsidRDefault="00CC76E4" w:rsidP="00CC76E4">
      <w:pPr>
        <w:spacing w:line="360" w:lineRule="auto"/>
        <w:jc w:val="both"/>
        <w:rPr>
          <w:lang w:val="en-GB"/>
        </w:rPr>
      </w:pPr>
      <w:r w:rsidRPr="00C02D88">
        <w:rPr>
          <w:b/>
          <w:bCs/>
          <w:lang w:val="en-GB"/>
        </w:rPr>
        <w:t>Reply</w:t>
      </w:r>
      <w:r w:rsidRPr="00C02D88">
        <w:rPr>
          <w:lang w:val="en-GB"/>
        </w:rPr>
        <w:t>:</w:t>
      </w:r>
    </w:p>
    <w:p w:rsidR="00CC76E4" w:rsidRPr="00C02D88" w:rsidRDefault="00CC76E4" w:rsidP="00CC76E4">
      <w:pPr>
        <w:spacing w:line="360" w:lineRule="auto"/>
        <w:jc w:val="both"/>
        <w:rPr>
          <w:bCs/>
          <w:lang w:val="en-GB"/>
        </w:rPr>
      </w:pPr>
      <w:r w:rsidRPr="00C02D88">
        <w:rPr>
          <w:bCs/>
          <w:lang w:val="en-GB"/>
        </w:rPr>
        <w:t>All of the manuscript text has been revised, and English language mistakes have been corrected by an English professor. Please find attached to this review an English edition certificate.</w:t>
      </w:r>
    </w:p>
    <w:p w:rsidR="00306EAD" w:rsidRPr="00CC76E4" w:rsidRDefault="00306EAD">
      <w:pPr>
        <w:rPr>
          <w:lang w:val="en-GB"/>
        </w:rPr>
      </w:pPr>
    </w:p>
    <w:sectPr w:rsidR="00306EAD" w:rsidRPr="00CC76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6E4"/>
    <w:rsid w:val="00306EAD"/>
    <w:rsid w:val="00564021"/>
    <w:rsid w:val="00C3410E"/>
    <w:rsid w:val="00CC76E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310AC"/>
  <w15:chartTrackingRefBased/>
  <w15:docId w15:val="{B4AB12D4-8093-4DD1-BB3D-1989F573B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76E4"/>
    <w:pPr>
      <w:spacing w:after="200" w:line="276" w:lineRule="auto"/>
    </w:pPr>
    <w:rPr>
      <w:rFonts w:asciiTheme="majorBidi" w:hAnsiTheme="majorBidi"/>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unhideWhenUsed/>
    <w:rsid w:val="00CC76E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905</Words>
  <Characters>4979</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Hatem Dhaouadi</dc:creator>
  <cp:keywords/>
  <dc:description/>
  <cp:lastModifiedBy>Hatem Dhaouadi</cp:lastModifiedBy>
  <cp:revision>2</cp:revision>
  <dcterms:created xsi:type="dcterms:W3CDTF">2023-12-11T21:27:00Z</dcterms:created>
  <dcterms:modified xsi:type="dcterms:W3CDTF">2023-12-11T21:44:00Z</dcterms:modified>
</cp:coreProperties>
</file>