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sz w:val="22"/>
          <w:szCs w:val="22"/>
          <w:u w:val="single"/>
        </w:rPr>
      </w:pPr>
      <w:r>
        <w:rPr>
          <w:rFonts w:ascii="Times New Roman" w:hAnsi="Times New Roman" w:cs="Times New Roman"/>
          <w:sz w:val="22"/>
          <w:szCs w:val="22"/>
          <w:u w:val="single"/>
        </w:rPr>
        <w:t>Comments from Reviewer 2:</w:t>
      </w:r>
    </w:p>
    <w:p>
      <w:pPr>
        <w:jc w:val="both"/>
        <w:rPr>
          <w:rFonts w:ascii="Times New Roman Regular" w:hAnsi="Times New Roman Regular" w:cs="Times New Roman Regular"/>
          <w:color w:val="0A0A0A"/>
          <w:sz w:val="22"/>
          <w:szCs w:val="22"/>
        </w:rPr>
      </w:pPr>
      <w:r>
        <w:rPr>
          <w:rFonts w:hint="eastAsia" w:ascii="Times New Roman" w:hAnsi="Times New Roman"/>
          <w:sz w:val="22"/>
          <w:szCs w:val="22"/>
        </w:rPr>
        <w:t>We would like to express our sincere thanks to the reviewer for the constructive and positive comments.</w:t>
      </w:r>
      <w:r>
        <w:rPr>
          <w:rFonts w:ascii="Times New Roman" w:hAnsi="Times New Roman"/>
          <w:sz w:val="22"/>
          <w:szCs w:val="22"/>
        </w:rPr>
        <w:t xml:space="preserve"> </w:t>
      </w:r>
      <w:r>
        <w:rPr>
          <w:rFonts w:hint="eastAsia" w:ascii="Times New Roman" w:hAnsi="Times New Roman"/>
          <w:sz w:val="22"/>
          <w:szCs w:val="22"/>
        </w:rPr>
        <w:t>The main corrections in the paper and the responds to the reviewers</w:t>
      </w:r>
      <w:r>
        <w:rPr>
          <w:rFonts w:ascii="Times New Roman" w:hAnsi="Times New Roman"/>
          <w:sz w:val="22"/>
          <w:szCs w:val="22"/>
        </w:rPr>
        <w:t>’</w:t>
      </w:r>
      <w:r>
        <w:rPr>
          <w:rFonts w:hint="eastAsia" w:ascii="Times New Roman" w:hAnsi="Times New Roman"/>
          <w:sz w:val="22"/>
          <w:szCs w:val="22"/>
        </w:rPr>
        <w:t xml:space="preserve"> comments are as follows: </w:t>
      </w:r>
    </w:p>
    <w:p>
      <w:pPr>
        <w:spacing w:beforeAutospacing="1" w:afterAutospacing="1" w:line="32" w:lineRule="atLeast"/>
        <w:jc w:val="both"/>
        <w:rPr>
          <w:rFonts w:ascii="Times New Roman" w:hAnsi="Times New Roman" w:cs="Times New Roman"/>
          <w:b/>
          <w:bCs/>
          <w:i/>
          <w:iCs/>
          <w:sz w:val="22"/>
          <w:szCs w:val="22"/>
        </w:rPr>
      </w:pPr>
      <w:r>
        <w:rPr>
          <w:rFonts w:ascii="Times New Roman" w:hAnsi="Times New Roman" w:cs="Times New Roman"/>
          <w:b/>
          <w:bCs/>
          <w:i/>
          <w:iCs/>
          <w:sz w:val="22"/>
          <w:szCs w:val="22"/>
        </w:rPr>
        <w:t>1. provide early across the main text a working definition of breakthrough infection.</w:t>
      </w:r>
    </w:p>
    <w:p>
      <w:pPr>
        <w:jc w:val="both"/>
        <w:rPr>
          <w:rFonts w:ascii="Times New Roman" w:hAnsi="Times New Roman" w:eastAsia="Times New Roman Bold" w:cs="Times New Roman"/>
          <w:color w:val="2F5496"/>
          <w:sz w:val="22"/>
          <w:szCs w:val="22"/>
        </w:rPr>
      </w:pPr>
      <w:r>
        <w:rPr>
          <w:rFonts w:ascii="Times New Roman" w:hAnsi="Times New Roman" w:cs="Times New Roman"/>
          <w:b/>
          <w:bCs/>
          <w:color w:val="2F5496"/>
          <w:sz w:val="22"/>
          <w:szCs w:val="22"/>
          <w:u w:val="single"/>
        </w:rPr>
        <w:t>Response:</w:t>
      </w:r>
      <w:r>
        <w:rPr>
          <w:rFonts w:ascii="Times New Roman" w:hAnsi="Times New Roman" w:cs="Times New Roman"/>
          <w:b/>
          <w:bCs/>
          <w:color w:val="2F5496"/>
          <w:sz w:val="22"/>
          <w:szCs w:val="22"/>
        </w:rPr>
        <w:t xml:space="preserve"> </w:t>
      </w:r>
      <w:r>
        <w:rPr>
          <w:rFonts w:ascii="Times New Roman" w:hAnsi="Times New Roman" w:eastAsia="Times New Roman Bold" w:cs="Times New Roman"/>
          <w:color w:val="2F5496"/>
          <w:sz w:val="22"/>
          <w:szCs w:val="22"/>
        </w:rPr>
        <w:t xml:space="preserve">Many thanks for this helpful suggestion. Following this suggestion, we have added the definition on the </w:t>
      </w:r>
      <w:r>
        <w:rPr>
          <w:rFonts w:ascii="Times New Roman" w:hAnsi="Times New Roman" w:eastAsia="Times New Roman Bold" w:cs="Times New Roman"/>
          <w:i w:val="0"/>
          <w:iCs w:val="0"/>
          <w:color w:val="2F5496"/>
          <w:sz w:val="22"/>
          <w:szCs w:val="22"/>
        </w:rPr>
        <w:t>Introduction</w:t>
      </w:r>
      <w:r>
        <w:rPr>
          <w:rFonts w:ascii="Times New Roman" w:hAnsi="Times New Roman" w:eastAsia="Times New Roman Bold" w:cs="Times New Roman"/>
          <w:color w:val="2F5496"/>
          <w:sz w:val="22"/>
          <w:szCs w:val="22"/>
        </w:rPr>
        <w:t xml:space="preserve"> section. They read as follows:</w:t>
      </w:r>
    </w:p>
    <w:p>
      <w:pPr>
        <w:jc w:val="both"/>
        <w:rPr>
          <w:rFonts w:ascii="Times New Roman" w:hAnsi="Times New Roman" w:eastAsia="Times New Roman Bold" w:cs="Times New Roman"/>
          <w:b w:val="0"/>
          <w:bCs w:val="0"/>
          <w:color w:val="2F5496"/>
          <w:sz w:val="22"/>
          <w:szCs w:val="22"/>
        </w:rPr>
      </w:pPr>
      <w:r>
        <w:rPr>
          <w:rFonts w:ascii="Times New Roman" w:hAnsi="Times New Roman" w:eastAsia="Times New Roman Bold" w:cs="Times New Roman"/>
          <w:b w:val="0"/>
          <w:bCs w:val="0"/>
          <w:color w:val="2F5496"/>
          <w:sz w:val="22"/>
          <w:szCs w:val="22"/>
        </w:rPr>
        <w:t>“In addition, breakthrough infection, defined that throat swabs are detected neisseria meningitidis carriers after full course immunization with the corresponding meningitis serogroup vaccine, is another huge challenge for immunization plans.”</w:t>
      </w:r>
    </w:p>
    <w:p>
      <w:pPr>
        <w:spacing w:beforeAutospacing="1" w:afterAutospacing="1" w:line="32" w:lineRule="atLeast"/>
        <w:jc w:val="both"/>
        <w:rPr>
          <w:rFonts w:ascii="Times New Roman" w:hAnsi="Times New Roman" w:cs="Times New Roman"/>
          <w:b/>
          <w:bCs/>
          <w:i/>
          <w:iCs/>
          <w:sz w:val="22"/>
          <w:szCs w:val="22"/>
        </w:rPr>
      </w:pPr>
      <w:r>
        <w:rPr>
          <w:rFonts w:ascii="Times New Roman" w:hAnsi="Times New Roman" w:cs="Times New Roman"/>
          <w:b/>
          <w:bCs/>
          <w:i/>
          <w:iCs/>
          <w:sz w:val="22"/>
          <w:szCs w:val="22"/>
        </w:rPr>
        <w:t>2. similarly, provide within the main text (I would say, in the first sections) some and concise informations about the differences between PCV and PPSV, in order to highlight as better as possible which characteristics of the former represent a significant improvement over the latter.</w:t>
      </w:r>
    </w:p>
    <w:p>
      <w:pPr>
        <w:jc w:val="both"/>
        <w:rPr>
          <w:rFonts w:ascii="Times New Roman" w:hAnsi="Times New Roman" w:eastAsia="Times New Roman Bold" w:cs="Times New Roman"/>
          <w:color w:val="2F5496"/>
          <w:sz w:val="22"/>
          <w:szCs w:val="22"/>
        </w:rPr>
      </w:pPr>
      <w:r>
        <w:rPr>
          <w:rFonts w:ascii="Times New Roman" w:hAnsi="Times New Roman" w:cs="Times New Roman"/>
          <w:b/>
          <w:bCs/>
          <w:color w:val="2F5496"/>
          <w:sz w:val="22"/>
          <w:szCs w:val="22"/>
          <w:u w:val="single"/>
        </w:rPr>
        <w:t xml:space="preserve">Response: </w:t>
      </w:r>
      <w:r>
        <w:rPr>
          <w:rFonts w:ascii="Times New Roman" w:hAnsi="Times New Roman" w:eastAsia="Times New Roman Bold" w:cs="Times New Roman"/>
          <w:color w:val="2F5496"/>
          <w:sz w:val="22"/>
          <w:szCs w:val="22"/>
        </w:rPr>
        <w:t>We thank the reviewer for pointing out this ambiguity, followed by your suggestion, we added a detailed description of current national immunization plan and the difference between PCV and PSV.</w:t>
      </w:r>
    </w:p>
    <w:p>
      <w:pPr>
        <w:jc w:val="both"/>
        <w:rPr>
          <w:rFonts w:ascii="Times New Roman" w:hAnsi="Times New Roman" w:eastAsia="Times New Roman Bold" w:cs="Times New Roman"/>
          <w:b w:val="0"/>
          <w:bCs w:val="0"/>
          <w:color w:val="2F5496"/>
          <w:sz w:val="22"/>
          <w:szCs w:val="22"/>
        </w:rPr>
      </w:pPr>
      <w:r>
        <w:rPr>
          <w:rFonts w:ascii="Times New Roman" w:hAnsi="Times New Roman" w:eastAsia="Times New Roman Bold" w:cs="Times New Roman"/>
          <w:b w:val="0"/>
          <w:bCs w:val="0"/>
          <w:color w:val="2F5496"/>
          <w:sz w:val="22"/>
          <w:szCs w:val="22"/>
        </w:rPr>
        <w:t>“In addition, vaccine characteristics also matters. At present, there are 5 types of meningococcal meningitis vaccines in China, with MPSV-A and MPSV-AC involved in the national immunization plan, and they are vaccinated free of charge at the sixth month, ninth month, third and sixth year after birth, respectively. The remaining MPCV-AC, MPSV-ACYW135, and MPCV-ACYW135 need to be vaccinated by eligible children at their own expense. Therefore, most infantes and children vaccinated with PSV. However, PSV only produces a brief immune response among infants and young children under 2 years, without the immune memory enhancement effect of repeated vaccination; while PCV vaccine not only produces a good immune response among infants and young children under 2 years, but also has a memory enhancing immune effect after repeated vaccination. This prevailing condition may cause the concerns on the long-term protection of meningitis.”</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E8D7E"/>
    <w:rsid w:val="7FEE8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Office_6.2.1.8344_F1E327BC-269C-435d-A152-05C5408002CA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2023-11-03T21:53:00Z</dcterms:created>
  <dc:creator>xiyuzhang</dc:creator>
  <cp:lastModifiedBy>xiyuzhang</cp:lastModifiedBy>
  <dcterms:modified xsi:type="dcterms:W3CDTF">2023-11-03T21:53:22Z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2052-6.2.1.8344</vt:lpwstr>
  </property>
  <property fmtid="{D5CDD505-2E9C-101B-9397-08002B2CF9AE}" pid="3" name="ICV">
    <vt:lpwstr>71628DF8EE863C914BFB4465CC7EEE02_41</vt:lpwstr>
  </property>
</Properties>
</file>