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D75CF" w14:textId="048B516B" w:rsidR="00B5489A" w:rsidRPr="00B5489A" w:rsidRDefault="00B5489A" w:rsidP="00B5489A">
      <w:pPr>
        <w:spacing w:line="480" w:lineRule="auto"/>
        <w:jc w:val="center"/>
        <w:rPr>
          <w:rFonts w:ascii="Times New Roman" w:hAnsi="Times New Roman" w:cs="Times New Roman"/>
          <w:b/>
          <w:bCs/>
          <w:sz w:val="30"/>
          <w:szCs w:val="30"/>
        </w:rPr>
      </w:pPr>
      <w:r w:rsidRPr="00B5489A">
        <w:rPr>
          <w:rFonts w:ascii="Times New Roman" w:hAnsi="Times New Roman" w:cs="Times New Roman"/>
          <w:b/>
          <w:bCs/>
          <w:sz w:val="30"/>
          <w:szCs w:val="30"/>
        </w:rPr>
        <w:t>Author's Reply to the Review Report (Reviewer 2)</w:t>
      </w:r>
    </w:p>
    <w:p w14:paraId="6C82FB16" w14:textId="4375D2A1" w:rsidR="00AF1D24" w:rsidRDefault="00AF1D24" w:rsidP="00830532">
      <w:pPr>
        <w:rPr>
          <w:rFonts w:ascii="Times New Roman" w:hAnsi="Times New Roman" w:cs="Times New Roman"/>
          <w:b/>
          <w:bCs/>
          <w:sz w:val="24"/>
          <w:szCs w:val="24"/>
        </w:rPr>
      </w:pPr>
      <w:r w:rsidRPr="00AF1D24">
        <w:rPr>
          <w:rFonts w:ascii="Times New Roman" w:hAnsi="Times New Roman" w:cs="Times New Roman"/>
          <w:b/>
          <w:bCs/>
          <w:sz w:val="24"/>
          <w:szCs w:val="24"/>
        </w:rPr>
        <w:t>Thank you so much for your review, I have considered or revised each of your suggestions and questions accordingly. Thanks again for your help and time.</w:t>
      </w:r>
    </w:p>
    <w:p w14:paraId="65E0BC85" w14:textId="77777777" w:rsidR="00AF1D24" w:rsidRDefault="00AF1D24" w:rsidP="00830532">
      <w:pPr>
        <w:rPr>
          <w:rFonts w:ascii="Times New Roman" w:hAnsi="Times New Roman" w:cs="Times New Roman" w:hint="eastAsia"/>
          <w:b/>
          <w:bCs/>
          <w:sz w:val="24"/>
          <w:szCs w:val="24"/>
        </w:rPr>
      </w:pPr>
    </w:p>
    <w:p w14:paraId="01F9A4A9" w14:textId="5960AABD" w:rsidR="00B5489A" w:rsidRDefault="00830532" w:rsidP="00830532">
      <w:pPr>
        <w:rPr>
          <w:rFonts w:ascii="Times New Roman" w:hAnsi="Times New Roman" w:cs="Times New Roman"/>
          <w:b/>
          <w:bCs/>
          <w:sz w:val="24"/>
          <w:szCs w:val="24"/>
        </w:rPr>
      </w:pPr>
      <w:r w:rsidRPr="00FA721C">
        <w:rPr>
          <w:rFonts w:ascii="Times New Roman" w:hAnsi="Times New Roman" w:cs="Times New Roman"/>
          <w:b/>
          <w:bCs/>
          <w:sz w:val="24"/>
          <w:szCs w:val="24"/>
        </w:rPr>
        <w:t>1.</w:t>
      </w:r>
      <w:bookmarkStart w:id="0" w:name="OLE_LINK11"/>
      <w:r w:rsidR="00B5489A" w:rsidRPr="00B5489A">
        <w:t xml:space="preserve"> </w:t>
      </w:r>
      <w:r w:rsidR="00B5489A" w:rsidRPr="00B5489A">
        <w:rPr>
          <w:rFonts w:ascii="Times New Roman" w:hAnsi="Times New Roman" w:cs="Times New Roman"/>
          <w:b/>
          <w:bCs/>
          <w:sz w:val="24"/>
          <w:szCs w:val="24"/>
        </w:rPr>
        <w:t>Line 61: How conflict will be solved between herder's and land owner regarding subsidy distribution?</w:t>
      </w:r>
    </w:p>
    <w:p w14:paraId="2F9F3E75" w14:textId="52CD3C23" w:rsidR="00F17CD2" w:rsidRDefault="00830532" w:rsidP="00B5489A">
      <w:pPr>
        <w:ind w:firstLineChars="200" w:firstLine="462"/>
        <w:rPr>
          <w:rFonts w:ascii="Times New Roman" w:hAnsi="Times New Roman" w:cs="Times New Roman"/>
          <w:sz w:val="24"/>
          <w:szCs w:val="24"/>
        </w:rPr>
      </w:pPr>
      <w:r w:rsidRPr="00B5489A">
        <w:rPr>
          <w:rFonts w:ascii="Times New Roman" w:hAnsi="Times New Roman" w:cs="Times New Roman"/>
          <w:sz w:val="24"/>
          <w:szCs w:val="24"/>
        </w:rPr>
        <w:t>Thank you very much for this advice, I have revised it and please review lines</w:t>
      </w:r>
      <w:r w:rsidR="00E96C30" w:rsidRPr="00B5489A">
        <w:rPr>
          <w:rFonts w:ascii="Times New Roman" w:hAnsi="Times New Roman" w:cs="Times New Roman"/>
          <w:sz w:val="24"/>
          <w:szCs w:val="24"/>
        </w:rPr>
        <w:t xml:space="preserve"> 56</w:t>
      </w:r>
      <w:r w:rsidRPr="00B5489A">
        <w:rPr>
          <w:rFonts w:ascii="Times New Roman" w:hAnsi="Times New Roman" w:cs="Times New Roman"/>
          <w:sz w:val="24"/>
          <w:szCs w:val="24"/>
        </w:rPr>
        <w:t xml:space="preserve"> to</w:t>
      </w:r>
      <w:r w:rsidR="00E96C30" w:rsidRPr="00B5489A">
        <w:rPr>
          <w:rFonts w:ascii="Times New Roman" w:hAnsi="Times New Roman" w:cs="Times New Roman"/>
          <w:sz w:val="24"/>
          <w:szCs w:val="24"/>
        </w:rPr>
        <w:t xml:space="preserve"> 60</w:t>
      </w:r>
      <w:r w:rsidRPr="00B5489A">
        <w:rPr>
          <w:rFonts w:ascii="Times New Roman" w:hAnsi="Times New Roman" w:cs="Times New Roman"/>
          <w:sz w:val="24"/>
          <w:szCs w:val="24"/>
        </w:rPr>
        <w:t xml:space="preserve"> of the manuscript</w:t>
      </w:r>
      <w:r w:rsidR="00F036DC" w:rsidRPr="00B5489A">
        <w:rPr>
          <w:rFonts w:ascii="Times New Roman" w:hAnsi="Times New Roman" w:cs="Times New Roman"/>
          <w:sz w:val="24"/>
          <w:szCs w:val="24"/>
        </w:rPr>
        <w:t>:</w:t>
      </w:r>
      <w:r w:rsidR="00B5489A" w:rsidRPr="00B5489A">
        <w:rPr>
          <w:rFonts w:ascii="Times New Roman" w:hAnsi="Times New Roman" w:cs="Times New Roman" w:hint="eastAsia"/>
          <w:sz w:val="24"/>
          <w:szCs w:val="24"/>
        </w:rPr>
        <w:t xml:space="preserve"> </w:t>
      </w:r>
      <w:r w:rsidRPr="00830532">
        <w:rPr>
          <w:rFonts w:ascii="Times New Roman" w:hAnsi="Times New Roman" w:cs="Times New Roman"/>
          <w:sz w:val="24"/>
          <w:szCs w:val="24"/>
        </w:rPr>
        <w:t>Specifically,</w:t>
      </w:r>
      <w:bookmarkEnd w:id="0"/>
      <w:r w:rsidR="00FA721C">
        <w:rPr>
          <w:rFonts w:ascii="Times New Roman" w:hAnsi="Times New Roman" w:cs="Times New Roman"/>
          <w:sz w:val="24"/>
          <w:szCs w:val="24"/>
        </w:rPr>
        <w:t xml:space="preserve"> “</w:t>
      </w:r>
      <w:r w:rsidR="00E96C30" w:rsidRPr="00E96C30">
        <w:rPr>
          <w:rFonts w:ascii="Times New Roman" w:hAnsi="Times New Roman" w:cs="Times New Roman"/>
          <w:sz w:val="24"/>
          <w:szCs w:val="24"/>
        </w:rPr>
        <w:t>This national policy categorizes grasslands into grazing ban areas and grass-livestock balance areas, determined by the ecological conditions of the grasslands. It takes into account both grassland ecology and herders' livelihoods by providing subsidies and awards to grassland contractors who adhere to the policy.</w:t>
      </w:r>
      <w:r w:rsidR="00FA721C">
        <w:rPr>
          <w:rFonts w:ascii="Times New Roman" w:hAnsi="Times New Roman" w:cs="Times New Roman"/>
          <w:sz w:val="24"/>
          <w:szCs w:val="24"/>
        </w:rPr>
        <w:t>”</w:t>
      </w:r>
    </w:p>
    <w:p w14:paraId="3248EBC3" w14:textId="77777777" w:rsidR="00FA721C" w:rsidRDefault="00FA721C" w:rsidP="00830532">
      <w:pPr>
        <w:rPr>
          <w:rFonts w:ascii="Times New Roman" w:hAnsi="Times New Roman" w:cs="Times New Roman"/>
          <w:sz w:val="24"/>
          <w:szCs w:val="24"/>
        </w:rPr>
      </w:pPr>
    </w:p>
    <w:p w14:paraId="0316EC87" w14:textId="6D4B8F01" w:rsidR="00B5489A" w:rsidRDefault="00FA721C" w:rsidP="00830532">
      <w:pPr>
        <w:rPr>
          <w:b/>
          <w:bCs/>
        </w:rPr>
      </w:pPr>
      <w:r w:rsidRPr="00FA721C">
        <w:rPr>
          <w:rFonts w:ascii="Times New Roman" w:hAnsi="Times New Roman" w:cs="Times New Roman" w:hint="eastAsia"/>
          <w:b/>
          <w:bCs/>
          <w:sz w:val="24"/>
          <w:szCs w:val="24"/>
        </w:rPr>
        <w:t>2</w:t>
      </w:r>
      <w:r w:rsidRPr="00FA721C">
        <w:rPr>
          <w:rFonts w:ascii="Times New Roman" w:hAnsi="Times New Roman" w:cs="Times New Roman"/>
          <w:b/>
          <w:bCs/>
          <w:sz w:val="24"/>
          <w:szCs w:val="24"/>
        </w:rPr>
        <w:t>.</w:t>
      </w:r>
      <w:r w:rsidR="00B5489A" w:rsidRPr="00B5489A">
        <w:t xml:space="preserve"> </w:t>
      </w:r>
      <w:r w:rsidR="00B5489A" w:rsidRPr="00B5489A">
        <w:rPr>
          <w:rFonts w:ascii="Times New Roman" w:hAnsi="Times New Roman" w:cs="Times New Roman"/>
          <w:b/>
          <w:bCs/>
          <w:sz w:val="24"/>
          <w:szCs w:val="24"/>
        </w:rPr>
        <w:t>Line 110: What mechanism was adapted for subsidy distribution?</w:t>
      </w:r>
    </w:p>
    <w:p w14:paraId="3046B9CF" w14:textId="7C6D3D73" w:rsidR="00FA721C" w:rsidRPr="00B5489A" w:rsidRDefault="00FA721C" w:rsidP="00B5489A">
      <w:pPr>
        <w:ind w:firstLineChars="200" w:firstLine="462"/>
        <w:rPr>
          <w:rFonts w:ascii="Times New Roman" w:hAnsi="Times New Roman" w:cs="Times New Roman"/>
          <w:b/>
          <w:bCs/>
          <w:sz w:val="24"/>
          <w:szCs w:val="24"/>
        </w:rPr>
      </w:pPr>
      <w:bookmarkStart w:id="1" w:name="OLE_LINK12"/>
      <w:r w:rsidRPr="00B5489A">
        <w:rPr>
          <w:rFonts w:ascii="Times New Roman" w:hAnsi="Times New Roman" w:cs="Times New Roman"/>
          <w:sz w:val="24"/>
          <w:szCs w:val="24"/>
        </w:rPr>
        <w:t>Thank you very much for this advice, I have revised it and please review lines</w:t>
      </w:r>
      <w:r w:rsidR="00E96C30" w:rsidRPr="00B5489A">
        <w:rPr>
          <w:rFonts w:ascii="Times New Roman" w:hAnsi="Times New Roman" w:cs="Times New Roman"/>
          <w:sz w:val="24"/>
          <w:szCs w:val="24"/>
        </w:rPr>
        <w:t xml:space="preserve"> 94</w:t>
      </w:r>
      <w:r w:rsidRPr="00B5489A">
        <w:rPr>
          <w:rFonts w:ascii="Times New Roman" w:hAnsi="Times New Roman" w:cs="Times New Roman"/>
          <w:sz w:val="24"/>
          <w:szCs w:val="24"/>
        </w:rPr>
        <w:t xml:space="preserve"> to</w:t>
      </w:r>
      <w:r w:rsidR="00E96C30" w:rsidRPr="00B5489A">
        <w:rPr>
          <w:rFonts w:ascii="Times New Roman" w:hAnsi="Times New Roman" w:cs="Times New Roman"/>
          <w:sz w:val="24"/>
          <w:szCs w:val="24"/>
        </w:rPr>
        <w:t xml:space="preserve"> 101</w:t>
      </w:r>
      <w:r w:rsidRPr="00B5489A">
        <w:rPr>
          <w:rFonts w:ascii="Times New Roman" w:hAnsi="Times New Roman" w:cs="Times New Roman"/>
          <w:sz w:val="24"/>
          <w:szCs w:val="24"/>
        </w:rPr>
        <w:t xml:space="preserve"> of the manuscript</w:t>
      </w:r>
      <w:r w:rsidR="00F036DC" w:rsidRPr="00B5489A">
        <w:rPr>
          <w:rFonts w:ascii="Times New Roman" w:hAnsi="Times New Roman" w:cs="Times New Roman"/>
          <w:sz w:val="24"/>
          <w:szCs w:val="24"/>
        </w:rPr>
        <w:t>:</w:t>
      </w:r>
      <w:r w:rsidR="00B5489A" w:rsidRPr="00B5489A">
        <w:rPr>
          <w:rFonts w:ascii="Times New Roman" w:hAnsi="Times New Roman" w:cs="Times New Roman" w:hint="eastAsia"/>
          <w:sz w:val="24"/>
          <w:szCs w:val="24"/>
        </w:rPr>
        <w:t xml:space="preserve"> </w:t>
      </w:r>
      <w:r w:rsidRPr="00FA721C">
        <w:rPr>
          <w:rFonts w:ascii="Times New Roman" w:hAnsi="Times New Roman" w:cs="Times New Roman"/>
          <w:sz w:val="24"/>
          <w:szCs w:val="24"/>
        </w:rPr>
        <w:t>Specifically,</w:t>
      </w:r>
      <w:r>
        <w:rPr>
          <w:rFonts w:ascii="Times New Roman" w:hAnsi="Times New Roman" w:cs="Times New Roman"/>
          <w:sz w:val="24"/>
          <w:szCs w:val="24"/>
        </w:rPr>
        <w:t xml:space="preserve"> </w:t>
      </w:r>
      <w:bookmarkEnd w:id="1"/>
      <w:r>
        <w:rPr>
          <w:rFonts w:ascii="Times New Roman" w:hAnsi="Times New Roman" w:cs="Times New Roman"/>
          <w:sz w:val="24"/>
          <w:szCs w:val="24"/>
        </w:rPr>
        <w:t>“</w:t>
      </w:r>
      <w:r w:rsidR="00E96C30" w:rsidRPr="00E96C30">
        <w:rPr>
          <w:rFonts w:ascii="Times New Roman" w:hAnsi="Times New Roman" w:cs="Times New Roman"/>
          <w:sz w:val="24"/>
          <w:szCs w:val="24"/>
        </w:rPr>
        <w:t>Various regions experience disparities in subsidies due to differences in natural conditions, socio-economic environments, and levels of economic development [37]. In response to these variations, some local governments have maintained the uniform subsidy standards established by the national government, while others have further refined these standards based on the unique grassland ecological conditions in their regions. This adaptation has led to two main types of subsidies in the current implementation of the GECP: subsidy hierarchization, tailored to different grassland ecological conditions, and subsidy harmonization, adhering to the unified national standard.</w:t>
      </w:r>
      <w:r>
        <w:rPr>
          <w:rFonts w:ascii="Times New Roman" w:hAnsi="Times New Roman" w:cs="Times New Roman"/>
          <w:sz w:val="24"/>
          <w:szCs w:val="24"/>
        </w:rPr>
        <w:t>”</w:t>
      </w:r>
    </w:p>
    <w:p w14:paraId="513A33C5" w14:textId="77777777" w:rsidR="00FA721C" w:rsidRDefault="00FA721C" w:rsidP="00830532">
      <w:pPr>
        <w:rPr>
          <w:rFonts w:ascii="Times New Roman" w:hAnsi="Times New Roman" w:cs="Times New Roman"/>
          <w:sz w:val="24"/>
          <w:szCs w:val="24"/>
        </w:rPr>
      </w:pPr>
    </w:p>
    <w:p w14:paraId="79C24C07" w14:textId="49A9A858" w:rsidR="00B5489A" w:rsidRDefault="00FA721C" w:rsidP="00830532">
      <w:pPr>
        <w:rPr>
          <w:b/>
          <w:bCs/>
        </w:rPr>
      </w:pPr>
      <w:r w:rsidRPr="00321C8E">
        <w:rPr>
          <w:rFonts w:ascii="Times New Roman" w:hAnsi="Times New Roman" w:cs="Times New Roman" w:hint="eastAsia"/>
          <w:b/>
          <w:bCs/>
          <w:sz w:val="24"/>
          <w:szCs w:val="24"/>
        </w:rPr>
        <w:t>3</w:t>
      </w:r>
      <w:r w:rsidRPr="00321C8E">
        <w:rPr>
          <w:rFonts w:ascii="Times New Roman" w:hAnsi="Times New Roman" w:cs="Times New Roman"/>
          <w:b/>
          <w:bCs/>
          <w:sz w:val="24"/>
          <w:szCs w:val="24"/>
        </w:rPr>
        <w:t>.</w:t>
      </w:r>
      <w:bookmarkStart w:id="2" w:name="_Hlk148619791"/>
      <w:r w:rsidR="00B5489A" w:rsidRPr="00B5489A">
        <w:t xml:space="preserve"> </w:t>
      </w:r>
      <w:r w:rsidR="00B5489A" w:rsidRPr="00B5489A">
        <w:rPr>
          <w:rFonts w:ascii="Times New Roman" w:hAnsi="Times New Roman" w:cs="Times New Roman"/>
          <w:b/>
          <w:bCs/>
          <w:sz w:val="24"/>
          <w:szCs w:val="24"/>
        </w:rPr>
        <w:t>Line 111: How this study is unique from the other published studies with the same aspects? What is the innovation?</w:t>
      </w:r>
    </w:p>
    <w:p w14:paraId="0EA938D2" w14:textId="4608A9DF" w:rsidR="00FA721C" w:rsidRDefault="00FA721C" w:rsidP="00B5489A">
      <w:pPr>
        <w:ind w:firstLineChars="200" w:firstLine="462"/>
        <w:rPr>
          <w:rFonts w:ascii="Times New Roman" w:hAnsi="Times New Roman" w:cs="Times New Roman"/>
          <w:sz w:val="24"/>
          <w:szCs w:val="24"/>
        </w:rPr>
      </w:pPr>
      <w:r w:rsidRPr="00B5489A">
        <w:rPr>
          <w:rFonts w:ascii="Times New Roman" w:hAnsi="Times New Roman" w:cs="Times New Roman"/>
          <w:sz w:val="24"/>
          <w:szCs w:val="24"/>
        </w:rPr>
        <w:lastRenderedPageBreak/>
        <w:t>Thank you very much for this advice, I have revised it and please review lines 11</w:t>
      </w:r>
      <w:r w:rsidR="00EC6889" w:rsidRPr="00B5489A">
        <w:rPr>
          <w:rFonts w:ascii="Times New Roman" w:hAnsi="Times New Roman" w:cs="Times New Roman"/>
          <w:sz w:val="24"/>
          <w:szCs w:val="24"/>
        </w:rPr>
        <w:t>2</w:t>
      </w:r>
      <w:r w:rsidRPr="00B5489A">
        <w:rPr>
          <w:rFonts w:ascii="Times New Roman" w:hAnsi="Times New Roman" w:cs="Times New Roman"/>
          <w:sz w:val="24"/>
          <w:szCs w:val="24"/>
        </w:rPr>
        <w:t xml:space="preserve"> to 1</w:t>
      </w:r>
      <w:r w:rsidR="00EC6889" w:rsidRPr="00B5489A">
        <w:rPr>
          <w:rFonts w:ascii="Times New Roman" w:hAnsi="Times New Roman" w:cs="Times New Roman"/>
          <w:sz w:val="24"/>
          <w:szCs w:val="24"/>
        </w:rPr>
        <w:t>43</w:t>
      </w:r>
      <w:r w:rsidRPr="00B5489A">
        <w:rPr>
          <w:rFonts w:ascii="Times New Roman" w:hAnsi="Times New Roman" w:cs="Times New Roman"/>
          <w:sz w:val="24"/>
          <w:szCs w:val="24"/>
        </w:rPr>
        <w:t xml:space="preserve"> of the manuscript</w:t>
      </w:r>
      <w:r w:rsidR="00F036DC" w:rsidRPr="00B5489A">
        <w:rPr>
          <w:rFonts w:ascii="Times New Roman" w:hAnsi="Times New Roman" w:cs="Times New Roman"/>
          <w:sz w:val="24"/>
          <w:szCs w:val="24"/>
        </w:rPr>
        <w:t>:</w:t>
      </w:r>
      <w:r w:rsidR="00B5489A">
        <w:rPr>
          <w:rFonts w:ascii="Times New Roman" w:hAnsi="Times New Roman" w:cs="Times New Roman" w:hint="eastAsia"/>
          <w:sz w:val="24"/>
          <w:szCs w:val="24"/>
        </w:rPr>
        <w:t xml:space="preserve"> </w:t>
      </w:r>
      <w:r w:rsidRPr="00FA721C">
        <w:rPr>
          <w:rFonts w:ascii="Times New Roman" w:hAnsi="Times New Roman" w:cs="Times New Roman"/>
          <w:sz w:val="24"/>
          <w:szCs w:val="24"/>
        </w:rPr>
        <w:t>Specifically,</w:t>
      </w:r>
      <w:bookmarkEnd w:id="2"/>
      <w:r>
        <w:rPr>
          <w:rFonts w:ascii="Times New Roman" w:hAnsi="Times New Roman" w:cs="Times New Roman"/>
          <w:sz w:val="24"/>
          <w:szCs w:val="24"/>
        </w:rPr>
        <w:t xml:space="preserve"> “</w:t>
      </w:r>
      <w:r w:rsidR="00EC6889" w:rsidRPr="00EC6889">
        <w:rPr>
          <w:rFonts w:ascii="Times New Roman" w:hAnsi="Times New Roman" w:cs="Times New Roman"/>
          <w:sz w:val="24"/>
          <w:szCs w:val="24"/>
        </w:rPr>
        <w:t xml:space="preserve">Presently, the research landscape concerning the Grassland Ecosystem Compensation Policy (GECP) is extensive and multifaceted. A plethora of studies, employing quantitative analysis, have compared grassland ecology, livestock production, and herders' income before and after GECP implementation in the same region. These investigations have consistently demonstrated that the GECP yields positive outcomes in protecting grassland ecology, regulating livestock production, and safeguarding herders' livelihoods [39]. However, it is notable that the primary obstacle to effective policy implementation remains the relatively lower subsidy standards [6,40]. Some studies have delved into the formulation of grassland ecological subsidy standards through both quantitative and qualitative analyses. These studies have underscored the necessity for ecological subsidy standards to consider not only the direct costs but also opportunity costs and the value of grassland ecological service functions within local herders' households [41,42]. Moreover, research focused on herders' satisfaction with the implementation of GECP and the factors influencing it, as assessed through quantitative analysis, has revealed substantial regional variations in herders' satisfaction with the implementation outcomes of GECP. These variations are significantly influenced by the social, economic, and ecological characteristics specific to each region [43−45]. Furthermore, studies have compared grassland eco-compensation methods and their effectiveness across different countries, such as China and Germany. These analyses have revealed that eco-compensation policies in both countries have faced challenges in delivering environmental services due to issues like insufficient participation, monitoring, control, and regulatory provisions [46,47]. Additionally, research has scrutinized herders' satisfaction in the Western Desert Region and the Tibetan Plateau region in conjunction with the effectiveness of the GECP. These studies have unveiled differences in herders' overall satisfaction, with herders in the western desert region displaying higher satisfaction levels due to diversified income sources and reduced reliance on animal husbandry. The size of households and herders' comprehension of the policy have been identified as key determinants of herders' policy satisfaction in all regions [48,49]. Although extensive research has been conducted on satisfaction and its </w:t>
      </w:r>
      <w:r w:rsidR="00EC6889" w:rsidRPr="00EC6889">
        <w:rPr>
          <w:rFonts w:ascii="Times New Roman" w:hAnsi="Times New Roman" w:cs="Times New Roman"/>
          <w:sz w:val="24"/>
          <w:szCs w:val="24"/>
        </w:rPr>
        <w:lastRenderedPageBreak/>
        <w:t>influencing factors regarding the implementation of the GECP, all these studies are based on regions with the same subsidy standards and various ecological functional zones. Nonetheless, there is still a notable gap in exploring herders' satisfaction and the factors influencing it in regions with diverse subsidy standard designs.</w:t>
      </w:r>
      <w:r>
        <w:rPr>
          <w:rFonts w:ascii="Times New Roman" w:hAnsi="Times New Roman" w:cs="Times New Roman"/>
          <w:sz w:val="24"/>
          <w:szCs w:val="24"/>
        </w:rPr>
        <w:t>”</w:t>
      </w:r>
    </w:p>
    <w:p w14:paraId="003C7C55" w14:textId="77777777" w:rsidR="00FA721C" w:rsidRDefault="00FA721C" w:rsidP="00830532">
      <w:pPr>
        <w:rPr>
          <w:rFonts w:ascii="Times New Roman" w:hAnsi="Times New Roman" w:cs="Times New Roman"/>
          <w:sz w:val="24"/>
          <w:szCs w:val="24"/>
        </w:rPr>
      </w:pPr>
    </w:p>
    <w:p w14:paraId="42DD4539" w14:textId="7E647AE7" w:rsidR="00B5489A" w:rsidRDefault="00FA721C" w:rsidP="00830532">
      <w:pPr>
        <w:rPr>
          <w:b/>
          <w:bCs/>
        </w:rPr>
      </w:pPr>
      <w:r w:rsidRPr="00321C8E">
        <w:rPr>
          <w:rFonts w:ascii="Times New Roman" w:hAnsi="Times New Roman" w:cs="Times New Roman" w:hint="eastAsia"/>
          <w:b/>
          <w:bCs/>
          <w:sz w:val="24"/>
          <w:szCs w:val="24"/>
        </w:rPr>
        <w:t>4</w:t>
      </w:r>
      <w:r w:rsidRPr="00321C8E">
        <w:rPr>
          <w:rFonts w:ascii="Times New Roman" w:hAnsi="Times New Roman" w:cs="Times New Roman"/>
          <w:b/>
          <w:bCs/>
          <w:sz w:val="24"/>
          <w:szCs w:val="24"/>
        </w:rPr>
        <w:t>.</w:t>
      </w:r>
      <w:r w:rsidR="00B5489A" w:rsidRPr="00B5489A">
        <w:t xml:space="preserve"> </w:t>
      </w:r>
      <w:r w:rsidR="00B5489A" w:rsidRPr="00B5489A">
        <w:rPr>
          <w:rFonts w:ascii="Times New Roman" w:hAnsi="Times New Roman" w:cs="Times New Roman"/>
          <w:b/>
          <w:bCs/>
          <w:sz w:val="24"/>
          <w:szCs w:val="24"/>
        </w:rPr>
        <w:t>Line 169: Why there was a huge difference between subsidies of two regions? what is the justification?</w:t>
      </w:r>
    </w:p>
    <w:p w14:paraId="13805211" w14:textId="72B68CB2" w:rsidR="00FA721C" w:rsidRDefault="00FA721C" w:rsidP="00B5489A">
      <w:pPr>
        <w:ind w:firstLineChars="200" w:firstLine="462"/>
        <w:rPr>
          <w:rFonts w:ascii="Times New Roman" w:hAnsi="Times New Roman" w:cs="Times New Roman"/>
          <w:sz w:val="24"/>
          <w:szCs w:val="24"/>
        </w:rPr>
      </w:pPr>
      <w:r w:rsidRPr="00B5489A">
        <w:rPr>
          <w:rFonts w:ascii="Times New Roman" w:hAnsi="Times New Roman" w:cs="Times New Roman"/>
          <w:sz w:val="24"/>
          <w:szCs w:val="24"/>
        </w:rPr>
        <w:t>Thank you very much for this advice, I have revised it and please review lines</w:t>
      </w:r>
      <w:r w:rsidR="0029766F" w:rsidRPr="00B5489A">
        <w:rPr>
          <w:rFonts w:ascii="Times New Roman" w:hAnsi="Times New Roman" w:cs="Times New Roman"/>
          <w:sz w:val="24"/>
          <w:szCs w:val="24"/>
        </w:rPr>
        <w:t xml:space="preserve"> 196</w:t>
      </w:r>
      <w:r w:rsidRPr="00B5489A">
        <w:rPr>
          <w:rFonts w:ascii="Times New Roman" w:hAnsi="Times New Roman" w:cs="Times New Roman"/>
          <w:sz w:val="24"/>
          <w:szCs w:val="24"/>
        </w:rPr>
        <w:t xml:space="preserve"> to</w:t>
      </w:r>
      <w:r w:rsidR="0029766F" w:rsidRPr="00B5489A">
        <w:rPr>
          <w:rFonts w:ascii="Times New Roman" w:hAnsi="Times New Roman" w:cs="Times New Roman"/>
          <w:sz w:val="24"/>
          <w:szCs w:val="24"/>
        </w:rPr>
        <w:t xml:space="preserve"> </w:t>
      </w:r>
      <w:r w:rsidR="00321C8E" w:rsidRPr="00B5489A">
        <w:rPr>
          <w:rFonts w:ascii="Times New Roman" w:hAnsi="Times New Roman" w:cs="Times New Roman"/>
          <w:sz w:val="24"/>
          <w:szCs w:val="24"/>
        </w:rPr>
        <w:t>2</w:t>
      </w:r>
      <w:r w:rsidR="0029766F" w:rsidRPr="00B5489A">
        <w:rPr>
          <w:rFonts w:ascii="Times New Roman" w:hAnsi="Times New Roman" w:cs="Times New Roman"/>
          <w:sz w:val="24"/>
          <w:szCs w:val="24"/>
        </w:rPr>
        <w:t>00</w:t>
      </w:r>
      <w:r w:rsidRPr="00B5489A">
        <w:rPr>
          <w:rFonts w:ascii="Times New Roman" w:hAnsi="Times New Roman" w:cs="Times New Roman"/>
          <w:sz w:val="24"/>
          <w:szCs w:val="24"/>
        </w:rPr>
        <w:t xml:space="preserve"> of the manuscript</w:t>
      </w:r>
      <w:r w:rsidR="00F036DC" w:rsidRPr="00B5489A">
        <w:rPr>
          <w:rFonts w:ascii="Times New Roman" w:hAnsi="Times New Roman" w:cs="Times New Roman"/>
          <w:sz w:val="24"/>
          <w:szCs w:val="24"/>
        </w:rPr>
        <w:t>:</w:t>
      </w:r>
      <w:r w:rsidR="00B5489A">
        <w:rPr>
          <w:rFonts w:ascii="Times New Roman" w:hAnsi="Times New Roman" w:cs="Times New Roman" w:hint="eastAsia"/>
          <w:sz w:val="24"/>
          <w:szCs w:val="24"/>
        </w:rPr>
        <w:t xml:space="preserve"> </w:t>
      </w:r>
      <w:r w:rsidRPr="00FA721C">
        <w:rPr>
          <w:rFonts w:ascii="Times New Roman" w:hAnsi="Times New Roman" w:cs="Times New Roman"/>
          <w:sz w:val="24"/>
          <w:szCs w:val="24"/>
        </w:rPr>
        <w:t>Specifically,</w:t>
      </w:r>
      <w:r w:rsidR="00321C8E">
        <w:rPr>
          <w:rFonts w:ascii="Times New Roman" w:hAnsi="Times New Roman" w:cs="Times New Roman"/>
          <w:sz w:val="24"/>
          <w:szCs w:val="24"/>
        </w:rPr>
        <w:t xml:space="preserve"> “</w:t>
      </w:r>
      <w:r w:rsidR="00EC6889" w:rsidRPr="00EC6889">
        <w:rPr>
          <w:rFonts w:ascii="Times New Roman" w:hAnsi="Times New Roman" w:cs="Times New Roman"/>
          <w:sz w:val="24"/>
          <w:szCs w:val="24"/>
        </w:rPr>
        <w:t>In accordance with the national policy, Sunan has further divided the ecological compensation standard into five levels, taking into account the quality, yield, and stocking rate of grassland, and has implemented subsidy hierarchization measures. In contrast, Gannan adheres to the national policy without further subdivision, following the subsidy harmonization approach (Table 1).</w:t>
      </w:r>
      <w:r w:rsidR="00321C8E">
        <w:rPr>
          <w:rFonts w:ascii="Times New Roman" w:hAnsi="Times New Roman" w:cs="Times New Roman"/>
          <w:sz w:val="24"/>
          <w:szCs w:val="24"/>
        </w:rPr>
        <w:t>”</w:t>
      </w:r>
    </w:p>
    <w:p w14:paraId="16AF7237" w14:textId="77777777" w:rsidR="00321C8E" w:rsidRDefault="00321C8E" w:rsidP="00830532">
      <w:pPr>
        <w:rPr>
          <w:rFonts w:ascii="Times New Roman" w:hAnsi="Times New Roman" w:cs="Times New Roman"/>
          <w:sz w:val="24"/>
          <w:szCs w:val="24"/>
        </w:rPr>
      </w:pPr>
    </w:p>
    <w:p w14:paraId="7B80212F" w14:textId="525CF719" w:rsidR="00B5489A" w:rsidRDefault="00321C8E" w:rsidP="00830532">
      <w:pPr>
        <w:rPr>
          <w:rFonts w:ascii="Times New Roman" w:hAnsi="Times New Roman" w:cs="Times New Roman"/>
          <w:b/>
          <w:bCs/>
          <w:sz w:val="24"/>
          <w:szCs w:val="24"/>
        </w:rPr>
      </w:pPr>
      <w:r w:rsidRPr="00321C8E">
        <w:rPr>
          <w:rFonts w:ascii="Times New Roman" w:hAnsi="Times New Roman" w:cs="Times New Roman"/>
          <w:b/>
          <w:bCs/>
          <w:sz w:val="24"/>
          <w:szCs w:val="24"/>
        </w:rPr>
        <w:t>5.</w:t>
      </w:r>
      <w:r w:rsidR="00B5489A" w:rsidRPr="00B5489A">
        <w:t xml:space="preserve"> </w:t>
      </w:r>
      <w:r w:rsidR="00B5489A" w:rsidRPr="00B5489A">
        <w:rPr>
          <w:rFonts w:ascii="Times New Roman" w:hAnsi="Times New Roman" w:cs="Times New Roman"/>
          <w:b/>
          <w:bCs/>
          <w:sz w:val="24"/>
          <w:szCs w:val="24"/>
        </w:rPr>
        <w:t>Line 186-87: Which statistical approach was applied to determine the number of questionnaire and sample size? Which method or formula was used?</w:t>
      </w:r>
    </w:p>
    <w:p w14:paraId="7555C78C" w14:textId="18CD6AFE" w:rsidR="00321C8E" w:rsidRPr="00B5489A" w:rsidRDefault="00321C8E" w:rsidP="00B5489A">
      <w:pPr>
        <w:ind w:firstLineChars="200" w:firstLine="462"/>
      </w:pPr>
      <w:r w:rsidRPr="00B5489A">
        <w:rPr>
          <w:rFonts w:ascii="Times New Roman" w:hAnsi="Times New Roman" w:cs="Times New Roman"/>
          <w:sz w:val="24"/>
          <w:szCs w:val="24"/>
        </w:rPr>
        <w:t>Thank you very much for this advice, I have revised it and please review lines 2</w:t>
      </w:r>
      <w:r w:rsidR="0029766F" w:rsidRPr="00B5489A">
        <w:rPr>
          <w:rFonts w:ascii="Times New Roman" w:hAnsi="Times New Roman" w:cs="Times New Roman"/>
          <w:sz w:val="24"/>
          <w:szCs w:val="24"/>
        </w:rPr>
        <w:t xml:space="preserve">33 </w:t>
      </w:r>
      <w:r w:rsidRPr="00B5489A">
        <w:rPr>
          <w:rFonts w:ascii="Times New Roman" w:hAnsi="Times New Roman" w:cs="Times New Roman"/>
          <w:sz w:val="24"/>
          <w:szCs w:val="24"/>
        </w:rPr>
        <w:t>to</w:t>
      </w:r>
      <w:r w:rsidR="0029766F" w:rsidRPr="00B5489A">
        <w:rPr>
          <w:rFonts w:ascii="Times New Roman" w:hAnsi="Times New Roman" w:cs="Times New Roman"/>
          <w:sz w:val="24"/>
          <w:szCs w:val="24"/>
        </w:rPr>
        <w:t xml:space="preserve"> 237</w:t>
      </w:r>
      <w:r w:rsidRPr="00B5489A">
        <w:rPr>
          <w:rFonts w:ascii="Times New Roman" w:hAnsi="Times New Roman" w:cs="Times New Roman"/>
          <w:sz w:val="24"/>
          <w:szCs w:val="24"/>
        </w:rPr>
        <w:t xml:space="preserve"> of the manuscript</w:t>
      </w:r>
      <w:r w:rsidR="00F036DC" w:rsidRPr="00B5489A">
        <w:rPr>
          <w:rFonts w:ascii="Times New Roman" w:hAnsi="Times New Roman" w:cs="Times New Roman"/>
          <w:sz w:val="24"/>
          <w:szCs w:val="24"/>
        </w:rPr>
        <w:t>:</w:t>
      </w:r>
      <w:r w:rsidR="00B5489A">
        <w:rPr>
          <w:rFonts w:hint="eastAsia"/>
        </w:rPr>
        <w:t xml:space="preserve"> </w:t>
      </w:r>
      <w:r w:rsidRPr="00321C8E">
        <w:rPr>
          <w:rFonts w:ascii="Times New Roman" w:hAnsi="Times New Roman" w:cs="Times New Roman"/>
          <w:sz w:val="24"/>
          <w:szCs w:val="24"/>
        </w:rPr>
        <w:t>Specifically,</w:t>
      </w:r>
      <w:r>
        <w:rPr>
          <w:rFonts w:ascii="Times New Roman" w:hAnsi="Times New Roman" w:cs="Times New Roman"/>
          <w:sz w:val="24"/>
          <w:szCs w:val="24"/>
        </w:rPr>
        <w:t xml:space="preserve"> “</w:t>
      </w:r>
      <w:r w:rsidR="0029766F" w:rsidRPr="0029766F">
        <w:rPr>
          <w:rFonts w:ascii="Times New Roman" w:hAnsi="Times New Roman" w:cs="Times New Roman"/>
          <w:sz w:val="24"/>
          <w:szCs w:val="24"/>
        </w:rPr>
        <w:t xml:space="preserve">Due to the extensive area and low population density of the survey area, this study selected </w:t>
      </w:r>
      <w:proofErr w:type="spellStart"/>
      <w:r w:rsidR="0029766F" w:rsidRPr="0029766F">
        <w:rPr>
          <w:rFonts w:ascii="Times New Roman" w:hAnsi="Times New Roman" w:cs="Times New Roman"/>
          <w:sz w:val="24"/>
          <w:szCs w:val="24"/>
        </w:rPr>
        <w:t>Huangcheng</w:t>
      </w:r>
      <w:proofErr w:type="spellEnd"/>
      <w:r w:rsidR="0029766F" w:rsidRPr="0029766F">
        <w:rPr>
          <w:rFonts w:ascii="Times New Roman" w:hAnsi="Times New Roman" w:cs="Times New Roman"/>
          <w:sz w:val="24"/>
          <w:szCs w:val="24"/>
        </w:rPr>
        <w:t xml:space="preserve">, Baiyin, and </w:t>
      </w:r>
      <w:proofErr w:type="spellStart"/>
      <w:r w:rsidR="0029766F" w:rsidRPr="0029766F">
        <w:rPr>
          <w:rFonts w:ascii="Times New Roman" w:hAnsi="Times New Roman" w:cs="Times New Roman"/>
          <w:sz w:val="24"/>
          <w:szCs w:val="24"/>
        </w:rPr>
        <w:t>Dahe</w:t>
      </w:r>
      <w:proofErr w:type="spellEnd"/>
      <w:r w:rsidR="0029766F" w:rsidRPr="0029766F">
        <w:rPr>
          <w:rFonts w:ascii="Times New Roman" w:hAnsi="Times New Roman" w:cs="Times New Roman"/>
          <w:sz w:val="24"/>
          <w:szCs w:val="24"/>
        </w:rPr>
        <w:t xml:space="preserve">, which have a large implementation area in Sunan, as well as Maqu and </w:t>
      </w:r>
      <w:proofErr w:type="spellStart"/>
      <w:r w:rsidR="0029766F" w:rsidRPr="0029766F">
        <w:rPr>
          <w:rFonts w:ascii="Times New Roman" w:hAnsi="Times New Roman" w:cs="Times New Roman"/>
          <w:sz w:val="24"/>
          <w:szCs w:val="24"/>
        </w:rPr>
        <w:t>Hezuo</w:t>
      </w:r>
      <w:proofErr w:type="spellEnd"/>
      <w:r w:rsidR="0029766F" w:rsidRPr="0029766F">
        <w:rPr>
          <w:rFonts w:ascii="Times New Roman" w:hAnsi="Times New Roman" w:cs="Times New Roman"/>
          <w:sz w:val="24"/>
          <w:szCs w:val="24"/>
        </w:rPr>
        <w:t xml:space="preserve"> in Gannan, as the sample areas based on the actual grassland area involved in the GECP. Finally, a total of 142 households from 11 town-ships and 35 villages were surveyed for this study using a random sampling method.</w:t>
      </w:r>
      <w:r>
        <w:rPr>
          <w:rFonts w:ascii="Times New Roman" w:hAnsi="Times New Roman" w:cs="Times New Roman"/>
          <w:sz w:val="24"/>
          <w:szCs w:val="24"/>
        </w:rPr>
        <w:t>”</w:t>
      </w:r>
    </w:p>
    <w:p w14:paraId="5BE4CC8C" w14:textId="77777777" w:rsidR="00321C8E" w:rsidRDefault="00321C8E" w:rsidP="00830532">
      <w:pPr>
        <w:rPr>
          <w:rFonts w:ascii="Times New Roman" w:hAnsi="Times New Roman" w:cs="Times New Roman"/>
          <w:sz w:val="24"/>
          <w:szCs w:val="24"/>
        </w:rPr>
      </w:pPr>
    </w:p>
    <w:p w14:paraId="7DB00FF0" w14:textId="4BC176A0" w:rsidR="00B5489A" w:rsidRDefault="00321C8E" w:rsidP="00830532">
      <w:pPr>
        <w:rPr>
          <w:b/>
          <w:bCs/>
        </w:rPr>
      </w:pPr>
      <w:r w:rsidRPr="00321C8E">
        <w:rPr>
          <w:rFonts w:ascii="Times New Roman" w:hAnsi="Times New Roman" w:cs="Times New Roman" w:hint="eastAsia"/>
          <w:b/>
          <w:bCs/>
          <w:sz w:val="24"/>
          <w:szCs w:val="24"/>
        </w:rPr>
        <w:t>6</w:t>
      </w:r>
      <w:r w:rsidRPr="00321C8E">
        <w:rPr>
          <w:rFonts w:ascii="Times New Roman" w:hAnsi="Times New Roman" w:cs="Times New Roman"/>
          <w:b/>
          <w:bCs/>
          <w:sz w:val="24"/>
          <w:szCs w:val="24"/>
        </w:rPr>
        <w:t>.</w:t>
      </w:r>
      <w:r w:rsidR="00B5489A" w:rsidRPr="00B5489A">
        <w:t xml:space="preserve"> </w:t>
      </w:r>
      <w:r w:rsidR="00B5489A" w:rsidRPr="00B5489A">
        <w:rPr>
          <w:rFonts w:ascii="Times New Roman" w:hAnsi="Times New Roman" w:cs="Times New Roman"/>
          <w:b/>
          <w:bCs/>
          <w:sz w:val="24"/>
          <w:szCs w:val="24"/>
        </w:rPr>
        <w:t>Line 261: Authors just have talked about the leased pasture here. Classify the tenure system of grassland which respect to the study area.</w:t>
      </w:r>
    </w:p>
    <w:p w14:paraId="45CCFF4A" w14:textId="19AAE96D" w:rsidR="00321C8E" w:rsidRDefault="00321C8E" w:rsidP="00B5489A">
      <w:pPr>
        <w:ind w:firstLineChars="200" w:firstLine="462"/>
        <w:rPr>
          <w:rFonts w:ascii="Times New Roman" w:hAnsi="Times New Roman" w:cs="Times New Roman"/>
          <w:sz w:val="24"/>
          <w:szCs w:val="24"/>
        </w:rPr>
      </w:pPr>
      <w:r w:rsidRPr="00B5489A">
        <w:rPr>
          <w:rFonts w:ascii="Times New Roman" w:hAnsi="Times New Roman" w:cs="Times New Roman"/>
          <w:sz w:val="24"/>
          <w:szCs w:val="24"/>
        </w:rPr>
        <w:t>Thank you very much for this advice, I have revised it and please review lines</w:t>
      </w:r>
      <w:r w:rsidR="0029766F" w:rsidRPr="00B5489A">
        <w:rPr>
          <w:rFonts w:ascii="Times New Roman" w:hAnsi="Times New Roman" w:cs="Times New Roman"/>
          <w:sz w:val="24"/>
          <w:szCs w:val="24"/>
        </w:rPr>
        <w:t xml:space="preserve"> 312</w:t>
      </w:r>
      <w:r w:rsidRPr="00B5489A">
        <w:rPr>
          <w:rFonts w:ascii="Times New Roman" w:hAnsi="Times New Roman" w:cs="Times New Roman"/>
          <w:sz w:val="24"/>
          <w:szCs w:val="24"/>
        </w:rPr>
        <w:t xml:space="preserve"> to</w:t>
      </w:r>
      <w:r w:rsidR="0029766F" w:rsidRPr="00B5489A">
        <w:rPr>
          <w:rFonts w:ascii="Times New Roman" w:hAnsi="Times New Roman" w:cs="Times New Roman"/>
          <w:sz w:val="24"/>
          <w:szCs w:val="24"/>
        </w:rPr>
        <w:t xml:space="preserve"> 319</w:t>
      </w:r>
      <w:r w:rsidRPr="00B5489A">
        <w:rPr>
          <w:rFonts w:ascii="Times New Roman" w:hAnsi="Times New Roman" w:cs="Times New Roman"/>
          <w:sz w:val="24"/>
          <w:szCs w:val="24"/>
        </w:rPr>
        <w:t xml:space="preserve"> of the </w:t>
      </w:r>
      <w:r w:rsidRPr="00B5489A">
        <w:rPr>
          <w:rFonts w:ascii="Times New Roman" w:hAnsi="Times New Roman" w:cs="Times New Roman"/>
          <w:sz w:val="24"/>
          <w:szCs w:val="24"/>
        </w:rPr>
        <w:lastRenderedPageBreak/>
        <w:t>manuscript</w:t>
      </w:r>
      <w:r w:rsidR="00F036DC" w:rsidRPr="00B5489A">
        <w:rPr>
          <w:rFonts w:ascii="Times New Roman" w:hAnsi="Times New Roman" w:cs="Times New Roman"/>
          <w:sz w:val="24"/>
          <w:szCs w:val="24"/>
        </w:rPr>
        <w:t>:</w:t>
      </w:r>
      <w:r w:rsidR="00B5489A">
        <w:rPr>
          <w:rFonts w:ascii="Times New Roman" w:hAnsi="Times New Roman" w:cs="Times New Roman" w:hint="eastAsia"/>
          <w:sz w:val="24"/>
          <w:szCs w:val="24"/>
        </w:rPr>
        <w:t xml:space="preserve"> </w:t>
      </w:r>
      <w:r w:rsidRPr="00321C8E">
        <w:rPr>
          <w:rFonts w:ascii="Times New Roman" w:hAnsi="Times New Roman" w:cs="Times New Roman"/>
          <w:sz w:val="24"/>
          <w:szCs w:val="24"/>
        </w:rPr>
        <w:t>Specifically,</w:t>
      </w:r>
      <w:r w:rsidR="00A95C19">
        <w:rPr>
          <w:rFonts w:ascii="Times New Roman" w:hAnsi="Times New Roman" w:cs="Times New Roman"/>
          <w:sz w:val="24"/>
          <w:szCs w:val="24"/>
        </w:rPr>
        <w:t xml:space="preserve"> “</w:t>
      </w:r>
      <w:r w:rsidR="0029766F" w:rsidRPr="0029766F">
        <w:rPr>
          <w:rFonts w:ascii="Times New Roman" w:hAnsi="Times New Roman" w:cs="Times New Roman"/>
          <w:sz w:val="24"/>
          <w:szCs w:val="24"/>
        </w:rPr>
        <w:t>The use of leased-in pasture can have either positive or negative effects on satisfaction with the implementation effects of GECP. Although the implementation of GECP resulted in some small-scale household businesses abandoning animal husbandry, it allowed large-scale business households to realize economies of scale by leasing pastures [64]. On the other hand, while herder households can increase their livestock population through leased-in pastures, the ecological compensation funds for these leased pastures typically go to the owners of the pastures rather than to the users [65]</w:t>
      </w:r>
      <w:r w:rsidR="0029766F">
        <w:rPr>
          <w:rFonts w:ascii="Times New Roman" w:hAnsi="Times New Roman" w:cs="Times New Roman"/>
          <w:sz w:val="24"/>
          <w:szCs w:val="24"/>
        </w:rPr>
        <w:t>.</w:t>
      </w:r>
      <w:r w:rsidR="00A95C19">
        <w:rPr>
          <w:rFonts w:ascii="Times New Roman" w:hAnsi="Times New Roman" w:cs="Times New Roman"/>
          <w:sz w:val="24"/>
          <w:szCs w:val="24"/>
        </w:rPr>
        <w:t>”</w:t>
      </w:r>
    </w:p>
    <w:p w14:paraId="5C92D817" w14:textId="77777777" w:rsidR="00A95C19" w:rsidRDefault="00A95C19" w:rsidP="00830532">
      <w:pPr>
        <w:rPr>
          <w:rFonts w:ascii="Times New Roman" w:hAnsi="Times New Roman" w:cs="Times New Roman"/>
          <w:sz w:val="24"/>
          <w:szCs w:val="24"/>
        </w:rPr>
      </w:pPr>
    </w:p>
    <w:p w14:paraId="48697C95" w14:textId="5D53C3AD" w:rsidR="00B5489A" w:rsidRDefault="00A95C19" w:rsidP="00A95C19">
      <w:pPr>
        <w:rPr>
          <w:b/>
          <w:bCs/>
        </w:rPr>
      </w:pPr>
      <w:r w:rsidRPr="00A95C19">
        <w:rPr>
          <w:rFonts w:ascii="Times New Roman" w:hAnsi="Times New Roman" w:cs="Times New Roman" w:hint="eastAsia"/>
          <w:b/>
          <w:bCs/>
          <w:sz w:val="24"/>
          <w:szCs w:val="24"/>
        </w:rPr>
        <w:t>7</w:t>
      </w:r>
      <w:r w:rsidRPr="00A95C19">
        <w:rPr>
          <w:rFonts w:ascii="Times New Roman" w:hAnsi="Times New Roman" w:cs="Times New Roman"/>
          <w:b/>
          <w:bCs/>
          <w:sz w:val="24"/>
          <w:szCs w:val="24"/>
        </w:rPr>
        <w:t>.</w:t>
      </w:r>
      <w:r w:rsidR="00B5489A" w:rsidRPr="00B5489A">
        <w:t xml:space="preserve"> </w:t>
      </w:r>
      <w:r w:rsidR="00B5489A" w:rsidRPr="00B5489A">
        <w:rPr>
          <w:rFonts w:ascii="Times New Roman" w:hAnsi="Times New Roman" w:cs="Times New Roman"/>
          <w:b/>
          <w:bCs/>
          <w:sz w:val="24"/>
          <w:szCs w:val="24"/>
        </w:rPr>
        <w:t>Line 359: Authors did not compare the finding of this study with previous literature. Only a few citations were used in whole discussion section. Also, there is lack of justification and alignment with current findings. Authors need to work seriously and MUST improve this section by adding ample supportive studies.</w:t>
      </w:r>
    </w:p>
    <w:p w14:paraId="1B64CB57" w14:textId="6FE8C68C" w:rsidR="00A95C19" w:rsidRDefault="00A95C19" w:rsidP="00B5489A">
      <w:pPr>
        <w:ind w:firstLineChars="200" w:firstLine="462"/>
        <w:rPr>
          <w:rFonts w:ascii="Times New Roman" w:hAnsi="Times New Roman" w:cs="Times New Roman"/>
          <w:sz w:val="24"/>
          <w:szCs w:val="24"/>
        </w:rPr>
      </w:pPr>
      <w:r w:rsidRPr="00B5489A">
        <w:rPr>
          <w:rFonts w:ascii="Times New Roman" w:hAnsi="Times New Roman" w:cs="Times New Roman"/>
          <w:sz w:val="24"/>
          <w:szCs w:val="24"/>
        </w:rPr>
        <w:t>Thank you very much for this advice, I have revised it and please review lines 5</w:t>
      </w:r>
      <w:r w:rsidR="0029766F" w:rsidRPr="00B5489A">
        <w:rPr>
          <w:rFonts w:ascii="Times New Roman" w:hAnsi="Times New Roman" w:cs="Times New Roman"/>
          <w:sz w:val="24"/>
          <w:szCs w:val="24"/>
        </w:rPr>
        <w:t>01</w:t>
      </w:r>
      <w:r w:rsidRPr="00B5489A">
        <w:rPr>
          <w:rFonts w:ascii="Times New Roman" w:hAnsi="Times New Roman" w:cs="Times New Roman"/>
          <w:sz w:val="24"/>
          <w:szCs w:val="24"/>
        </w:rPr>
        <w:t xml:space="preserve"> to </w:t>
      </w:r>
      <w:r w:rsidR="0029766F" w:rsidRPr="00B5489A">
        <w:rPr>
          <w:rFonts w:ascii="Times New Roman" w:hAnsi="Times New Roman" w:cs="Times New Roman"/>
          <w:sz w:val="24"/>
          <w:szCs w:val="24"/>
        </w:rPr>
        <w:t>5</w:t>
      </w:r>
      <w:r w:rsidRPr="00B5489A">
        <w:rPr>
          <w:rFonts w:ascii="Times New Roman" w:hAnsi="Times New Roman" w:cs="Times New Roman"/>
          <w:sz w:val="24"/>
          <w:szCs w:val="24"/>
        </w:rPr>
        <w:t>0</w:t>
      </w:r>
      <w:r w:rsidR="0029766F" w:rsidRPr="00B5489A">
        <w:rPr>
          <w:rFonts w:ascii="Times New Roman" w:hAnsi="Times New Roman" w:cs="Times New Roman"/>
          <w:sz w:val="24"/>
          <w:szCs w:val="24"/>
        </w:rPr>
        <w:t>2</w:t>
      </w:r>
      <w:r w:rsidRPr="00B5489A">
        <w:rPr>
          <w:rFonts w:ascii="Times New Roman" w:hAnsi="Times New Roman" w:cs="Times New Roman"/>
          <w:sz w:val="24"/>
          <w:szCs w:val="24"/>
        </w:rPr>
        <w:t xml:space="preserve"> of the manuscript</w:t>
      </w:r>
      <w:r w:rsidR="00F036DC" w:rsidRPr="00B5489A">
        <w:rPr>
          <w:rFonts w:ascii="Times New Roman" w:hAnsi="Times New Roman" w:cs="Times New Roman"/>
          <w:sz w:val="24"/>
          <w:szCs w:val="24"/>
        </w:rPr>
        <w:t>:</w:t>
      </w:r>
      <w:r w:rsidR="00B5489A">
        <w:rPr>
          <w:rFonts w:ascii="Times New Roman" w:hAnsi="Times New Roman" w:cs="Times New Roman" w:hint="eastAsia"/>
          <w:sz w:val="24"/>
          <w:szCs w:val="24"/>
        </w:rPr>
        <w:t xml:space="preserve"> </w:t>
      </w:r>
      <w:r w:rsidRPr="00A95C19">
        <w:rPr>
          <w:rFonts w:ascii="Times New Roman" w:hAnsi="Times New Roman" w:cs="Times New Roman"/>
          <w:sz w:val="24"/>
          <w:szCs w:val="24"/>
        </w:rPr>
        <w:t>Specifically,</w:t>
      </w:r>
      <w:r>
        <w:rPr>
          <w:rFonts w:ascii="Times New Roman" w:hAnsi="Times New Roman" w:cs="Times New Roman"/>
          <w:sz w:val="24"/>
          <w:szCs w:val="24"/>
        </w:rPr>
        <w:t xml:space="preserve"> “</w:t>
      </w:r>
      <w:r w:rsidR="0029766F" w:rsidRPr="0029766F">
        <w:rPr>
          <w:rFonts w:ascii="Times New Roman" w:hAnsi="Times New Roman" w:cs="Times New Roman"/>
          <w:sz w:val="24"/>
          <w:szCs w:val="24"/>
        </w:rPr>
        <w:t>These findings align with results reported in [63,74,75] based on field surveys conducted in northwestern China.</w:t>
      </w:r>
      <w:r>
        <w:rPr>
          <w:rFonts w:ascii="Times New Roman" w:hAnsi="Times New Roman" w:cs="Times New Roman"/>
          <w:sz w:val="24"/>
          <w:szCs w:val="24"/>
        </w:rPr>
        <w:t>”</w:t>
      </w:r>
    </w:p>
    <w:p w14:paraId="654BD3AC" w14:textId="168E1C71" w:rsidR="0029766F" w:rsidRDefault="0029766F" w:rsidP="0029766F">
      <w:pPr>
        <w:rPr>
          <w:rFonts w:ascii="Times New Roman" w:hAnsi="Times New Roman" w:cs="Times New Roman"/>
          <w:b/>
          <w:bCs/>
          <w:sz w:val="24"/>
          <w:szCs w:val="24"/>
        </w:rPr>
      </w:pPr>
      <w:r>
        <w:rPr>
          <w:rFonts w:ascii="Times New Roman" w:hAnsi="Times New Roman" w:cs="Times New Roman"/>
          <w:b/>
          <w:bCs/>
          <w:sz w:val="24"/>
          <w:szCs w:val="24"/>
        </w:rPr>
        <w:t>P</w:t>
      </w:r>
      <w:r w:rsidRPr="00A95C19">
        <w:rPr>
          <w:rFonts w:ascii="Times New Roman" w:hAnsi="Times New Roman" w:cs="Times New Roman"/>
          <w:b/>
          <w:bCs/>
          <w:sz w:val="24"/>
          <w:szCs w:val="24"/>
        </w:rPr>
        <w:t>lease review lines 5</w:t>
      </w:r>
      <w:r>
        <w:rPr>
          <w:rFonts w:ascii="Times New Roman" w:hAnsi="Times New Roman" w:cs="Times New Roman"/>
          <w:b/>
          <w:bCs/>
          <w:sz w:val="24"/>
          <w:szCs w:val="24"/>
        </w:rPr>
        <w:t>12</w:t>
      </w:r>
      <w:r w:rsidRPr="00A95C19">
        <w:rPr>
          <w:rFonts w:ascii="Times New Roman" w:hAnsi="Times New Roman" w:cs="Times New Roman"/>
          <w:b/>
          <w:bCs/>
          <w:sz w:val="24"/>
          <w:szCs w:val="24"/>
        </w:rPr>
        <w:t xml:space="preserve"> to </w:t>
      </w:r>
      <w:r>
        <w:rPr>
          <w:rFonts w:ascii="Times New Roman" w:hAnsi="Times New Roman" w:cs="Times New Roman"/>
          <w:b/>
          <w:bCs/>
          <w:sz w:val="24"/>
          <w:szCs w:val="24"/>
        </w:rPr>
        <w:t>515</w:t>
      </w:r>
      <w:r w:rsidRPr="00A95C19">
        <w:rPr>
          <w:rFonts w:ascii="Times New Roman" w:hAnsi="Times New Roman" w:cs="Times New Roman"/>
          <w:b/>
          <w:bCs/>
          <w:sz w:val="24"/>
          <w:szCs w:val="24"/>
        </w:rPr>
        <w:t xml:space="preserve"> of the manuscript</w:t>
      </w:r>
      <w:r>
        <w:rPr>
          <w:rFonts w:ascii="Times New Roman" w:hAnsi="Times New Roman" w:cs="Times New Roman"/>
          <w:b/>
          <w:bCs/>
          <w:sz w:val="24"/>
          <w:szCs w:val="24"/>
        </w:rPr>
        <w:t>:</w:t>
      </w:r>
    </w:p>
    <w:p w14:paraId="023924F7" w14:textId="2E23F6F1" w:rsidR="0029766F" w:rsidRDefault="0029766F" w:rsidP="0029766F">
      <w:pPr>
        <w:ind w:firstLineChars="200" w:firstLine="462"/>
        <w:rPr>
          <w:rFonts w:ascii="Times New Roman" w:hAnsi="Times New Roman" w:cs="Times New Roman"/>
          <w:sz w:val="24"/>
          <w:szCs w:val="24"/>
        </w:rPr>
      </w:pPr>
      <w:r w:rsidRPr="00A95C19">
        <w:rPr>
          <w:rFonts w:ascii="Times New Roman" w:hAnsi="Times New Roman" w:cs="Times New Roman"/>
          <w:sz w:val="24"/>
          <w:szCs w:val="24"/>
        </w:rPr>
        <w:t>Specifically,</w:t>
      </w:r>
      <w:r>
        <w:rPr>
          <w:rFonts w:ascii="Times New Roman" w:hAnsi="Times New Roman" w:cs="Times New Roman"/>
          <w:sz w:val="24"/>
          <w:szCs w:val="24"/>
        </w:rPr>
        <w:t xml:space="preserve"> “</w:t>
      </w:r>
      <w:r w:rsidRPr="0029766F">
        <w:rPr>
          <w:rFonts w:ascii="Times New Roman" w:hAnsi="Times New Roman" w:cs="Times New Roman"/>
          <w:sz w:val="24"/>
          <w:szCs w:val="24"/>
        </w:rPr>
        <w:t>These findings provide empirical support to conclusions drawn from previous studies by [61,73,75]. These studies have emphasized the crucial role of ecological compensation income and the grassland ecological environment in shaping herders' satisfaction with the GECP.</w:t>
      </w:r>
      <w:r>
        <w:rPr>
          <w:rFonts w:ascii="Times New Roman" w:hAnsi="Times New Roman" w:cs="Times New Roman"/>
          <w:sz w:val="24"/>
          <w:szCs w:val="24"/>
        </w:rPr>
        <w:t>”</w:t>
      </w:r>
    </w:p>
    <w:p w14:paraId="4F7F4BED" w14:textId="688B8475" w:rsidR="0029766F" w:rsidRDefault="0029766F" w:rsidP="0029766F">
      <w:pPr>
        <w:rPr>
          <w:rFonts w:ascii="Times New Roman" w:hAnsi="Times New Roman" w:cs="Times New Roman"/>
          <w:b/>
          <w:bCs/>
          <w:sz w:val="24"/>
          <w:szCs w:val="24"/>
        </w:rPr>
      </w:pPr>
      <w:bookmarkStart w:id="3" w:name="_Hlk148623128"/>
      <w:r>
        <w:rPr>
          <w:rFonts w:ascii="Times New Roman" w:hAnsi="Times New Roman" w:cs="Times New Roman"/>
          <w:b/>
          <w:bCs/>
          <w:sz w:val="24"/>
          <w:szCs w:val="24"/>
        </w:rPr>
        <w:t>P</w:t>
      </w:r>
      <w:r w:rsidRPr="00A95C19">
        <w:rPr>
          <w:rFonts w:ascii="Times New Roman" w:hAnsi="Times New Roman" w:cs="Times New Roman"/>
          <w:b/>
          <w:bCs/>
          <w:sz w:val="24"/>
          <w:szCs w:val="24"/>
        </w:rPr>
        <w:t>lease review lines 5</w:t>
      </w:r>
      <w:r>
        <w:rPr>
          <w:rFonts w:ascii="Times New Roman" w:hAnsi="Times New Roman" w:cs="Times New Roman"/>
          <w:b/>
          <w:bCs/>
          <w:sz w:val="24"/>
          <w:szCs w:val="24"/>
        </w:rPr>
        <w:t>34</w:t>
      </w:r>
      <w:r w:rsidRPr="00A95C19">
        <w:rPr>
          <w:rFonts w:ascii="Times New Roman" w:hAnsi="Times New Roman" w:cs="Times New Roman"/>
          <w:b/>
          <w:bCs/>
          <w:sz w:val="24"/>
          <w:szCs w:val="24"/>
        </w:rPr>
        <w:t xml:space="preserve"> to </w:t>
      </w:r>
      <w:r>
        <w:rPr>
          <w:rFonts w:ascii="Times New Roman" w:hAnsi="Times New Roman" w:cs="Times New Roman"/>
          <w:b/>
          <w:bCs/>
          <w:sz w:val="24"/>
          <w:szCs w:val="24"/>
        </w:rPr>
        <w:t>535</w:t>
      </w:r>
      <w:r w:rsidRPr="00A95C19">
        <w:rPr>
          <w:rFonts w:ascii="Times New Roman" w:hAnsi="Times New Roman" w:cs="Times New Roman"/>
          <w:b/>
          <w:bCs/>
          <w:sz w:val="24"/>
          <w:szCs w:val="24"/>
        </w:rPr>
        <w:t xml:space="preserve"> of the manuscript</w:t>
      </w:r>
      <w:r>
        <w:rPr>
          <w:rFonts w:ascii="Times New Roman" w:hAnsi="Times New Roman" w:cs="Times New Roman"/>
          <w:b/>
          <w:bCs/>
          <w:sz w:val="24"/>
          <w:szCs w:val="24"/>
        </w:rPr>
        <w:t>:</w:t>
      </w:r>
    </w:p>
    <w:p w14:paraId="7E4C4851" w14:textId="1937FE35" w:rsidR="0029766F" w:rsidRDefault="0029766F" w:rsidP="0029766F">
      <w:pPr>
        <w:ind w:firstLineChars="200" w:firstLine="462"/>
        <w:rPr>
          <w:rFonts w:ascii="Times New Roman" w:hAnsi="Times New Roman" w:cs="Times New Roman"/>
          <w:sz w:val="24"/>
          <w:szCs w:val="24"/>
        </w:rPr>
      </w:pPr>
      <w:r w:rsidRPr="00A95C19">
        <w:rPr>
          <w:rFonts w:ascii="Times New Roman" w:hAnsi="Times New Roman" w:cs="Times New Roman"/>
          <w:sz w:val="24"/>
          <w:szCs w:val="24"/>
        </w:rPr>
        <w:t>Specifically,</w:t>
      </w:r>
      <w:r>
        <w:rPr>
          <w:rFonts w:ascii="Times New Roman" w:hAnsi="Times New Roman" w:cs="Times New Roman"/>
          <w:sz w:val="24"/>
          <w:szCs w:val="24"/>
        </w:rPr>
        <w:t xml:space="preserve"> </w:t>
      </w:r>
      <w:bookmarkEnd w:id="3"/>
      <w:r>
        <w:rPr>
          <w:rFonts w:ascii="Times New Roman" w:hAnsi="Times New Roman" w:cs="Times New Roman"/>
          <w:sz w:val="24"/>
          <w:szCs w:val="24"/>
        </w:rPr>
        <w:t>“</w:t>
      </w:r>
      <w:r w:rsidRPr="0029766F">
        <w:rPr>
          <w:rFonts w:ascii="Times New Roman" w:hAnsi="Times New Roman" w:cs="Times New Roman"/>
          <w:sz w:val="24"/>
          <w:szCs w:val="24"/>
        </w:rPr>
        <w:t>These findings align with and further reinforce the evidence presented in previous studies [75,76].</w:t>
      </w:r>
      <w:r>
        <w:rPr>
          <w:rFonts w:ascii="Times New Roman" w:hAnsi="Times New Roman" w:cs="Times New Roman"/>
          <w:sz w:val="24"/>
          <w:szCs w:val="24"/>
        </w:rPr>
        <w:t>”</w:t>
      </w:r>
    </w:p>
    <w:p w14:paraId="7F0F7168" w14:textId="46740EB9" w:rsidR="0029766F" w:rsidRDefault="0029766F" w:rsidP="0029766F">
      <w:pPr>
        <w:rPr>
          <w:rFonts w:ascii="Times New Roman" w:hAnsi="Times New Roman" w:cs="Times New Roman"/>
          <w:b/>
          <w:bCs/>
          <w:sz w:val="24"/>
          <w:szCs w:val="24"/>
        </w:rPr>
      </w:pPr>
      <w:r>
        <w:rPr>
          <w:rFonts w:ascii="Times New Roman" w:hAnsi="Times New Roman" w:cs="Times New Roman"/>
          <w:b/>
          <w:bCs/>
          <w:sz w:val="24"/>
          <w:szCs w:val="24"/>
        </w:rPr>
        <w:t>P</w:t>
      </w:r>
      <w:r w:rsidRPr="00A95C19">
        <w:rPr>
          <w:rFonts w:ascii="Times New Roman" w:hAnsi="Times New Roman" w:cs="Times New Roman"/>
          <w:b/>
          <w:bCs/>
          <w:sz w:val="24"/>
          <w:szCs w:val="24"/>
        </w:rPr>
        <w:t>lease review lines 5</w:t>
      </w:r>
      <w:r w:rsidR="00E278D2">
        <w:rPr>
          <w:rFonts w:ascii="Times New Roman" w:hAnsi="Times New Roman" w:cs="Times New Roman"/>
          <w:b/>
          <w:bCs/>
          <w:sz w:val="24"/>
          <w:szCs w:val="24"/>
        </w:rPr>
        <w:t>61</w:t>
      </w:r>
      <w:r w:rsidRPr="00A95C19">
        <w:rPr>
          <w:rFonts w:ascii="Times New Roman" w:hAnsi="Times New Roman" w:cs="Times New Roman"/>
          <w:b/>
          <w:bCs/>
          <w:sz w:val="24"/>
          <w:szCs w:val="24"/>
        </w:rPr>
        <w:t xml:space="preserve"> to </w:t>
      </w:r>
      <w:r>
        <w:rPr>
          <w:rFonts w:ascii="Times New Roman" w:hAnsi="Times New Roman" w:cs="Times New Roman"/>
          <w:b/>
          <w:bCs/>
          <w:sz w:val="24"/>
          <w:szCs w:val="24"/>
        </w:rPr>
        <w:t>5</w:t>
      </w:r>
      <w:r w:rsidR="00E278D2">
        <w:rPr>
          <w:rFonts w:ascii="Times New Roman" w:hAnsi="Times New Roman" w:cs="Times New Roman"/>
          <w:b/>
          <w:bCs/>
          <w:sz w:val="24"/>
          <w:szCs w:val="24"/>
        </w:rPr>
        <w:t>6</w:t>
      </w:r>
      <w:r>
        <w:rPr>
          <w:rFonts w:ascii="Times New Roman" w:hAnsi="Times New Roman" w:cs="Times New Roman"/>
          <w:b/>
          <w:bCs/>
          <w:sz w:val="24"/>
          <w:szCs w:val="24"/>
        </w:rPr>
        <w:t>5</w:t>
      </w:r>
      <w:r w:rsidRPr="00A95C19">
        <w:rPr>
          <w:rFonts w:ascii="Times New Roman" w:hAnsi="Times New Roman" w:cs="Times New Roman"/>
          <w:b/>
          <w:bCs/>
          <w:sz w:val="24"/>
          <w:szCs w:val="24"/>
        </w:rPr>
        <w:t xml:space="preserve"> of the manuscript</w:t>
      </w:r>
      <w:r>
        <w:rPr>
          <w:rFonts w:ascii="Times New Roman" w:hAnsi="Times New Roman" w:cs="Times New Roman"/>
          <w:b/>
          <w:bCs/>
          <w:sz w:val="24"/>
          <w:szCs w:val="24"/>
        </w:rPr>
        <w:t>:</w:t>
      </w:r>
    </w:p>
    <w:p w14:paraId="40D47288" w14:textId="0F3EB540" w:rsidR="0029766F" w:rsidRDefault="0029766F" w:rsidP="0029766F">
      <w:pPr>
        <w:ind w:firstLineChars="200" w:firstLine="462"/>
        <w:rPr>
          <w:rFonts w:ascii="Times New Roman" w:hAnsi="Times New Roman" w:cs="Times New Roman"/>
          <w:sz w:val="24"/>
          <w:szCs w:val="24"/>
        </w:rPr>
      </w:pPr>
      <w:r w:rsidRPr="00A95C19">
        <w:rPr>
          <w:rFonts w:ascii="Times New Roman" w:hAnsi="Times New Roman" w:cs="Times New Roman"/>
          <w:sz w:val="24"/>
          <w:szCs w:val="24"/>
        </w:rPr>
        <w:t>Specifically,</w:t>
      </w:r>
      <w:r w:rsidR="00E278D2">
        <w:rPr>
          <w:rFonts w:ascii="Times New Roman" w:hAnsi="Times New Roman" w:cs="Times New Roman"/>
          <w:sz w:val="24"/>
          <w:szCs w:val="24"/>
        </w:rPr>
        <w:t xml:space="preserve"> “</w:t>
      </w:r>
      <w:r w:rsidR="00E278D2" w:rsidRPr="00E278D2">
        <w:rPr>
          <w:rFonts w:ascii="Times New Roman" w:hAnsi="Times New Roman" w:cs="Times New Roman"/>
          <w:sz w:val="24"/>
          <w:szCs w:val="24"/>
        </w:rPr>
        <w:t xml:space="preserve">The results of this study are in agreement with previous research, which indicated that herders often evaluate the grassland ecosystem compensation policy as moderate, satisfied, or dissatisfied, with fewer expressing very high satisfaction [4,6,50]. Additionally, the amount of subsidy and the </w:t>
      </w:r>
      <w:r w:rsidR="00E278D2" w:rsidRPr="00E278D2">
        <w:rPr>
          <w:rFonts w:ascii="Times New Roman" w:hAnsi="Times New Roman" w:cs="Times New Roman"/>
          <w:sz w:val="24"/>
          <w:szCs w:val="24"/>
        </w:rPr>
        <w:lastRenderedPageBreak/>
        <w:t>improvement of grassland ecological conditions were identified as key concerns for herders [6,76].</w:t>
      </w:r>
      <w:r w:rsidR="00E278D2">
        <w:rPr>
          <w:rFonts w:ascii="Times New Roman" w:hAnsi="Times New Roman" w:cs="Times New Roman"/>
          <w:sz w:val="24"/>
          <w:szCs w:val="24"/>
        </w:rPr>
        <w:t>”</w:t>
      </w:r>
    </w:p>
    <w:p w14:paraId="0EA535B8" w14:textId="77777777" w:rsidR="00E278D2" w:rsidRDefault="00E278D2" w:rsidP="00E278D2">
      <w:pPr>
        <w:rPr>
          <w:rFonts w:ascii="Times New Roman" w:hAnsi="Times New Roman" w:cs="Times New Roman"/>
          <w:sz w:val="24"/>
          <w:szCs w:val="24"/>
        </w:rPr>
      </w:pPr>
    </w:p>
    <w:p w14:paraId="59418239" w14:textId="04323AF3" w:rsidR="00B5489A" w:rsidRDefault="00E278D2" w:rsidP="00E278D2">
      <w:pPr>
        <w:rPr>
          <w:b/>
          <w:bCs/>
        </w:rPr>
      </w:pPr>
      <w:r>
        <w:rPr>
          <w:rFonts w:ascii="Times New Roman" w:hAnsi="Times New Roman" w:cs="Times New Roman"/>
          <w:b/>
          <w:bCs/>
          <w:sz w:val="24"/>
          <w:szCs w:val="24"/>
        </w:rPr>
        <w:t>8</w:t>
      </w:r>
      <w:r w:rsidRPr="00A95C19">
        <w:rPr>
          <w:rFonts w:ascii="Times New Roman" w:hAnsi="Times New Roman" w:cs="Times New Roman"/>
          <w:b/>
          <w:bCs/>
          <w:sz w:val="24"/>
          <w:szCs w:val="24"/>
        </w:rPr>
        <w:t>.</w:t>
      </w:r>
      <w:r w:rsidR="00B5489A" w:rsidRPr="00B5489A">
        <w:t xml:space="preserve"> </w:t>
      </w:r>
      <w:r w:rsidR="00B5489A" w:rsidRPr="00B5489A">
        <w:rPr>
          <w:rFonts w:ascii="Times New Roman" w:hAnsi="Times New Roman" w:cs="Times New Roman"/>
          <w:b/>
          <w:bCs/>
          <w:sz w:val="24"/>
          <w:szCs w:val="24"/>
        </w:rPr>
        <w:t>Line 449: Conclusions must be concise and be focused on the aspect of present study, instead of replication of abstract.</w:t>
      </w:r>
    </w:p>
    <w:p w14:paraId="79012369" w14:textId="6DFB007D" w:rsidR="00E278D2" w:rsidRPr="00E278D2" w:rsidRDefault="00E278D2" w:rsidP="00B5489A">
      <w:pPr>
        <w:ind w:firstLineChars="200" w:firstLine="462"/>
        <w:rPr>
          <w:rFonts w:ascii="Times New Roman" w:hAnsi="Times New Roman" w:cs="Times New Roman"/>
          <w:sz w:val="24"/>
          <w:szCs w:val="24"/>
        </w:rPr>
      </w:pPr>
      <w:r w:rsidRPr="00B5489A">
        <w:rPr>
          <w:rFonts w:ascii="Times New Roman" w:hAnsi="Times New Roman" w:cs="Times New Roman"/>
          <w:sz w:val="24"/>
          <w:szCs w:val="24"/>
        </w:rPr>
        <w:t>Thank you very much for this advice, I have revised it and please review lines 541 to 561 of the manuscript:</w:t>
      </w:r>
      <w:r w:rsidR="00B5489A">
        <w:rPr>
          <w:rFonts w:ascii="Times New Roman" w:hAnsi="Times New Roman" w:cs="Times New Roman" w:hint="eastAsia"/>
          <w:sz w:val="24"/>
          <w:szCs w:val="24"/>
        </w:rPr>
        <w:t xml:space="preserve"> </w:t>
      </w:r>
      <w:r w:rsidRPr="00E278D2">
        <w:rPr>
          <w:rFonts w:ascii="Times New Roman" w:hAnsi="Times New Roman" w:cs="Times New Roman"/>
          <w:sz w:val="24"/>
          <w:szCs w:val="24"/>
        </w:rPr>
        <w:t>Specifically,</w:t>
      </w:r>
      <w:r>
        <w:rPr>
          <w:rFonts w:ascii="Times New Roman" w:hAnsi="Times New Roman" w:cs="Times New Roman"/>
          <w:sz w:val="24"/>
          <w:szCs w:val="24"/>
        </w:rPr>
        <w:t xml:space="preserve"> “</w:t>
      </w:r>
      <w:r w:rsidRPr="00E278D2">
        <w:rPr>
          <w:rFonts w:ascii="Times New Roman" w:hAnsi="Times New Roman" w:cs="Times New Roman"/>
          <w:sz w:val="24"/>
          <w:szCs w:val="24"/>
        </w:rPr>
        <w:t>Based on data collected from 140 herder households in Sunan (with subsidy hierarchization) and Gannan (with subsidy harmonization), two different ecological subsidy design regions in Gansu Province, China, this study employed descriptive statistical analyses and ordered logistic regression modeling to investigate herders' satisfaction with the implementation effects of the grassland ecosystem compensation policy and identify its determinants. Results showed that variations in herders' satisfaction based on the different ecological subsidy designs. In Sunan, 47.89% of respondents expressed satisfaction with the policy. Their satisfaction was positively associated with factors such as changes in native grasses on pastures, ecological compensation income, and alterations in inedible native grasses on pastures. On the other hand, it was negatively correlated with the ethnic background of the household head, the number of livestock reared, and the willingness to relocate to an urban area. In contrast, in Gannan, 69.57% of respondents expressed dissatisfaction with the policy. Factors positively associated with satisfaction in this region included changes in native grasses on pastures, diversity of income sources, and ecological compensation income. Interestingly, both ecological compensation income and changes in native grasses exhibited a significant positive correlation with herders' satisfaction, regardless of the specific subsidy design in place. These findings provide valuable insights into the factors influencing herders' satisfaction with the grassland ecosystem compensation policy. They highlight the importance of ecological compensation income and the condition of native grasses in shaping herders' perceptions of the policy's effectiveness.</w:t>
      </w:r>
      <w:r>
        <w:rPr>
          <w:rFonts w:ascii="Times New Roman" w:hAnsi="Times New Roman" w:cs="Times New Roman"/>
          <w:sz w:val="24"/>
          <w:szCs w:val="24"/>
        </w:rPr>
        <w:t>”</w:t>
      </w:r>
    </w:p>
    <w:sectPr w:rsidR="00E278D2" w:rsidRPr="00E278D2" w:rsidSect="008805AA">
      <w:footerReference w:type="default" r:id="rId7"/>
      <w:pgSz w:w="11906" w:h="16838" w:code="9"/>
      <w:pgMar w:top="1440" w:right="1134" w:bottom="1440" w:left="1134" w:header="851" w:footer="992" w:gutter="0"/>
      <w:cols w:space="425"/>
      <w:docGrid w:type="linesAndChars" w:linePitch="55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63419" w14:textId="77777777" w:rsidR="006C2210" w:rsidRDefault="006C2210" w:rsidP="00C71458">
      <w:r>
        <w:separator/>
      </w:r>
    </w:p>
  </w:endnote>
  <w:endnote w:type="continuationSeparator" w:id="0">
    <w:p w14:paraId="6858B176" w14:textId="77777777" w:rsidR="006C2210" w:rsidRDefault="006C2210" w:rsidP="00C71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370395"/>
      <w:docPartObj>
        <w:docPartGallery w:val="Page Numbers (Bottom of Page)"/>
        <w:docPartUnique/>
      </w:docPartObj>
    </w:sdtPr>
    <w:sdtContent>
      <w:p w14:paraId="72858926" w14:textId="78351D53" w:rsidR="00F036DC" w:rsidRDefault="00F036DC">
        <w:pPr>
          <w:pStyle w:val="a5"/>
          <w:jc w:val="center"/>
        </w:pPr>
        <w:r>
          <w:fldChar w:fldCharType="begin"/>
        </w:r>
        <w:r>
          <w:instrText>PAGE   \* MERGEFORMAT</w:instrText>
        </w:r>
        <w:r>
          <w:fldChar w:fldCharType="separate"/>
        </w:r>
        <w:r>
          <w:rPr>
            <w:lang w:val="zh-CN"/>
          </w:rPr>
          <w:t>2</w:t>
        </w:r>
        <w:r>
          <w:fldChar w:fldCharType="end"/>
        </w:r>
      </w:p>
    </w:sdtContent>
  </w:sdt>
  <w:p w14:paraId="05602B1A" w14:textId="77777777" w:rsidR="00F036DC" w:rsidRDefault="00F036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71127" w14:textId="77777777" w:rsidR="006C2210" w:rsidRDefault="006C2210" w:rsidP="00C71458">
      <w:r>
        <w:separator/>
      </w:r>
    </w:p>
  </w:footnote>
  <w:footnote w:type="continuationSeparator" w:id="0">
    <w:p w14:paraId="45244179" w14:textId="77777777" w:rsidR="006C2210" w:rsidRDefault="006C2210" w:rsidP="00C71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5"/>
    <w:multiLevelType w:val="hybridMultilevel"/>
    <w:tmpl w:val="9236A6B8"/>
    <w:lvl w:ilvl="0" w:tplc="0F8EF9E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29628DE"/>
    <w:multiLevelType w:val="hybridMultilevel"/>
    <w:tmpl w:val="0B64501C"/>
    <w:lvl w:ilvl="0" w:tplc="A154A20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9C70AF1"/>
    <w:multiLevelType w:val="hybridMultilevel"/>
    <w:tmpl w:val="A77CD334"/>
    <w:lvl w:ilvl="0" w:tplc="630C298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8A57E6B"/>
    <w:multiLevelType w:val="hybridMultilevel"/>
    <w:tmpl w:val="C10EC322"/>
    <w:lvl w:ilvl="0" w:tplc="AB3E0AA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89A6F29"/>
    <w:multiLevelType w:val="hybridMultilevel"/>
    <w:tmpl w:val="4992DDD6"/>
    <w:lvl w:ilvl="0" w:tplc="93D84E1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42365620">
    <w:abstractNumId w:val="1"/>
  </w:num>
  <w:num w:numId="2" w16cid:durableId="1784225338">
    <w:abstractNumId w:val="4"/>
  </w:num>
  <w:num w:numId="3" w16cid:durableId="294214558">
    <w:abstractNumId w:val="0"/>
  </w:num>
  <w:num w:numId="4" w16cid:durableId="1095442037">
    <w:abstractNumId w:val="2"/>
  </w:num>
  <w:num w:numId="5" w16cid:durableId="1994138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201"/>
  <w:drawingGridVerticalSpacing w:val="279"/>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E4"/>
    <w:rsid w:val="0029766F"/>
    <w:rsid w:val="002A1A22"/>
    <w:rsid w:val="00321C8E"/>
    <w:rsid w:val="00613AB9"/>
    <w:rsid w:val="006575E3"/>
    <w:rsid w:val="006C2210"/>
    <w:rsid w:val="00830532"/>
    <w:rsid w:val="00856FEA"/>
    <w:rsid w:val="008805AA"/>
    <w:rsid w:val="009270FA"/>
    <w:rsid w:val="009A66E4"/>
    <w:rsid w:val="00A95C19"/>
    <w:rsid w:val="00AB07D5"/>
    <w:rsid w:val="00AF1D24"/>
    <w:rsid w:val="00B5489A"/>
    <w:rsid w:val="00B8292F"/>
    <w:rsid w:val="00C30B9D"/>
    <w:rsid w:val="00C71458"/>
    <w:rsid w:val="00E278D2"/>
    <w:rsid w:val="00E96C30"/>
    <w:rsid w:val="00EC6889"/>
    <w:rsid w:val="00F036DC"/>
    <w:rsid w:val="00F1618E"/>
    <w:rsid w:val="00F17CD2"/>
    <w:rsid w:val="00F74E4E"/>
    <w:rsid w:val="00FA7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94D84"/>
  <w15:chartTrackingRefBased/>
  <w15:docId w15:val="{E35ED8DF-DC09-4E53-8C1F-117BBDE9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6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458"/>
    <w:pPr>
      <w:tabs>
        <w:tab w:val="center" w:pos="4153"/>
        <w:tab w:val="right" w:pos="8306"/>
      </w:tabs>
      <w:snapToGrid w:val="0"/>
      <w:jc w:val="center"/>
    </w:pPr>
    <w:rPr>
      <w:sz w:val="18"/>
      <w:szCs w:val="18"/>
    </w:rPr>
  </w:style>
  <w:style w:type="character" w:customStyle="1" w:styleId="a4">
    <w:name w:val="页眉 字符"/>
    <w:basedOn w:val="a0"/>
    <w:link w:val="a3"/>
    <w:uiPriority w:val="99"/>
    <w:rsid w:val="00C71458"/>
    <w:rPr>
      <w:sz w:val="18"/>
      <w:szCs w:val="18"/>
    </w:rPr>
  </w:style>
  <w:style w:type="paragraph" w:styleId="a5">
    <w:name w:val="footer"/>
    <w:basedOn w:val="a"/>
    <w:link w:val="a6"/>
    <w:uiPriority w:val="99"/>
    <w:unhideWhenUsed/>
    <w:rsid w:val="00C71458"/>
    <w:pPr>
      <w:tabs>
        <w:tab w:val="center" w:pos="4153"/>
        <w:tab w:val="right" w:pos="8306"/>
      </w:tabs>
      <w:snapToGrid w:val="0"/>
      <w:jc w:val="left"/>
    </w:pPr>
    <w:rPr>
      <w:sz w:val="18"/>
      <w:szCs w:val="18"/>
    </w:rPr>
  </w:style>
  <w:style w:type="character" w:customStyle="1" w:styleId="a6">
    <w:name w:val="页脚 字符"/>
    <w:basedOn w:val="a0"/>
    <w:link w:val="a5"/>
    <w:uiPriority w:val="99"/>
    <w:rsid w:val="00C71458"/>
    <w:rPr>
      <w:sz w:val="18"/>
      <w:szCs w:val="18"/>
    </w:rPr>
  </w:style>
  <w:style w:type="paragraph" w:styleId="a7">
    <w:name w:val="List Paragraph"/>
    <w:basedOn w:val="a"/>
    <w:uiPriority w:val="34"/>
    <w:qFormat/>
    <w:rsid w:val="00C7145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1546</Words>
  <Characters>8814</Characters>
  <Application>Microsoft Office Word</Application>
  <DocSecurity>0</DocSecurity>
  <Lines>73</Lines>
  <Paragraphs>20</Paragraphs>
  <ScaleCrop>false</ScaleCrop>
  <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SANQIANG DU</dc:creator>
  <cp:keywords/>
  <dc:description/>
  <cp:lastModifiedBy>SANQIANG DU</cp:lastModifiedBy>
  <cp:revision>8</cp:revision>
  <dcterms:created xsi:type="dcterms:W3CDTF">2023-10-12T07:19:00Z</dcterms:created>
  <dcterms:modified xsi:type="dcterms:W3CDTF">2023-10-19T12:15:00Z</dcterms:modified>
</cp:coreProperties>
</file>