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0E7B1" w14:textId="5CB4C362" w:rsidR="00640A8F" w:rsidRDefault="00640A8F" w:rsidP="004923C0">
      <w:pPr>
        <w:pStyle w:val="a3"/>
        <w:shd w:val="clear" w:color="auto" w:fill="FEFEFE"/>
        <w:rPr>
          <w:rFonts w:ascii="Times New Roman" w:hAnsi="Times New Roman" w:cs="Times New Roman"/>
          <w:color w:val="0A0A0A"/>
        </w:rPr>
      </w:pPr>
      <w:r>
        <w:rPr>
          <w:rFonts w:ascii="Times New Roman" w:hAnsi="Times New Roman" w:cs="Times New Roman"/>
          <w:color w:val="0A0A0A"/>
        </w:rPr>
        <w:t>Co</w:t>
      </w:r>
      <w:r>
        <w:rPr>
          <w:rFonts w:ascii="Times New Roman" w:hAnsi="Times New Roman" w:cs="Times New Roman" w:hint="eastAsia"/>
          <w:color w:val="0A0A0A"/>
        </w:rPr>
        <w:t>mments</w:t>
      </w:r>
      <w:r>
        <w:rPr>
          <w:rFonts w:ascii="Times New Roman" w:hAnsi="Times New Roman" w:cs="Times New Roman"/>
          <w:color w:val="0A0A0A"/>
        </w:rPr>
        <w:t>:</w:t>
      </w:r>
    </w:p>
    <w:p w14:paraId="5FA7891E" w14:textId="0EA1629D" w:rsidR="004923C0" w:rsidRPr="00640A8F" w:rsidRDefault="004923C0" w:rsidP="00640A8F">
      <w:pPr>
        <w:pStyle w:val="a3"/>
        <w:shd w:val="clear" w:color="auto" w:fill="FEFEFE"/>
        <w:jc w:val="both"/>
        <w:rPr>
          <w:rFonts w:ascii="Times New Roman" w:hAnsi="Times New Roman" w:cs="Times New Roman"/>
          <w:color w:val="0A0A0A"/>
        </w:rPr>
      </w:pPr>
      <w:r w:rsidRPr="00640A8F">
        <w:rPr>
          <w:rFonts w:ascii="Times New Roman" w:hAnsi="Times New Roman" w:cs="Times New Roman"/>
          <w:color w:val="0A0A0A"/>
        </w:rPr>
        <w:t>The updated version of the manuscript incorporated mostly minor revisions</w:t>
      </w:r>
      <w:r w:rsidR="00640A8F">
        <w:rPr>
          <w:rFonts w:ascii="Times New Roman" w:hAnsi="Times New Roman" w:cs="Times New Roman"/>
          <w:color w:val="0A0A0A"/>
        </w:rPr>
        <w:t xml:space="preserve"> </w:t>
      </w:r>
      <w:r w:rsidRPr="00640A8F">
        <w:rPr>
          <w:rFonts w:ascii="Times New Roman" w:hAnsi="Times New Roman" w:cs="Times New Roman"/>
          <w:color w:val="0A0A0A"/>
        </w:rPr>
        <w:t xml:space="preserve">throughout the text, with major alterations made to the conclusion. However, these changes do not effectively fulfill the intended purpose of elucidating recent scientific advancements regarding the role of </w:t>
      </w:r>
      <w:proofErr w:type="spellStart"/>
      <w:r w:rsidRPr="00640A8F">
        <w:rPr>
          <w:rFonts w:ascii="Times New Roman" w:hAnsi="Times New Roman" w:cs="Times New Roman"/>
          <w:color w:val="0A0A0A"/>
        </w:rPr>
        <w:t>inflamm</w:t>
      </w:r>
      <w:proofErr w:type="spellEnd"/>
      <w:r w:rsidRPr="00640A8F">
        <w:rPr>
          <w:rFonts w:ascii="Times New Roman" w:hAnsi="Times New Roman" w:cs="Times New Roman"/>
          <w:color w:val="0A0A0A"/>
        </w:rPr>
        <w:t>-ageing in the decline of periodontal function and the development of periodontitis.</w:t>
      </w:r>
    </w:p>
    <w:p w14:paraId="39442C33" w14:textId="48A01996" w:rsidR="004923C0" w:rsidRPr="00640A8F" w:rsidRDefault="004923C0" w:rsidP="00640A8F">
      <w:pPr>
        <w:pStyle w:val="a3"/>
        <w:shd w:val="clear" w:color="auto" w:fill="FEFEFE"/>
        <w:jc w:val="both"/>
        <w:rPr>
          <w:rFonts w:ascii="Times New Roman" w:hAnsi="Times New Roman" w:cs="Times New Roman"/>
          <w:color w:val="0A0A0A"/>
        </w:rPr>
      </w:pPr>
      <w:r w:rsidRPr="00640A8F">
        <w:rPr>
          <w:rFonts w:ascii="Times New Roman" w:hAnsi="Times New Roman" w:cs="Times New Roman"/>
          <w:color w:val="0A0A0A"/>
        </w:rPr>
        <w:t>I genuinely appreciate the substantial effort made by the authors to synthesize the existing evidence on this topic. Nevertheless, the paper falls short of delivering substantial clarity or significant insights. I would strongly recommend that the authors consider reworking Figure 1 to provide readers with a graphical representation that aligns with the paper's stated objective of clarification.</w:t>
      </w:r>
    </w:p>
    <w:p w14:paraId="177B6864" w14:textId="77777777" w:rsidR="00640A8F" w:rsidRPr="00640A8F" w:rsidRDefault="00640A8F" w:rsidP="00640A8F">
      <w:pPr>
        <w:pStyle w:val="a3"/>
        <w:shd w:val="clear" w:color="auto" w:fill="FEFEFE"/>
        <w:jc w:val="both"/>
        <w:rPr>
          <w:rFonts w:ascii="Times New Roman Regular" w:hAnsi="Times New Roman Regular" w:cs="Times New Roman Regular" w:hint="eastAsia"/>
          <w:color w:val="4472C4" w:themeColor="accent1"/>
          <w:shd w:val="clear" w:color="auto" w:fill="FEFEFE"/>
        </w:rPr>
      </w:pPr>
      <w:r w:rsidRPr="00640A8F">
        <w:rPr>
          <w:rFonts w:ascii="Times New Roman Regular" w:hAnsi="Times New Roman Regular" w:cs="Times New Roman Regular" w:hint="eastAsia"/>
          <w:color w:val="4472C4" w:themeColor="accent1"/>
          <w:shd w:val="clear" w:color="auto" w:fill="FEFEFE"/>
        </w:rPr>
        <w:t>R</w:t>
      </w:r>
      <w:r w:rsidRPr="00640A8F">
        <w:rPr>
          <w:rFonts w:ascii="Times New Roman Regular" w:hAnsi="Times New Roman Regular" w:cs="Times New Roman Regular"/>
          <w:color w:val="4472C4" w:themeColor="accent1"/>
          <w:shd w:val="clear" w:color="auto" w:fill="FEFEFE"/>
        </w:rPr>
        <w:t>esponse:</w:t>
      </w:r>
    </w:p>
    <w:p w14:paraId="6EC1A26D" w14:textId="77777777" w:rsidR="00640A8F" w:rsidRDefault="00640A8F" w:rsidP="00640A8F">
      <w:pPr>
        <w:pStyle w:val="a3"/>
        <w:shd w:val="clear" w:color="auto" w:fill="FEFEFE"/>
        <w:jc w:val="both"/>
        <w:rPr>
          <w:rFonts w:ascii="Times New Roman Regular" w:hAnsi="Times New Roman Regular" w:cs="Times New Roman Regular" w:hint="eastAsia"/>
          <w:color w:val="4472C4" w:themeColor="accent1"/>
          <w:shd w:val="clear" w:color="auto" w:fill="FEFEFE"/>
        </w:rPr>
      </w:pPr>
      <w:r w:rsidRPr="00640A8F">
        <w:rPr>
          <w:rFonts w:ascii="Times New Roman Regular" w:hAnsi="Times New Roman Regular" w:cs="Times New Roman Regular"/>
          <w:color w:val="4472C4" w:themeColor="accent1"/>
          <w:shd w:val="clear" w:color="auto" w:fill="FEFEFE"/>
        </w:rPr>
        <w:t xml:space="preserve">Thank you so much for your constructive suggestion. </w:t>
      </w:r>
    </w:p>
    <w:p w14:paraId="32E5E1F7" w14:textId="6375D68C" w:rsidR="00640A8F" w:rsidRPr="009568BB" w:rsidRDefault="00640A8F" w:rsidP="009568BB">
      <w:pPr>
        <w:pStyle w:val="a3"/>
        <w:numPr>
          <w:ilvl w:val="0"/>
          <w:numId w:val="1"/>
        </w:numPr>
        <w:shd w:val="clear" w:color="auto" w:fill="FEFEFE"/>
        <w:jc w:val="both"/>
        <w:rPr>
          <w:rFonts w:ascii="Times New Roman" w:hAnsi="Times New Roman"/>
          <w:color w:val="000000" w:themeColor="text1"/>
        </w:rPr>
      </w:pPr>
      <w:r w:rsidRPr="00640A8F">
        <w:rPr>
          <w:rFonts w:ascii="Times New Roman Regular" w:hAnsi="Times New Roman Regular" w:cs="Times New Roman Regular"/>
          <w:color w:val="4472C4" w:themeColor="accent1"/>
          <w:shd w:val="clear" w:color="auto" w:fill="FEFEFE"/>
        </w:rPr>
        <w:t>F</w:t>
      </w:r>
      <w:r w:rsidRPr="00640A8F">
        <w:rPr>
          <w:rFonts w:ascii="Times New Roman Regular" w:hAnsi="Times New Roman Regular" w:cs="Times New Roman Regular" w:hint="eastAsia"/>
          <w:color w:val="4472C4" w:themeColor="accent1"/>
          <w:shd w:val="clear" w:color="auto" w:fill="FEFEFE"/>
          <w:lang w:eastAsia="zh-Hans"/>
        </w:rPr>
        <w:t>ollowing</w:t>
      </w:r>
      <w:r w:rsidRPr="00640A8F">
        <w:rPr>
          <w:rFonts w:ascii="Times New Roman Regular" w:hAnsi="Times New Roman Regular" w:cs="Times New Roman Regular"/>
          <w:color w:val="4472C4" w:themeColor="accent1"/>
          <w:shd w:val="clear" w:color="auto" w:fill="FEFEFE"/>
        </w:rPr>
        <w:t xml:space="preserve"> your suggestion, we have expanded our conclusion and have made our manuscript clearer. </w:t>
      </w:r>
      <w:bookmarkStart w:id="0" w:name="OLE_LINK103"/>
      <w:bookmarkStart w:id="1" w:name="OLE_LINK104"/>
      <w:bookmarkStart w:id="2" w:name="OLE_LINK105"/>
      <w:bookmarkStart w:id="3" w:name="OLE_LINK106"/>
      <w:r w:rsidR="009568BB">
        <w:rPr>
          <w:rFonts w:ascii="Times New Roman Regular" w:hAnsi="Times New Roman Regular" w:cs="Times New Roman Regular"/>
          <w:color w:val="4472C4" w:themeColor="accent1"/>
          <w:shd w:val="clear" w:color="auto" w:fill="FEFEFE"/>
        </w:rPr>
        <w:t>To</w:t>
      </w:r>
      <w:r w:rsidR="00042F93">
        <w:rPr>
          <w:rFonts w:ascii="Times New Roman Regular" w:hAnsi="Times New Roman Regular" w:cs="Times New Roman Regular"/>
          <w:color w:val="4472C4" w:themeColor="accent1"/>
          <w:shd w:val="clear" w:color="auto" w:fill="FEFEFE"/>
        </w:rPr>
        <w:t xml:space="preserve"> clarify the mechanisms by ageing affects periodontitis, several </w:t>
      </w:r>
      <w:r w:rsidR="009568BB">
        <w:rPr>
          <w:rFonts w:ascii="Times New Roman Regular" w:hAnsi="Times New Roman Regular" w:cs="Times New Roman Regular"/>
          <w:color w:val="4472C4" w:themeColor="accent1"/>
          <w:shd w:val="clear" w:color="auto" w:fill="FEFEFE"/>
        </w:rPr>
        <w:t>challenges</w:t>
      </w:r>
      <w:r w:rsidR="00042F93">
        <w:rPr>
          <w:rFonts w:ascii="Times New Roman Regular" w:hAnsi="Times New Roman Regular" w:cs="Times New Roman Regular"/>
          <w:color w:val="4472C4" w:themeColor="accent1"/>
          <w:shd w:val="clear" w:color="auto" w:fill="FEFEFE"/>
        </w:rPr>
        <w:t xml:space="preserve"> need to be </w:t>
      </w:r>
      <w:r w:rsidR="009568BB">
        <w:rPr>
          <w:rFonts w:ascii="Times New Roman Regular" w:hAnsi="Times New Roman Regular" w:cs="Times New Roman Regular"/>
          <w:color w:val="4472C4" w:themeColor="accent1"/>
          <w:shd w:val="clear" w:color="auto" w:fill="FEFEFE"/>
        </w:rPr>
        <w:t>addressed. These challenges include</w:t>
      </w:r>
      <w:r w:rsidR="00042F93">
        <w:rPr>
          <w:rFonts w:ascii="Times New Roman Regular" w:hAnsi="Times New Roman Regular" w:cs="Times New Roman Regular"/>
          <w:color w:val="4472C4" w:themeColor="accent1"/>
          <w:shd w:val="clear" w:color="auto" w:fill="FEFEFE"/>
        </w:rPr>
        <w:t xml:space="preserve"> distinguish</w:t>
      </w:r>
      <w:r w:rsidR="009568BB">
        <w:rPr>
          <w:rFonts w:ascii="Times New Roman Regular" w:hAnsi="Times New Roman Regular" w:cs="Times New Roman Regular"/>
          <w:color w:val="4472C4" w:themeColor="accent1"/>
          <w:shd w:val="clear" w:color="auto" w:fill="FEFEFE"/>
        </w:rPr>
        <w:t>ing</w:t>
      </w:r>
      <w:r w:rsidR="00042F93">
        <w:rPr>
          <w:rFonts w:ascii="Times New Roman Regular" w:hAnsi="Times New Roman Regular" w:cs="Times New Roman Regular"/>
          <w:color w:val="4472C4" w:themeColor="accent1"/>
          <w:shd w:val="clear" w:color="auto" w:fill="FEFEFE"/>
        </w:rPr>
        <w:t xml:space="preserve"> the direct or external </w:t>
      </w:r>
      <w:r w:rsidR="009568BB">
        <w:rPr>
          <w:rFonts w:ascii="Times New Roman Regular" w:hAnsi="Times New Roman Regular" w:cs="Times New Roman Regular"/>
          <w:color w:val="4472C4" w:themeColor="accent1"/>
          <w:shd w:val="clear" w:color="auto" w:fill="FEFEFE"/>
        </w:rPr>
        <w:t xml:space="preserve">oral </w:t>
      </w:r>
      <w:r w:rsidR="00042F93">
        <w:rPr>
          <w:rFonts w:ascii="Times New Roman Regular" w:hAnsi="Times New Roman Regular" w:cs="Times New Roman Regular"/>
          <w:color w:val="4472C4" w:themeColor="accent1"/>
          <w:shd w:val="clear" w:color="auto" w:fill="FEFEFE"/>
        </w:rPr>
        <w:t>environment</w:t>
      </w:r>
      <w:bookmarkEnd w:id="0"/>
      <w:bookmarkEnd w:id="1"/>
      <w:r w:rsidR="009568BB">
        <w:rPr>
          <w:rFonts w:ascii="Times New Roman Regular" w:hAnsi="Times New Roman Regular" w:cs="Times New Roman Regular"/>
          <w:color w:val="4472C4" w:themeColor="accent1"/>
          <w:shd w:val="clear" w:color="auto" w:fill="FEFEFE"/>
        </w:rPr>
        <w:t>, the differences of study between mice and humans and the genetic heterogeneity among human</w:t>
      </w:r>
      <w:r w:rsidR="009568BB">
        <w:rPr>
          <w:rFonts w:ascii="Times New Roman Regular" w:hAnsi="Times New Roman Regular" w:cs="Times New Roman Regular" w:hint="eastAsia"/>
          <w:color w:val="4472C4" w:themeColor="accent1"/>
          <w:shd w:val="clear" w:color="auto" w:fill="FEFEFE"/>
        </w:rPr>
        <w:t>s</w:t>
      </w:r>
      <w:r w:rsidR="009568BB">
        <w:rPr>
          <w:rFonts w:ascii="Times New Roman Regular" w:hAnsi="Times New Roman Regular" w:cs="Times New Roman Regular"/>
          <w:color w:val="4472C4" w:themeColor="accent1"/>
          <w:shd w:val="clear" w:color="auto" w:fill="FEFEFE"/>
        </w:rPr>
        <w:t>.</w:t>
      </w:r>
      <w:r w:rsidR="00042F93">
        <w:rPr>
          <w:rFonts w:ascii="Times New Roman Regular" w:hAnsi="Times New Roman Regular" w:cs="Times New Roman Regular"/>
          <w:color w:val="4472C4" w:themeColor="accent1"/>
          <w:shd w:val="clear" w:color="auto" w:fill="FEFEFE"/>
        </w:rPr>
        <w:t xml:space="preserve"> </w:t>
      </w:r>
      <w:bookmarkEnd w:id="2"/>
      <w:bookmarkEnd w:id="3"/>
      <w:r w:rsidR="009568BB" w:rsidRPr="009568BB">
        <w:rPr>
          <w:rFonts w:ascii="Times New Roman Regular" w:hAnsi="Times New Roman Regular" w:cs="Times New Roman Regular"/>
          <w:color w:val="4472C4" w:themeColor="accent1"/>
          <w:shd w:val="clear" w:color="auto" w:fill="FEFEFE"/>
        </w:rPr>
        <w:t>Based on these results,</w:t>
      </w:r>
      <w:r w:rsidRPr="009568BB">
        <w:rPr>
          <w:rFonts w:ascii="Times New Roman" w:hAnsi="Times New Roman"/>
          <w:color w:val="4472C4" w:themeColor="accent1"/>
        </w:rPr>
        <w:t xml:space="preserve"> </w:t>
      </w:r>
      <w:r w:rsidR="009568BB" w:rsidRPr="009568BB">
        <w:rPr>
          <w:rFonts w:ascii="Times New Roman" w:hAnsi="Times New Roman"/>
          <w:color w:val="4472C4" w:themeColor="accent1"/>
        </w:rPr>
        <w:t xml:space="preserve">our </w:t>
      </w:r>
      <w:r w:rsidRPr="009568BB">
        <w:rPr>
          <w:rFonts w:ascii="Times New Roman" w:hAnsi="Times New Roman"/>
          <w:color w:val="4472C4" w:themeColor="accent1"/>
        </w:rPr>
        <w:t xml:space="preserve">revised conclusion as follow: </w:t>
      </w:r>
      <w:r w:rsidRPr="009568BB">
        <w:rPr>
          <w:rFonts w:ascii="Times New Roman" w:hAnsi="Times New Roman"/>
          <w:color w:val="000000" w:themeColor="text1"/>
        </w:rPr>
        <w:t xml:space="preserve">The prevalence and severity of periodontitis increase with age, making it a significant health concern for the growing elderly population. As human lifespan continues extending globally, understanding the impact of ageing on physiological and disease pathological has garnered significant attention in recent years. In this review, we have provided an up-to-date summary of the current knowledge of biological ageing and periodontitis, with a focus on the molecular mechanisms underlying pathological ageing at the periodontal level. Firstly, we have synthesized current knowledge on the pro-inflammatory cytokines, chemokines and cellular </w:t>
      </w:r>
      <w:proofErr w:type="spellStart"/>
      <w:r w:rsidRPr="009568BB">
        <w:rPr>
          <w:rFonts w:ascii="Times New Roman" w:hAnsi="Times New Roman"/>
          <w:color w:val="000000" w:themeColor="text1"/>
        </w:rPr>
        <w:t>signalling</w:t>
      </w:r>
      <w:proofErr w:type="spellEnd"/>
      <w:r w:rsidRPr="009568BB">
        <w:rPr>
          <w:rFonts w:ascii="Times New Roman" w:hAnsi="Times New Roman"/>
          <w:color w:val="000000" w:themeColor="text1"/>
        </w:rPr>
        <w:t xml:space="preserve"> pathways that regulate </w:t>
      </w:r>
      <w:proofErr w:type="spellStart"/>
      <w:r w:rsidRPr="009568BB">
        <w:rPr>
          <w:rFonts w:ascii="Times New Roman" w:hAnsi="Times New Roman"/>
          <w:color w:val="000000" w:themeColor="text1"/>
        </w:rPr>
        <w:t>immunosenescence</w:t>
      </w:r>
      <w:proofErr w:type="spellEnd"/>
      <w:r w:rsidRPr="009568BB">
        <w:rPr>
          <w:rFonts w:ascii="Times New Roman" w:hAnsi="Times New Roman"/>
          <w:color w:val="000000" w:themeColor="text1"/>
        </w:rPr>
        <w:t xml:space="preserve"> and age-related chronic inflammation. Elucidating these mechanisms enhances our understanding of the relationship between aging and inflammation. Furthermore, we have summarized the key bacteria associated with periodontitis pathogenesis. Identifying these microbes provides critical insights into the etiology of periodontitis. Overall, this review integrates findings across multiple are as </w:t>
      </w:r>
      <w:proofErr w:type="spellStart"/>
      <w:r w:rsidRPr="009568BB">
        <w:rPr>
          <w:rFonts w:ascii="Times New Roman" w:hAnsi="Times New Roman"/>
          <w:color w:val="000000" w:themeColor="text1"/>
        </w:rPr>
        <w:t>immunosenescence</w:t>
      </w:r>
      <w:proofErr w:type="spellEnd"/>
      <w:r w:rsidRPr="009568BB">
        <w:rPr>
          <w:rFonts w:ascii="Times New Roman" w:hAnsi="Times New Roman"/>
          <w:color w:val="000000" w:themeColor="text1"/>
        </w:rPr>
        <w:t>, oral microbiome changes, and tissue destruction pathways to provide a comprehensive overview of the linkages between aging and periodontitis.</w:t>
      </w:r>
      <w:r w:rsidRPr="009568BB">
        <w:rPr>
          <w:rFonts w:ascii="Times New Roman" w:hAnsi="Times New Roman"/>
          <w:color w:val="FF0000"/>
        </w:rPr>
        <w:t xml:space="preserve"> In fact, the interplay between aging and inflammation represents a complex process with no clearly established causality or directionality yet. Several challenges persist in our current understanding of the biological mechanisms through which aging influences periodontitis. However, it is evident that age-related processes can contribute to the initiation of inflammation, be a consequence of existing inflammation, or involve a bidirectional relationship between the two phenomena.</w:t>
      </w:r>
      <w:r w:rsidRPr="009568BB">
        <w:rPr>
          <w:rFonts w:ascii="Times New Roman" w:hAnsi="Times New Roman"/>
          <w:color w:val="000000" w:themeColor="text1"/>
        </w:rPr>
        <w:t xml:space="preserve"> </w:t>
      </w:r>
      <w:r w:rsidRPr="009568BB">
        <w:rPr>
          <w:rFonts w:ascii="Times New Roman" w:hAnsi="Times New Roman"/>
          <w:color w:val="000000" w:themeColor="text1"/>
        </w:rPr>
        <w:lastRenderedPageBreak/>
        <w:t>Given these understanding, we proposed the pathways linking inflammation and periodontitis, examining how ageing influences the inflammation-periodontitis linkage and immune resistance (Fig. 1). Gaining a more comprehensive the complex interactions between ageing, inflammation and periodontitis are critical for developing effective interventions to prevent and treat these conditions in older adults. Further studies should build upon this synthesis of current knowledge to deepen our mechanistic comprehension of this major age-related oral health concern.</w:t>
      </w:r>
    </w:p>
    <w:p w14:paraId="7DFC0F27" w14:textId="1A0C3B9B" w:rsidR="00640A8F" w:rsidRPr="00640A8F" w:rsidRDefault="00640A8F" w:rsidP="00640A8F">
      <w:pPr>
        <w:pStyle w:val="a3"/>
        <w:numPr>
          <w:ilvl w:val="0"/>
          <w:numId w:val="1"/>
        </w:numPr>
        <w:shd w:val="clear" w:color="auto" w:fill="FEFEFE"/>
        <w:jc w:val="both"/>
        <w:rPr>
          <w:rFonts w:ascii="Times New Roman" w:hAnsi="Times New Roman"/>
          <w:color w:val="000000" w:themeColor="text1"/>
        </w:rPr>
      </w:pPr>
      <w:r>
        <w:rPr>
          <w:rFonts w:ascii="Times New Roman Regular" w:hAnsi="Times New Roman Regular" w:cs="Times New Roman Regular"/>
          <w:color w:val="4472C4" w:themeColor="accent1"/>
          <w:shd w:val="clear" w:color="auto" w:fill="FEFEFE"/>
        </w:rPr>
        <w:t xml:space="preserve">According to the comment, </w:t>
      </w:r>
      <w:bookmarkStart w:id="4" w:name="OLE_LINK107"/>
      <w:bookmarkStart w:id="5" w:name="OLE_LINK108"/>
      <w:r>
        <w:rPr>
          <w:rFonts w:ascii="Times New Roman Regular" w:hAnsi="Times New Roman Regular" w:cs="Times New Roman Regular"/>
          <w:color w:val="4472C4" w:themeColor="accent1"/>
          <w:shd w:val="clear" w:color="auto" w:fill="FEFEFE"/>
        </w:rPr>
        <w:t>we have reworked the Figure 1</w:t>
      </w:r>
      <w:r w:rsidRPr="00640A8F">
        <w:rPr>
          <w:rFonts w:ascii="Times New Roman" w:hAnsi="Times New Roman" w:cs="Times New Roman"/>
          <w:color w:val="0A0A0A"/>
        </w:rPr>
        <w:t xml:space="preserve"> </w:t>
      </w:r>
      <w:r w:rsidRPr="00640A8F">
        <w:rPr>
          <w:rFonts w:ascii="Times New Roman" w:hAnsi="Times New Roman" w:cs="Times New Roman"/>
          <w:color w:val="4472C4" w:themeColor="accent1"/>
        </w:rPr>
        <w:t>to provide readers with a graphical representation that aligns with the paper's stated objective of clarification</w:t>
      </w:r>
      <w:bookmarkEnd w:id="4"/>
      <w:bookmarkEnd w:id="5"/>
      <w:r>
        <w:rPr>
          <w:rFonts w:ascii="Times New Roman Regular" w:hAnsi="Times New Roman Regular" w:cs="Times New Roman Regular"/>
          <w:color w:val="4472C4" w:themeColor="accent1"/>
          <w:shd w:val="clear" w:color="auto" w:fill="FEFEFE"/>
        </w:rPr>
        <w:t xml:space="preserve">. The revised Figure as follows: </w:t>
      </w:r>
      <w:r>
        <w:rPr>
          <w:noProof/>
        </w:rPr>
        <w:drawing>
          <wp:inline distT="0" distB="0" distL="0" distR="0" wp14:anchorId="17423AB7" wp14:editId="27B9AB58">
            <wp:extent cx="5029200" cy="2661554"/>
            <wp:effectExtent l="0" t="0" r="0" b="0"/>
            <wp:docPr id="10" name="Picture 10" descr="图形用户界面,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图形用户界面, 图示&#10;&#10;描述已自动生成"/>
                    <pic:cNvPicPr/>
                  </pic:nvPicPr>
                  <pic:blipFill rotWithShape="1">
                    <a:blip r:embed="rId5" cstate="print">
                      <a:extLst>
                        <a:ext uri="{28A0092B-C50C-407E-A947-70E740481C1C}">
                          <a14:useLocalDpi xmlns:a14="http://schemas.microsoft.com/office/drawing/2010/main" val="0"/>
                        </a:ext>
                      </a:extLst>
                    </a:blip>
                    <a:srcRect l="4187" t="14238" r="5945" b="17734"/>
                    <a:stretch/>
                  </pic:blipFill>
                  <pic:spPr bwMode="auto">
                    <a:xfrm>
                      <a:off x="0" y="0"/>
                      <a:ext cx="5047349" cy="2671159"/>
                    </a:xfrm>
                    <a:prstGeom prst="rect">
                      <a:avLst/>
                    </a:prstGeom>
                    <a:ln>
                      <a:noFill/>
                    </a:ln>
                    <a:extLst>
                      <a:ext uri="{53640926-AAD7-44D8-BBD7-CCE9431645EC}">
                        <a14:shadowObscured xmlns:a14="http://schemas.microsoft.com/office/drawing/2010/main"/>
                      </a:ext>
                    </a:extLst>
                  </pic:spPr>
                </pic:pic>
              </a:graphicData>
            </a:graphic>
          </wp:inline>
        </w:drawing>
      </w:r>
    </w:p>
    <w:p w14:paraId="7D915AE7" w14:textId="3AE04921" w:rsidR="00640A8F" w:rsidRDefault="00640A8F" w:rsidP="00640A8F">
      <w:pPr>
        <w:pStyle w:val="MDPI51figurecaption"/>
        <w:ind w:left="360"/>
        <w:rPr>
          <w:rFonts w:ascii="Times New Roman" w:hAnsi="Times New Roman"/>
          <w:color w:val="FF0000"/>
          <w:sz w:val="24"/>
          <w:szCs w:val="24"/>
          <w:lang w:eastAsia="zh-CN"/>
        </w:rPr>
      </w:pPr>
      <w:r w:rsidRPr="00640A8F">
        <w:rPr>
          <w:rFonts w:ascii="Times New Roman" w:hAnsi="Times New Roman"/>
          <w:b/>
          <w:bCs/>
          <w:color w:val="FF0000"/>
          <w:sz w:val="24"/>
          <w:szCs w:val="24"/>
        </w:rPr>
        <w:t xml:space="preserve">Figure 1. </w:t>
      </w:r>
      <w:r w:rsidRPr="00640A8F">
        <w:rPr>
          <w:rFonts w:ascii="Times New Roman" w:hAnsi="Times New Roman"/>
          <w:color w:val="FF0000"/>
          <w:sz w:val="24"/>
          <w:szCs w:val="24"/>
        </w:rPr>
        <w:t>The interplay of factors associated with ageing and inflammation in the development of periodontitis.</w:t>
      </w:r>
      <w:r>
        <w:rPr>
          <w:rFonts w:ascii="Times New Roman" w:hAnsi="Times New Roman"/>
          <w:color w:val="FF0000"/>
          <w:sz w:val="24"/>
          <w:szCs w:val="24"/>
        </w:rPr>
        <w:t xml:space="preserve"> </w:t>
      </w:r>
    </w:p>
    <w:p w14:paraId="496247D6" w14:textId="01CB0860" w:rsidR="00640A8F" w:rsidRPr="00640A8F" w:rsidRDefault="00640A8F" w:rsidP="00640A8F">
      <w:pPr>
        <w:pStyle w:val="MDPI51figurecaption"/>
        <w:ind w:left="360"/>
        <w:rPr>
          <w:rFonts w:ascii="Times New Roman" w:hAnsi="Times New Roman"/>
          <w:color w:val="4472C4" w:themeColor="accent1"/>
          <w:sz w:val="24"/>
          <w:szCs w:val="24"/>
        </w:rPr>
      </w:pPr>
      <w:r w:rsidRPr="00640A8F">
        <w:rPr>
          <w:rFonts w:ascii="Times New Roman" w:hAnsi="Times New Roman"/>
          <w:color w:val="4472C4" w:themeColor="accent1"/>
          <w:sz w:val="24"/>
          <w:szCs w:val="24"/>
        </w:rPr>
        <w:t>Thanks for your suggestions again.</w:t>
      </w:r>
    </w:p>
    <w:p w14:paraId="584F5DED" w14:textId="77777777" w:rsidR="00640A8F" w:rsidRPr="00640A8F" w:rsidRDefault="00640A8F" w:rsidP="00640A8F">
      <w:pPr>
        <w:pStyle w:val="a3"/>
        <w:shd w:val="clear" w:color="auto" w:fill="FEFEFE"/>
        <w:ind w:left="360"/>
        <w:jc w:val="both"/>
        <w:rPr>
          <w:rFonts w:ascii="Times New Roman" w:hAnsi="Times New Roman"/>
          <w:color w:val="000000" w:themeColor="text1"/>
        </w:rPr>
      </w:pPr>
    </w:p>
    <w:p w14:paraId="21154706" w14:textId="77777777" w:rsidR="00030BF2" w:rsidRPr="004923C0" w:rsidRDefault="00030BF2" w:rsidP="00640A8F"/>
    <w:sectPr w:rsidR="00030BF2" w:rsidRPr="004923C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Regular">
    <w:altName w:val="Times New Roman"/>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E1528E"/>
    <w:multiLevelType w:val="hybridMultilevel"/>
    <w:tmpl w:val="0B702D94"/>
    <w:lvl w:ilvl="0" w:tplc="DAE4FE00">
      <w:start w:val="1"/>
      <w:numFmt w:val="decimal"/>
      <w:lvlText w:val="(%1)"/>
      <w:lvlJc w:val="left"/>
      <w:pPr>
        <w:ind w:left="360" w:hanging="360"/>
      </w:pPr>
      <w:rPr>
        <w:rFonts w:ascii="Times New Roman Regular" w:hAnsi="Times New Roman Regular" w:cs="Times New Roman Regular" w:hint="default"/>
        <w:color w:val="4472C4" w:themeColor="accen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9535613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C0"/>
    <w:rsid w:val="00005150"/>
    <w:rsid w:val="00030BF2"/>
    <w:rsid w:val="00042F93"/>
    <w:rsid w:val="00087B0D"/>
    <w:rsid w:val="000A7F2D"/>
    <w:rsid w:val="00225523"/>
    <w:rsid w:val="00265007"/>
    <w:rsid w:val="002B6222"/>
    <w:rsid w:val="004923C0"/>
    <w:rsid w:val="004F3EF7"/>
    <w:rsid w:val="00500EE8"/>
    <w:rsid w:val="00534468"/>
    <w:rsid w:val="005E4831"/>
    <w:rsid w:val="00640A8F"/>
    <w:rsid w:val="009568BB"/>
    <w:rsid w:val="009D2E35"/>
    <w:rsid w:val="00A9758C"/>
    <w:rsid w:val="00C9465E"/>
    <w:rsid w:val="00F128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F536286"/>
  <w15:chartTrackingRefBased/>
  <w15:docId w15:val="{FF5763CA-27E2-6147-8DD7-9312BE9A9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23C0"/>
    <w:pPr>
      <w:widowControl/>
      <w:spacing w:before="100" w:beforeAutospacing="1" w:after="100" w:afterAutospacing="1"/>
      <w:jc w:val="left"/>
    </w:pPr>
    <w:rPr>
      <w:rFonts w:ascii="宋体" w:eastAsia="宋体" w:hAnsi="宋体" w:cs="宋体"/>
      <w:kern w:val="0"/>
      <w:sz w:val="24"/>
    </w:rPr>
  </w:style>
  <w:style w:type="paragraph" w:customStyle="1" w:styleId="MDPI51figurecaption">
    <w:name w:val="MDPI_5.1_figure_caption"/>
    <w:qFormat/>
    <w:rsid w:val="00640A8F"/>
    <w:pPr>
      <w:adjustRightInd w:val="0"/>
      <w:snapToGrid w:val="0"/>
      <w:spacing w:before="120" w:after="240" w:line="228" w:lineRule="auto"/>
      <w:ind w:left="2608"/>
      <w:jc w:val="both"/>
    </w:pPr>
    <w:rPr>
      <w:rFonts w:ascii="Palatino Linotype" w:eastAsia="Times New Roman" w:hAnsi="Palatino Linotype" w:cs="Times New Roman"/>
      <w:color w:val="000000"/>
      <w:kern w:val="0"/>
      <w:sz w:val="18"/>
      <w:szCs w:val="20"/>
      <w:lang w:eastAsia="de-DE"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25613">
      <w:bodyDiv w:val="1"/>
      <w:marLeft w:val="0"/>
      <w:marRight w:val="0"/>
      <w:marTop w:val="0"/>
      <w:marBottom w:val="0"/>
      <w:divBdr>
        <w:top w:val="none" w:sz="0" w:space="0" w:color="auto"/>
        <w:left w:val="none" w:sz="0" w:space="0" w:color="auto"/>
        <w:bottom w:val="none" w:sz="0" w:space="0" w:color="auto"/>
        <w:right w:val="none" w:sz="0" w:space="0" w:color="auto"/>
      </w:divBdr>
      <w:divsChild>
        <w:div w:id="158426810">
          <w:marLeft w:val="0"/>
          <w:marRight w:val="0"/>
          <w:marTop w:val="0"/>
          <w:marBottom w:val="0"/>
          <w:divBdr>
            <w:top w:val="none" w:sz="0" w:space="0" w:color="auto"/>
            <w:left w:val="none" w:sz="0" w:space="0" w:color="auto"/>
            <w:bottom w:val="none" w:sz="0" w:space="0" w:color="auto"/>
            <w:right w:val="none" w:sz="0" w:space="0" w:color="auto"/>
          </w:divBdr>
        </w:div>
        <w:div w:id="116334194">
          <w:marLeft w:val="0"/>
          <w:marRight w:val="0"/>
          <w:marTop w:val="0"/>
          <w:marBottom w:val="0"/>
          <w:divBdr>
            <w:top w:val="none" w:sz="0" w:space="0" w:color="auto"/>
            <w:left w:val="none" w:sz="0" w:space="0" w:color="auto"/>
            <w:bottom w:val="none" w:sz="0" w:space="0" w:color="auto"/>
            <w:right w:val="none" w:sz="0" w:space="0" w:color="auto"/>
          </w:divBdr>
        </w:div>
      </w:divsChild>
    </w:div>
    <w:div w:id="1055465469">
      <w:bodyDiv w:val="1"/>
      <w:marLeft w:val="0"/>
      <w:marRight w:val="0"/>
      <w:marTop w:val="0"/>
      <w:marBottom w:val="0"/>
      <w:divBdr>
        <w:top w:val="none" w:sz="0" w:space="0" w:color="auto"/>
        <w:left w:val="none" w:sz="0" w:space="0" w:color="auto"/>
        <w:bottom w:val="none" w:sz="0" w:space="0" w:color="auto"/>
        <w:right w:val="none" w:sz="0" w:space="0" w:color="auto"/>
      </w:divBdr>
      <w:divsChild>
        <w:div w:id="32851081">
          <w:marLeft w:val="0"/>
          <w:marRight w:val="0"/>
          <w:marTop w:val="0"/>
          <w:marBottom w:val="0"/>
          <w:divBdr>
            <w:top w:val="none" w:sz="0" w:space="0" w:color="auto"/>
            <w:left w:val="none" w:sz="0" w:space="0" w:color="auto"/>
            <w:bottom w:val="none" w:sz="0" w:space="0" w:color="auto"/>
            <w:right w:val="none" w:sz="0" w:space="0" w:color="auto"/>
          </w:divBdr>
        </w:div>
        <w:div w:id="1221358018">
          <w:marLeft w:val="0"/>
          <w:marRight w:val="0"/>
          <w:marTop w:val="0"/>
          <w:marBottom w:val="0"/>
          <w:divBdr>
            <w:top w:val="none" w:sz="0" w:space="0" w:color="auto"/>
            <w:left w:val="none" w:sz="0" w:space="0" w:color="auto"/>
            <w:bottom w:val="none" w:sz="0" w:space="0" w:color="auto"/>
            <w:right w:val="none" w:sz="0" w:space="0" w:color="auto"/>
          </w:divBdr>
        </w:div>
      </w:divsChild>
    </w:div>
    <w:div w:id="1495294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584</Words>
  <Characters>3333</Characters>
  <Application>Microsoft Office Word</Application>
  <DocSecurity>0</DocSecurity>
  <Lines>27</Lines>
  <Paragraphs>7</Paragraphs>
  <ScaleCrop>false</ScaleCrop>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u3008485@connect.hku.hk</dc:creator>
  <cp:keywords/>
  <dc:description/>
  <cp:lastModifiedBy>u3008485@connect.hku.hk</cp:lastModifiedBy>
  <cp:revision>2</cp:revision>
  <dcterms:created xsi:type="dcterms:W3CDTF">2023-10-23T09:43:00Z</dcterms:created>
  <dcterms:modified xsi:type="dcterms:W3CDTF">2023-10-24T03:03:00Z</dcterms:modified>
</cp:coreProperties>
</file>