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21AE4" w14:textId="733A9263" w:rsidR="00CD10EF" w:rsidRPr="004A5352" w:rsidRDefault="00A96F08" w:rsidP="00CD10EF">
      <w:pPr>
        <w:pStyle w:val="NormalnyWeb"/>
        <w:rPr>
          <w:rFonts w:ascii="Palatino Linotype" w:hAnsi="Palatino Linotype" w:cs="Arial"/>
          <w:b/>
          <w:bCs/>
          <w:color w:val="0A0A0A"/>
          <w:sz w:val="22"/>
          <w:szCs w:val="22"/>
          <w:lang w:val="en-US"/>
        </w:rPr>
      </w:pPr>
      <w:r w:rsidRPr="004A5352">
        <w:rPr>
          <w:rFonts w:ascii="Palatino Linotype" w:hAnsi="Palatino Linotype" w:cs="Arial"/>
          <w:b/>
          <w:bCs/>
          <w:color w:val="0A0A0A"/>
          <w:sz w:val="22"/>
          <w:szCs w:val="22"/>
          <w:lang w:val="en-US"/>
        </w:rPr>
        <w:t>R</w:t>
      </w:r>
      <w:r w:rsidR="004A5352">
        <w:rPr>
          <w:rFonts w:ascii="Palatino Linotype" w:hAnsi="Palatino Linotype" w:cs="Arial"/>
          <w:b/>
          <w:bCs/>
          <w:color w:val="0A0A0A"/>
          <w:sz w:val="22"/>
          <w:szCs w:val="22"/>
          <w:lang w:val="en-US"/>
        </w:rPr>
        <w:t>1</w:t>
      </w:r>
    </w:p>
    <w:p w14:paraId="48C7C006" w14:textId="176868B6" w:rsidR="00CD10EF" w:rsidRPr="004A5352" w:rsidRDefault="00CD10EF" w:rsidP="00CD10EF">
      <w:pPr>
        <w:pStyle w:val="NormalnyWeb"/>
        <w:rPr>
          <w:rFonts w:ascii="Palatino Linotype" w:hAnsi="Palatino Linotype" w:cs="Arial"/>
          <w:color w:val="0A0A0A"/>
          <w:sz w:val="22"/>
          <w:szCs w:val="22"/>
          <w:lang w:val="en-US"/>
        </w:rPr>
      </w:pPr>
      <w:r w:rsidRPr="004A5352">
        <w:rPr>
          <w:rFonts w:ascii="Palatino Linotype" w:hAnsi="Palatino Linotype" w:cs="Arial"/>
          <w:color w:val="0A0A0A"/>
          <w:sz w:val="22"/>
          <w:szCs w:val="22"/>
          <w:lang w:val="en-US"/>
        </w:rPr>
        <w:t xml:space="preserve">Dear </w:t>
      </w:r>
      <w:r w:rsidR="004A5352">
        <w:rPr>
          <w:rFonts w:ascii="Palatino Linotype" w:hAnsi="Palatino Linotype" w:cs="Arial"/>
          <w:color w:val="0A0A0A"/>
          <w:sz w:val="22"/>
          <w:szCs w:val="22"/>
          <w:lang w:val="en-US"/>
        </w:rPr>
        <w:t>Reviewer</w:t>
      </w:r>
      <w:r w:rsidRPr="004A5352">
        <w:rPr>
          <w:rFonts w:ascii="Palatino Linotype" w:hAnsi="Palatino Linotype" w:cs="Arial"/>
          <w:color w:val="0A0A0A"/>
          <w:sz w:val="22"/>
          <w:szCs w:val="22"/>
          <w:lang w:val="en-US"/>
        </w:rPr>
        <w:t>,</w:t>
      </w:r>
    </w:p>
    <w:p w14:paraId="0B287A84" w14:textId="290EE257" w:rsidR="004A5352" w:rsidRPr="004A5352" w:rsidRDefault="004A5352" w:rsidP="004A5352">
      <w:pPr>
        <w:pStyle w:val="NormalnyWeb"/>
        <w:rPr>
          <w:rFonts w:ascii="Palatino Linotype" w:hAnsi="Palatino Linotype" w:cs="Arial"/>
          <w:color w:val="0A0A0A"/>
          <w:sz w:val="22"/>
          <w:szCs w:val="22"/>
          <w:lang w:val="en-US"/>
        </w:rPr>
      </w:pPr>
      <w:r>
        <w:rPr>
          <w:rFonts w:ascii="Palatino Linotype" w:hAnsi="Palatino Linotype" w:cs="Arial"/>
          <w:color w:val="0A0A0A"/>
          <w:sz w:val="22"/>
          <w:szCs w:val="22"/>
          <w:lang w:val="en-US"/>
        </w:rPr>
        <w:t>w</w:t>
      </w:r>
      <w:r w:rsidRPr="004A5352">
        <w:rPr>
          <w:rFonts w:ascii="Palatino Linotype" w:hAnsi="Palatino Linotype" w:cs="Arial"/>
          <w:color w:val="0A0A0A"/>
          <w:sz w:val="22"/>
          <w:szCs w:val="22"/>
          <w:lang w:val="en-US"/>
        </w:rPr>
        <w:t>e would like to thank for careful reading our manuscript and providing comments that helped us to improve the text.</w:t>
      </w:r>
    </w:p>
    <w:p w14:paraId="69B3EE38" w14:textId="2AF0C4D0" w:rsidR="004A5352" w:rsidRPr="004A5352" w:rsidRDefault="004A5352" w:rsidP="004A5352">
      <w:pPr>
        <w:pStyle w:val="NormalnyWeb"/>
        <w:rPr>
          <w:rFonts w:ascii="Palatino Linotype" w:hAnsi="Palatino Linotype" w:cs="Arial"/>
          <w:color w:val="0A0A0A"/>
          <w:sz w:val="22"/>
          <w:szCs w:val="22"/>
          <w:lang w:val="en-US"/>
        </w:rPr>
      </w:pPr>
      <w:r w:rsidRPr="004A5352">
        <w:rPr>
          <w:rFonts w:ascii="Palatino Linotype" w:hAnsi="Palatino Linotype" w:cs="Arial"/>
          <w:color w:val="0A0A0A"/>
          <w:sz w:val="22"/>
          <w:szCs w:val="22"/>
          <w:lang w:val="en-US"/>
        </w:rPr>
        <w:t>Comments and Suggestions for Authors</w:t>
      </w:r>
    </w:p>
    <w:p w14:paraId="54CF0C42" w14:textId="77777777" w:rsidR="00CD10EF" w:rsidRPr="004A5352" w:rsidRDefault="00CD10EF" w:rsidP="00CD10EF">
      <w:pPr>
        <w:pStyle w:val="NormalnyWeb"/>
        <w:rPr>
          <w:rFonts w:ascii="Palatino Linotype" w:hAnsi="Palatino Linotype" w:cs="Arial"/>
          <w:color w:val="0A0A0A"/>
          <w:sz w:val="22"/>
          <w:szCs w:val="22"/>
          <w:lang w:val="en-US"/>
        </w:rPr>
      </w:pPr>
      <w:r w:rsidRPr="004A5352">
        <w:rPr>
          <w:rFonts w:ascii="Palatino Linotype" w:hAnsi="Palatino Linotype" w:cs="Arial"/>
          <w:color w:val="0A0A0A"/>
          <w:sz w:val="22"/>
          <w:szCs w:val="22"/>
          <w:lang w:val="en-US"/>
        </w:rPr>
        <w:t>Major:</w:t>
      </w:r>
    </w:p>
    <w:p w14:paraId="387DBC94" w14:textId="3B0DFF8B" w:rsidR="002A0E01" w:rsidRPr="004A5352" w:rsidRDefault="00CD10EF" w:rsidP="002A0E01">
      <w:pPr>
        <w:pStyle w:val="NormalnyWeb"/>
        <w:numPr>
          <w:ilvl w:val="0"/>
          <w:numId w:val="4"/>
        </w:numPr>
        <w:rPr>
          <w:rFonts w:ascii="Palatino Linotype" w:hAnsi="Palatino Linotype" w:cs="Arial"/>
          <w:i/>
          <w:sz w:val="22"/>
          <w:szCs w:val="22"/>
          <w:lang w:val="en-US"/>
        </w:rPr>
      </w:pPr>
      <w:r w:rsidRPr="004A5352">
        <w:rPr>
          <w:rFonts w:ascii="Palatino Linotype" w:hAnsi="Palatino Linotype" w:cs="Arial"/>
          <w:i/>
          <w:sz w:val="22"/>
          <w:szCs w:val="22"/>
          <w:lang w:val="en-US"/>
        </w:rPr>
        <w:t>control group is not described. Please, give clear inclusion/exclusion criteria for this group, too.</w:t>
      </w:r>
      <w:r w:rsidR="00506F5F" w:rsidRPr="004A5352">
        <w:rPr>
          <w:rFonts w:ascii="Palatino Linotype" w:hAnsi="Palatino Linotype" w:cs="Arial"/>
          <w:i/>
          <w:sz w:val="22"/>
          <w:szCs w:val="22"/>
          <w:lang w:val="en-US"/>
        </w:rPr>
        <w:t xml:space="preserve"> </w:t>
      </w:r>
    </w:p>
    <w:p w14:paraId="23114C78" w14:textId="69628727" w:rsidR="004A5352" w:rsidRPr="00405226" w:rsidRDefault="004A5352" w:rsidP="004A5352">
      <w:pPr>
        <w:pStyle w:val="NormalnyWeb"/>
        <w:rPr>
          <w:rFonts w:ascii="Palatino Linotype" w:hAnsi="Palatino Linotype" w:cs="Arial"/>
          <w:i/>
          <w:sz w:val="22"/>
          <w:szCs w:val="22"/>
          <w:lang w:val="en-US"/>
        </w:rPr>
      </w:pPr>
      <w:r w:rsidRPr="00405226">
        <w:rPr>
          <w:rFonts w:ascii="Palatino Linotype" w:hAnsi="Palatino Linotype" w:cs="Arial"/>
          <w:i/>
          <w:sz w:val="22"/>
          <w:szCs w:val="22"/>
          <w:lang w:val="en-US"/>
        </w:rPr>
        <w:t>Reply:</w:t>
      </w:r>
    </w:p>
    <w:p w14:paraId="0C3C270C" w14:textId="578FB417" w:rsidR="00986403" w:rsidRDefault="00986403" w:rsidP="00986403">
      <w:pPr>
        <w:pStyle w:val="MDPI22heading2"/>
        <w:ind w:left="0"/>
        <w:rPr>
          <w:rFonts w:cs="Arial"/>
          <w:i w:val="0"/>
          <w:noProof w:val="0"/>
          <w:snapToGrid/>
          <w:color w:val="auto"/>
          <w:sz w:val="22"/>
          <w:lang w:eastAsia="pl-PL" w:bidi="ar-SA"/>
        </w:rPr>
      </w:pPr>
      <w:r w:rsidRPr="00986403">
        <w:rPr>
          <w:rFonts w:cs="Arial"/>
          <w:i w:val="0"/>
          <w:noProof w:val="0"/>
          <w:snapToGrid/>
          <w:color w:val="auto"/>
          <w:sz w:val="22"/>
          <w:lang w:eastAsia="pl-PL" w:bidi="ar-SA"/>
        </w:rPr>
        <w:t>Inclusion criteria for all study infants were the same ((1) preterm birth between 22+0 and 33+0 weeks GA and (2) written consent from the child's parents/guardians for inclusion in the study). The selected infant population was then prospectively followed up with a focus on retinal development. For greater clarity, we have restated the infant selection data in the Materials and Methods -&gt; Study Population paragraph.</w:t>
      </w:r>
    </w:p>
    <w:p w14:paraId="7FD4F643" w14:textId="77777777" w:rsidR="00ED2614" w:rsidRDefault="00ED2614" w:rsidP="00ED2614">
      <w:pPr>
        <w:pStyle w:val="NormalnyWeb"/>
        <w:rPr>
          <w:rFonts w:ascii="Palatino Linotype" w:hAnsi="Palatino Linotype" w:cs="Arial"/>
          <w:sz w:val="22"/>
          <w:szCs w:val="22"/>
          <w:lang w:val="en-US"/>
        </w:rPr>
      </w:pPr>
      <w:r>
        <w:rPr>
          <w:rFonts w:ascii="Palatino Linotype" w:hAnsi="Palatino Linotype" w:cs="Arial"/>
          <w:sz w:val="22"/>
          <w:szCs w:val="22"/>
          <w:lang w:val="en-US"/>
        </w:rPr>
        <w:t>Changes made</w:t>
      </w:r>
    </w:p>
    <w:p w14:paraId="1607F254" w14:textId="77777777" w:rsidR="00451137" w:rsidRPr="002C0757" w:rsidRDefault="00451137" w:rsidP="00451137">
      <w:pPr>
        <w:pStyle w:val="MDPI22heading2"/>
      </w:pPr>
      <w:r w:rsidRPr="002C0757">
        <w:t>4.1. Study population</w:t>
      </w:r>
    </w:p>
    <w:p w14:paraId="49E84CDE" w14:textId="77777777" w:rsidR="00451137" w:rsidRPr="00B336CF" w:rsidRDefault="00451137" w:rsidP="00451137">
      <w:pPr>
        <w:pStyle w:val="MDPI31text"/>
        <w:rPr>
          <w:i/>
          <w:color w:val="auto"/>
        </w:rPr>
      </w:pPr>
      <w:r w:rsidRPr="00B336CF">
        <w:rPr>
          <w:highlight w:val="yellow"/>
        </w:rPr>
        <w:t>This prospective study was conducted at the Clinical Hospital of Gynecology and Obstetrics, Poznan University of Medical Sciences in Poznan, Poland, from March 1, 2014, to January 14, 2020.</w:t>
      </w:r>
      <w:r w:rsidRPr="00EA1C77">
        <w:t xml:space="preserve"> </w:t>
      </w:r>
      <w:r w:rsidRPr="00B336CF">
        <w:rPr>
          <w:highlight w:val="yellow"/>
        </w:rPr>
        <w:t xml:space="preserve">A population of 100 consecutive preterm infants born alive was selected for the study. </w:t>
      </w:r>
      <w:r w:rsidRPr="00B336CF">
        <w:rPr>
          <w:color w:val="auto"/>
          <w:highlight w:val="yellow"/>
        </w:rPr>
        <w:t>The inclusion criteria were (1) preterm birth between 22+0 and 33+0 weeks of GA, and (2) written consent from the child's parents/guardians for inclusion in the study. Based on the results of the retinal screening examinations, this population was divided into cases (preterm infants diagnosed with ROP; n=50) and controls (preterm infants without ROP; n=50). The group of patients who developed ROP was later categorized into subgroups: those with spontaneous ROP regression (n=28) and those requiring treatment for ROP (n=22).</w:t>
      </w:r>
      <w:r>
        <w:rPr>
          <w:color w:val="auto"/>
        </w:rPr>
        <w:t xml:space="preserve"> </w:t>
      </w:r>
      <w:r w:rsidRPr="00B336CF">
        <w:rPr>
          <w:color w:val="auto"/>
          <w:highlight w:val="yellow"/>
        </w:rPr>
        <w:t>All patients and their parents were Caucasian.</w:t>
      </w:r>
    </w:p>
    <w:p w14:paraId="6FD9BE02" w14:textId="77777777" w:rsidR="00451137" w:rsidRDefault="00451137" w:rsidP="00451137">
      <w:pPr>
        <w:pStyle w:val="MDPI31text"/>
      </w:pPr>
      <w:r w:rsidRPr="00B336CF">
        <w:rPr>
          <w:highlight w:val="yellow"/>
        </w:rPr>
        <w:t>The following criteria were determined for exclusion from the control and case groups: chromosomal abnormalities, multiple pregnancies, pregnancies involving death of one of the fetuses, death before reaching 40 weeks of postmenstrual age, and diagnoses of inherited metabolic disorders.</w:t>
      </w:r>
      <w:r>
        <w:t xml:space="preserve"> </w:t>
      </w:r>
      <w:r w:rsidRPr="002C0757">
        <w:t>Patients diagnosed with congenital toxoplasmosis, rubella, cytomegalovirus, herpes or others (TORCH) were also excluded from the study due to possible retinal involvement.</w:t>
      </w:r>
    </w:p>
    <w:p w14:paraId="327ECEDB" w14:textId="77777777" w:rsidR="00986403" w:rsidRDefault="00986403" w:rsidP="00986403">
      <w:pPr>
        <w:pStyle w:val="MDPI22heading2"/>
        <w:rPr>
          <w:rFonts w:cs="Arial"/>
          <w:i w:val="0"/>
          <w:noProof w:val="0"/>
          <w:snapToGrid/>
          <w:color w:val="auto"/>
          <w:sz w:val="22"/>
          <w:lang w:eastAsia="pl-PL" w:bidi="ar-SA"/>
        </w:rPr>
      </w:pPr>
    </w:p>
    <w:p w14:paraId="0734EA8C" w14:textId="12BE9A3D" w:rsidR="00602D23" w:rsidRDefault="00602D23" w:rsidP="00602D23">
      <w:pPr>
        <w:pStyle w:val="MDPI31text"/>
      </w:pPr>
    </w:p>
    <w:p w14:paraId="1416B356" w14:textId="77777777" w:rsidR="00602D23" w:rsidRPr="002C0757" w:rsidRDefault="00602D23" w:rsidP="00602D23">
      <w:pPr>
        <w:pStyle w:val="MDPI31text"/>
        <w:rPr>
          <w:i/>
        </w:rPr>
      </w:pPr>
    </w:p>
    <w:p w14:paraId="78095B88" w14:textId="1A097435" w:rsidR="00602D23" w:rsidRDefault="00602D23" w:rsidP="004A5352">
      <w:pPr>
        <w:pStyle w:val="NormalnyWeb"/>
        <w:rPr>
          <w:rFonts w:ascii="Palatino Linotype" w:hAnsi="Palatino Linotype" w:cs="Arial"/>
          <w:color w:val="70AD47" w:themeColor="accent6"/>
          <w:sz w:val="22"/>
          <w:szCs w:val="22"/>
          <w:lang w:val="en-US"/>
        </w:rPr>
      </w:pPr>
    </w:p>
    <w:p w14:paraId="77BBDC35" w14:textId="7CFBDDFA" w:rsidR="00602D23" w:rsidRDefault="00602D23" w:rsidP="004A5352">
      <w:pPr>
        <w:pStyle w:val="NormalnyWeb"/>
        <w:rPr>
          <w:rFonts w:ascii="Palatino Linotype" w:hAnsi="Palatino Linotype" w:cs="Arial"/>
          <w:color w:val="70AD47" w:themeColor="accent6"/>
          <w:sz w:val="22"/>
          <w:szCs w:val="22"/>
          <w:lang w:val="en-US"/>
        </w:rPr>
      </w:pPr>
    </w:p>
    <w:p w14:paraId="657FC26B" w14:textId="715273C9" w:rsidR="00602D23" w:rsidRDefault="00602D23" w:rsidP="004A5352">
      <w:pPr>
        <w:pStyle w:val="NormalnyWeb"/>
        <w:rPr>
          <w:rFonts w:ascii="Palatino Linotype" w:hAnsi="Palatino Linotype" w:cs="Arial"/>
          <w:color w:val="70AD47" w:themeColor="accent6"/>
          <w:sz w:val="22"/>
          <w:szCs w:val="22"/>
          <w:lang w:val="en-US"/>
        </w:rPr>
      </w:pPr>
    </w:p>
    <w:p w14:paraId="0330DBF6" w14:textId="77777777" w:rsidR="00602D23" w:rsidRDefault="00602D23" w:rsidP="004A5352">
      <w:pPr>
        <w:pStyle w:val="NormalnyWeb"/>
        <w:rPr>
          <w:rFonts w:ascii="Palatino Linotype" w:hAnsi="Palatino Linotype" w:cs="Arial"/>
          <w:color w:val="70AD47" w:themeColor="accent6"/>
          <w:sz w:val="22"/>
          <w:szCs w:val="22"/>
          <w:lang w:val="en-US"/>
        </w:rPr>
      </w:pPr>
    </w:p>
    <w:p w14:paraId="701AA0EC" w14:textId="77777777" w:rsidR="004A5352" w:rsidRPr="004A5352" w:rsidRDefault="004A5352" w:rsidP="004A5352">
      <w:pPr>
        <w:pStyle w:val="NormalnyWeb"/>
        <w:rPr>
          <w:rFonts w:ascii="Palatino Linotype" w:hAnsi="Palatino Linotype" w:cs="Arial"/>
          <w:color w:val="70AD47" w:themeColor="accent6"/>
          <w:sz w:val="22"/>
          <w:szCs w:val="22"/>
          <w:lang w:val="en-US"/>
        </w:rPr>
      </w:pPr>
    </w:p>
    <w:p w14:paraId="3A33C9BA" w14:textId="156AD1F0" w:rsidR="00CD10EF" w:rsidRPr="003400E5" w:rsidRDefault="00CD10EF" w:rsidP="00986403">
      <w:pPr>
        <w:pStyle w:val="NormalnyWeb"/>
        <w:numPr>
          <w:ilvl w:val="0"/>
          <w:numId w:val="4"/>
        </w:numPr>
        <w:rPr>
          <w:rFonts w:ascii="Palatino Linotype" w:hAnsi="Palatino Linotype" w:cs="Arial"/>
          <w:bCs/>
          <w:sz w:val="22"/>
          <w:szCs w:val="22"/>
          <w:lang w:val="en-US"/>
        </w:rPr>
      </w:pPr>
      <w:r w:rsidRPr="003400E5">
        <w:rPr>
          <w:rFonts w:ascii="Palatino Linotype" w:hAnsi="Palatino Linotype" w:cs="Arial"/>
          <w:bCs/>
          <w:sz w:val="22"/>
          <w:szCs w:val="22"/>
          <w:lang w:val="en-US"/>
        </w:rPr>
        <w:t xml:space="preserve">!! Patients age matters. You have put all the patients/controls in one group, but this </w:t>
      </w:r>
      <w:proofErr w:type="spellStart"/>
      <w:r w:rsidRPr="003400E5">
        <w:rPr>
          <w:rFonts w:ascii="Palatino Linotype" w:hAnsi="Palatino Linotype" w:cs="Arial"/>
          <w:bCs/>
          <w:sz w:val="22"/>
          <w:szCs w:val="22"/>
          <w:lang w:val="en-US"/>
        </w:rPr>
        <w:t>doesnt</w:t>
      </w:r>
      <w:proofErr w:type="spellEnd"/>
      <w:r w:rsidRPr="003400E5">
        <w:rPr>
          <w:rFonts w:ascii="Palatino Linotype" w:hAnsi="Palatino Linotype" w:cs="Arial"/>
          <w:bCs/>
          <w:sz w:val="22"/>
          <w:szCs w:val="22"/>
          <w:lang w:val="en-US"/>
        </w:rPr>
        <w:t xml:space="preserve"> seems very correct. Because there is big difference in eye development between weeks 22 and 32. Thus, the group division in: 26-30, 22-31, 23-31 </w:t>
      </w:r>
      <w:proofErr w:type="spellStart"/>
      <w:r w:rsidRPr="003400E5">
        <w:rPr>
          <w:rFonts w:ascii="Palatino Linotype" w:hAnsi="Palatino Linotype" w:cs="Arial"/>
          <w:bCs/>
          <w:sz w:val="22"/>
          <w:szCs w:val="22"/>
          <w:lang w:val="en-US"/>
        </w:rPr>
        <w:t>ans</w:t>
      </w:r>
      <w:proofErr w:type="spellEnd"/>
      <w:r w:rsidRPr="003400E5">
        <w:rPr>
          <w:rFonts w:ascii="Palatino Linotype" w:hAnsi="Palatino Linotype" w:cs="Arial"/>
          <w:bCs/>
          <w:sz w:val="22"/>
          <w:szCs w:val="22"/>
          <w:lang w:val="en-US"/>
        </w:rPr>
        <w:t xml:space="preserve"> 22-30 is not correct.</w:t>
      </w:r>
      <w:r w:rsidR="00ED2614" w:rsidRPr="003400E5">
        <w:rPr>
          <w:rFonts w:ascii="Palatino Linotype" w:hAnsi="Palatino Linotype" w:cs="Arial"/>
          <w:bCs/>
          <w:sz w:val="22"/>
          <w:szCs w:val="22"/>
          <w:lang w:val="en-US"/>
        </w:rPr>
        <w:t xml:space="preserve"> </w:t>
      </w:r>
      <w:r w:rsidRPr="003400E5">
        <w:rPr>
          <w:rFonts w:ascii="Palatino Linotype" w:hAnsi="Palatino Linotype" w:cs="Arial"/>
          <w:bCs/>
          <w:sz w:val="22"/>
          <w:szCs w:val="22"/>
          <w:lang w:val="en-US"/>
        </w:rPr>
        <w:t>You have to give insight into the development impact on the aging groups in M+M and Discussion. Additionally, M+M have to contain correct division of patients in accordance to the age weeks, there is a lack of this info now.</w:t>
      </w:r>
    </w:p>
    <w:p w14:paraId="2F6B47CD" w14:textId="77777777" w:rsidR="00405226" w:rsidRPr="00405226" w:rsidRDefault="00405226" w:rsidP="00405226">
      <w:pPr>
        <w:pStyle w:val="NormalnyWeb"/>
        <w:ind w:left="360"/>
        <w:rPr>
          <w:rFonts w:ascii="Palatino Linotype" w:hAnsi="Palatino Linotype" w:cs="Arial"/>
          <w:i/>
          <w:sz w:val="22"/>
          <w:szCs w:val="22"/>
          <w:lang w:val="en-US"/>
        </w:rPr>
      </w:pPr>
      <w:r w:rsidRPr="00405226">
        <w:rPr>
          <w:rFonts w:ascii="Palatino Linotype" w:hAnsi="Palatino Linotype" w:cs="Arial"/>
          <w:i/>
          <w:sz w:val="22"/>
          <w:szCs w:val="22"/>
          <w:lang w:val="en-US"/>
        </w:rPr>
        <w:t>Reply:</w:t>
      </w:r>
    </w:p>
    <w:p w14:paraId="26041749" w14:textId="2A5445DD" w:rsidR="00CB436A" w:rsidRPr="00D4491B" w:rsidRDefault="00405226" w:rsidP="00405226">
      <w:pPr>
        <w:pStyle w:val="NormalnyWeb"/>
        <w:jc w:val="both"/>
        <w:rPr>
          <w:rFonts w:ascii="Palatino Linotype" w:hAnsi="Palatino Linotype" w:cs="Arial"/>
          <w:bCs/>
          <w:sz w:val="22"/>
          <w:szCs w:val="22"/>
          <w:lang w:val="en-US"/>
        </w:rPr>
      </w:pPr>
      <w:r>
        <w:rPr>
          <w:rFonts w:ascii="Palatino Linotype" w:hAnsi="Palatino Linotype" w:cs="Arial"/>
          <w:bCs/>
          <w:sz w:val="22"/>
          <w:szCs w:val="22"/>
          <w:lang w:val="en-US"/>
        </w:rPr>
        <w:t>We</w:t>
      </w:r>
      <w:r w:rsidR="00CB436A" w:rsidRPr="00D4491B">
        <w:rPr>
          <w:rFonts w:ascii="Palatino Linotype" w:hAnsi="Palatino Linotype" w:cs="Arial"/>
          <w:bCs/>
          <w:sz w:val="22"/>
          <w:szCs w:val="22"/>
          <w:lang w:val="en-US"/>
        </w:rPr>
        <w:t xml:space="preserve"> agree with the </w:t>
      </w:r>
      <w:r>
        <w:rPr>
          <w:rFonts w:ascii="Palatino Linotype" w:hAnsi="Palatino Linotype" w:cs="Arial"/>
          <w:bCs/>
          <w:sz w:val="22"/>
          <w:szCs w:val="22"/>
          <w:lang w:val="en-US"/>
        </w:rPr>
        <w:t>R</w:t>
      </w:r>
      <w:r w:rsidR="00CB436A" w:rsidRPr="00D4491B">
        <w:rPr>
          <w:rFonts w:ascii="Palatino Linotype" w:hAnsi="Palatino Linotype" w:cs="Arial"/>
          <w:bCs/>
          <w:sz w:val="22"/>
          <w:szCs w:val="22"/>
          <w:lang w:val="en-US"/>
        </w:rPr>
        <w:t xml:space="preserve">eviewer, the age of the patient is crucial for the development of the eye and the occurrence of ROP after birth. Our observations and those of other investigators indicate that the cutoff age for ROP risk is </w:t>
      </w:r>
      <w:r w:rsidR="00127F54">
        <w:rPr>
          <w:rFonts w:ascii="Palatino Linotype" w:hAnsi="Palatino Linotype" w:cs="Arial"/>
          <w:bCs/>
          <w:sz w:val="22"/>
          <w:szCs w:val="22"/>
          <w:lang w:val="en-US"/>
        </w:rPr>
        <w:t>GA=</w:t>
      </w:r>
      <w:r w:rsidR="00CB436A" w:rsidRPr="00D4491B">
        <w:rPr>
          <w:rFonts w:ascii="Palatino Linotype" w:hAnsi="Palatino Linotype" w:cs="Arial"/>
          <w:bCs/>
          <w:sz w:val="22"/>
          <w:szCs w:val="22"/>
          <w:lang w:val="en-US"/>
        </w:rPr>
        <w:t>28</w:t>
      </w:r>
      <w:r w:rsidR="00127F54">
        <w:rPr>
          <w:rFonts w:ascii="Palatino Linotype" w:hAnsi="Palatino Linotype" w:cs="Arial"/>
          <w:bCs/>
          <w:sz w:val="22"/>
          <w:szCs w:val="22"/>
          <w:lang w:val="en-US"/>
        </w:rPr>
        <w:t xml:space="preserve"> weeks</w:t>
      </w:r>
      <w:r w:rsidR="00CB436A" w:rsidRPr="00D4491B">
        <w:rPr>
          <w:rFonts w:ascii="Palatino Linotype" w:hAnsi="Palatino Linotype" w:cs="Arial"/>
          <w:bCs/>
          <w:sz w:val="22"/>
          <w:szCs w:val="22"/>
          <w:lang w:val="en-US"/>
        </w:rPr>
        <w:t xml:space="preserve">, </w:t>
      </w:r>
      <w:r w:rsidR="00451137">
        <w:rPr>
          <w:rFonts w:ascii="Palatino Linotype" w:hAnsi="Palatino Linotype" w:cs="Arial"/>
          <w:bCs/>
          <w:sz w:val="22"/>
          <w:szCs w:val="22"/>
          <w:lang w:val="en-US"/>
        </w:rPr>
        <w:t xml:space="preserve">cutoff for the </w:t>
      </w:r>
      <w:r w:rsidR="00CB436A" w:rsidRPr="00D4491B">
        <w:rPr>
          <w:rFonts w:ascii="Palatino Linotype" w:hAnsi="Palatino Linotype" w:cs="Arial"/>
          <w:bCs/>
          <w:sz w:val="22"/>
          <w:szCs w:val="22"/>
          <w:lang w:val="en-US"/>
        </w:rPr>
        <w:t xml:space="preserve">extremely low gestational age (ELGA). </w:t>
      </w:r>
      <w:r w:rsidR="00D4491B" w:rsidRPr="00D4491B">
        <w:rPr>
          <w:rFonts w:ascii="Palatino Linotype" w:hAnsi="Palatino Linotype" w:cs="Arial"/>
          <w:bCs/>
          <w:sz w:val="22"/>
          <w:szCs w:val="22"/>
          <w:lang w:val="en-US"/>
        </w:rPr>
        <w:t>Low GA is a significant risk factor for ROP and p</w:t>
      </w:r>
      <w:r w:rsidR="00CB436A" w:rsidRPr="00D4491B">
        <w:rPr>
          <w:rFonts w:ascii="Palatino Linotype" w:hAnsi="Palatino Linotype" w:cs="Arial"/>
          <w:bCs/>
          <w:sz w:val="22"/>
          <w:szCs w:val="22"/>
          <w:lang w:val="en-US"/>
        </w:rPr>
        <w:t>lacing the studied children in one group allows us to estimate the effect of GA on ROP risk.</w:t>
      </w:r>
      <w:r w:rsidR="00CB436A" w:rsidRPr="00D4491B">
        <w:rPr>
          <w:sz w:val="22"/>
          <w:szCs w:val="22"/>
          <w:lang w:val="en-US"/>
        </w:rPr>
        <w:t xml:space="preserve"> </w:t>
      </w:r>
      <w:r w:rsidR="00D4491B" w:rsidRPr="00D4491B">
        <w:rPr>
          <w:rFonts w:ascii="Palatino Linotype" w:hAnsi="Palatino Linotype" w:cs="Arial"/>
          <w:bCs/>
          <w:sz w:val="22"/>
          <w:szCs w:val="22"/>
          <w:lang w:val="en-US"/>
        </w:rPr>
        <w:t>Relationship between GA</w:t>
      </w:r>
      <w:r w:rsidR="00CB436A" w:rsidRPr="00D4491B">
        <w:rPr>
          <w:rFonts w:ascii="Palatino Linotype" w:hAnsi="Palatino Linotype" w:cs="Arial"/>
          <w:bCs/>
          <w:sz w:val="22"/>
          <w:szCs w:val="22"/>
          <w:lang w:val="en-US"/>
        </w:rPr>
        <w:t xml:space="preserve"> on ROP was thoroughly determined in our previous study</w:t>
      </w:r>
      <w:r w:rsidR="00D4491B" w:rsidRPr="00D4491B">
        <w:rPr>
          <w:rFonts w:ascii="Palatino Linotype" w:hAnsi="Palatino Linotype" w:cs="Arial"/>
          <w:bCs/>
          <w:sz w:val="22"/>
          <w:szCs w:val="22"/>
          <w:lang w:val="en-US"/>
        </w:rPr>
        <w:t xml:space="preserve"> [reference </w:t>
      </w:r>
      <w:r w:rsidR="00451137">
        <w:rPr>
          <w:rFonts w:ascii="Palatino Linotype" w:hAnsi="Palatino Linotype" w:cs="Arial"/>
          <w:bCs/>
          <w:sz w:val="22"/>
          <w:szCs w:val="22"/>
          <w:lang w:val="en-US"/>
        </w:rPr>
        <w:t>8</w:t>
      </w:r>
      <w:r w:rsidR="00D4491B" w:rsidRPr="00D4491B">
        <w:rPr>
          <w:rFonts w:ascii="Palatino Linotype" w:hAnsi="Palatino Linotype" w:cs="Arial"/>
          <w:bCs/>
          <w:sz w:val="22"/>
          <w:szCs w:val="22"/>
          <w:lang w:val="en-US"/>
        </w:rPr>
        <w:t xml:space="preserve"> - Strauss E et all. </w:t>
      </w:r>
      <w:r w:rsidR="00D4491B" w:rsidRPr="00D4491B">
        <w:rPr>
          <w:rFonts w:ascii="Palatino Linotype" w:hAnsi="Palatino Linotype" w:cs="Arial"/>
          <w:bCs/>
          <w:i/>
          <w:sz w:val="22"/>
          <w:szCs w:val="22"/>
          <w:lang w:val="en-US"/>
        </w:rPr>
        <w:t>SELENOP</w:t>
      </w:r>
      <w:r w:rsidR="00D4491B" w:rsidRPr="00D4491B">
        <w:rPr>
          <w:rFonts w:ascii="Palatino Linotype" w:hAnsi="Palatino Linotype" w:cs="Arial"/>
          <w:bCs/>
          <w:sz w:val="22"/>
          <w:szCs w:val="22"/>
          <w:lang w:val="en-US"/>
        </w:rPr>
        <w:t xml:space="preserve"> rs3877899 Variant Affects the Risk of Developing Advanced Stages of Retinopathy of Prematurity (ROP). </w:t>
      </w:r>
      <w:proofErr w:type="spellStart"/>
      <w:r w:rsidR="00D4491B" w:rsidRPr="00D4491B">
        <w:rPr>
          <w:rFonts w:ascii="Palatino Linotype" w:hAnsi="Palatino Linotype" w:cs="Arial"/>
          <w:bCs/>
          <w:sz w:val="22"/>
          <w:szCs w:val="22"/>
          <w:lang w:val="en-US"/>
        </w:rPr>
        <w:t>Int</w:t>
      </w:r>
      <w:proofErr w:type="spellEnd"/>
      <w:r w:rsidR="00D4491B" w:rsidRPr="00D4491B">
        <w:rPr>
          <w:rFonts w:ascii="Palatino Linotype" w:hAnsi="Palatino Linotype" w:cs="Arial"/>
          <w:bCs/>
          <w:sz w:val="22"/>
          <w:szCs w:val="22"/>
          <w:lang w:val="en-US"/>
        </w:rPr>
        <w:t xml:space="preserve"> J </w:t>
      </w:r>
      <w:proofErr w:type="spellStart"/>
      <w:r w:rsidR="00D4491B" w:rsidRPr="00D4491B">
        <w:rPr>
          <w:rFonts w:ascii="Palatino Linotype" w:hAnsi="Palatino Linotype" w:cs="Arial"/>
          <w:bCs/>
          <w:sz w:val="22"/>
          <w:szCs w:val="22"/>
          <w:lang w:val="en-US"/>
        </w:rPr>
        <w:t>Mol</w:t>
      </w:r>
      <w:proofErr w:type="spellEnd"/>
      <w:r w:rsidR="00D4491B" w:rsidRPr="00D4491B">
        <w:rPr>
          <w:rFonts w:ascii="Palatino Linotype" w:hAnsi="Palatino Linotype" w:cs="Arial"/>
          <w:bCs/>
          <w:sz w:val="22"/>
          <w:szCs w:val="22"/>
          <w:lang w:val="en-US"/>
        </w:rPr>
        <w:t xml:space="preserve"> Sci. 2023;24(8):7570. PMID: 37108730]; </w:t>
      </w:r>
      <w:r w:rsidR="00165EBF">
        <w:rPr>
          <w:rFonts w:ascii="Palatino Linotype" w:hAnsi="Palatino Linotype" w:cs="Arial"/>
          <w:bCs/>
          <w:sz w:val="22"/>
          <w:szCs w:val="22"/>
          <w:lang w:val="en-US"/>
        </w:rPr>
        <w:t xml:space="preserve">See </w:t>
      </w:r>
      <w:r w:rsidR="00D4491B" w:rsidRPr="00D4491B">
        <w:rPr>
          <w:rFonts w:ascii="Palatino Linotype" w:hAnsi="Palatino Linotype" w:cs="Arial"/>
          <w:bCs/>
          <w:sz w:val="22"/>
          <w:szCs w:val="22"/>
          <w:lang w:val="en-US"/>
        </w:rPr>
        <w:t>Figure 2</w:t>
      </w:r>
      <w:r w:rsidR="00165EBF">
        <w:rPr>
          <w:rFonts w:ascii="Palatino Linotype" w:hAnsi="Palatino Linotype" w:cs="Arial"/>
          <w:bCs/>
          <w:sz w:val="22"/>
          <w:szCs w:val="22"/>
          <w:lang w:val="en-US"/>
        </w:rPr>
        <w:t xml:space="preserve"> for details</w:t>
      </w:r>
      <w:r w:rsidR="00D4491B" w:rsidRPr="00D4491B">
        <w:rPr>
          <w:rFonts w:ascii="Palatino Linotype" w:hAnsi="Palatino Linotype" w:cs="Arial"/>
          <w:bCs/>
          <w:sz w:val="22"/>
          <w:szCs w:val="22"/>
          <w:lang w:val="en-US"/>
        </w:rPr>
        <w:t>.</w:t>
      </w:r>
    </w:p>
    <w:p w14:paraId="220FA2D6" w14:textId="4D5AA82F" w:rsidR="00986403" w:rsidRDefault="005F58E8" w:rsidP="00CB436A">
      <w:pPr>
        <w:pStyle w:val="NormalnyWeb"/>
        <w:jc w:val="center"/>
        <w:rPr>
          <w:rFonts w:ascii="Palatino Linotype" w:hAnsi="Palatino Linotype" w:cs="Arial"/>
          <w:b/>
          <w:bCs/>
          <w:color w:val="FF0000"/>
          <w:sz w:val="22"/>
          <w:szCs w:val="22"/>
          <w:lang w:val="en-US"/>
        </w:rPr>
      </w:pPr>
      <w:r w:rsidRPr="005F58E8">
        <w:rPr>
          <w:rFonts w:ascii="Palatino Linotype" w:hAnsi="Palatino Linotype" w:cs="Arial"/>
          <w:b/>
          <w:bCs/>
          <w:noProof/>
          <w:color w:val="FF0000"/>
          <w:sz w:val="22"/>
          <w:szCs w:val="22"/>
        </w:rPr>
        <w:drawing>
          <wp:inline distT="0" distB="0" distL="0" distR="0" wp14:anchorId="4E003F0D" wp14:editId="5672CB50">
            <wp:extent cx="2637735" cy="2054254"/>
            <wp:effectExtent l="0" t="0" r="0" b="3175"/>
            <wp:docPr id="2" name="Obraz 2" descr="H:\1_2021_IGCZ NEW DATA_20200930\11_PUBLIKACJE\_______OPUBLIKOWANE\27. ROP_SELENO_MDPI_opub 2023 140 pkt\2. Submission MDPI\FGURES\Fig 2GA Kapplan May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1_2021_IGCZ NEW DATA_20200930\11_PUBLIKACJE\_______OPUBLIKOWANE\27. ROP_SELENO_MDPI_opub 2023 140 pkt\2. Submission MDPI\FGURES\Fig 2GA Kapplan Mayer.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58048" cy="2070074"/>
                    </a:xfrm>
                    <a:prstGeom prst="rect">
                      <a:avLst/>
                    </a:prstGeom>
                    <a:noFill/>
                    <a:ln>
                      <a:noFill/>
                    </a:ln>
                  </pic:spPr>
                </pic:pic>
              </a:graphicData>
            </a:graphic>
          </wp:inline>
        </w:drawing>
      </w:r>
    </w:p>
    <w:p w14:paraId="29F2E50C" w14:textId="70F649AA" w:rsidR="00CB436A" w:rsidRPr="00CB436A" w:rsidRDefault="00CB436A" w:rsidP="00D36127">
      <w:pPr>
        <w:pStyle w:val="NormalnyWeb"/>
        <w:jc w:val="center"/>
        <w:rPr>
          <w:rFonts w:ascii="Palatino Linotype" w:hAnsi="Palatino Linotype" w:cs="Arial"/>
          <w:bCs/>
          <w:sz w:val="20"/>
          <w:szCs w:val="22"/>
          <w:lang w:val="en-US"/>
        </w:rPr>
      </w:pPr>
      <w:r w:rsidRPr="00CB436A">
        <w:rPr>
          <w:rFonts w:ascii="Palatino Linotype" w:hAnsi="Palatino Linotype" w:cs="Arial"/>
          <w:bCs/>
          <w:sz w:val="20"/>
          <w:szCs w:val="22"/>
          <w:lang w:val="en-US"/>
        </w:rPr>
        <w:t>Figure 2. The relationship between birth age and the occurrence and course of ROP.</w:t>
      </w:r>
      <w:r w:rsidR="00D36127" w:rsidRPr="00D36127">
        <w:rPr>
          <w:rFonts w:ascii="Palatino Linotype" w:hAnsi="Palatino Linotype" w:cs="Arial"/>
          <w:bCs/>
          <w:sz w:val="22"/>
          <w:szCs w:val="22"/>
          <w:lang w:val="en-US"/>
        </w:rPr>
        <w:t xml:space="preserve"> </w:t>
      </w:r>
      <w:r w:rsidR="00D36127" w:rsidRPr="00D4491B">
        <w:rPr>
          <w:rFonts w:ascii="Palatino Linotype" w:hAnsi="Palatino Linotype" w:cs="Arial"/>
          <w:bCs/>
          <w:sz w:val="22"/>
          <w:szCs w:val="22"/>
          <w:lang w:val="en-US"/>
        </w:rPr>
        <w:t xml:space="preserve">[reference </w:t>
      </w:r>
      <w:r w:rsidR="00D36127">
        <w:rPr>
          <w:rFonts w:ascii="Palatino Linotype" w:hAnsi="Palatino Linotype" w:cs="Arial"/>
          <w:bCs/>
          <w:sz w:val="22"/>
          <w:szCs w:val="22"/>
          <w:lang w:val="en-US"/>
        </w:rPr>
        <w:t>8]</w:t>
      </w:r>
    </w:p>
    <w:p w14:paraId="0E52E60E" w14:textId="07BA7851" w:rsidR="00662E0C" w:rsidRDefault="00662E0C" w:rsidP="00662E0C">
      <w:pPr>
        <w:pStyle w:val="MDPI23heading3"/>
        <w:ind w:left="0"/>
        <w:jc w:val="both"/>
        <w:rPr>
          <w:sz w:val="22"/>
          <w:shd w:val="clear" w:color="auto" w:fill="FFFFFF"/>
        </w:rPr>
      </w:pPr>
      <w:r w:rsidRPr="00D4491B">
        <w:rPr>
          <w:sz w:val="22"/>
          <w:shd w:val="clear" w:color="auto" w:fill="FFFFFF"/>
        </w:rPr>
        <w:t>As we reported in</w:t>
      </w:r>
      <w:r>
        <w:rPr>
          <w:sz w:val="22"/>
          <w:shd w:val="clear" w:color="auto" w:fill="FFFFFF"/>
        </w:rPr>
        <w:t xml:space="preserve"> this study, in</w:t>
      </w:r>
      <w:r w:rsidRPr="00D4491B">
        <w:rPr>
          <w:sz w:val="22"/>
          <w:shd w:val="clear" w:color="auto" w:fill="FFFFFF"/>
        </w:rPr>
        <w:t xml:space="preserve"> paragraph: </w:t>
      </w:r>
      <w:r w:rsidRPr="00451137">
        <w:rPr>
          <w:b/>
          <w:sz w:val="22"/>
        </w:rPr>
        <w:t>2.2.1. Single variant tests of association</w:t>
      </w:r>
      <w:r w:rsidRPr="00D4491B">
        <w:rPr>
          <w:sz w:val="22"/>
        </w:rPr>
        <w:t>; t</w:t>
      </w:r>
      <w:r w:rsidRPr="00D4491B">
        <w:rPr>
          <w:sz w:val="22"/>
          <w:shd w:val="clear" w:color="auto" w:fill="FFFFFF"/>
        </w:rPr>
        <w:t xml:space="preserve">he conducted analysis of the association of the studied variants with clinical </w:t>
      </w:r>
      <w:r>
        <w:rPr>
          <w:sz w:val="22"/>
          <w:shd w:val="clear" w:color="auto" w:fill="FFFFFF"/>
        </w:rPr>
        <w:t>parameters of the newborns</w:t>
      </w:r>
      <w:r w:rsidRPr="00D4491B">
        <w:rPr>
          <w:sz w:val="22"/>
          <w:shd w:val="clear" w:color="auto" w:fill="FFFFFF"/>
        </w:rPr>
        <w:t xml:space="preserve"> (including GA)  did not show any statistically significant relationship. </w:t>
      </w:r>
      <w:r w:rsidRPr="00165EBF">
        <w:rPr>
          <w:sz w:val="22"/>
          <w:shd w:val="clear" w:color="auto" w:fill="FFFFFF"/>
        </w:rPr>
        <w:t>On the other hand, some associations in our study were significant only after adjustment for GA, BW, and sex, which suggested the influence of these factors on results.</w:t>
      </w:r>
    </w:p>
    <w:p w14:paraId="17A65EF2" w14:textId="03392702" w:rsidR="00C3528F" w:rsidRDefault="00C3528F" w:rsidP="00662E0C">
      <w:pPr>
        <w:pStyle w:val="MDPI23heading3"/>
        <w:ind w:left="0"/>
        <w:jc w:val="both"/>
        <w:rPr>
          <w:sz w:val="22"/>
          <w:shd w:val="clear" w:color="auto" w:fill="FFFFFF"/>
        </w:rPr>
      </w:pPr>
      <w:r>
        <w:rPr>
          <w:sz w:val="22"/>
          <w:shd w:val="clear" w:color="auto" w:fill="FFFFFF"/>
        </w:rPr>
        <w:t>We performed additional analyses</w:t>
      </w:r>
      <w:r w:rsidR="00127F54">
        <w:rPr>
          <w:sz w:val="22"/>
          <w:shd w:val="clear" w:color="auto" w:fill="FFFFFF"/>
        </w:rPr>
        <w:t xml:space="preserve"> that consider possible </w:t>
      </w:r>
      <w:r>
        <w:rPr>
          <w:sz w:val="22"/>
          <w:shd w:val="clear" w:color="auto" w:fill="FFFFFF"/>
        </w:rPr>
        <w:t xml:space="preserve"> </w:t>
      </w:r>
      <w:r w:rsidR="00127F54" w:rsidRPr="00127F54">
        <w:rPr>
          <w:sz w:val="22"/>
          <w:shd w:val="clear" w:color="auto" w:fill="FFFFFF"/>
        </w:rPr>
        <w:t>g</w:t>
      </w:r>
      <w:r w:rsidR="00127F54" w:rsidRPr="00127F54">
        <w:rPr>
          <w:sz w:val="22"/>
          <w:shd w:val="clear" w:color="auto" w:fill="FFFFFF"/>
        </w:rPr>
        <w:t>ene-</w:t>
      </w:r>
      <w:r w:rsidR="00127F54" w:rsidRPr="00127F54">
        <w:rPr>
          <w:sz w:val="22"/>
          <w:shd w:val="clear" w:color="auto" w:fill="FFFFFF"/>
        </w:rPr>
        <w:t>e</w:t>
      </w:r>
      <w:r w:rsidR="00127F54" w:rsidRPr="00127F54">
        <w:rPr>
          <w:sz w:val="22"/>
          <w:shd w:val="clear" w:color="auto" w:fill="FFFFFF"/>
        </w:rPr>
        <w:t xml:space="preserve">nvironment </w:t>
      </w:r>
      <w:r w:rsidR="00127F54" w:rsidRPr="00127F54">
        <w:rPr>
          <w:sz w:val="22"/>
          <w:shd w:val="clear" w:color="auto" w:fill="FFFFFF"/>
        </w:rPr>
        <w:t>i</w:t>
      </w:r>
      <w:r w:rsidR="00127F54" w:rsidRPr="00127F54">
        <w:rPr>
          <w:sz w:val="22"/>
          <w:shd w:val="clear" w:color="auto" w:fill="FFFFFF"/>
        </w:rPr>
        <w:t>nteraction</w:t>
      </w:r>
      <w:r w:rsidR="00127F54" w:rsidRPr="00127F54">
        <w:rPr>
          <w:sz w:val="22"/>
          <w:shd w:val="clear" w:color="auto" w:fill="FFFFFF"/>
        </w:rPr>
        <w:t>s</w:t>
      </w:r>
      <w:r w:rsidR="00127F54" w:rsidRPr="00127F54">
        <w:rPr>
          <w:sz w:val="22"/>
          <w:shd w:val="clear" w:color="auto" w:fill="FFFFFF"/>
        </w:rPr>
        <w:t xml:space="preserve"> between the MMP-1 and TIMP-1 </w:t>
      </w:r>
      <w:r w:rsidR="00127F54" w:rsidRPr="00127F54">
        <w:rPr>
          <w:sz w:val="22"/>
          <w:shd w:val="clear" w:color="auto" w:fill="FFFFFF"/>
        </w:rPr>
        <w:t>g</w:t>
      </w:r>
      <w:r w:rsidR="00127F54" w:rsidRPr="00127F54">
        <w:rPr>
          <w:sz w:val="22"/>
          <w:shd w:val="clear" w:color="auto" w:fill="FFFFFF"/>
        </w:rPr>
        <w:t>enotype and GA</w:t>
      </w:r>
      <w:r w:rsidR="00127F54" w:rsidRPr="00127F54">
        <w:rPr>
          <w:sz w:val="22"/>
          <w:shd w:val="clear" w:color="auto" w:fill="FFFFFF"/>
        </w:rPr>
        <w:t xml:space="preserve">, BW and sex, </w:t>
      </w:r>
      <w:r w:rsidR="0066556A" w:rsidRPr="00127F54">
        <w:rPr>
          <w:sz w:val="22"/>
          <w:shd w:val="clear" w:color="auto" w:fill="FFFFFF"/>
        </w:rPr>
        <w:t xml:space="preserve">and </w:t>
      </w:r>
      <w:r w:rsidR="0066556A">
        <w:rPr>
          <w:sz w:val="22"/>
          <w:shd w:val="clear" w:color="auto" w:fill="FFFFFF"/>
        </w:rPr>
        <w:t>s</w:t>
      </w:r>
      <w:r w:rsidR="00127F54">
        <w:rPr>
          <w:sz w:val="22"/>
          <w:shd w:val="clear" w:color="auto" w:fill="FFFFFF"/>
        </w:rPr>
        <w:t>upplement</w:t>
      </w:r>
      <w:r w:rsidR="0066556A">
        <w:rPr>
          <w:sz w:val="22"/>
          <w:shd w:val="clear" w:color="auto" w:fill="FFFFFF"/>
        </w:rPr>
        <w:t xml:space="preserve"> them </w:t>
      </w:r>
      <w:r w:rsidR="00127F54">
        <w:rPr>
          <w:sz w:val="22"/>
          <w:shd w:val="clear" w:color="auto" w:fill="FFFFFF"/>
        </w:rPr>
        <w:t>as</w:t>
      </w:r>
      <w:r w:rsidR="0066556A">
        <w:rPr>
          <w:sz w:val="22"/>
          <w:shd w:val="clear" w:color="auto" w:fill="FFFFFF"/>
        </w:rPr>
        <w:t xml:space="preserve"> Supplement</w:t>
      </w:r>
      <w:r w:rsidR="00127F54">
        <w:rPr>
          <w:sz w:val="22"/>
          <w:shd w:val="clear" w:color="auto" w:fill="FFFFFF"/>
        </w:rPr>
        <w:t>ary data</w:t>
      </w:r>
      <w:r w:rsidR="0066556A">
        <w:rPr>
          <w:sz w:val="22"/>
          <w:shd w:val="clear" w:color="auto" w:fill="FFFFFF"/>
        </w:rPr>
        <w:t xml:space="preserve"> </w:t>
      </w:r>
      <w:r>
        <w:rPr>
          <w:sz w:val="22"/>
          <w:shd w:val="clear" w:color="auto" w:fill="FFFFFF"/>
        </w:rPr>
        <w:t>(</w:t>
      </w:r>
      <w:r w:rsidRPr="0066556A">
        <w:rPr>
          <w:i/>
          <w:sz w:val="22"/>
          <w:shd w:val="clear" w:color="auto" w:fill="FFFFFF"/>
        </w:rPr>
        <w:t>Gene-Environment Interaction between the MMP-1 and TIMP-1 Genotype and ELGA</w:t>
      </w:r>
      <w:r>
        <w:rPr>
          <w:sz w:val="22"/>
          <w:shd w:val="clear" w:color="auto" w:fill="FFFFFF"/>
        </w:rPr>
        <w:t>).</w:t>
      </w:r>
      <w:bookmarkStart w:id="0" w:name="_GoBack"/>
      <w:bookmarkEnd w:id="0"/>
    </w:p>
    <w:p w14:paraId="554B33A9" w14:textId="4109B834" w:rsidR="0066556A" w:rsidRDefault="0066556A" w:rsidP="00662E0C">
      <w:pPr>
        <w:pStyle w:val="MDPI23heading3"/>
        <w:ind w:left="0"/>
        <w:jc w:val="both"/>
        <w:rPr>
          <w:sz w:val="22"/>
          <w:shd w:val="clear" w:color="auto" w:fill="FFFFFF"/>
        </w:rPr>
      </w:pPr>
    </w:p>
    <w:p w14:paraId="2CEC8C9E" w14:textId="3374E317" w:rsidR="0066556A" w:rsidRDefault="0066556A" w:rsidP="00662E0C">
      <w:pPr>
        <w:pStyle w:val="MDPI23heading3"/>
        <w:ind w:left="0"/>
        <w:jc w:val="both"/>
        <w:rPr>
          <w:sz w:val="22"/>
          <w:shd w:val="clear" w:color="auto" w:fill="FFFFFF"/>
        </w:rPr>
      </w:pPr>
    </w:p>
    <w:p w14:paraId="2638A53A" w14:textId="66275A90" w:rsidR="00D36127" w:rsidRDefault="00D36127" w:rsidP="00662E0C">
      <w:pPr>
        <w:pStyle w:val="MDPI23heading3"/>
        <w:ind w:left="0"/>
        <w:jc w:val="both"/>
        <w:rPr>
          <w:sz w:val="22"/>
          <w:shd w:val="clear" w:color="auto" w:fill="FFFFFF"/>
        </w:rPr>
      </w:pPr>
    </w:p>
    <w:p w14:paraId="0ECA44DF" w14:textId="77777777" w:rsidR="00D36127" w:rsidRDefault="00D36127" w:rsidP="00662E0C">
      <w:pPr>
        <w:pStyle w:val="MDPI23heading3"/>
        <w:ind w:left="0"/>
        <w:jc w:val="both"/>
        <w:rPr>
          <w:sz w:val="22"/>
          <w:shd w:val="clear" w:color="auto" w:fill="FFFFFF"/>
        </w:rPr>
      </w:pPr>
    </w:p>
    <w:p w14:paraId="45912E3D" w14:textId="41304554" w:rsidR="0066556A" w:rsidRDefault="0066556A" w:rsidP="0066556A">
      <w:pPr>
        <w:pStyle w:val="NormalnyWeb"/>
        <w:rPr>
          <w:rFonts w:ascii="Palatino Linotype" w:hAnsi="Palatino Linotype" w:cs="Arial"/>
          <w:color w:val="0A0A0A"/>
          <w:sz w:val="22"/>
          <w:szCs w:val="22"/>
          <w:lang w:val="en-US"/>
        </w:rPr>
      </w:pPr>
      <w:r w:rsidRPr="00D36127">
        <w:rPr>
          <w:rFonts w:ascii="Palatino Linotype" w:hAnsi="Palatino Linotype" w:cs="Arial"/>
          <w:color w:val="0A0A0A"/>
          <w:sz w:val="22"/>
          <w:szCs w:val="22"/>
          <w:lang w:val="en-US"/>
        </w:rPr>
        <w:t>Supplementary data.</w:t>
      </w:r>
    </w:p>
    <w:p w14:paraId="55E16850" w14:textId="436BB71A" w:rsidR="00C3528F" w:rsidRDefault="00C3528F" w:rsidP="00662E0C">
      <w:pPr>
        <w:pStyle w:val="MDPI23heading3"/>
        <w:ind w:left="0"/>
        <w:jc w:val="both"/>
        <w:rPr>
          <w:sz w:val="22"/>
          <w:shd w:val="clear" w:color="auto" w:fill="FFFFFF"/>
        </w:rPr>
      </w:pPr>
    </w:p>
    <w:p w14:paraId="50F7EC48" w14:textId="77777777" w:rsidR="002845CC" w:rsidRPr="0066556A" w:rsidRDefault="002845CC" w:rsidP="002845CC">
      <w:pPr>
        <w:pStyle w:val="MDPI31text"/>
        <w:rPr>
          <w:highlight w:val="yellow"/>
        </w:rPr>
      </w:pPr>
      <w:r w:rsidRPr="0066556A">
        <w:rPr>
          <w:highlight w:val="yellow"/>
        </w:rPr>
        <w:t>Supplemental Results</w:t>
      </w:r>
    </w:p>
    <w:p w14:paraId="52306131" w14:textId="77777777" w:rsidR="002845CC" w:rsidRPr="0066556A" w:rsidRDefault="002845CC" w:rsidP="002845CC">
      <w:pPr>
        <w:pStyle w:val="MDPI31text"/>
        <w:rPr>
          <w:highlight w:val="yellow"/>
        </w:rPr>
      </w:pPr>
    </w:p>
    <w:p w14:paraId="250D893E" w14:textId="77777777" w:rsidR="002845CC" w:rsidRPr="0066556A" w:rsidRDefault="002845CC" w:rsidP="002845CC">
      <w:pPr>
        <w:pStyle w:val="MDPI31text"/>
        <w:rPr>
          <w:i/>
          <w:highlight w:val="yellow"/>
        </w:rPr>
      </w:pPr>
      <w:r w:rsidRPr="0066556A">
        <w:rPr>
          <w:i/>
          <w:highlight w:val="yellow"/>
        </w:rPr>
        <w:t>Gene-Environment Interaction between the MMP-1 and TIMP-1 Genotype and ELGA</w:t>
      </w:r>
    </w:p>
    <w:p w14:paraId="1356CD58" w14:textId="77777777" w:rsidR="002845CC" w:rsidRPr="0066556A" w:rsidRDefault="002845CC" w:rsidP="002845CC">
      <w:pPr>
        <w:pStyle w:val="MDPI31text"/>
        <w:rPr>
          <w:highlight w:val="yellow"/>
        </w:rPr>
      </w:pPr>
      <w:r w:rsidRPr="0066556A">
        <w:rPr>
          <w:highlight w:val="yellow"/>
        </w:rPr>
        <w:t xml:space="preserve">We observed that the associations between the </w:t>
      </w:r>
      <w:r w:rsidRPr="0066556A">
        <w:rPr>
          <w:i/>
          <w:highlight w:val="yellow"/>
        </w:rPr>
        <w:t>MMP-1</w:t>
      </w:r>
      <w:r w:rsidRPr="0066556A">
        <w:rPr>
          <w:highlight w:val="yellow"/>
        </w:rPr>
        <w:t xml:space="preserve"> rs1799750 variant (in the entire group) and the </w:t>
      </w:r>
      <w:r w:rsidRPr="0066556A">
        <w:rPr>
          <w:i/>
          <w:highlight w:val="yellow"/>
        </w:rPr>
        <w:t>TIMP-1</w:t>
      </w:r>
      <w:r w:rsidRPr="0066556A">
        <w:rPr>
          <w:highlight w:val="yellow"/>
        </w:rPr>
        <w:t xml:space="preserve"> rs4898 variant (in female newborns) with ROP became more pronounced after adjusting for confounding factors. This suggests that the results were influenced by the confounding factors under study. Consequently, we conducted a gene-environment interaction analysis involving </w:t>
      </w:r>
      <w:r w:rsidRPr="0066556A">
        <w:rPr>
          <w:i/>
          <w:highlight w:val="yellow"/>
        </w:rPr>
        <w:t>MMP-1</w:t>
      </w:r>
      <w:r w:rsidRPr="0066556A">
        <w:rPr>
          <w:highlight w:val="yellow"/>
        </w:rPr>
        <w:t xml:space="preserve"> and </w:t>
      </w:r>
      <w:r w:rsidRPr="0066556A">
        <w:rPr>
          <w:i/>
          <w:highlight w:val="yellow"/>
        </w:rPr>
        <w:t>TIMP-1</w:t>
      </w:r>
      <w:r w:rsidRPr="0066556A">
        <w:rPr>
          <w:highlight w:val="yellow"/>
        </w:rPr>
        <w:t xml:space="preserve"> variants, gestational age (GA), birth weight (BW), and gender.</w:t>
      </w:r>
    </w:p>
    <w:p w14:paraId="041056D4" w14:textId="77777777" w:rsidR="002845CC" w:rsidRPr="0066556A" w:rsidRDefault="002845CC" w:rsidP="002845CC">
      <w:pPr>
        <w:pStyle w:val="MDPI31text"/>
        <w:rPr>
          <w:highlight w:val="yellow"/>
        </w:rPr>
      </w:pPr>
      <w:r w:rsidRPr="0066556A">
        <w:rPr>
          <w:highlight w:val="yellow"/>
        </w:rPr>
        <w:t xml:space="preserve">These interactions were assessed using the method described by </w:t>
      </w:r>
      <w:proofErr w:type="spellStart"/>
      <w:r w:rsidRPr="0066556A">
        <w:rPr>
          <w:highlight w:val="yellow"/>
        </w:rPr>
        <w:t>Botto</w:t>
      </w:r>
      <w:proofErr w:type="spellEnd"/>
      <w:r w:rsidRPr="0066556A">
        <w:rPr>
          <w:highlight w:val="yellow"/>
        </w:rPr>
        <w:t xml:space="preserve"> and </w:t>
      </w:r>
      <w:proofErr w:type="spellStart"/>
      <w:r w:rsidRPr="0066556A">
        <w:rPr>
          <w:highlight w:val="yellow"/>
        </w:rPr>
        <w:t>Khoury</w:t>
      </w:r>
      <w:proofErr w:type="spellEnd"/>
      <w:r w:rsidRPr="0066556A">
        <w:rPr>
          <w:highlight w:val="yellow"/>
        </w:rPr>
        <w:t xml:space="preserve"> [39], which is based on the use of a multivariate table with a two-by-four layout. The assessment was performed using univariate analyses (Fisher’s test). The Rothman synergy index (S), which indicates a deviation from the additive model of interactions, was also determined. The interpretation of the coefficient values is as follows: S = 1 indicates no interaction; S &lt; 1 indicates a relative decrease; and S &gt; 1 indicates an increase in the strength of the interactions between the two factors.  Extremely low gestational age (ELGA; defined as GA &lt; 28 week) and extremely low birth weight (ELBW, defined as BW&lt;1000 g) were considered.</w:t>
      </w:r>
    </w:p>
    <w:p w14:paraId="01DFBCCA" w14:textId="77777777" w:rsidR="002845CC" w:rsidRPr="0066556A" w:rsidRDefault="002845CC" w:rsidP="002845CC">
      <w:pPr>
        <w:pStyle w:val="MDPI31text"/>
        <w:rPr>
          <w:highlight w:val="yellow"/>
        </w:rPr>
      </w:pPr>
      <w:r w:rsidRPr="0066556A">
        <w:rPr>
          <w:highlight w:val="yellow"/>
        </w:rPr>
        <w:t xml:space="preserve">We found that ELGA was a factor that interacted with the tested variants. This factor significantly elevated the risk of ROP, increasing it by approximately 9-10 times. The presence of the </w:t>
      </w:r>
      <w:r w:rsidRPr="0066556A">
        <w:rPr>
          <w:i/>
          <w:highlight w:val="yellow"/>
        </w:rPr>
        <w:t>MMP-1</w:t>
      </w:r>
      <w:r w:rsidRPr="0066556A">
        <w:rPr>
          <w:highlight w:val="yellow"/>
        </w:rPr>
        <w:t xml:space="preserve"> rs1799750 1G allele in conjunction with ELGA was observed in 0% of children without ROP, but in 44% of cases with ROP (Supplemental Table 1).</w:t>
      </w:r>
    </w:p>
    <w:p w14:paraId="7F5A4694" w14:textId="77777777" w:rsidR="002845CC" w:rsidRPr="0066556A" w:rsidRDefault="002845CC" w:rsidP="002845CC">
      <w:pPr>
        <w:pStyle w:val="MDPI31text"/>
        <w:rPr>
          <w:highlight w:val="yellow"/>
        </w:rPr>
      </w:pPr>
    </w:p>
    <w:p w14:paraId="45529A9F" w14:textId="77777777" w:rsidR="002845CC" w:rsidRPr="0066556A" w:rsidRDefault="002845CC" w:rsidP="002845CC">
      <w:pPr>
        <w:pStyle w:val="MDPI41tablecaption"/>
        <w:jc w:val="both"/>
        <w:rPr>
          <w:highlight w:val="yellow"/>
        </w:rPr>
      </w:pPr>
      <w:r w:rsidRPr="000808FC">
        <w:rPr>
          <w:b/>
          <w:color w:val="000000" w:themeColor="text1"/>
          <w:szCs w:val="20"/>
          <w:highlight w:val="yellow"/>
        </w:rPr>
        <w:t xml:space="preserve">Supplemental Table 1. </w:t>
      </w:r>
      <w:r w:rsidRPr="0066556A">
        <w:rPr>
          <w:highlight w:val="yellow"/>
        </w:rPr>
        <w:t xml:space="preserve">The effect of gene-environment interaction between the </w:t>
      </w:r>
      <w:r w:rsidRPr="0066556A">
        <w:rPr>
          <w:i/>
          <w:highlight w:val="yellow"/>
        </w:rPr>
        <w:t>MMP-1</w:t>
      </w:r>
      <w:r w:rsidRPr="0066556A">
        <w:rPr>
          <w:highlight w:val="yellow"/>
        </w:rPr>
        <w:t xml:space="preserve"> and </w:t>
      </w:r>
      <w:r w:rsidRPr="0066556A">
        <w:rPr>
          <w:i/>
          <w:highlight w:val="yellow"/>
        </w:rPr>
        <w:t>TIMP-1</w:t>
      </w:r>
      <w:r w:rsidRPr="0066556A">
        <w:rPr>
          <w:highlight w:val="yellow"/>
        </w:rPr>
        <w:t xml:space="preserve"> genotypes, and extremely low gestational age (ELGA) on the incidence of retinopathy of prematurity (ROP).</w:t>
      </w:r>
    </w:p>
    <w:tbl>
      <w:tblPr>
        <w:tblStyle w:val="Siatkatabelijasna"/>
        <w:tblW w:w="0" w:type="auto"/>
        <w:jc w:val="center"/>
        <w:tblBorders>
          <w:top w:val="single" w:sz="8" w:space="0" w:color="auto"/>
          <w:left w:val="none" w:sz="0" w:space="0" w:color="auto"/>
          <w:bottom w:val="single" w:sz="8" w:space="0" w:color="auto"/>
          <w:right w:val="none" w:sz="0" w:space="0" w:color="auto"/>
          <w:insideH w:val="single" w:sz="4" w:space="0" w:color="auto"/>
          <w:insideV w:val="none" w:sz="0" w:space="0" w:color="auto"/>
        </w:tblBorders>
        <w:tblCellMar>
          <w:left w:w="0" w:type="dxa"/>
          <w:right w:w="0" w:type="dxa"/>
        </w:tblCellMar>
        <w:tblLook w:val="01A0" w:firstRow="1" w:lastRow="0" w:firstColumn="1" w:lastColumn="1" w:noHBand="0" w:noVBand="0"/>
      </w:tblPr>
      <w:tblGrid>
        <w:gridCol w:w="2103"/>
        <w:gridCol w:w="903"/>
        <w:gridCol w:w="1194"/>
        <w:gridCol w:w="946"/>
        <w:gridCol w:w="2509"/>
      </w:tblGrid>
      <w:tr w:rsidR="002845CC" w:rsidRPr="00127F54" w14:paraId="0BA20B91" w14:textId="77777777" w:rsidTr="00B336CF">
        <w:trPr>
          <w:jc w:val="center"/>
        </w:trPr>
        <w:tc>
          <w:tcPr>
            <w:tcW w:w="0" w:type="auto"/>
            <w:gridSpan w:val="2"/>
            <w:shd w:val="clear" w:color="auto" w:fill="auto"/>
            <w:vAlign w:val="center"/>
          </w:tcPr>
          <w:p w14:paraId="0D02A41A" w14:textId="77777777" w:rsidR="002845CC" w:rsidRPr="0066556A" w:rsidRDefault="002845CC" w:rsidP="00B336CF">
            <w:pPr>
              <w:autoSpaceDE w:val="0"/>
              <w:autoSpaceDN w:val="0"/>
              <w:adjustRightInd w:val="0"/>
              <w:snapToGrid w:val="0"/>
              <w:jc w:val="center"/>
              <w:rPr>
                <w:rFonts w:ascii="Palatino Linotype" w:hAnsi="Palatino Linotype"/>
                <w:b/>
                <w:bCs/>
                <w:color w:val="000000" w:themeColor="text1"/>
                <w:sz w:val="20"/>
                <w:szCs w:val="20"/>
                <w:highlight w:val="yellow"/>
                <w:lang w:val="en-US"/>
              </w:rPr>
            </w:pPr>
            <w:proofErr w:type="spellStart"/>
            <w:r w:rsidRPr="0066556A">
              <w:rPr>
                <w:rFonts w:ascii="Palatino Linotype" w:hAnsi="Palatino Linotype"/>
                <w:b/>
                <w:bCs/>
                <w:color w:val="000000" w:themeColor="text1"/>
                <w:sz w:val="20"/>
                <w:szCs w:val="20"/>
                <w:highlight w:val="yellow"/>
              </w:rPr>
              <w:t>Risk</w:t>
            </w:r>
            <w:proofErr w:type="spellEnd"/>
            <w:r w:rsidRPr="0066556A">
              <w:rPr>
                <w:rFonts w:ascii="Palatino Linotype" w:hAnsi="Palatino Linotype"/>
                <w:b/>
                <w:bCs/>
                <w:color w:val="000000" w:themeColor="text1"/>
                <w:sz w:val="20"/>
                <w:szCs w:val="20"/>
                <w:highlight w:val="yellow"/>
              </w:rPr>
              <w:t xml:space="preserve"> </w:t>
            </w:r>
            <w:proofErr w:type="spellStart"/>
            <w:r w:rsidRPr="0066556A">
              <w:rPr>
                <w:rFonts w:ascii="Palatino Linotype" w:hAnsi="Palatino Linotype"/>
                <w:b/>
                <w:bCs/>
                <w:color w:val="000000" w:themeColor="text1"/>
                <w:sz w:val="20"/>
                <w:szCs w:val="20"/>
                <w:highlight w:val="yellow"/>
              </w:rPr>
              <w:t>Factors</w:t>
            </w:r>
            <w:proofErr w:type="spellEnd"/>
          </w:p>
        </w:tc>
        <w:tc>
          <w:tcPr>
            <w:tcW w:w="0" w:type="auto"/>
            <w:gridSpan w:val="2"/>
            <w:shd w:val="clear" w:color="auto" w:fill="auto"/>
            <w:vAlign w:val="center"/>
          </w:tcPr>
          <w:p w14:paraId="395E20DC" w14:textId="77777777" w:rsidR="002845CC" w:rsidRPr="0066556A" w:rsidRDefault="002845CC" w:rsidP="00B336CF">
            <w:pPr>
              <w:autoSpaceDE w:val="0"/>
              <w:autoSpaceDN w:val="0"/>
              <w:adjustRightInd w:val="0"/>
              <w:snapToGrid w:val="0"/>
              <w:jc w:val="center"/>
              <w:rPr>
                <w:rFonts w:ascii="Palatino Linotype" w:hAnsi="Palatino Linotype"/>
                <w:b/>
                <w:bCs/>
                <w:iCs/>
                <w:color w:val="000000" w:themeColor="text1"/>
                <w:sz w:val="20"/>
                <w:szCs w:val="20"/>
                <w:highlight w:val="yellow"/>
                <w:lang w:val="en-US"/>
              </w:rPr>
            </w:pPr>
            <w:proofErr w:type="spellStart"/>
            <w:r w:rsidRPr="0066556A">
              <w:rPr>
                <w:rFonts w:ascii="Palatino Linotype" w:hAnsi="Palatino Linotype"/>
                <w:b/>
                <w:bCs/>
                <w:iCs/>
                <w:sz w:val="20"/>
                <w:szCs w:val="20"/>
                <w:highlight w:val="yellow"/>
              </w:rPr>
              <w:t>Incidence</w:t>
            </w:r>
            <w:proofErr w:type="spellEnd"/>
            <w:r w:rsidRPr="0066556A">
              <w:rPr>
                <w:rFonts w:ascii="Palatino Linotype" w:hAnsi="Palatino Linotype"/>
                <w:b/>
                <w:bCs/>
                <w:iCs/>
                <w:sz w:val="20"/>
                <w:szCs w:val="20"/>
                <w:highlight w:val="yellow"/>
              </w:rPr>
              <w:t xml:space="preserve"> of ROP</w:t>
            </w:r>
          </w:p>
        </w:tc>
        <w:tc>
          <w:tcPr>
            <w:tcW w:w="2509" w:type="dxa"/>
            <w:shd w:val="clear" w:color="auto" w:fill="auto"/>
            <w:vAlign w:val="center"/>
          </w:tcPr>
          <w:p w14:paraId="6B1F603A" w14:textId="77777777" w:rsidR="002845CC" w:rsidRPr="0066556A" w:rsidRDefault="002845CC" w:rsidP="00B336CF">
            <w:pPr>
              <w:autoSpaceDE w:val="0"/>
              <w:autoSpaceDN w:val="0"/>
              <w:adjustRightInd w:val="0"/>
              <w:snapToGrid w:val="0"/>
              <w:jc w:val="center"/>
              <w:rPr>
                <w:rFonts w:ascii="Palatino Linotype" w:hAnsi="Palatino Linotype"/>
                <w:b/>
                <w:bCs/>
                <w:color w:val="000000" w:themeColor="text1"/>
                <w:sz w:val="20"/>
                <w:szCs w:val="20"/>
                <w:highlight w:val="yellow"/>
                <w:shd w:val="clear" w:color="auto" w:fill="FFFFFF"/>
                <w:lang w:val="en-US"/>
              </w:rPr>
            </w:pPr>
            <w:r w:rsidRPr="0066556A">
              <w:rPr>
                <w:rFonts w:ascii="Palatino Linotype" w:hAnsi="Palatino Linotype"/>
                <w:b/>
                <w:bCs/>
                <w:color w:val="000000" w:themeColor="text1"/>
                <w:sz w:val="20"/>
                <w:szCs w:val="20"/>
                <w:highlight w:val="yellow"/>
                <w:shd w:val="clear" w:color="auto" w:fill="FFFFFF"/>
                <w:lang w:val="en-US"/>
              </w:rPr>
              <w:t xml:space="preserve">Statistical Analysis </w:t>
            </w:r>
          </w:p>
          <w:p w14:paraId="2DBB75C6" w14:textId="77777777" w:rsidR="002845CC" w:rsidRPr="0066556A" w:rsidRDefault="002845CC" w:rsidP="00B336CF">
            <w:pPr>
              <w:autoSpaceDE w:val="0"/>
              <w:autoSpaceDN w:val="0"/>
              <w:adjustRightInd w:val="0"/>
              <w:snapToGrid w:val="0"/>
              <w:jc w:val="center"/>
              <w:rPr>
                <w:rFonts w:ascii="Palatino Linotype" w:hAnsi="Palatino Linotype"/>
                <w:b/>
                <w:bCs/>
                <w:iCs/>
                <w:color w:val="000000" w:themeColor="text1"/>
                <w:sz w:val="20"/>
                <w:szCs w:val="20"/>
                <w:highlight w:val="yellow"/>
                <w:lang w:val="en-US"/>
              </w:rPr>
            </w:pPr>
            <w:r w:rsidRPr="0066556A">
              <w:rPr>
                <w:rFonts w:ascii="Palatino Linotype" w:hAnsi="Palatino Linotype"/>
                <w:b/>
                <w:bCs/>
                <w:color w:val="000000" w:themeColor="text1"/>
                <w:sz w:val="20"/>
                <w:szCs w:val="20"/>
                <w:highlight w:val="yellow"/>
                <w:shd w:val="clear" w:color="auto" w:fill="FFFFFF"/>
                <w:lang w:val="en-US"/>
              </w:rPr>
              <w:t xml:space="preserve">OR </w:t>
            </w:r>
            <w:r w:rsidRPr="0066556A">
              <w:rPr>
                <w:rFonts w:ascii="Palatino Linotype" w:hAnsi="Palatino Linotype"/>
                <w:bCs/>
                <w:color w:val="000000" w:themeColor="text1"/>
                <w:sz w:val="20"/>
                <w:szCs w:val="20"/>
                <w:highlight w:val="yellow"/>
                <w:shd w:val="clear" w:color="auto" w:fill="FFFFFF"/>
                <w:lang w:val="en-US"/>
              </w:rPr>
              <w:t>(</w:t>
            </w:r>
            <w:r w:rsidRPr="0066556A">
              <w:rPr>
                <w:rFonts w:ascii="Palatino Linotype" w:hAnsi="Palatino Linotype"/>
                <w:b/>
                <w:bCs/>
                <w:color w:val="000000" w:themeColor="text1"/>
                <w:sz w:val="20"/>
                <w:szCs w:val="20"/>
                <w:highlight w:val="yellow"/>
                <w:shd w:val="clear" w:color="auto" w:fill="FFFFFF"/>
                <w:lang w:val="en-US"/>
              </w:rPr>
              <w:t>95%CI</w:t>
            </w:r>
            <w:r w:rsidRPr="0066556A">
              <w:rPr>
                <w:rFonts w:ascii="Palatino Linotype" w:hAnsi="Palatino Linotype"/>
                <w:bCs/>
                <w:color w:val="000000" w:themeColor="text1"/>
                <w:sz w:val="20"/>
                <w:szCs w:val="20"/>
                <w:highlight w:val="yellow"/>
                <w:shd w:val="clear" w:color="auto" w:fill="FFFFFF"/>
                <w:lang w:val="en-US"/>
              </w:rPr>
              <w:t>)</w:t>
            </w:r>
            <w:r w:rsidRPr="0066556A">
              <w:rPr>
                <w:rFonts w:ascii="Palatino Linotype" w:hAnsi="Palatino Linotype"/>
                <w:b/>
                <w:bCs/>
                <w:color w:val="000000" w:themeColor="text1"/>
                <w:sz w:val="20"/>
                <w:szCs w:val="20"/>
                <w:highlight w:val="yellow"/>
                <w:shd w:val="clear" w:color="auto" w:fill="FFFFFF"/>
                <w:lang w:val="en-US"/>
              </w:rPr>
              <w:t xml:space="preserve">; </w:t>
            </w:r>
            <w:r w:rsidRPr="0066556A">
              <w:rPr>
                <w:rFonts w:ascii="Palatino Linotype" w:hAnsi="Palatino Linotype"/>
                <w:b/>
                <w:bCs/>
                <w:i/>
                <w:color w:val="000000" w:themeColor="text1"/>
                <w:sz w:val="20"/>
                <w:szCs w:val="20"/>
                <w:highlight w:val="yellow"/>
                <w:shd w:val="clear" w:color="auto" w:fill="FFFFFF"/>
                <w:lang w:val="en-US"/>
              </w:rPr>
              <w:t>P</w:t>
            </w:r>
          </w:p>
        </w:tc>
      </w:tr>
      <w:tr w:rsidR="002845CC" w:rsidRPr="0066556A" w14:paraId="415DB161" w14:textId="77777777" w:rsidTr="00B336CF">
        <w:trPr>
          <w:jc w:val="center"/>
        </w:trPr>
        <w:tc>
          <w:tcPr>
            <w:tcW w:w="0" w:type="auto"/>
            <w:shd w:val="clear" w:color="auto" w:fill="auto"/>
            <w:vAlign w:val="center"/>
          </w:tcPr>
          <w:p w14:paraId="62A27CF6"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i/>
                <w:color w:val="000000" w:themeColor="text1"/>
                <w:sz w:val="20"/>
                <w:szCs w:val="20"/>
                <w:highlight w:val="yellow"/>
              </w:rPr>
              <w:t>MMP-1</w:t>
            </w:r>
            <w:r w:rsidRPr="0066556A">
              <w:rPr>
                <w:rFonts w:ascii="Palatino Linotype" w:hAnsi="Palatino Linotype"/>
                <w:color w:val="000000" w:themeColor="text1"/>
                <w:sz w:val="20"/>
                <w:szCs w:val="20"/>
                <w:highlight w:val="yellow"/>
              </w:rPr>
              <w:t xml:space="preserve"> rs1799750</w:t>
            </w:r>
          </w:p>
        </w:tc>
        <w:tc>
          <w:tcPr>
            <w:tcW w:w="0" w:type="auto"/>
            <w:shd w:val="clear" w:color="auto" w:fill="auto"/>
            <w:vAlign w:val="center"/>
          </w:tcPr>
          <w:p w14:paraId="0EA0C78E"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color w:val="000000" w:themeColor="text1"/>
                <w:sz w:val="20"/>
                <w:szCs w:val="20"/>
                <w:highlight w:val="yellow"/>
              </w:rPr>
              <w:t>ELGA</w:t>
            </w:r>
          </w:p>
        </w:tc>
        <w:tc>
          <w:tcPr>
            <w:tcW w:w="0" w:type="auto"/>
            <w:shd w:val="clear" w:color="auto" w:fill="auto"/>
            <w:vAlign w:val="center"/>
          </w:tcPr>
          <w:p w14:paraId="4914526D"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I </w:t>
            </w:r>
          </w:p>
          <w:p w14:paraId="2BAAF026"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No ROP</w:t>
            </w:r>
          </w:p>
        </w:tc>
        <w:tc>
          <w:tcPr>
            <w:tcW w:w="0" w:type="auto"/>
            <w:shd w:val="clear" w:color="auto" w:fill="auto"/>
            <w:vAlign w:val="center"/>
          </w:tcPr>
          <w:p w14:paraId="57CB9F65"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II </w:t>
            </w:r>
          </w:p>
          <w:p w14:paraId="39AECB5F"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iCs/>
                <w:sz w:val="20"/>
                <w:szCs w:val="20"/>
                <w:highlight w:val="yellow"/>
              </w:rPr>
              <w:t xml:space="preserve">ROP </w:t>
            </w:r>
          </w:p>
        </w:tc>
        <w:tc>
          <w:tcPr>
            <w:tcW w:w="2509" w:type="dxa"/>
            <w:shd w:val="clear" w:color="auto" w:fill="auto"/>
            <w:vAlign w:val="center"/>
          </w:tcPr>
          <w:p w14:paraId="01BCC1A6" w14:textId="77777777" w:rsidR="002845CC" w:rsidRPr="0066556A" w:rsidRDefault="002845CC" w:rsidP="00B336CF">
            <w:pPr>
              <w:autoSpaceDE w:val="0"/>
              <w:autoSpaceDN w:val="0"/>
              <w:adjustRightInd w:val="0"/>
              <w:snapToGrid w:val="0"/>
              <w:ind w:left="665" w:hanging="665"/>
              <w:jc w:val="center"/>
              <w:rPr>
                <w:rFonts w:ascii="Palatino Linotype" w:hAnsi="Palatino Linotype"/>
                <w:iCs/>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II </w:t>
            </w:r>
            <w:r w:rsidRPr="0066556A">
              <w:rPr>
                <w:rFonts w:ascii="Palatino Linotype" w:hAnsi="Palatino Linotype"/>
                <w:color w:val="000000" w:themeColor="text1"/>
                <w:sz w:val="20"/>
                <w:szCs w:val="20"/>
                <w:highlight w:val="yellow"/>
              </w:rPr>
              <w:t>vs.</w:t>
            </w:r>
            <w:r w:rsidRPr="0066556A">
              <w:rPr>
                <w:rFonts w:ascii="Palatino Linotype" w:hAnsi="Palatino Linotype"/>
                <w:iCs/>
                <w:color w:val="000000" w:themeColor="text1"/>
                <w:sz w:val="20"/>
                <w:szCs w:val="20"/>
                <w:highlight w:val="yellow"/>
              </w:rPr>
              <w:t xml:space="preserve"> I</w:t>
            </w:r>
          </w:p>
        </w:tc>
      </w:tr>
      <w:tr w:rsidR="002845CC" w:rsidRPr="0066556A" w14:paraId="310C2A4C" w14:textId="77777777" w:rsidTr="00B336CF">
        <w:trPr>
          <w:jc w:val="center"/>
        </w:trPr>
        <w:tc>
          <w:tcPr>
            <w:tcW w:w="0" w:type="auto"/>
            <w:shd w:val="clear" w:color="auto" w:fill="auto"/>
            <w:vAlign w:val="center"/>
          </w:tcPr>
          <w:p w14:paraId="426AB94C" w14:textId="77777777" w:rsidR="002845CC" w:rsidRPr="0066556A" w:rsidRDefault="002845CC" w:rsidP="00B336CF">
            <w:pPr>
              <w:autoSpaceDE w:val="0"/>
              <w:autoSpaceDN w:val="0"/>
              <w:adjustRightInd w:val="0"/>
              <w:snapToGrid w:val="0"/>
              <w:jc w:val="center"/>
              <w:rPr>
                <w:rFonts w:ascii="Palatino Linotype" w:hAnsi="Palatino Linotype"/>
                <w:bCs/>
                <w:color w:val="000000" w:themeColor="text1"/>
                <w:sz w:val="20"/>
                <w:szCs w:val="20"/>
                <w:highlight w:val="yellow"/>
                <w:lang w:val="en-US"/>
              </w:rPr>
            </w:pPr>
            <w:r w:rsidRPr="0066556A">
              <w:rPr>
                <w:rFonts w:ascii="Palatino Linotype" w:hAnsi="Palatino Linotype"/>
                <w:bCs/>
                <w:color w:val="000000" w:themeColor="text1"/>
                <w:sz w:val="20"/>
                <w:szCs w:val="20"/>
                <w:highlight w:val="yellow"/>
              </w:rPr>
              <w:t>2G/2G</w:t>
            </w:r>
          </w:p>
        </w:tc>
        <w:tc>
          <w:tcPr>
            <w:tcW w:w="0" w:type="auto"/>
            <w:shd w:val="clear" w:color="auto" w:fill="auto"/>
            <w:vAlign w:val="center"/>
          </w:tcPr>
          <w:p w14:paraId="13536809"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≥28 </w:t>
            </w:r>
            <w:proofErr w:type="spellStart"/>
            <w:r w:rsidRPr="0066556A">
              <w:rPr>
                <w:rFonts w:ascii="Palatino Linotype" w:hAnsi="Palatino Linotype"/>
                <w:iCs/>
                <w:color w:val="000000" w:themeColor="text1"/>
                <w:sz w:val="20"/>
                <w:szCs w:val="20"/>
                <w:highlight w:val="yellow"/>
              </w:rPr>
              <w:t>wk</w:t>
            </w:r>
            <w:proofErr w:type="spellEnd"/>
            <w:r w:rsidRPr="0066556A">
              <w:rPr>
                <w:rFonts w:ascii="Palatino Linotype" w:hAnsi="Palatino Linotype"/>
                <w:iCs/>
                <w:color w:val="000000" w:themeColor="text1"/>
                <w:sz w:val="20"/>
                <w:szCs w:val="20"/>
                <w:highlight w:val="yellow"/>
              </w:rPr>
              <w:t>.</w:t>
            </w:r>
          </w:p>
        </w:tc>
        <w:tc>
          <w:tcPr>
            <w:tcW w:w="0" w:type="auto"/>
            <w:shd w:val="clear" w:color="auto" w:fill="auto"/>
            <w:vAlign w:val="center"/>
          </w:tcPr>
          <w:p w14:paraId="01CAE96E"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15 (30)</w:t>
            </w:r>
          </w:p>
        </w:tc>
        <w:tc>
          <w:tcPr>
            <w:tcW w:w="0" w:type="auto"/>
            <w:shd w:val="clear" w:color="auto" w:fill="auto"/>
            <w:vAlign w:val="center"/>
          </w:tcPr>
          <w:p w14:paraId="6069D15D"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4 (8)</w:t>
            </w:r>
          </w:p>
        </w:tc>
        <w:tc>
          <w:tcPr>
            <w:tcW w:w="2509" w:type="dxa"/>
            <w:shd w:val="clear" w:color="auto" w:fill="auto"/>
            <w:vAlign w:val="center"/>
          </w:tcPr>
          <w:p w14:paraId="5691C3AA" w14:textId="77777777" w:rsidR="002845CC" w:rsidRPr="0066556A" w:rsidRDefault="002845CC" w:rsidP="00B336CF">
            <w:pPr>
              <w:autoSpaceDE w:val="0"/>
              <w:autoSpaceDN w:val="0"/>
              <w:adjustRightInd w:val="0"/>
              <w:snapToGrid w:val="0"/>
              <w:ind w:left="665" w:hanging="665"/>
              <w:jc w:val="center"/>
              <w:rPr>
                <w:rFonts w:ascii="Palatino Linotype" w:hAnsi="Palatino Linotype"/>
                <w:bCs/>
                <w:iCs/>
                <w:color w:val="000000" w:themeColor="text1"/>
                <w:sz w:val="20"/>
                <w:szCs w:val="20"/>
                <w:highlight w:val="yellow"/>
                <w:lang w:val="en-US"/>
              </w:rPr>
            </w:pPr>
            <w:proofErr w:type="spellStart"/>
            <w:r w:rsidRPr="0066556A">
              <w:rPr>
                <w:rFonts w:ascii="Palatino Linotype" w:hAnsi="Palatino Linotype"/>
                <w:bCs/>
                <w:iCs/>
                <w:color w:val="000000" w:themeColor="text1"/>
                <w:sz w:val="20"/>
                <w:szCs w:val="20"/>
                <w:highlight w:val="yellow"/>
              </w:rPr>
              <w:t>reference</w:t>
            </w:r>
            <w:proofErr w:type="spellEnd"/>
          </w:p>
        </w:tc>
      </w:tr>
      <w:tr w:rsidR="002845CC" w:rsidRPr="0066556A" w14:paraId="79C980B7" w14:textId="77777777" w:rsidTr="00B336CF">
        <w:trPr>
          <w:jc w:val="center"/>
        </w:trPr>
        <w:tc>
          <w:tcPr>
            <w:tcW w:w="0" w:type="auto"/>
            <w:shd w:val="clear" w:color="auto" w:fill="auto"/>
            <w:vAlign w:val="center"/>
          </w:tcPr>
          <w:p w14:paraId="3ABF81C6" w14:textId="77777777" w:rsidR="002845CC" w:rsidRPr="0066556A" w:rsidRDefault="002845CC" w:rsidP="00B336CF">
            <w:pPr>
              <w:autoSpaceDE w:val="0"/>
              <w:autoSpaceDN w:val="0"/>
              <w:adjustRightInd w:val="0"/>
              <w:snapToGrid w:val="0"/>
              <w:jc w:val="center"/>
              <w:rPr>
                <w:rFonts w:ascii="Palatino Linotype" w:hAnsi="Palatino Linotype"/>
                <w:bCs/>
                <w:color w:val="000000" w:themeColor="text1"/>
                <w:sz w:val="20"/>
                <w:szCs w:val="20"/>
                <w:highlight w:val="yellow"/>
                <w:lang w:val="en-US"/>
              </w:rPr>
            </w:pPr>
            <w:r w:rsidRPr="0066556A">
              <w:rPr>
                <w:rFonts w:ascii="Palatino Linotype" w:hAnsi="Palatino Linotype"/>
                <w:bCs/>
                <w:color w:val="000000" w:themeColor="text1"/>
                <w:sz w:val="20"/>
                <w:szCs w:val="20"/>
                <w:highlight w:val="yellow"/>
              </w:rPr>
              <w:t>2G/2G</w:t>
            </w:r>
          </w:p>
        </w:tc>
        <w:tc>
          <w:tcPr>
            <w:tcW w:w="0" w:type="auto"/>
            <w:shd w:val="clear" w:color="auto" w:fill="auto"/>
            <w:vAlign w:val="center"/>
          </w:tcPr>
          <w:p w14:paraId="5FE24C70"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&lt;28 </w:t>
            </w:r>
            <w:proofErr w:type="spellStart"/>
            <w:r w:rsidRPr="0066556A">
              <w:rPr>
                <w:rFonts w:ascii="Palatino Linotype" w:hAnsi="Palatino Linotype"/>
                <w:iCs/>
                <w:color w:val="000000" w:themeColor="text1"/>
                <w:sz w:val="20"/>
                <w:szCs w:val="20"/>
                <w:highlight w:val="yellow"/>
              </w:rPr>
              <w:t>wk</w:t>
            </w:r>
            <w:proofErr w:type="spellEnd"/>
            <w:r w:rsidRPr="0066556A">
              <w:rPr>
                <w:rFonts w:ascii="Palatino Linotype" w:hAnsi="Palatino Linotype"/>
                <w:iCs/>
                <w:color w:val="000000" w:themeColor="text1"/>
                <w:sz w:val="20"/>
                <w:szCs w:val="20"/>
                <w:highlight w:val="yellow"/>
              </w:rPr>
              <w:t>.</w:t>
            </w:r>
          </w:p>
        </w:tc>
        <w:tc>
          <w:tcPr>
            <w:tcW w:w="0" w:type="auto"/>
            <w:shd w:val="clear" w:color="auto" w:fill="auto"/>
            <w:vAlign w:val="center"/>
          </w:tcPr>
          <w:p w14:paraId="079B57C8"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4 (8)</w:t>
            </w:r>
          </w:p>
        </w:tc>
        <w:tc>
          <w:tcPr>
            <w:tcW w:w="0" w:type="auto"/>
            <w:shd w:val="clear" w:color="auto" w:fill="auto"/>
            <w:vAlign w:val="center"/>
          </w:tcPr>
          <w:p w14:paraId="6D834721"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11 (22)</w:t>
            </w:r>
          </w:p>
        </w:tc>
        <w:tc>
          <w:tcPr>
            <w:tcW w:w="2509" w:type="dxa"/>
            <w:shd w:val="clear" w:color="auto" w:fill="auto"/>
            <w:vAlign w:val="center"/>
          </w:tcPr>
          <w:p w14:paraId="604CB506" w14:textId="77777777" w:rsidR="002845CC" w:rsidRPr="0066556A" w:rsidRDefault="002845CC" w:rsidP="00B336CF">
            <w:pPr>
              <w:autoSpaceDE w:val="0"/>
              <w:autoSpaceDN w:val="0"/>
              <w:adjustRightInd w:val="0"/>
              <w:snapToGrid w:val="0"/>
              <w:ind w:left="665" w:hanging="665"/>
              <w:jc w:val="center"/>
              <w:rPr>
                <w:rFonts w:ascii="Palatino Linotype" w:hAnsi="Palatino Linotype"/>
                <w:bCs/>
                <w:iCs/>
                <w:color w:val="000000" w:themeColor="text1"/>
                <w:sz w:val="20"/>
                <w:szCs w:val="20"/>
                <w:highlight w:val="yellow"/>
                <w:lang w:val="en-US"/>
              </w:rPr>
            </w:pPr>
            <w:r w:rsidRPr="0066556A">
              <w:rPr>
                <w:rFonts w:ascii="Palatino Linotype" w:hAnsi="Palatino Linotype"/>
                <w:bCs/>
                <w:iCs/>
                <w:color w:val="000000" w:themeColor="text1"/>
                <w:sz w:val="20"/>
                <w:szCs w:val="20"/>
                <w:highlight w:val="yellow"/>
              </w:rPr>
              <w:t>10.3 (</w:t>
            </w:r>
            <w:r w:rsidRPr="0066556A">
              <w:rPr>
                <w:rFonts w:ascii="Palatino Linotype" w:hAnsi="Palatino Linotype"/>
                <w:sz w:val="20"/>
                <w:szCs w:val="20"/>
                <w:highlight w:val="yellow"/>
                <w:shd w:val="clear" w:color="auto" w:fill="FFFFFF"/>
              </w:rPr>
              <w:t>2.1</w:t>
            </w:r>
            <w:r w:rsidRPr="0066556A">
              <w:rPr>
                <w:rFonts w:ascii="Palatino Linotype" w:hAnsi="Palatino Linotype"/>
                <w:bCs/>
                <w:sz w:val="20"/>
                <w:szCs w:val="20"/>
                <w:highlight w:val="yellow"/>
                <w:shd w:val="clear" w:color="auto" w:fill="FFFFFF"/>
              </w:rPr>
              <w:t>–</w:t>
            </w:r>
            <w:r w:rsidRPr="0066556A">
              <w:rPr>
                <w:rFonts w:ascii="Palatino Linotype" w:hAnsi="Palatino Linotype"/>
                <w:sz w:val="20"/>
                <w:szCs w:val="20"/>
                <w:highlight w:val="yellow"/>
                <w:shd w:val="clear" w:color="auto" w:fill="FFFFFF"/>
              </w:rPr>
              <w:t>50.6</w:t>
            </w:r>
            <w:r w:rsidRPr="0066556A">
              <w:rPr>
                <w:rFonts w:ascii="Palatino Linotype" w:hAnsi="Palatino Linotype"/>
                <w:bCs/>
                <w:iCs/>
                <w:color w:val="000000" w:themeColor="text1"/>
                <w:sz w:val="20"/>
                <w:szCs w:val="20"/>
                <w:highlight w:val="yellow"/>
              </w:rPr>
              <w:t>);</w:t>
            </w:r>
            <w:r w:rsidRPr="0066556A">
              <w:rPr>
                <w:rFonts w:ascii="Palatino Linotype" w:hAnsi="Palatino Linotype"/>
                <w:sz w:val="20"/>
                <w:szCs w:val="20"/>
                <w:highlight w:val="yellow"/>
                <w:shd w:val="clear" w:color="auto" w:fill="FFFFFF"/>
              </w:rPr>
              <w:t xml:space="preserve"> 0.005</w:t>
            </w:r>
          </w:p>
        </w:tc>
      </w:tr>
      <w:tr w:rsidR="002845CC" w:rsidRPr="0066556A" w14:paraId="6DDC5FDA" w14:textId="77777777" w:rsidTr="00B336CF">
        <w:trPr>
          <w:jc w:val="center"/>
        </w:trPr>
        <w:tc>
          <w:tcPr>
            <w:tcW w:w="0" w:type="auto"/>
            <w:shd w:val="clear" w:color="auto" w:fill="auto"/>
            <w:vAlign w:val="center"/>
          </w:tcPr>
          <w:p w14:paraId="425BEF01"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bCs/>
                <w:color w:val="000000" w:themeColor="text1"/>
                <w:sz w:val="20"/>
                <w:szCs w:val="20"/>
                <w:highlight w:val="yellow"/>
              </w:rPr>
              <w:t>1G/2G + 1G/1G</w:t>
            </w:r>
          </w:p>
        </w:tc>
        <w:tc>
          <w:tcPr>
            <w:tcW w:w="0" w:type="auto"/>
            <w:shd w:val="clear" w:color="auto" w:fill="auto"/>
            <w:vAlign w:val="center"/>
          </w:tcPr>
          <w:p w14:paraId="5BECE363"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≥28 </w:t>
            </w:r>
            <w:proofErr w:type="spellStart"/>
            <w:r w:rsidRPr="0066556A">
              <w:rPr>
                <w:rFonts w:ascii="Palatino Linotype" w:hAnsi="Palatino Linotype"/>
                <w:iCs/>
                <w:color w:val="000000" w:themeColor="text1"/>
                <w:sz w:val="20"/>
                <w:szCs w:val="20"/>
                <w:highlight w:val="yellow"/>
              </w:rPr>
              <w:t>wk</w:t>
            </w:r>
            <w:proofErr w:type="spellEnd"/>
            <w:r w:rsidRPr="0066556A">
              <w:rPr>
                <w:rFonts w:ascii="Palatino Linotype" w:hAnsi="Palatino Linotype"/>
                <w:iCs/>
                <w:color w:val="000000" w:themeColor="text1"/>
                <w:sz w:val="20"/>
                <w:szCs w:val="20"/>
                <w:highlight w:val="yellow"/>
              </w:rPr>
              <w:t>.</w:t>
            </w:r>
          </w:p>
        </w:tc>
        <w:tc>
          <w:tcPr>
            <w:tcW w:w="0" w:type="auto"/>
            <w:shd w:val="clear" w:color="auto" w:fill="auto"/>
            <w:vAlign w:val="center"/>
          </w:tcPr>
          <w:p w14:paraId="29DC27A1"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31 (62)</w:t>
            </w:r>
          </w:p>
        </w:tc>
        <w:tc>
          <w:tcPr>
            <w:tcW w:w="0" w:type="auto"/>
            <w:shd w:val="clear" w:color="auto" w:fill="auto"/>
            <w:vAlign w:val="center"/>
          </w:tcPr>
          <w:p w14:paraId="7DE91D15"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13 (26)</w:t>
            </w:r>
          </w:p>
        </w:tc>
        <w:tc>
          <w:tcPr>
            <w:tcW w:w="2509" w:type="dxa"/>
            <w:shd w:val="clear" w:color="auto" w:fill="auto"/>
            <w:vAlign w:val="center"/>
          </w:tcPr>
          <w:p w14:paraId="730DA769" w14:textId="77777777" w:rsidR="002845CC" w:rsidRPr="0066556A" w:rsidRDefault="002845CC" w:rsidP="00B336CF">
            <w:pPr>
              <w:autoSpaceDE w:val="0"/>
              <w:autoSpaceDN w:val="0"/>
              <w:adjustRightInd w:val="0"/>
              <w:snapToGrid w:val="0"/>
              <w:ind w:left="665" w:hanging="665"/>
              <w:jc w:val="center"/>
              <w:rPr>
                <w:rFonts w:ascii="Palatino Linotype" w:hAnsi="Palatino Linotype"/>
                <w:bCs/>
                <w:iCs/>
                <w:color w:val="000000" w:themeColor="text1"/>
                <w:sz w:val="20"/>
                <w:szCs w:val="20"/>
                <w:highlight w:val="yellow"/>
                <w:lang w:val="en-US"/>
              </w:rPr>
            </w:pPr>
            <w:r w:rsidRPr="0066556A">
              <w:rPr>
                <w:rFonts w:ascii="Palatino Linotype" w:hAnsi="Palatino Linotype"/>
                <w:bCs/>
                <w:iCs/>
                <w:color w:val="000000" w:themeColor="text1"/>
                <w:sz w:val="20"/>
                <w:szCs w:val="20"/>
                <w:highlight w:val="yellow"/>
              </w:rPr>
              <w:t>1.6 (0.44</w:t>
            </w:r>
            <w:r w:rsidRPr="0066556A">
              <w:rPr>
                <w:rFonts w:ascii="Palatino Linotype" w:hAnsi="Palatino Linotype"/>
                <w:bCs/>
                <w:sz w:val="20"/>
                <w:szCs w:val="20"/>
                <w:highlight w:val="yellow"/>
                <w:shd w:val="clear" w:color="auto" w:fill="FFFFFF"/>
              </w:rPr>
              <w:t>–</w:t>
            </w:r>
            <w:r w:rsidRPr="0066556A">
              <w:rPr>
                <w:rFonts w:ascii="Palatino Linotype" w:hAnsi="Palatino Linotype"/>
                <w:bCs/>
                <w:iCs/>
                <w:color w:val="000000" w:themeColor="text1"/>
                <w:sz w:val="20"/>
                <w:szCs w:val="20"/>
                <w:highlight w:val="yellow"/>
              </w:rPr>
              <w:t>5.65);</w:t>
            </w:r>
            <w:r w:rsidRPr="0066556A">
              <w:rPr>
                <w:rFonts w:ascii="Palatino Linotype" w:hAnsi="Palatino Linotype"/>
                <w:sz w:val="20"/>
                <w:szCs w:val="20"/>
                <w:highlight w:val="yellow"/>
                <w:shd w:val="clear" w:color="auto" w:fill="FFFFFF"/>
              </w:rPr>
              <w:t xml:space="preserve"> 0.553</w:t>
            </w:r>
          </w:p>
        </w:tc>
      </w:tr>
      <w:tr w:rsidR="002845CC" w:rsidRPr="0066556A" w14:paraId="527A7AC4" w14:textId="77777777" w:rsidTr="00B336CF">
        <w:trPr>
          <w:jc w:val="center"/>
        </w:trPr>
        <w:tc>
          <w:tcPr>
            <w:tcW w:w="0" w:type="auto"/>
            <w:shd w:val="clear" w:color="auto" w:fill="auto"/>
            <w:vAlign w:val="center"/>
          </w:tcPr>
          <w:p w14:paraId="3A562003"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bCs/>
                <w:color w:val="000000" w:themeColor="text1"/>
                <w:sz w:val="20"/>
                <w:szCs w:val="20"/>
                <w:highlight w:val="yellow"/>
              </w:rPr>
              <w:t>1G/2G + 1G/1G</w:t>
            </w:r>
          </w:p>
        </w:tc>
        <w:tc>
          <w:tcPr>
            <w:tcW w:w="0" w:type="auto"/>
            <w:shd w:val="clear" w:color="auto" w:fill="auto"/>
            <w:vAlign w:val="center"/>
          </w:tcPr>
          <w:p w14:paraId="1516E9A3"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&lt;28 </w:t>
            </w:r>
            <w:proofErr w:type="spellStart"/>
            <w:r w:rsidRPr="0066556A">
              <w:rPr>
                <w:rFonts w:ascii="Palatino Linotype" w:hAnsi="Palatino Linotype"/>
                <w:iCs/>
                <w:color w:val="000000" w:themeColor="text1"/>
                <w:sz w:val="20"/>
                <w:szCs w:val="20"/>
                <w:highlight w:val="yellow"/>
              </w:rPr>
              <w:t>wk</w:t>
            </w:r>
            <w:proofErr w:type="spellEnd"/>
            <w:r w:rsidRPr="0066556A">
              <w:rPr>
                <w:rFonts w:ascii="Palatino Linotype" w:hAnsi="Palatino Linotype"/>
                <w:iCs/>
                <w:color w:val="000000" w:themeColor="text1"/>
                <w:sz w:val="20"/>
                <w:szCs w:val="20"/>
                <w:highlight w:val="yellow"/>
              </w:rPr>
              <w:t>.</w:t>
            </w:r>
          </w:p>
        </w:tc>
        <w:tc>
          <w:tcPr>
            <w:tcW w:w="0" w:type="auto"/>
            <w:shd w:val="clear" w:color="auto" w:fill="auto"/>
            <w:vAlign w:val="center"/>
          </w:tcPr>
          <w:p w14:paraId="2B0DBDD3"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0 (0)</w:t>
            </w:r>
          </w:p>
        </w:tc>
        <w:tc>
          <w:tcPr>
            <w:tcW w:w="0" w:type="auto"/>
            <w:shd w:val="clear" w:color="auto" w:fill="auto"/>
            <w:vAlign w:val="center"/>
          </w:tcPr>
          <w:p w14:paraId="4938168D"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22 (44)</w:t>
            </w:r>
          </w:p>
        </w:tc>
        <w:tc>
          <w:tcPr>
            <w:tcW w:w="2509" w:type="dxa"/>
            <w:shd w:val="clear" w:color="auto" w:fill="auto"/>
            <w:vAlign w:val="center"/>
          </w:tcPr>
          <w:p w14:paraId="07C60355" w14:textId="77777777" w:rsidR="002845CC" w:rsidRPr="0066556A" w:rsidRDefault="002845CC" w:rsidP="00B336CF">
            <w:pPr>
              <w:autoSpaceDE w:val="0"/>
              <w:autoSpaceDN w:val="0"/>
              <w:adjustRightInd w:val="0"/>
              <w:snapToGrid w:val="0"/>
              <w:ind w:left="665" w:hanging="665"/>
              <w:jc w:val="center"/>
              <w:rPr>
                <w:rFonts w:ascii="Palatino Linotype" w:hAnsi="Palatino Linotype"/>
                <w:bCs/>
                <w:iCs/>
                <w:color w:val="000000" w:themeColor="text1"/>
                <w:sz w:val="20"/>
                <w:szCs w:val="20"/>
                <w:highlight w:val="yellow"/>
                <w:lang w:val="en-US"/>
              </w:rPr>
            </w:pPr>
            <w:r w:rsidRPr="0066556A">
              <w:rPr>
                <w:rFonts w:ascii="Palatino Linotype" w:hAnsi="Palatino Linotype"/>
                <w:bCs/>
                <w:iCs/>
                <w:color w:val="000000" w:themeColor="text1"/>
                <w:sz w:val="20"/>
                <w:szCs w:val="20"/>
                <w:highlight w:val="yellow"/>
              </w:rPr>
              <w:t>155.0 (</w:t>
            </w:r>
            <w:r w:rsidRPr="0066556A">
              <w:rPr>
                <w:rFonts w:ascii="Palatino Linotype" w:hAnsi="Palatino Linotype"/>
                <w:sz w:val="20"/>
                <w:szCs w:val="20"/>
                <w:highlight w:val="yellow"/>
                <w:shd w:val="clear" w:color="auto" w:fill="FFFFFF"/>
              </w:rPr>
              <w:t>7.77–3092</w:t>
            </w:r>
            <w:r w:rsidRPr="0066556A">
              <w:rPr>
                <w:rFonts w:ascii="Palatino Linotype" w:hAnsi="Palatino Linotype"/>
                <w:bCs/>
                <w:iCs/>
                <w:color w:val="000000" w:themeColor="text1"/>
                <w:sz w:val="20"/>
                <w:szCs w:val="20"/>
                <w:highlight w:val="yellow"/>
              </w:rPr>
              <w:t>); &lt;0.0001</w:t>
            </w:r>
          </w:p>
        </w:tc>
      </w:tr>
      <w:tr w:rsidR="002845CC" w:rsidRPr="0066556A" w14:paraId="563D5650" w14:textId="77777777" w:rsidTr="00B336CF">
        <w:trPr>
          <w:trHeight w:val="609"/>
          <w:jc w:val="center"/>
        </w:trPr>
        <w:tc>
          <w:tcPr>
            <w:tcW w:w="0" w:type="auto"/>
            <w:gridSpan w:val="4"/>
            <w:shd w:val="clear" w:color="auto" w:fill="auto"/>
            <w:vAlign w:val="center"/>
          </w:tcPr>
          <w:p w14:paraId="3FC49575"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lang w:val="en-US"/>
              </w:rPr>
              <w:t xml:space="preserve">OR expected from additive model (G+E) </w:t>
            </w:r>
            <w:r w:rsidRPr="0066556A">
              <w:rPr>
                <w:rFonts w:ascii="Palatino Linotype" w:hAnsi="Palatino Linotype"/>
                <w:color w:val="000000" w:themeColor="text1"/>
                <w:sz w:val="20"/>
                <w:szCs w:val="20"/>
                <w:highlight w:val="yellow"/>
                <w:vertAlign w:val="superscript"/>
                <w:lang w:val="en-US"/>
              </w:rPr>
              <w:t>a</w:t>
            </w:r>
            <w:r w:rsidRPr="0066556A">
              <w:rPr>
                <w:rFonts w:ascii="Palatino Linotype" w:hAnsi="Palatino Linotype"/>
                <w:color w:val="000000" w:themeColor="text1"/>
                <w:sz w:val="20"/>
                <w:szCs w:val="20"/>
                <w:highlight w:val="yellow"/>
                <w:vertAlign w:val="subscript"/>
                <w:lang w:val="en-US"/>
              </w:rPr>
              <w:t>,</w:t>
            </w:r>
            <w:r w:rsidRPr="0066556A">
              <w:rPr>
                <w:rFonts w:ascii="Palatino Linotype" w:hAnsi="Palatino Linotype"/>
                <w:sz w:val="20"/>
                <w:szCs w:val="20"/>
                <w:highlight w:val="yellow"/>
                <w:lang w:val="en-US"/>
              </w:rPr>
              <w:t xml:space="preserve"> </w:t>
            </w:r>
            <w:r w:rsidRPr="0066556A">
              <w:rPr>
                <w:rFonts w:ascii="Palatino Linotype" w:hAnsi="Palatino Linotype"/>
                <w:color w:val="000000" w:themeColor="text1"/>
                <w:sz w:val="20"/>
                <w:szCs w:val="20"/>
                <w:highlight w:val="yellow"/>
                <w:lang w:val="en-US"/>
              </w:rPr>
              <w:t xml:space="preserve">Synergy index </w:t>
            </w:r>
            <w:r w:rsidRPr="0066556A">
              <w:rPr>
                <w:rFonts w:ascii="Palatino Linotype" w:hAnsi="Palatino Linotype"/>
                <w:color w:val="000000" w:themeColor="text1"/>
                <w:sz w:val="20"/>
                <w:szCs w:val="20"/>
                <w:highlight w:val="yellow"/>
                <w:vertAlign w:val="superscript"/>
                <w:lang w:val="en-US"/>
              </w:rPr>
              <w:t>b</w:t>
            </w:r>
            <w:r w:rsidRPr="0066556A">
              <w:rPr>
                <w:rFonts w:ascii="Palatino Linotype" w:hAnsi="Palatino Linotype"/>
                <w:color w:val="000000" w:themeColor="text1"/>
                <w:sz w:val="20"/>
                <w:szCs w:val="20"/>
                <w:highlight w:val="yellow"/>
                <w:lang w:val="en-US"/>
              </w:rPr>
              <w:t xml:space="preserve"> </w:t>
            </w:r>
          </w:p>
        </w:tc>
        <w:tc>
          <w:tcPr>
            <w:tcW w:w="2509" w:type="dxa"/>
            <w:shd w:val="clear" w:color="auto" w:fill="auto"/>
            <w:vAlign w:val="center"/>
          </w:tcPr>
          <w:p w14:paraId="73A684B0" w14:textId="77777777" w:rsidR="002845CC" w:rsidRPr="0066556A" w:rsidRDefault="002845CC" w:rsidP="00B336CF">
            <w:pPr>
              <w:autoSpaceDE w:val="0"/>
              <w:autoSpaceDN w:val="0"/>
              <w:adjustRightInd w:val="0"/>
              <w:snapToGrid w:val="0"/>
              <w:jc w:val="center"/>
              <w:rPr>
                <w:rFonts w:ascii="Palatino Linotype" w:hAnsi="Palatino Linotype"/>
                <w:bCs/>
                <w:iCs/>
                <w:color w:val="000000" w:themeColor="text1"/>
                <w:sz w:val="20"/>
                <w:szCs w:val="20"/>
                <w:highlight w:val="yellow"/>
                <w:lang w:val="en-US"/>
              </w:rPr>
            </w:pPr>
            <w:r w:rsidRPr="0066556A">
              <w:rPr>
                <w:rFonts w:ascii="Palatino Linotype" w:hAnsi="Palatino Linotype"/>
                <w:bCs/>
                <w:iCs/>
                <w:color w:val="000000" w:themeColor="text1"/>
                <w:sz w:val="20"/>
                <w:szCs w:val="20"/>
                <w:highlight w:val="yellow"/>
              </w:rPr>
              <w:t xml:space="preserve">10.9; 15.6 </w:t>
            </w:r>
            <w:r w:rsidRPr="0066556A">
              <w:rPr>
                <w:rFonts w:ascii="Times New Roman" w:hAnsi="Times New Roman" w:cs="Times New Roman"/>
                <w:bCs/>
                <w:iCs/>
                <w:color w:val="000000" w:themeColor="text1"/>
                <w:sz w:val="20"/>
                <w:szCs w:val="20"/>
                <w:highlight w:val="yellow"/>
              </w:rPr>
              <w:t>↑</w:t>
            </w:r>
          </w:p>
        </w:tc>
      </w:tr>
      <w:tr w:rsidR="002845CC" w:rsidRPr="0066556A" w14:paraId="03C4443F" w14:textId="77777777" w:rsidTr="00B336CF">
        <w:trPr>
          <w:jc w:val="center"/>
        </w:trPr>
        <w:tc>
          <w:tcPr>
            <w:tcW w:w="0" w:type="auto"/>
            <w:shd w:val="clear" w:color="auto" w:fill="auto"/>
            <w:vAlign w:val="center"/>
          </w:tcPr>
          <w:p w14:paraId="0A251701"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rPr>
            </w:pPr>
            <w:r w:rsidRPr="0066556A">
              <w:rPr>
                <w:rFonts w:ascii="Palatino Linotype" w:hAnsi="Palatino Linotype"/>
                <w:i/>
                <w:color w:val="000000" w:themeColor="text1"/>
                <w:sz w:val="20"/>
                <w:szCs w:val="20"/>
                <w:highlight w:val="yellow"/>
              </w:rPr>
              <w:t>TIMP-1</w:t>
            </w:r>
            <w:r w:rsidRPr="0066556A">
              <w:rPr>
                <w:rFonts w:ascii="Palatino Linotype" w:hAnsi="Palatino Linotype"/>
                <w:color w:val="000000" w:themeColor="text1"/>
                <w:sz w:val="20"/>
                <w:szCs w:val="20"/>
                <w:highlight w:val="yellow"/>
              </w:rPr>
              <w:t xml:space="preserve"> rs4898</w:t>
            </w:r>
          </w:p>
          <w:p w14:paraId="4BF02FF8"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color w:val="000000" w:themeColor="text1"/>
                <w:sz w:val="20"/>
                <w:szCs w:val="20"/>
                <w:highlight w:val="yellow"/>
              </w:rPr>
              <w:t>(</w:t>
            </w:r>
            <w:proofErr w:type="spellStart"/>
            <w:r w:rsidRPr="0066556A">
              <w:rPr>
                <w:rFonts w:ascii="Palatino Linotype" w:hAnsi="Palatino Linotype"/>
                <w:color w:val="000000" w:themeColor="text1"/>
                <w:sz w:val="20"/>
                <w:szCs w:val="20"/>
                <w:highlight w:val="yellow"/>
              </w:rPr>
              <w:t>female</w:t>
            </w:r>
            <w:proofErr w:type="spellEnd"/>
            <w:r w:rsidRPr="0066556A">
              <w:rPr>
                <w:rFonts w:ascii="Palatino Linotype" w:hAnsi="Palatino Linotype"/>
                <w:color w:val="000000" w:themeColor="text1"/>
                <w:sz w:val="20"/>
                <w:szCs w:val="20"/>
                <w:highlight w:val="yellow"/>
              </w:rPr>
              <w:t>)</w:t>
            </w:r>
          </w:p>
        </w:tc>
        <w:tc>
          <w:tcPr>
            <w:tcW w:w="0" w:type="auto"/>
            <w:shd w:val="clear" w:color="auto" w:fill="auto"/>
            <w:vAlign w:val="center"/>
          </w:tcPr>
          <w:p w14:paraId="586D162F"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color w:val="000000" w:themeColor="text1"/>
                <w:sz w:val="20"/>
                <w:szCs w:val="20"/>
                <w:highlight w:val="yellow"/>
              </w:rPr>
              <w:t>ELGA</w:t>
            </w:r>
          </w:p>
        </w:tc>
        <w:tc>
          <w:tcPr>
            <w:tcW w:w="0" w:type="auto"/>
            <w:shd w:val="clear" w:color="auto" w:fill="auto"/>
            <w:vAlign w:val="center"/>
          </w:tcPr>
          <w:p w14:paraId="6BF8E1C9"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I </w:t>
            </w:r>
          </w:p>
          <w:p w14:paraId="45FADE9F"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No ROP</w:t>
            </w:r>
          </w:p>
        </w:tc>
        <w:tc>
          <w:tcPr>
            <w:tcW w:w="0" w:type="auto"/>
            <w:shd w:val="clear" w:color="auto" w:fill="auto"/>
            <w:vAlign w:val="center"/>
          </w:tcPr>
          <w:p w14:paraId="443B4451"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II </w:t>
            </w:r>
          </w:p>
          <w:p w14:paraId="30B8A700" w14:textId="77777777" w:rsidR="002845CC" w:rsidRPr="0066556A" w:rsidRDefault="002845CC" w:rsidP="00B336CF">
            <w:pPr>
              <w:autoSpaceDE w:val="0"/>
              <w:autoSpaceDN w:val="0"/>
              <w:adjustRightInd w:val="0"/>
              <w:snapToGrid w:val="0"/>
              <w:jc w:val="center"/>
              <w:rPr>
                <w:rFonts w:ascii="Palatino Linotype" w:hAnsi="Palatino Linotype"/>
                <w:iCs/>
                <w:color w:val="000000" w:themeColor="text1"/>
                <w:sz w:val="20"/>
                <w:szCs w:val="20"/>
                <w:highlight w:val="yellow"/>
                <w:lang w:val="en-US"/>
              </w:rPr>
            </w:pPr>
            <w:r w:rsidRPr="0066556A">
              <w:rPr>
                <w:rFonts w:ascii="Palatino Linotype" w:hAnsi="Palatino Linotype"/>
                <w:iCs/>
                <w:sz w:val="20"/>
                <w:szCs w:val="20"/>
                <w:highlight w:val="yellow"/>
              </w:rPr>
              <w:t xml:space="preserve">ROP </w:t>
            </w:r>
          </w:p>
        </w:tc>
        <w:tc>
          <w:tcPr>
            <w:tcW w:w="2509" w:type="dxa"/>
            <w:shd w:val="clear" w:color="auto" w:fill="auto"/>
            <w:vAlign w:val="center"/>
          </w:tcPr>
          <w:p w14:paraId="36EB8118" w14:textId="77777777" w:rsidR="002845CC" w:rsidRPr="0066556A" w:rsidRDefault="002845CC" w:rsidP="00B336CF">
            <w:pPr>
              <w:autoSpaceDE w:val="0"/>
              <w:autoSpaceDN w:val="0"/>
              <w:adjustRightInd w:val="0"/>
              <w:snapToGrid w:val="0"/>
              <w:ind w:left="665" w:hanging="665"/>
              <w:jc w:val="center"/>
              <w:rPr>
                <w:rFonts w:ascii="Palatino Linotype" w:hAnsi="Palatino Linotype"/>
                <w:iCs/>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II </w:t>
            </w:r>
            <w:r w:rsidRPr="0066556A">
              <w:rPr>
                <w:rFonts w:ascii="Palatino Linotype" w:hAnsi="Palatino Linotype"/>
                <w:color w:val="000000" w:themeColor="text1"/>
                <w:sz w:val="20"/>
                <w:szCs w:val="20"/>
                <w:highlight w:val="yellow"/>
              </w:rPr>
              <w:t>vs.</w:t>
            </w:r>
            <w:r w:rsidRPr="0066556A">
              <w:rPr>
                <w:rFonts w:ascii="Palatino Linotype" w:hAnsi="Palatino Linotype"/>
                <w:iCs/>
                <w:color w:val="000000" w:themeColor="text1"/>
                <w:sz w:val="20"/>
                <w:szCs w:val="20"/>
                <w:highlight w:val="yellow"/>
              </w:rPr>
              <w:t xml:space="preserve"> I</w:t>
            </w:r>
          </w:p>
        </w:tc>
      </w:tr>
      <w:tr w:rsidR="002845CC" w:rsidRPr="0066556A" w14:paraId="3AB0A5E3" w14:textId="77777777" w:rsidTr="00B336CF">
        <w:trPr>
          <w:jc w:val="center"/>
        </w:trPr>
        <w:tc>
          <w:tcPr>
            <w:tcW w:w="0" w:type="auto"/>
            <w:shd w:val="clear" w:color="auto" w:fill="auto"/>
            <w:vAlign w:val="center"/>
          </w:tcPr>
          <w:p w14:paraId="1B7AE627" w14:textId="77777777" w:rsidR="002845CC" w:rsidRPr="0066556A" w:rsidRDefault="002845CC" w:rsidP="00B336CF">
            <w:pPr>
              <w:autoSpaceDE w:val="0"/>
              <w:autoSpaceDN w:val="0"/>
              <w:adjustRightInd w:val="0"/>
              <w:snapToGrid w:val="0"/>
              <w:jc w:val="center"/>
              <w:rPr>
                <w:rFonts w:ascii="Palatino Linotype" w:hAnsi="Palatino Linotype"/>
                <w:bCs/>
                <w:color w:val="000000" w:themeColor="text1"/>
                <w:sz w:val="20"/>
                <w:szCs w:val="20"/>
                <w:highlight w:val="yellow"/>
                <w:lang w:val="en-US"/>
              </w:rPr>
            </w:pPr>
            <w:r w:rsidRPr="0066556A">
              <w:rPr>
                <w:rFonts w:ascii="Palatino Linotype" w:hAnsi="Palatino Linotype"/>
                <w:bCs/>
                <w:color w:val="000000" w:themeColor="text1"/>
                <w:sz w:val="20"/>
                <w:szCs w:val="20"/>
                <w:highlight w:val="yellow"/>
              </w:rPr>
              <w:t>TT</w:t>
            </w:r>
          </w:p>
        </w:tc>
        <w:tc>
          <w:tcPr>
            <w:tcW w:w="0" w:type="auto"/>
            <w:shd w:val="clear" w:color="auto" w:fill="auto"/>
            <w:vAlign w:val="center"/>
          </w:tcPr>
          <w:p w14:paraId="54DC21A9"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≥28 </w:t>
            </w:r>
            <w:proofErr w:type="spellStart"/>
            <w:r w:rsidRPr="0066556A">
              <w:rPr>
                <w:rFonts w:ascii="Palatino Linotype" w:hAnsi="Palatino Linotype"/>
                <w:iCs/>
                <w:color w:val="000000" w:themeColor="text1"/>
                <w:sz w:val="20"/>
                <w:szCs w:val="20"/>
                <w:highlight w:val="yellow"/>
              </w:rPr>
              <w:t>wk</w:t>
            </w:r>
            <w:proofErr w:type="spellEnd"/>
            <w:r w:rsidRPr="0066556A">
              <w:rPr>
                <w:rFonts w:ascii="Palatino Linotype" w:hAnsi="Palatino Linotype"/>
                <w:iCs/>
                <w:color w:val="000000" w:themeColor="text1"/>
                <w:sz w:val="20"/>
                <w:szCs w:val="20"/>
                <w:highlight w:val="yellow"/>
              </w:rPr>
              <w:t>.</w:t>
            </w:r>
          </w:p>
        </w:tc>
        <w:tc>
          <w:tcPr>
            <w:tcW w:w="0" w:type="auto"/>
            <w:shd w:val="clear" w:color="auto" w:fill="auto"/>
            <w:vAlign w:val="center"/>
          </w:tcPr>
          <w:p w14:paraId="1C0432C7"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4 (12)</w:t>
            </w:r>
          </w:p>
        </w:tc>
        <w:tc>
          <w:tcPr>
            <w:tcW w:w="0" w:type="auto"/>
            <w:shd w:val="clear" w:color="auto" w:fill="auto"/>
            <w:vAlign w:val="center"/>
          </w:tcPr>
          <w:p w14:paraId="681CC2B9"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3 (14)</w:t>
            </w:r>
          </w:p>
        </w:tc>
        <w:tc>
          <w:tcPr>
            <w:tcW w:w="2509" w:type="dxa"/>
            <w:shd w:val="clear" w:color="auto" w:fill="auto"/>
            <w:vAlign w:val="center"/>
          </w:tcPr>
          <w:p w14:paraId="32672985" w14:textId="77777777" w:rsidR="002845CC" w:rsidRPr="0066556A" w:rsidRDefault="002845CC" w:rsidP="00B336CF">
            <w:pPr>
              <w:autoSpaceDE w:val="0"/>
              <w:autoSpaceDN w:val="0"/>
              <w:adjustRightInd w:val="0"/>
              <w:snapToGrid w:val="0"/>
              <w:ind w:left="665" w:hanging="665"/>
              <w:jc w:val="center"/>
              <w:rPr>
                <w:rFonts w:ascii="Palatino Linotype" w:hAnsi="Palatino Linotype"/>
                <w:bCs/>
                <w:iCs/>
                <w:color w:val="000000" w:themeColor="text1"/>
                <w:sz w:val="20"/>
                <w:szCs w:val="20"/>
                <w:highlight w:val="yellow"/>
                <w:lang w:val="en-US"/>
              </w:rPr>
            </w:pPr>
            <w:proofErr w:type="spellStart"/>
            <w:r w:rsidRPr="0066556A">
              <w:rPr>
                <w:rFonts w:ascii="Palatino Linotype" w:hAnsi="Palatino Linotype"/>
                <w:bCs/>
                <w:iCs/>
                <w:color w:val="000000" w:themeColor="text1"/>
                <w:sz w:val="20"/>
                <w:szCs w:val="20"/>
                <w:highlight w:val="yellow"/>
              </w:rPr>
              <w:t>reference</w:t>
            </w:r>
            <w:proofErr w:type="spellEnd"/>
          </w:p>
        </w:tc>
      </w:tr>
      <w:tr w:rsidR="002845CC" w:rsidRPr="0066556A" w14:paraId="26AFA22C" w14:textId="77777777" w:rsidTr="00B336CF">
        <w:trPr>
          <w:jc w:val="center"/>
        </w:trPr>
        <w:tc>
          <w:tcPr>
            <w:tcW w:w="0" w:type="auto"/>
            <w:shd w:val="clear" w:color="auto" w:fill="auto"/>
            <w:vAlign w:val="center"/>
          </w:tcPr>
          <w:p w14:paraId="25D8D5C0" w14:textId="77777777" w:rsidR="002845CC" w:rsidRPr="0066556A" w:rsidRDefault="002845CC" w:rsidP="00B336CF">
            <w:pPr>
              <w:autoSpaceDE w:val="0"/>
              <w:autoSpaceDN w:val="0"/>
              <w:adjustRightInd w:val="0"/>
              <w:snapToGrid w:val="0"/>
              <w:jc w:val="center"/>
              <w:rPr>
                <w:rFonts w:ascii="Palatino Linotype" w:hAnsi="Palatino Linotype"/>
                <w:bCs/>
                <w:color w:val="000000" w:themeColor="text1"/>
                <w:sz w:val="20"/>
                <w:szCs w:val="20"/>
                <w:highlight w:val="yellow"/>
                <w:lang w:val="en-US"/>
              </w:rPr>
            </w:pPr>
            <w:r w:rsidRPr="0066556A">
              <w:rPr>
                <w:rFonts w:ascii="Palatino Linotype" w:hAnsi="Palatino Linotype"/>
                <w:bCs/>
                <w:color w:val="000000" w:themeColor="text1"/>
                <w:sz w:val="20"/>
                <w:szCs w:val="20"/>
                <w:highlight w:val="yellow"/>
              </w:rPr>
              <w:t>TT</w:t>
            </w:r>
          </w:p>
        </w:tc>
        <w:tc>
          <w:tcPr>
            <w:tcW w:w="0" w:type="auto"/>
            <w:shd w:val="clear" w:color="auto" w:fill="auto"/>
            <w:vAlign w:val="center"/>
          </w:tcPr>
          <w:p w14:paraId="0A8CE9E4"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&lt;28 </w:t>
            </w:r>
            <w:proofErr w:type="spellStart"/>
            <w:r w:rsidRPr="0066556A">
              <w:rPr>
                <w:rFonts w:ascii="Palatino Linotype" w:hAnsi="Palatino Linotype"/>
                <w:iCs/>
                <w:color w:val="000000" w:themeColor="text1"/>
                <w:sz w:val="20"/>
                <w:szCs w:val="20"/>
                <w:highlight w:val="yellow"/>
              </w:rPr>
              <w:t>wk</w:t>
            </w:r>
            <w:proofErr w:type="spellEnd"/>
            <w:r w:rsidRPr="0066556A">
              <w:rPr>
                <w:rFonts w:ascii="Palatino Linotype" w:hAnsi="Palatino Linotype"/>
                <w:iCs/>
                <w:color w:val="000000" w:themeColor="text1"/>
                <w:sz w:val="20"/>
                <w:szCs w:val="20"/>
                <w:highlight w:val="yellow"/>
              </w:rPr>
              <w:t>.</w:t>
            </w:r>
          </w:p>
        </w:tc>
        <w:tc>
          <w:tcPr>
            <w:tcW w:w="0" w:type="auto"/>
            <w:shd w:val="clear" w:color="auto" w:fill="auto"/>
            <w:vAlign w:val="center"/>
          </w:tcPr>
          <w:p w14:paraId="5AF579B6"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0 (0)</w:t>
            </w:r>
          </w:p>
        </w:tc>
        <w:tc>
          <w:tcPr>
            <w:tcW w:w="0" w:type="auto"/>
            <w:shd w:val="clear" w:color="auto" w:fill="auto"/>
            <w:vAlign w:val="center"/>
          </w:tcPr>
          <w:p w14:paraId="164B2990"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4 (18)</w:t>
            </w:r>
          </w:p>
        </w:tc>
        <w:tc>
          <w:tcPr>
            <w:tcW w:w="2509" w:type="dxa"/>
            <w:shd w:val="clear" w:color="auto" w:fill="auto"/>
            <w:vAlign w:val="center"/>
          </w:tcPr>
          <w:p w14:paraId="5C86491C" w14:textId="77777777" w:rsidR="002845CC" w:rsidRPr="0066556A" w:rsidRDefault="002845CC" w:rsidP="00B336CF">
            <w:pPr>
              <w:autoSpaceDE w:val="0"/>
              <w:autoSpaceDN w:val="0"/>
              <w:adjustRightInd w:val="0"/>
              <w:snapToGrid w:val="0"/>
              <w:ind w:left="665" w:hanging="665"/>
              <w:jc w:val="center"/>
              <w:rPr>
                <w:rFonts w:ascii="Palatino Linotype" w:hAnsi="Palatino Linotype"/>
                <w:bCs/>
                <w:iCs/>
                <w:color w:val="000000" w:themeColor="text1"/>
                <w:sz w:val="20"/>
                <w:szCs w:val="20"/>
                <w:highlight w:val="yellow"/>
                <w:lang w:val="en-US"/>
              </w:rPr>
            </w:pPr>
            <w:r w:rsidRPr="0066556A">
              <w:rPr>
                <w:rFonts w:ascii="Palatino Linotype" w:hAnsi="Palatino Linotype"/>
                <w:bCs/>
                <w:iCs/>
                <w:color w:val="000000" w:themeColor="text1"/>
                <w:sz w:val="20"/>
                <w:szCs w:val="20"/>
                <w:highlight w:val="yellow"/>
              </w:rPr>
              <w:t>9.0 (0.34</w:t>
            </w:r>
            <w:r w:rsidRPr="0066556A">
              <w:rPr>
                <w:rFonts w:ascii="Palatino Linotype" w:hAnsi="Palatino Linotype"/>
                <w:bCs/>
                <w:sz w:val="20"/>
                <w:szCs w:val="20"/>
                <w:highlight w:val="yellow"/>
                <w:shd w:val="clear" w:color="auto" w:fill="FFFFFF"/>
              </w:rPr>
              <w:t>–</w:t>
            </w:r>
            <w:r w:rsidRPr="0066556A">
              <w:rPr>
                <w:rFonts w:ascii="Palatino Linotype" w:hAnsi="Palatino Linotype"/>
                <w:bCs/>
                <w:iCs/>
                <w:color w:val="000000" w:themeColor="text1"/>
                <w:sz w:val="20"/>
                <w:szCs w:val="20"/>
                <w:highlight w:val="yellow"/>
              </w:rPr>
              <w:t>238);</w:t>
            </w:r>
            <w:r w:rsidRPr="0066556A">
              <w:rPr>
                <w:rFonts w:ascii="Palatino Linotype" w:hAnsi="Palatino Linotype"/>
                <w:sz w:val="20"/>
                <w:szCs w:val="20"/>
                <w:highlight w:val="yellow"/>
                <w:shd w:val="clear" w:color="auto" w:fill="FFFFFF"/>
              </w:rPr>
              <w:t xml:space="preserve"> 0.200</w:t>
            </w:r>
          </w:p>
        </w:tc>
      </w:tr>
      <w:tr w:rsidR="002845CC" w:rsidRPr="0066556A" w14:paraId="6CE984E8" w14:textId="77777777" w:rsidTr="00B336CF">
        <w:trPr>
          <w:jc w:val="center"/>
        </w:trPr>
        <w:tc>
          <w:tcPr>
            <w:tcW w:w="0" w:type="auto"/>
            <w:shd w:val="clear" w:color="auto" w:fill="auto"/>
            <w:vAlign w:val="center"/>
          </w:tcPr>
          <w:p w14:paraId="3AED3426"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bCs/>
                <w:color w:val="000000" w:themeColor="text1"/>
                <w:sz w:val="20"/>
                <w:szCs w:val="20"/>
                <w:highlight w:val="yellow"/>
              </w:rPr>
              <w:t>TC+CC</w:t>
            </w:r>
          </w:p>
        </w:tc>
        <w:tc>
          <w:tcPr>
            <w:tcW w:w="0" w:type="auto"/>
            <w:shd w:val="clear" w:color="auto" w:fill="auto"/>
            <w:vAlign w:val="center"/>
          </w:tcPr>
          <w:p w14:paraId="38F65831"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≥28 </w:t>
            </w:r>
            <w:proofErr w:type="spellStart"/>
            <w:r w:rsidRPr="0066556A">
              <w:rPr>
                <w:rFonts w:ascii="Palatino Linotype" w:hAnsi="Palatino Linotype"/>
                <w:iCs/>
                <w:color w:val="000000" w:themeColor="text1"/>
                <w:sz w:val="20"/>
                <w:szCs w:val="20"/>
                <w:highlight w:val="yellow"/>
              </w:rPr>
              <w:t>wk</w:t>
            </w:r>
            <w:proofErr w:type="spellEnd"/>
            <w:r w:rsidRPr="0066556A">
              <w:rPr>
                <w:rFonts w:ascii="Palatino Linotype" w:hAnsi="Palatino Linotype"/>
                <w:iCs/>
                <w:color w:val="000000" w:themeColor="text1"/>
                <w:sz w:val="20"/>
                <w:szCs w:val="20"/>
                <w:highlight w:val="yellow"/>
              </w:rPr>
              <w:t>.</w:t>
            </w:r>
          </w:p>
        </w:tc>
        <w:tc>
          <w:tcPr>
            <w:tcW w:w="0" w:type="auto"/>
            <w:shd w:val="clear" w:color="auto" w:fill="auto"/>
            <w:vAlign w:val="center"/>
          </w:tcPr>
          <w:p w14:paraId="5DA22717"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19 (76)</w:t>
            </w:r>
          </w:p>
        </w:tc>
        <w:tc>
          <w:tcPr>
            <w:tcW w:w="0" w:type="auto"/>
            <w:shd w:val="clear" w:color="auto" w:fill="auto"/>
            <w:vAlign w:val="center"/>
          </w:tcPr>
          <w:p w14:paraId="30C28EA6"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4 (18)</w:t>
            </w:r>
          </w:p>
        </w:tc>
        <w:tc>
          <w:tcPr>
            <w:tcW w:w="2509" w:type="dxa"/>
            <w:shd w:val="clear" w:color="auto" w:fill="auto"/>
            <w:vAlign w:val="center"/>
          </w:tcPr>
          <w:p w14:paraId="32E7425C" w14:textId="77777777" w:rsidR="002845CC" w:rsidRPr="0066556A" w:rsidRDefault="002845CC" w:rsidP="00B336CF">
            <w:pPr>
              <w:autoSpaceDE w:val="0"/>
              <w:autoSpaceDN w:val="0"/>
              <w:adjustRightInd w:val="0"/>
              <w:snapToGrid w:val="0"/>
              <w:ind w:left="665" w:hanging="665"/>
              <w:jc w:val="center"/>
              <w:rPr>
                <w:rFonts w:ascii="Palatino Linotype" w:hAnsi="Palatino Linotype"/>
                <w:bCs/>
                <w:iCs/>
                <w:color w:val="000000" w:themeColor="text1"/>
                <w:sz w:val="20"/>
                <w:szCs w:val="20"/>
                <w:highlight w:val="yellow"/>
                <w:lang w:val="en-US"/>
              </w:rPr>
            </w:pPr>
            <w:r w:rsidRPr="0066556A">
              <w:rPr>
                <w:rFonts w:ascii="Palatino Linotype" w:hAnsi="Palatino Linotype"/>
                <w:bCs/>
                <w:iCs/>
                <w:color w:val="000000" w:themeColor="text1"/>
                <w:sz w:val="20"/>
                <w:szCs w:val="20"/>
                <w:highlight w:val="yellow"/>
              </w:rPr>
              <w:t>0.21 (</w:t>
            </w:r>
            <w:r w:rsidRPr="0066556A">
              <w:rPr>
                <w:rFonts w:ascii="Palatino Linotype" w:hAnsi="Palatino Linotype"/>
                <w:sz w:val="20"/>
                <w:szCs w:val="20"/>
                <w:highlight w:val="yellow"/>
                <w:shd w:val="clear" w:color="auto" w:fill="FFFFFF"/>
              </w:rPr>
              <w:t>0.03</w:t>
            </w:r>
            <w:r w:rsidRPr="0066556A">
              <w:rPr>
                <w:rFonts w:ascii="Palatino Linotype" w:hAnsi="Palatino Linotype"/>
                <w:bCs/>
                <w:sz w:val="20"/>
                <w:szCs w:val="20"/>
                <w:highlight w:val="yellow"/>
                <w:shd w:val="clear" w:color="auto" w:fill="FFFFFF"/>
              </w:rPr>
              <w:t>–</w:t>
            </w:r>
            <w:r w:rsidRPr="0066556A">
              <w:rPr>
                <w:rFonts w:ascii="Palatino Linotype" w:hAnsi="Palatino Linotype"/>
                <w:sz w:val="20"/>
                <w:szCs w:val="20"/>
                <w:highlight w:val="yellow"/>
                <w:shd w:val="clear" w:color="auto" w:fill="FFFFFF"/>
              </w:rPr>
              <w:t>1.45</w:t>
            </w:r>
            <w:r w:rsidRPr="0066556A">
              <w:rPr>
                <w:rFonts w:ascii="Palatino Linotype" w:hAnsi="Palatino Linotype"/>
                <w:bCs/>
                <w:iCs/>
                <w:color w:val="000000" w:themeColor="text1"/>
                <w:sz w:val="20"/>
                <w:szCs w:val="20"/>
                <w:highlight w:val="yellow"/>
              </w:rPr>
              <w:t>);</w:t>
            </w:r>
            <w:r w:rsidRPr="0066556A">
              <w:rPr>
                <w:rFonts w:ascii="Palatino Linotype" w:hAnsi="Palatino Linotype"/>
                <w:sz w:val="20"/>
                <w:szCs w:val="20"/>
                <w:highlight w:val="yellow"/>
                <w:shd w:val="clear" w:color="auto" w:fill="FFFFFF"/>
              </w:rPr>
              <w:t xml:space="preserve"> 0.132</w:t>
            </w:r>
          </w:p>
        </w:tc>
      </w:tr>
      <w:tr w:rsidR="002845CC" w:rsidRPr="0066556A" w14:paraId="7B81B8F5" w14:textId="77777777" w:rsidTr="00B336CF">
        <w:trPr>
          <w:jc w:val="center"/>
        </w:trPr>
        <w:tc>
          <w:tcPr>
            <w:tcW w:w="0" w:type="auto"/>
            <w:shd w:val="clear" w:color="auto" w:fill="auto"/>
            <w:vAlign w:val="center"/>
          </w:tcPr>
          <w:p w14:paraId="559CAF0B"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bCs/>
                <w:color w:val="000000" w:themeColor="text1"/>
                <w:sz w:val="20"/>
                <w:szCs w:val="20"/>
                <w:highlight w:val="yellow"/>
              </w:rPr>
              <w:t>TC+CC</w:t>
            </w:r>
          </w:p>
        </w:tc>
        <w:tc>
          <w:tcPr>
            <w:tcW w:w="0" w:type="auto"/>
            <w:shd w:val="clear" w:color="auto" w:fill="auto"/>
            <w:vAlign w:val="center"/>
          </w:tcPr>
          <w:p w14:paraId="76F40F16"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iCs/>
                <w:color w:val="000000" w:themeColor="text1"/>
                <w:sz w:val="20"/>
                <w:szCs w:val="20"/>
                <w:highlight w:val="yellow"/>
              </w:rPr>
              <w:t xml:space="preserve">&lt;28 </w:t>
            </w:r>
            <w:proofErr w:type="spellStart"/>
            <w:r w:rsidRPr="0066556A">
              <w:rPr>
                <w:rFonts w:ascii="Palatino Linotype" w:hAnsi="Palatino Linotype"/>
                <w:iCs/>
                <w:color w:val="000000" w:themeColor="text1"/>
                <w:sz w:val="20"/>
                <w:szCs w:val="20"/>
                <w:highlight w:val="yellow"/>
              </w:rPr>
              <w:t>wk</w:t>
            </w:r>
            <w:proofErr w:type="spellEnd"/>
            <w:r w:rsidRPr="0066556A">
              <w:rPr>
                <w:rFonts w:ascii="Palatino Linotype" w:hAnsi="Palatino Linotype"/>
                <w:iCs/>
                <w:color w:val="000000" w:themeColor="text1"/>
                <w:sz w:val="20"/>
                <w:szCs w:val="20"/>
                <w:highlight w:val="yellow"/>
              </w:rPr>
              <w:t>.</w:t>
            </w:r>
          </w:p>
        </w:tc>
        <w:tc>
          <w:tcPr>
            <w:tcW w:w="0" w:type="auto"/>
            <w:shd w:val="clear" w:color="auto" w:fill="auto"/>
            <w:vAlign w:val="center"/>
          </w:tcPr>
          <w:p w14:paraId="0BF3B3E2"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3 (12)</w:t>
            </w:r>
          </w:p>
        </w:tc>
        <w:tc>
          <w:tcPr>
            <w:tcW w:w="0" w:type="auto"/>
            <w:shd w:val="clear" w:color="auto" w:fill="auto"/>
            <w:vAlign w:val="center"/>
          </w:tcPr>
          <w:p w14:paraId="1F48A65E"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rPr>
              <w:t>11 (50)</w:t>
            </w:r>
          </w:p>
        </w:tc>
        <w:tc>
          <w:tcPr>
            <w:tcW w:w="2509" w:type="dxa"/>
            <w:shd w:val="clear" w:color="auto" w:fill="auto"/>
            <w:vAlign w:val="center"/>
          </w:tcPr>
          <w:p w14:paraId="41231FA4" w14:textId="77777777" w:rsidR="002845CC" w:rsidRPr="0066556A" w:rsidRDefault="002845CC" w:rsidP="00B336CF">
            <w:pPr>
              <w:autoSpaceDE w:val="0"/>
              <w:autoSpaceDN w:val="0"/>
              <w:adjustRightInd w:val="0"/>
              <w:snapToGrid w:val="0"/>
              <w:ind w:left="665" w:hanging="665"/>
              <w:jc w:val="center"/>
              <w:rPr>
                <w:rFonts w:ascii="Palatino Linotype" w:hAnsi="Palatino Linotype"/>
                <w:bCs/>
                <w:iCs/>
                <w:color w:val="000000" w:themeColor="text1"/>
                <w:sz w:val="20"/>
                <w:szCs w:val="20"/>
                <w:highlight w:val="yellow"/>
                <w:lang w:val="en-US"/>
              </w:rPr>
            </w:pPr>
            <w:r w:rsidRPr="0066556A">
              <w:rPr>
                <w:rFonts w:ascii="Palatino Linotype" w:hAnsi="Palatino Linotype"/>
                <w:bCs/>
                <w:iCs/>
                <w:color w:val="000000" w:themeColor="text1"/>
                <w:sz w:val="20"/>
                <w:szCs w:val="20"/>
                <w:highlight w:val="yellow"/>
              </w:rPr>
              <w:t>3.7 (</w:t>
            </w:r>
            <w:r w:rsidRPr="0066556A">
              <w:rPr>
                <w:rFonts w:ascii="Palatino Linotype" w:hAnsi="Palatino Linotype"/>
                <w:sz w:val="20"/>
                <w:szCs w:val="20"/>
                <w:highlight w:val="yellow"/>
                <w:shd w:val="clear" w:color="auto" w:fill="FFFFFF"/>
              </w:rPr>
              <w:t>0.47–28.4</w:t>
            </w:r>
            <w:r w:rsidRPr="0066556A">
              <w:rPr>
                <w:rFonts w:ascii="Palatino Linotype" w:hAnsi="Palatino Linotype"/>
                <w:bCs/>
                <w:iCs/>
                <w:color w:val="000000" w:themeColor="text1"/>
                <w:sz w:val="20"/>
                <w:szCs w:val="20"/>
                <w:highlight w:val="yellow"/>
              </w:rPr>
              <w:t xml:space="preserve">); </w:t>
            </w:r>
            <w:r w:rsidRPr="0066556A">
              <w:rPr>
                <w:rFonts w:ascii="Palatino Linotype" w:hAnsi="Palatino Linotype"/>
                <w:sz w:val="20"/>
                <w:szCs w:val="20"/>
                <w:highlight w:val="yellow"/>
                <w:shd w:val="clear" w:color="auto" w:fill="FFFFFF"/>
              </w:rPr>
              <w:t>0.303</w:t>
            </w:r>
          </w:p>
        </w:tc>
      </w:tr>
      <w:tr w:rsidR="002845CC" w:rsidRPr="0066556A" w14:paraId="75B5FCCD" w14:textId="77777777" w:rsidTr="00B336CF">
        <w:trPr>
          <w:jc w:val="center"/>
        </w:trPr>
        <w:tc>
          <w:tcPr>
            <w:tcW w:w="0" w:type="auto"/>
            <w:gridSpan w:val="4"/>
            <w:shd w:val="clear" w:color="auto" w:fill="auto"/>
            <w:vAlign w:val="center"/>
          </w:tcPr>
          <w:p w14:paraId="3AA17BCD" w14:textId="77777777" w:rsidR="002845CC" w:rsidRPr="0066556A" w:rsidRDefault="002845CC" w:rsidP="00B336CF">
            <w:pPr>
              <w:autoSpaceDE w:val="0"/>
              <w:autoSpaceDN w:val="0"/>
              <w:adjustRightInd w:val="0"/>
              <w:snapToGrid w:val="0"/>
              <w:jc w:val="center"/>
              <w:rPr>
                <w:rFonts w:ascii="Palatino Linotype" w:hAnsi="Palatino Linotype"/>
                <w:color w:val="000000" w:themeColor="text1"/>
                <w:sz w:val="20"/>
                <w:szCs w:val="20"/>
                <w:highlight w:val="yellow"/>
                <w:lang w:val="en-US"/>
              </w:rPr>
            </w:pPr>
            <w:r w:rsidRPr="0066556A">
              <w:rPr>
                <w:rFonts w:ascii="Palatino Linotype" w:hAnsi="Palatino Linotype"/>
                <w:color w:val="000000" w:themeColor="text1"/>
                <w:sz w:val="20"/>
                <w:szCs w:val="20"/>
                <w:highlight w:val="yellow"/>
                <w:lang w:val="en-US"/>
              </w:rPr>
              <w:t xml:space="preserve">OR expected from additive model (G+E) </w:t>
            </w:r>
            <w:r w:rsidRPr="0066556A">
              <w:rPr>
                <w:rFonts w:ascii="Palatino Linotype" w:hAnsi="Palatino Linotype"/>
                <w:color w:val="000000" w:themeColor="text1"/>
                <w:sz w:val="20"/>
                <w:szCs w:val="20"/>
                <w:highlight w:val="yellow"/>
                <w:vertAlign w:val="superscript"/>
                <w:lang w:val="en-US"/>
              </w:rPr>
              <w:t>a</w:t>
            </w:r>
            <w:r w:rsidRPr="0066556A">
              <w:rPr>
                <w:rFonts w:ascii="Palatino Linotype" w:hAnsi="Palatino Linotype"/>
                <w:color w:val="000000" w:themeColor="text1"/>
                <w:sz w:val="20"/>
                <w:szCs w:val="20"/>
                <w:highlight w:val="yellow"/>
                <w:vertAlign w:val="subscript"/>
                <w:lang w:val="en-US"/>
              </w:rPr>
              <w:t>,</w:t>
            </w:r>
            <w:r w:rsidRPr="0066556A">
              <w:rPr>
                <w:rFonts w:ascii="Palatino Linotype" w:hAnsi="Palatino Linotype"/>
                <w:sz w:val="20"/>
                <w:szCs w:val="20"/>
                <w:highlight w:val="yellow"/>
                <w:lang w:val="en-US"/>
              </w:rPr>
              <w:t xml:space="preserve"> </w:t>
            </w:r>
            <w:r w:rsidRPr="0066556A">
              <w:rPr>
                <w:rFonts w:ascii="Palatino Linotype" w:hAnsi="Palatino Linotype"/>
                <w:color w:val="000000" w:themeColor="text1"/>
                <w:sz w:val="20"/>
                <w:szCs w:val="20"/>
                <w:highlight w:val="yellow"/>
                <w:lang w:val="en-US"/>
              </w:rPr>
              <w:t xml:space="preserve">Synergy index </w:t>
            </w:r>
            <w:r w:rsidRPr="0066556A">
              <w:rPr>
                <w:rFonts w:ascii="Palatino Linotype" w:hAnsi="Palatino Linotype"/>
                <w:color w:val="000000" w:themeColor="text1"/>
                <w:sz w:val="20"/>
                <w:szCs w:val="20"/>
                <w:highlight w:val="yellow"/>
                <w:vertAlign w:val="superscript"/>
                <w:lang w:val="en-US"/>
              </w:rPr>
              <w:t>b</w:t>
            </w:r>
            <w:r w:rsidRPr="0066556A">
              <w:rPr>
                <w:rFonts w:ascii="Palatino Linotype" w:hAnsi="Palatino Linotype"/>
                <w:color w:val="000000" w:themeColor="text1"/>
                <w:sz w:val="20"/>
                <w:szCs w:val="20"/>
                <w:highlight w:val="yellow"/>
                <w:lang w:val="en-US"/>
              </w:rPr>
              <w:t xml:space="preserve"> </w:t>
            </w:r>
          </w:p>
        </w:tc>
        <w:tc>
          <w:tcPr>
            <w:tcW w:w="2509" w:type="dxa"/>
            <w:shd w:val="clear" w:color="auto" w:fill="auto"/>
            <w:vAlign w:val="center"/>
          </w:tcPr>
          <w:p w14:paraId="6017376B" w14:textId="77777777" w:rsidR="002845CC" w:rsidRPr="0066556A" w:rsidRDefault="002845CC" w:rsidP="00B336CF">
            <w:pPr>
              <w:autoSpaceDE w:val="0"/>
              <w:autoSpaceDN w:val="0"/>
              <w:adjustRightInd w:val="0"/>
              <w:snapToGrid w:val="0"/>
              <w:jc w:val="center"/>
              <w:rPr>
                <w:rFonts w:ascii="Palatino Linotype" w:hAnsi="Palatino Linotype"/>
                <w:bCs/>
                <w:iCs/>
                <w:color w:val="000000" w:themeColor="text1"/>
                <w:sz w:val="20"/>
                <w:szCs w:val="20"/>
                <w:highlight w:val="yellow"/>
                <w:lang w:val="en-US"/>
              </w:rPr>
            </w:pPr>
            <w:r w:rsidRPr="0066556A">
              <w:rPr>
                <w:rFonts w:ascii="Palatino Linotype" w:hAnsi="Palatino Linotype"/>
                <w:bCs/>
                <w:iCs/>
                <w:color w:val="000000" w:themeColor="text1"/>
                <w:sz w:val="20"/>
                <w:szCs w:val="20"/>
                <w:highlight w:val="yellow"/>
              </w:rPr>
              <w:t xml:space="preserve">8.1; 0.4 </w:t>
            </w:r>
            <w:r w:rsidRPr="0066556A">
              <w:rPr>
                <w:rFonts w:ascii="Times New Roman" w:hAnsi="Times New Roman" w:cs="Times New Roman"/>
                <w:bCs/>
                <w:iCs/>
                <w:color w:val="000000" w:themeColor="text1"/>
                <w:sz w:val="20"/>
                <w:szCs w:val="20"/>
                <w:highlight w:val="yellow"/>
              </w:rPr>
              <w:t>↓</w:t>
            </w:r>
          </w:p>
        </w:tc>
      </w:tr>
    </w:tbl>
    <w:p w14:paraId="61B04B1E" w14:textId="77777777" w:rsidR="002845CC" w:rsidRPr="0066556A" w:rsidRDefault="002845CC" w:rsidP="002845CC">
      <w:pPr>
        <w:pStyle w:val="MDPI43tablefooter"/>
        <w:spacing w:after="240"/>
        <w:rPr>
          <w:highlight w:val="yellow"/>
        </w:rPr>
      </w:pPr>
      <w:r w:rsidRPr="0066556A">
        <w:rPr>
          <w:rFonts w:hint="eastAsia"/>
          <w:highlight w:val="yellow"/>
        </w:rPr>
        <w:lastRenderedPageBreak/>
        <w:t>a-Expected OR = OR1</w:t>
      </w:r>
      <w:r w:rsidRPr="0066556A">
        <w:rPr>
          <w:highlight w:val="yellow"/>
        </w:rPr>
        <w:t xml:space="preserve"> </w:t>
      </w:r>
      <w:r w:rsidRPr="0066556A">
        <w:rPr>
          <w:rFonts w:hint="eastAsia"/>
          <w:highlight w:val="yellow"/>
        </w:rPr>
        <w:t>Observed (</w:t>
      </w:r>
      <w:r w:rsidRPr="0066556A">
        <w:rPr>
          <w:highlight w:val="yellow"/>
        </w:rPr>
        <w:t>reference genotype</w:t>
      </w:r>
      <w:r w:rsidRPr="0066556A">
        <w:rPr>
          <w:rFonts w:hint="eastAsia"/>
          <w:highlight w:val="yellow"/>
        </w:rPr>
        <w:t xml:space="preserve"> and &lt;28 wk.) + OR2 Observed (</w:t>
      </w:r>
      <w:r w:rsidRPr="0066556A">
        <w:rPr>
          <w:highlight w:val="yellow"/>
        </w:rPr>
        <w:t>studied genotypes</w:t>
      </w:r>
      <w:r w:rsidRPr="0066556A">
        <w:rPr>
          <w:rFonts w:hint="eastAsia"/>
          <w:highlight w:val="yellow"/>
        </w:rPr>
        <w:t xml:space="preserve"> and ≥28 wk.) </w:t>
      </w:r>
      <w:r w:rsidRPr="0066556A">
        <w:rPr>
          <w:highlight w:val="yellow"/>
        </w:rPr>
        <w:t xml:space="preserve">− </w:t>
      </w:r>
      <w:r w:rsidRPr="0066556A">
        <w:rPr>
          <w:rFonts w:hint="eastAsia"/>
          <w:highlight w:val="yellow"/>
        </w:rPr>
        <w:t>1</w:t>
      </w:r>
      <w:r w:rsidRPr="0066556A">
        <w:rPr>
          <w:highlight w:val="yellow"/>
        </w:rPr>
        <w:t>; b-</w:t>
      </w:r>
      <w:r w:rsidRPr="0066556A">
        <w:rPr>
          <w:color w:val="000000" w:themeColor="text1"/>
          <w:szCs w:val="18"/>
          <w:highlight w:val="yellow"/>
        </w:rPr>
        <w:t>The Rothman synergy index (S).</w:t>
      </w:r>
    </w:p>
    <w:p w14:paraId="433EA779" w14:textId="77777777" w:rsidR="002845CC" w:rsidRPr="0066556A" w:rsidRDefault="002845CC" w:rsidP="002845CC">
      <w:pPr>
        <w:rPr>
          <w:highlight w:val="yellow"/>
          <w:lang w:val="en-US"/>
        </w:rPr>
      </w:pPr>
    </w:p>
    <w:p w14:paraId="55ABA42C" w14:textId="77777777" w:rsidR="002845CC" w:rsidRDefault="002845CC" w:rsidP="002845CC">
      <w:pPr>
        <w:pStyle w:val="MDPI31text"/>
      </w:pPr>
      <w:r w:rsidRPr="0066556A">
        <w:rPr>
          <w:highlight w:val="yellow"/>
        </w:rPr>
        <w:t>Compared to children with the rs1799750 2G/2G genotype born at or after 28 weeks of gestation, children carrying the 1G allele born before 28 weeks of pregnancy had a 155-fold increased risk of ROP (</w:t>
      </w:r>
      <w:r w:rsidRPr="0066556A">
        <w:rPr>
          <w:i/>
          <w:highlight w:val="yellow"/>
        </w:rPr>
        <w:t>P</w:t>
      </w:r>
      <w:r w:rsidRPr="0066556A">
        <w:rPr>
          <w:highlight w:val="yellow"/>
        </w:rPr>
        <w:t xml:space="preserve"> &lt; 0.0001). The Rothman synergy index (S = 15.6) indicated a multiplicative interaction, signifying a relative increase in the risk. A similar effect was observed for the </w:t>
      </w:r>
      <w:r w:rsidRPr="0066556A">
        <w:rPr>
          <w:i/>
          <w:highlight w:val="yellow"/>
        </w:rPr>
        <w:t>TIMP</w:t>
      </w:r>
      <w:r w:rsidRPr="0066556A">
        <w:rPr>
          <w:highlight w:val="yellow"/>
        </w:rPr>
        <w:t>-1 rs4898 C allele in female newborns. This allele was found to be a protective factor against ROP. The co-occurrence of this allele with ELGA reduced the risk of ROP from 9-fold to 3.7-fold. However, this effect was not statistically significant due to the small size of the study group. The Rothman synergy index (S = 0.4) indicated a multiplicative interaction, signifying a relative decrease in the risk</w:t>
      </w:r>
    </w:p>
    <w:p w14:paraId="165C4BD2" w14:textId="77777777" w:rsidR="00C3528F" w:rsidRDefault="00C3528F" w:rsidP="00662E0C">
      <w:pPr>
        <w:pStyle w:val="MDPI23heading3"/>
        <w:ind w:left="0"/>
        <w:jc w:val="both"/>
        <w:rPr>
          <w:sz w:val="22"/>
          <w:shd w:val="clear" w:color="auto" w:fill="FFFFFF"/>
        </w:rPr>
      </w:pPr>
    </w:p>
    <w:p w14:paraId="39FAD4F3" w14:textId="0C109FCA" w:rsidR="003400E5" w:rsidRDefault="003400E5" w:rsidP="00986403">
      <w:pPr>
        <w:pStyle w:val="NormalnyWeb"/>
        <w:rPr>
          <w:rFonts w:ascii="Palatino Linotype" w:hAnsi="Palatino Linotype" w:cs="Arial"/>
          <w:i/>
          <w:color w:val="0A0A0A"/>
          <w:sz w:val="22"/>
          <w:szCs w:val="22"/>
          <w:lang w:val="en-US"/>
        </w:rPr>
      </w:pPr>
      <w:r w:rsidRPr="0066556A">
        <w:rPr>
          <w:rFonts w:ascii="Palatino Linotype" w:hAnsi="Palatino Linotype" w:cs="Arial"/>
          <w:i/>
          <w:color w:val="0A0A0A"/>
          <w:sz w:val="22"/>
          <w:szCs w:val="22"/>
          <w:lang w:val="en-US"/>
        </w:rPr>
        <w:t>Changes</w:t>
      </w:r>
      <w:r w:rsidR="0066556A" w:rsidRPr="0066556A">
        <w:rPr>
          <w:rFonts w:ascii="Palatino Linotype" w:hAnsi="Palatino Linotype" w:cs="Arial"/>
          <w:i/>
          <w:color w:val="0A0A0A"/>
          <w:sz w:val="22"/>
          <w:szCs w:val="22"/>
          <w:lang w:val="en-US"/>
        </w:rPr>
        <w:t xml:space="preserve"> in the text</w:t>
      </w:r>
      <w:r w:rsidRPr="0066556A">
        <w:rPr>
          <w:rFonts w:ascii="Palatino Linotype" w:hAnsi="Palatino Linotype" w:cs="Arial"/>
          <w:i/>
          <w:color w:val="0A0A0A"/>
          <w:sz w:val="22"/>
          <w:szCs w:val="22"/>
          <w:lang w:val="en-US"/>
        </w:rPr>
        <w:t xml:space="preserve">: </w:t>
      </w:r>
    </w:p>
    <w:p w14:paraId="477D65E6" w14:textId="49ACDEEC" w:rsidR="00A27F14" w:rsidRPr="002C0757" w:rsidRDefault="00A27F14" w:rsidP="00A27F14">
      <w:pPr>
        <w:pStyle w:val="MDPI23heading3"/>
      </w:pPr>
      <w:r w:rsidRPr="002C0757">
        <w:t>2.2.1. Single variant tests of association</w:t>
      </w:r>
      <w:r>
        <w:t xml:space="preserve"> (Page 6)</w:t>
      </w:r>
    </w:p>
    <w:p w14:paraId="74CEB6C3" w14:textId="5ACDAB38" w:rsidR="00A27F14" w:rsidRDefault="00A27F14" w:rsidP="00986403">
      <w:pPr>
        <w:pStyle w:val="NormalnyWeb"/>
        <w:rPr>
          <w:rFonts w:ascii="Palatino Linotype" w:hAnsi="Palatino Linotype"/>
          <w:sz w:val="22"/>
          <w:shd w:val="clear" w:color="auto" w:fill="FFFFFF"/>
          <w:lang w:val="en-US"/>
        </w:rPr>
      </w:pPr>
      <w:r w:rsidRPr="00A27F14">
        <w:rPr>
          <w:rFonts w:ascii="Palatino Linotype" w:hAnsi="Palatino Linotype"/>
          <w:sz w:val="22"/>
          <w:highlight w:val="yellow"/>
          <w:shd w:val="clear" w:color="auto" w:fill="FFFFFF"/>
          <w:lang w:val="en-US"/>
        </w:rPr>
        <w:t xml:space="preserve">We further investigated gene-environment interactions between </w:t>
      </w:r>
      <w:r w:rsidRPr="00A27F14">
        <w:rPr>
          <w:rFonts w:ascii="Palatino Linotype" w:hAnsi="Palatino Linotype"/>
          <w:i/>
          <w:sz w:val="22"/>
          <w:highlight w:val="yellow"/>
          <w:shd w:val="clear" w:color="auto" w:fill="FFFFFF"/>
          <w:lang w:val="en-US"/>
        </w:rPr>
        <w:t>MMP-1</w:t>
      </w:r>
      <w:r w:rsidRPr="00A27F14">
        <w:rPr>
          <w:rFonts w:ascii="Palatino Linotype" w:hAnsi="Palatino Linotype"/>
          <w:sz w:val="22"/>
          <w:highlight w:val="yellow"/>
          <w:shd w:val="clear" w:color="auto" w:fill="FFFFFF"/>
          <w:lang w:val="en-US"/>
        </w:rPr>
        <w:t xml:space="preserve"> and </w:t>
      </w:r>
      <w:r w:rsidRPr="00A27F14">
        <w:rPr>
          <w:rFonts w:ascii="Palatino Linotype" w:hAnsi="Palatino Linotype"/>
          <w:i/>
          <w:sz w:val="22"/>
          <w:highlight w:val="yellow"/>
          <w:shd w:val="clear" w:color="auto" w:fill="FFFFFF"/>
          <w:lang w:val="en-US"/>
        </w:rPr>
        <w:t>TIMP-1</w:t>
      </w:r>
      <w:r w:rsidRPr="00A27F14">
        <w:rPr>
          <w:rFonts w:ascii="Palatino Linotype" w:hAnsi="Palatino Linotype"/>
          <w:sz w:val="22"/>
          <w:highlight w:val="yellow"/>
          <w:shd w:val="clear" w:color="auto" w:fill="FFFFFF"/>
          <w:lang w:val="en-US"/>
        </w:rPr>
        <w:t xml:space="preserve"> genotypes and factors such as GA, BW, and sex. We found that </w:t>
      </w:r>
      <w:r w:rsidRPr="00A27F14">
        <w:rPr>
          <w:rFonts w:ascii="Palatino Linotype" w:hAnsi="Palatino Linotype"/>
          <w:i/>
          <w:sz w:val="22"/>
          <w:highlight w:val="yellow"/>
          <w:shd w:val="clear" w:color="auto" w:fill="FFFFFF"/>
          <w:lang w:val="en-US"/>
        </w:rPr>
        <w:t>MMP-1</w:t>
      </w:r>
      <w:r w:rsidRPr="00A27F14">
        <w:rPr>
          <w:rFonts w:ascii="Palatino Linotype" w:hAnsi="Palatino Linotype"/>
          <w:sz w:val="22"/>
          <w:highlight w:val="yellow"/>
          <w:shd w:val="clear" w:color="auto" w:fill="FFFFFF"/>
          <w:lang w:val="en-US"/>
        </w:rPr>
        <w:t xml:space="preserve"> rs1799750 1G allele in the entire group and </w:t>
      </w:r>
      <w:r w:rsidRPr="00A27F14">
        <w:rPr>
          <w:rFonts w:ascii="Palatino Linotype" w:hAnsi="Palatino Linotype"/>
          <w:i/>
          <w:sz w:val="22"/>
          <w:highlight w:val="yellow"/>
          <w:shd w:val="clear" w:color="auto" w:fill="FFFFFF"/>
          <w:lang w:val="en-US"/>
        </w:rPr>
        <w:t>TIMP-1</w:t>
      </w:r>
      <w:r w:rsidRPr="00A27F14">
        <w:rPr>
          <w:rFonts w:ascii="Palatino Linotype" w:hAnsi="Palatino Linotype"/>
          <w:sz w:val="22"/>
          <w:highlight w:val="yellow"/>
          <w:shd w:val="clear" w:color="auto" w:fill="FFFFFF"/>
          <w:lang w:val="en-US"/>
        </w:rPr>
        <w:t xml:space="preserve"> rs4898 C allele in female newborns can interact with GA&lt; 28 weeks in a multiplicative manner, increasing or decreasing the risk </w:t>
      </w:r>
      <w:r w:rsidR="00D33E52">
        <w:rPr>
          <w:rFonts w:ascii="Palatino Linotype" w:hAnsi="Palatino Linotype"/>
          <w:sz w:val="22"/>
          <w:highlight w:val="yellow"/>
          <w:shd w:val="clear" w:color="auto" w:fill="FFFFFF"/>
          <w:lang w:val="en-US"/>
        </w:rPr>
        <w:t xml:space="preserve">of ROP </w:t>
      </w:r>
      <w:r w:rsidRPr="00A27F14">
        <w:rPr>
          <w:rFonts w:ascii="Palatino Linotype" w:hAnsi="Palatino Linotype"/>
          <w:sz w:val="22"/>
          <w:highlight w:val="yellow"/>
          <w:shd w:val="clear" w:color="auto" w:fill="FFFFFF"/>
          <w:lang w:val="en-US"/>
        </w:rPr>
        <w:t>(refer to the Supplemental data for details).</w:t>
      </w:r>
    </w:p>
    <w:p w14:paraId="3FD7F3A6" w14:textId="77777777" w:rsidR="00D33E52" w:rsidRPr="002C0757" w:rsidRDefault="00D33E52" w:rsidP="00D33E52">
      <w:pPr>
        <w:pStyle w:val="MDPI21heading1"/>
        <w:rPr>
          <w:i/>
          <w:shd w:val="clear" w:color="auto" w:fill="FFFFFF"/>
        </w:rPr>
      </w:pPr>
      <w:r w:rsidRPr="002C0757">
        <w:rPr>
          <w:i/>
          <w:shd w:val="clear" w:color="auto" w:fill="FFFFFF"/>
        </w:rPr>
        <w:t xml:space="preserve">3. </w:t>
      </w:r>
      <w:r w:rsidRPr="002C0757">
        <w:rPr>
          <w:shd w:val="clear" w:color="auto" w:fill="FFFFFF"/>
        </w:rPr>
        <w:t>Discussion</w:t>
      </w:r>
    </w:p>
    <w:p w14:paraId="6B7FDA45" w14:textId="09342620" w:rsidR="00D33E52" w:rsidRDefault="00D33E52" w:rsidP="00D33E52">
      <w:pPr>
        <w:pStyle w:val="MDPI11articletype"/>
        <w:rPr>
          <w:i w:val="0"/>
        </w:rPr>
      </w:pPr>
      <w:r w:rsidRPr="00D33E52">
        <w:rPr>
          <w:i w:val="0"/>
        </w:rPr>
        <w:t xml:space="preserve"> </w:t>
      </w:r>
      <w:r w:rsidRPr="00D33E52">
        <w:rPr>
          <w:i w:val="0"/>
          <w:highlight w:val="yellow"/>
        </w:rPr>
        <w:t>The effects of these variants may modify the effect of low gestational age on the risk of ROP.</w:t>
      </w:r>
    </w:p>
    <w:p w14:paraId="30A75724" w14:textId="1EC6DECA" w:rsidR="00D33E52" w:rsidRDefault="00D33E52" w:rsidP="00D33E52">
      <w:pPr>
        <w:rPr>
          <w:lang w:val="en-US" w:eastAsia="de-DE" w:bidi="en-US"/>
        </w:rPr>
      </w:pPr>
    </w:p>
    <w:p w14:paraId="7C0E0846" w14:textId="77777777" w:rsidR="00D33E52" w:rsidRPr="002C0757" w:rsidRDefault="00D33E52" w:rsidP="00D33E52">
      <w:pPr>
        <w:pStyle w:val="MDPI22heading2"/>
        <w:spacing w:before="240"/>
        <w:rPr>
          <w:shd w:val="clear" w:color="auto" w:fill="FFFFFF"/>
        </w:rPr>
      </w:pPr>
      <w:r w:rsidRPr="002C0757">
        <w:rPr>
          <w:shd w:val="clear" w:color="auto" w:fill="FFFFFF"/>
        </w:rPr>
        <w:t>4.6. Statistical analysis</w:t>
      </w:r>
    </w:p>
    <w:p w14:paraId="4E5DB5A3" w14:textId="3F2C4117" w:rsidR="00D33E52" w:rsidRDefault="00D33E52" w:rsidP="00D33E52">
      <w:pPr>
        <w:rPr>
          <w:rFonts w:ascii="Palatino Linotype" w:hAnsi="Palatino Linotype"/>
          <w:sz w:val="22"/>
          <w:shd w:val="clear" w:color="auto" w:fill="FFFFFF"/>
          <w:lang w:val="en-US"/>
        </w:rPr>
      </w:pPr>
      <w:r w:rsidRPr="00D33E52">
        <w:rPr>
          <w:rFonts w:ascii="Palatino Linotype" w:hAnsi="Palatino Linotype"/>
          <w:sz w:val="22"/>
          <w:highlight w:val="yellow"/>
          <w:shd w:val="clear" w:color="auto" w:fill="FFFFFF"/>
          <w:lang w:val="en-US"/>
        </w:rPr>
        <w:t xml:space="preserve">Gene-environment interaction analysis was performed using the method described by </w:t>
      </w:r>
      <w:proofErr w:type="spellStart"/>
      <w:r w:rsidRPr="00D33E52">
        <w:rPr>
          <w:rFonts w:ascii="Palatino Linotype" w:hAnsi="Palatino Linotype"/>
          <w:sz w:val="22"/>
          <w:highlight w:val="yellow"/>
          <w:shd w:val="clear" w:color="auto" w:fill="FFFFFF"/>
          <w:lang w:val="en-US"/>
        </w:rPr>
        <w:t>Botto</w:t>
      </w:r>
      <w:proofErr w:type="spellEnd"/>
      <w:r w:rsidRPr="00D33E52">
        <w:rPr>
          <w:rFonts w:ascii="Palatino Linotype" w:hAnsi="Palatino Linotype"/>
          <w:sz w:val="22"/>
          <w:highlight w:val="yellow"/>
          <w:shd w:val="clear" w:color="auto" w:fill="FFFFFF"/>
          <w:lang w:val="en-US"/>
        </w:rPr>
        <w:t xml:space="preserve"> and </w:t>
      </w:r>
      <w:proofErr w:type="spellStart"/>
      <w:r w:rsidRPr="00D33E52">
        <w:rPr>
          <w:rFonts w:ascii="Palatino Linotype" w:hAnsi="Palatino Linotype"/>
          <w:sz w:val="22"/>
          <w:highlight w:val="yellow"/>
          <w:shd w:val="clear" w:color="auto" w:fill="FFFFFF"/>
          <w:lang w:val="en-US"/>
        </w:rPr>
        <w:t>Khoury</w:t>
      </w:r>
      <w:proofErr w:type="spellEnd"/>
      <w:r w:rsidRPr="00D33E52">
        <w:rPr>
          <w:rFonts w:ascii="Palatino Linotype" w:hAnsi="Palatino Linotype"/>
          <w:sz w:val="22"/>
          <w:highlight w:val="yellow"/>
          <w:shd w:val="clear" w:color="auto" w:fill="FFFFFF"/>
          <w:lang w:val="en-US"/>
        </w:rPr>
        <w:t xml:space="preserve"> [39].</w:t>
      </w:r>
    </w:p>
    <w:p w14:paraId="1ECC12E8" w14:textId="77777777" w:rsidR="008F2510" w:rsidRPr="00B336CF" w:rsidRDefault="008F2510" w:rsidP="008F2510">
      <w:pPr>
        <w:pStyle w:val="MDPI62BackMatter"/>
        <w:spacing w:before="240"/>
      </w:pPr>
      <w:r w:rsidRPr="002C0757">
        <w:rPr>
          <w:b/>
        </w:rPr>
        <w:t xml:space="preserve">Supplementary Materials: </w:t>
      </w:r>
      <w:r w:rsidRPr="00B336CF">
        <w:rPr>
          <w:highlight w:val="yellow"/>
        </w:rPr>
        <w:t>Supplemental Results: Gene-Environment Interaction between the MMP-1 and TIMP-1 Genotype and ELGA.</w:t>
      </w:r>
      <w:r w:rsidRPr="00B336CF">
        <w:t xml:space="preserve"> </w:t>
      </w:r>
    </w:p>
    <w:p w14:paraId="1FC9E111" w14:textId="77777777" w:rsidR="008F2510" w:rsidRPr="00D33E52" w:rsidRDefault="008F2510" w:rsidP="00D33E52">
      <w:pPr>
        <w:rPr>
          <w:rFonts w:ascii="Palatino Linotype" w:hAnsi="Palatino Linotype"/>
          <w:sz w:val="22"/>
          <w:lang w:val="en-US" w:eastAsia="de-DE" w:bidi="en-US"/>
        </w:rPr>
      </w:pPr>
    </w:p>
    <w:p w14:paraId="55338862" w14:textId="77777777" w:rsidR="00D33E52" w:rsidRDefault="00D33E52" w:rsidP="0066556A">
      <w:pPr>
        <w:rPr>
          <w:highlight w:val="yellow"/>
          <w:lang w:val="en-US"/>
        </w:rPr>
      </w:pPr>
    </w:p>
    <w:p w14:paraId="01D51177" w14:textId="51167A03" w:rsidR="0066556A" w:rsidRPr="0066556A" w:rsidRDefault="008F2510" w:rsidP="0066556A">
      <w:pPr>
        <w:rPr>
          <w:highlight w:val="yellow"/>
          <w:lang w:val="en-US"/>
        </w:rPr>
      </w:pPr>
      <w:proofErr w:type="spellStart"/>
      <w:r w:rsidRPr="008F2510">
        <w:rPr>
          <w:rFonts w:ascii="Palatino Linotype" w:hAnsi="Palatino Linotype"/>
          <w:b/>
          <w:color w:val="000000" w:themeColor="text1"/>
          <w:sz w:val="20"/>
          <w:szCs w:val="22"/>
          <w:lang w:eastAsia="de-DE"/>
        </w:rPr>
        <w:t>References</w:t>
      </w:r>
      <w:proofErr w:type="spellEnd"/>
    </w:p>
    <w:p w14:paraId="660BA43F" w14:textId="77777777" w:rsidR="0066556A" w:rsidRPr="0066556A" w:rsidRDefault="0066556A" w:rsidP="0066556A">
      <w:pPr>
        <w:pStyle w:val="EndNoteBibliography"/>
        <w:numPr>
          <w:ilvl w:val="0"/>
          <w:numId w:val="11"/>
        </w:numPr>
        <w:adjustRightInd w:val="0"/>
        <w:snapToGrid w:val="0"/>
        <w:spacing w:line="228" w:lineRule="auto"/>
        <w:ind w:left="426"/>
        <w:jc w:val="both"/>
        <w:rPr>
          <w:rFonts w:ascii="Palatino Linotype" w:hAnsi="Palatino Linotype"/>
          <w:sz w:val="18"/>
          <w:szCs w:val="18"/>
          <w:highlight w:val="yellow"/>
        </w:rPr>
      </w:pPr>
      <w:r w:rsidRPr="0066556A">
        <w:rPr>
          <w:rFonts w:ascii="Palatino Linotype" w:hAnsi="Palatino Linotype"/>
          <w:sz w:val="18"/>
          <w:szCs w:val="18"/>
          <w:highlight w:val="yellow"/>
        </w:rPr>
        <w:t xml:space="preserve">Botto, L.D.; Khoury, M.J. Commentary: Facing the challenge of gene-environment interaction: The two-by-four table and beyond. </w:t>
      </w:r>
      <w:r w:rsidRPr="0066556A">
        <w:rPr>
          <w:rFonts w:ascii="Palatino Linotype" w:hAnsi="Palatino Linotype"/>
          <w:i/>
          <w:sz w:val="18"/>
          <w:szCs w:val="18"/>
          <w:highlight w:val="yellow"/>
        </w:rPr>
        <w:t xml:space="preserve">Am. J. Epidemiol. </w:t>
      </w:r>
      <w:r w:rsidRPr="0066556A">
        <w:rPr>
          <w:rFonts w:ascii="Palatino Linotype" w:hAnsi="Palatino Linotype"/>
          <w:b/>
          <w:sz w:val="18"/>
          <w:szCs w:val="18"/>
          <w:highlight w:val="yellow"/>
        </w:rPr>
        <w:t>2001</w:t>
      </w:r>
      <w:r w:rsidRPr="0066556A">
        <w:rPr>
          <w:rFonts w:ascii="Palatino Linotype" w:hAnsi="Palatino Linotype"/>
          <w:sz w:val="18"/>
          <w:szCs w:val="18"/>
          <w:highlight w:val="yellow"/>
        </w:rPr>
        <w:t xml:space="preserve">, </w:t>
      </w:r>
      <w:r w:rsidRPr="0066556A">
        <w:rPr>
          <w:rFonts w:ascii="Palatino Linotype" w:hAnsi="Palatino Linotype"/>
          <w:i/>
          <w:sz w:val="18"/>
          <w:szCs w:val="18"/>
          <w:highlight w:val="yellow"/>
        </w:rPr>
        <w:t>153</w:t>
      </w:r>
      <w:r w:rsidRPr="0066556A">
        <w:rPr>
          <w:rFonts w:ascii="Palatino Linotype" w:hAnsi="Palatino Linotype"/>
          <w:sz w:val="18"/>
          <w:szCs w:val="18"/>
          <w:highlight w:val="yellow"/>
        </w:rPr>
        <w:t>, 1016–1020. https://doi.org/10.1093/aje/153.10.1016.</w:t>
      </w:r>
    </w:p>
    <w:p w14:paraId="551593CF" w14:textId="7C3B4F70" w:rsidR="008F2510" w:rsidRDefault="008F2510">
      <w:pPr>
        <w:rPr>
          <w:rFonts w:ascii="Palatino Linotype" w:eastAsia="Times New Roman" w:hAnsi="Palatino Linotype" w:cs="Arial"/>
          <w:color w:val="0A0A0A"/>
          <w:sz w:val="22"/>
          <w:szCs w:val="22"/>
          <w:lang w:val="en-US" w:eastAsia="pl-PL"/>
        </w:rPr>
      </w:pPr>
      <w:r>
        <w:rPr>
          <w:rFonts w:ascii="Palatino Linotype" w:hAnsi="Palatino Linotype" w:cs="Arial"/>
          <w:color w:val="0A0A0A"/>
          <w:sz w:val="22"/>
          <w:szCs w:val="22"/>
          <w:lang w:val="en-US"/>
        </w:rPr>
        <w:br w:type="page"/>
      </w:r>
    </w:p>
    <w:p w14:paraId="6FCEB065" w14:textId="76AB84F6" w:rsidR="00CD10EF" w:rsidRPr="004A5352" w:rsidRDefault="00CD10EF" w:rsidP="00CD10EF">
      <w:pPr>
        <w:pStyle w:val="NormalnyWeb"/>
        <w:rPr>
          <w:rFonts w:ascii="Palatino Linotype" w:hAnsi="Palatino Linotype" w:cs="Arial"/>
          <w:color w:val="0A0A0A"/>
          <w:sz w:val="22"/>
          <w:szCs w:val="22"/>
          <w:lang w:val="en-US"/>
        </w:rPr>
      </w:pPr>
      <w:r w:rsidRPr="004A5352">
        <w:rPr>
          <w:rFonts w:ascii="Palatino Linotype" w:hAnsi="Palatino Linotype" w:cs="Arial"/>
          <w:color w:val="0A0A0A"/>
          <w:sz w:val="22"/>
          <w:szCs w:val="22"/>
          <w:lang w:val="en-US"/>
        </w:rPr>
        <w:lastRenderedPageBreak/>
        <w:t xml:space="preserve">3) </w:t>
      </w:r>
      <w:bookmarkStart w:id="1" w:name="OLE_LINK1"/>
      <w:r w:rsidRPr="002A1938">
        <w:rPr>
          <w:rFonts w:ascii="Palatino Linotype" w:hAnsi="Palatino Linotype" w:cs="Arial"/>
          <w:i/>
          <w:sz w:val="22"/>
          <w:szCs w:val="22"/>
          <w:lang w:val="en-US"/>
        </w:rPr>
        <w:t xml:space="preserve">Conclusions. ! Surprising conclusion about the Caucasian preterm infants. Sorry, but this </w:t>
      </w:r>
      <w:proofErr w:type="spellStart"/>
      <w:r w:rsidRPr="002A1938">
        <w:rPr>
          <w:rFonts w:ascii="Palatino Linotype" w:hAnsi="Palatino Linotype" w:cs="Arial"/>
          <w:i/>
          <w:sz w:val="22"/>
          <w:szCs w:val="22"/>
          <w:lang w:val="en-US"/>
        </w:rPr>
        <w:t>doesnt</w:t>
      </w:r>
      <w:proofErr w:type="spellEnd"/>
      <w:r w:rsidRPr="002A1938">
        <w:rPr>
          <w:rFonts w:ascii="Palatino Linotype" w:hAnsi="Palatino Linotype" w:cs="Arial"/>
          <w:i/>
          <w:sz w:val="22"/>
          <w:szCs w:val="22"/>
          <w:lang w:val="en-US"/>
        </w:rPr>
        <w:t xml:space="preserve"> respond to you aim and also M+M lacks any info about the division of little patients/controls in the racial groups... Please, correct this accordingly to these remarks!</w:t>
      </w:r>
      <w:r w:rsidR="00506F5F" w:rsidRPr="002A1938">
        <w:rPr>
          <w:rFonts w:ascii="Palatino Linotype" w:hAnsi="Palatino Linotype" w:cs="Arial"/>
          <w:sz w:val="22"/>
          <w:szCs w:val="22"/>
          <w:lang w:val="en-US"/>
        </w:rPr>
        <w:t xml:space="preserve"> </w:t>
      </w:r>
    </w:p>
    <w:p w14:paraId="43A16669" w14:textId="77777777" w:rsidR="002A1938" w:rsidRPr="00405226" w:rsidRDefault="002A1938" w:rsidP="002A1938">
      <w:pPr>
        <w:pStyle w:val="NormalnyWeb"/>
        <w:ind w:left="360"/>
        <w:rPr>
          <w:rFonts w:ascii="Palatino Linotype" w:hAnsi="Palatino Linotype" w:cs="Arial"/>
          <w:i/>
          <w:sz w:val="22"/>
          <w:szCs w:val="22"/>
          <w:lang w:val="en-US"/>
        </w:rPr>
      </w:pPr>
      <w:r w:rsidRPr="00405226">
        <w:rPr>
          <w:rFonts w:ascii="Palatino Linotype" w:hAnsi="Palatino Linotype" w:cs="Arial"/>
          <w:i/>
          <w:sz w:val="22"/>
          <w:szCs w:val="22"/>
          <w:lang w:val="en-US"/>
        </w:rPr>
        <w:t>Reply:</w:t>
      </w:r>
    </w:p>
    <w:p w14:paraId="2D18BD91" w14:textId="09EBE37C" w:rsidR="0037427E" w:rsidRPr="00D4491B" w:rsidRDefault="00EF66E1" w:rsidP="00405226">
      <w:pPr>
        <w:pStyle w:val="NormalnyWeb"/>
        <w:jc w:val="both"/>
        <w:rPr>
          <w:rFonts w:ascii="Palatino Linotype" w:hAnsi="Palatino Linotype" w:cs="Arial"/>
          <w:color w:val="0A0A0A"/>
          <w:sz w:val="22"/>
          <w:szCs w:val="22"/>
          <w:lang w:val="en-US"/>
        </w:rPr>
      </w:pPr>
      <w:r w:rsidRPr="00EF66E1">
        <w:rPr>
          <w:rFonts w:ascii="Palatino Linotype" w:hAnsi="Palatino Linotype" w:cs="Arial"/>
          <w:color w:val="0A0A0A"/>
          <w:sz w:val="22"/>
          <w:szCs w:val="22"/>
          <w:lang w:val="en-US"/>
        </w:rPr>
        <w:t xml:space="preserve">The Polish population is a very homogeneous </w:t>
      </w:r>
      <w:r w:rsidR="00451137">
        <w:rPr>
          <w:rFonts w:ascii="Palatino Linotype" w:hAnsi="Palatino Linotype" w:cs="Arial"/>
          <w:color w:val="0A0A0A"/>
          <w:sz w:val="22"/>
          <w:szCs w:val="22"/>
          <w:lang w:val="en-US"/>
        </w:rPr>
        <w:t>according to ethnicity;</w:t>
      </w:r>
      <w:r w:rsidRPr="00EF66E1">
        <w:rPr>
          <w:rFonts w:ascii="Palatino Linotype" w:hAnsi="Palatino Linotype" w:cs="Arial"/>
          <w:color w:val="0A0A0A"/>
          <w:sz w:val="22"/>
          <w:szCs w:val="22"/>
          <w:lang w:val="en-US"/>
        </w:rPr>
        <w:t xml:space="preserve"> however we agree that the results of the analysis of 100 cases cannot be translated into an analysis of the entire Caucasian population. We have changed the descriptions accordingly.</w:t>
      </w:r>
      <w:r>
        <w:rPr>
          <w:rFonts w:ascii="Palatino Linotype" w:hAnsi="Palatino Linotype" w:cs="Arial"/>
          <w:color w:val="0A0A0A"/>
          <w:sz w:val="22"/>
          <w:szCs w:val="22"/>
          <w:lang w:val="en-US"/>
        </w:rPr>
        <w:t xml:space="preserve"> Namely, w</w:t>
      </w:r>
      <w:r w:rsidR="00D4491B" w:rsidRPr="00D4491B">
        <w:rPr>
          <w:rFonts w:ascii="Palatino Linotype" w:hAnsi="Palatino Linotype" w:cs="Arial"/>
          <w:color w:val="0A0A0A"/>
          <w:sz w:val="22"/>
          <w:szCs w:val="22"/>
          <w:lang w:val="en-US"/>
        </w:rPr>
        <w:t xml:space="preserve">e removed the </w:t>
      </w:r>
      <w:r w:rsidRPr="00D4491B">
        <w:rPr>
          <w:rFonts w:ascii="Palatino Linotype" w:hAnsi="Palatino Linotype" w:cs="Arial"/>
          <w:color w:val="0A0A0A"/>
          <w:sz w:val="22"/>
          <w:szCs w:val="22"/>
          <w:lang w:val="en-US"/>
        </w:rPr>
        <w:t>phrasing</w:t>
      </w:r>
      <w:r w:rsidR="00D4491B" w:rsidRPr="00D4491B">
        <w:rPr>
          <w:rFonts w:ascii="Palatino Linotype" w:hAnsi="Palatino Linotype" w:cs="Arial"/>
          <w:color w:val="0A0A0A"/>
          <w:sz w:val="22"/>
          <w:szCs w:val="22"/>
          <w:lang w:val="en-US"/>
        </w:rPr>
        <w:t xml:space="preserve"> Caucasian preterm infants from Conclusions and replaced it with Polish cohort of premature infants, as it is inclu</w:t>
      </w:r>
      <w:r w:rsidR="00897351">
        <w:rPr>
          <w:rFonts w:ascii="Palatino Linotype" w:hAnsi="Palatino Linotype" w:cs="Arial"/>
          <w:color w:val="0A0A0A"/>
          <w:sz w:val="22"/>
          <w:szCs w:val="22"/>
          <w:lang w:val="en-US"/>
        </w:rPr>
        <w:t>ded in the purpose of the paper</w:t>
      </w:r>
      <w:r w:rsidR="00D4491B" w:rsidRPr="00D4491B">
        <w:rPr>
          <w:rFonts w:ascii="Palatino Linotype" w:hAnsi="Palatino Linotype" w:cs="Arial"/>
          <w:color w:val="0A0A0A"/>
          <w:sz w:val="22"/>
          <w:szCs w:val="22"/>
          <w:lang w:val="en-US"/>
        </w:rPr>
        <w:t>. Information on the ethnicity of the</w:t>
      </w:r>
      <w:r w:rsidR="00405226">
        <w:rPr>
          <w:rFonts w:ascii="Palatino Linotype" w:hAnsi="Palatino Linotype" w:cs="Arial"/>
          <w:color w:val="0A0A0A"/>
          <w:sz w:val="22"/>
          <w:szCs w:val="22"/>
          <w:lang w:val="en-US"/>
        </w:rPr>
        <w:t xml:space="preserve"> studied</w:t>
      </w:r>
      <w:r w:rsidR="00D4491B" w:rsidRPr="00D4491B">
        <w:rPr>
          <w:rFonts w:ascii="Palatino Linotype" w:hAnsi="Palatino Linotype" w:cs="Arial"/>
          <w:color w:val="0A0A0A"/>
          <w:sz w:val="22"/>
          <w:szCs w:val="22"/>
          <w:lang w:val="en-US"/>
        </w:rPr>
        <w:t xml:space="preserve"> population is included in Material and Methods - All patients and their parents were Caucasian.</w:t>
      </w:r>
      <w:r>
        <w:rPr>
          <w:rFonts w:ascii="Palatino Linotype" w:hAnsi="Palatino Linotype" w:cs="Arial"/>
          <w:color w:val="0A0A0A"/>
          <w:sz w:val="22"/>
          <w:szCs w:val="22"/>
          <w:lang w:val="en-US"/>
        </w:rPr>
        <w:t xml:space="preserve"> </w:t>
      </w:r>
    </w:p>
    <w:bookmarkEnd w:id="1"/>
    <w:p w14:paraId="71CFCDC7" w14:textId="77777777" w:rsidR="00451137" w:rsidRDefault="002A1938">
      <w:pPr>
        <w:rPr>
          <w:rFonts w:ascii="Palatino Linotype" w:hAnsi="Palatino Linotype" w:cs="Arial"/>
          <w:color w:val="0A0A0A"/>
          <w:sz w:val="22"/>
          <w:szCs w:val="22"/>
          <w:lang w:val="en-US"/>
        </w:rPr>
      </w:pPr>
      <w:r w:rsidRPr="00811A3B">
        <w:rPr>
          <w:rFonts w:ascii="Palatino Linotype" w:hAnsi="Palatino Linotype" w:cs="Arial"/>
          <w:color w:val="0A0A0A"/>
          <w:sz w:val="22"/>
          <w:szCs w:val="22"/>
          <w:lang w:val="en-US"/>
        </w:rPr>
        <w:t>Changes made</w:t>
      </w:r>
    </w:p>
    <w:p w14:paraId="0F3F9EA5" w14:textId="77777777" w:rsidR="00451137" w:rsidRDefault="00451137">
      <w:pPr>
        <w:rPr>
          <w:rFonts w:ascii="Palatino Linotype" w:hAnsi="Palatino Linotype" w:cs="Arial"/>
          <w:color w:val="0A0A0A"/>
          <w:sz w:val="22"/>
          <w:szCs w:val="22"/>
          <w:lang w:val="en-US"/>
        </w:rPr>
      </w:pPr>
    </w:p>
    <w:p w14:paraId="3DD6F22E" w14:textId="68D89D18" w:rsidR="00451137" w:rsidRPr="00897351" w:rsidRDefault="00451137">
      <w:pPr>
        <w:rPr>
          <w:rFonts w:ascii="Palatino Linotype" w:hAnsi="Palatino Linotype"/>
          <w:sz w:val="22"/>
          <w:szCs w:val="22"/>
          <w:lang w:val="en-US"/>
        </w:rPr>
      </w:pPr>
      <w:r w:rsidRPr="00897351">
        <w:rPr>
          <w:rFonts w:ascii="Palatino Linotype" w:hAnsi="Palatino Linotype"/>
          <w:sz w:val="22"/>
          <w:szCs w:val="22"/>
          <w:lang w:val="en-US"/>
        </w:rPr>
        <w:t>P 3 L 108</w:t>
      </w:r>
    </w:p>
    <w:p w14:paraId="233A18E8" w14:textId="77777777" w:rsidR="00451137" w:rsidRPr="00897351" w:rsidRDefault="00451137">
      <w:pPr>
        <w:rPr>
          <w:rFonts w:ascii="Palatino Linotype" w:hAnsi="Palatino Linotype"/>
          <w:sz w:val="22"/>
          <w:szCs w:val="22"/>
          <w:lang w:val="en-US"/>
        </w:rPr>
      </w:pPr>
      <w:r w:rsidRPr="00897351">
        <w:rPr>
          <w:rFonts w:ascii="Palatino Linotype" w:hAnsi="Palatino Linotype"/>
          <w:sz w:val="22"/>
          <w:szCs w:val="22"/>
          <w:lang w:val="en-US"/>
        </w:rPr>
        <w:t xml:space="preserve">The impact of genetic variance in MMPs and their tissue inhibitors on ROP in Caucasian populations has not yet been analyzed. This study aims to comprehensively investigate the association between variants of </w:t>
      </w:r>
      <w:r w:rsidRPr="00897351">
        <w:rPr>
          <w:rFonts w:ascii="Palatino Linotype" w:hAnsi="Palatino Linotype"/>
          <w:i/>
          <w:sz w:val="22"/>
          <w:szCs w:val="22"/>
          <w:lang w:val="en-US"/>
        </w:rPr>
        <w:t>MMP-1</w:t>
      </w:r>
      <w:r w:rsidRPr="00897351">
        <w:rPr>
          <w:rFonts w:ascii="Palatino Linotype" w:hAnsi="Palatino Linotype"/>
          <w:sz w:val="22"/>
          <w:szCs w:val="22"/>
          <w:lang w:val="en-US"/>
        </w:rPr>
        <w:t xml:space="preserve">, </w:t>
      </w:r>
      <w:r w:rsidRPr="00897351">
        <w:rPr>
          <w:rFonts w:ascii="Palatino Linotype" w:hAnsi="Palatino Linotype"/>
          <w:i/>
          <w:sz w:val="22"/>
          <w:szCs w:val="22"/>
          <w:lang w:val="en-US"/>
        </w:rPr>
        <w:t>MMP-9,</w:t>
      </w:r>
      <w:r w:rsidRPr="00897351">
        <w:rPr>
          <w:rFonts w:ascii="Palatino Linotype" w:hAnsi="Palatino Linotype"/>
          <w:sz w:val="22"/>
          <w:szCs w:val="22"/>
          <w:lang w:val="en-US"/>
        </w:rPr>
        <w:t xml:space="preserve"> </w:t>
      </w:r>
      <w:r w:rsidRPr="00897351">
        <w:rPr>
          <w:rFonts w:ascii="Palatino Linotype" w:hAnsi="Palatino Linotype"/>
          <w:i/>
          <w:sz w:val="22"/>
          <w:szCs w:val="22"/>
          <w:lang w:val="en-US"/>
        </w:rPr>
        <w:t>TIMP-1</w:t>
      </w:r>
      <w:r w:rsidRPr="00897351">
        <w:rPr>
          <w:rFonts w:ascii="Palatino Linotype" w:hAnsi="Palatino Linotype"/>
          <w:sz w:val="22"/>
          <w:szCs w:val="22"/>
          <w:lang w:val="en-US"/>
        </w:rPr>
        <w:t xml:space="preserve">, and </w:t>
      </w:r>
      <w:r w:rsidRPr="00897351">
        <w:rPr>
          <w:rFonts w:ascii="Palatino Linotype" w:hAnsi="Palatino Linotype"/>
          <w:i/>
          <w:sz w:val="22"/>
          <w:szCs w:val="22"/>
          <w:lang w:val="en-US"/>
        </w:rPr>
        <w:t>TIMP-2</w:t>
      </w:r>
      <w:r w:rsidRPr="00897351">
        <w:rPr>
          <w:rFonts w:ascii="Palatino Linotype" w:hAnsi="Palatino Linotype"/>
          <w:sz w:val="22"/>
          <w:szCs w:val="22"/>
          <w:lang w:val="en-US"/>
        </w:rPr>
        <w:t xml:space="preserve"> genes, and ROP in a </w:t>
      </w:r>
      <w:r w:rsidRPr="00897351">
        <w:rPr>
          <w:rFonts w:ascii="Palatino Linotype" w:hAnsi="Palatino Linotype"/>
          <w:sz w:val="22"/>
          <w:szCs w:val="22"/>
          <w:highlight w:val="yellow"/>
          <w:lang w:val="en-US"/>
        </w:rPr>
        <w:t>Polish cohort</w:t>
      </w:r>
      <w:r w:rsidRPr="00897351">
        <w:rPr>
          <w:rFonts w:ascii="Palatino Linotype" w:hAnsi="Palatino Linotype"/>
          <w:sz w:val="22"/>
          <w:szCs w:val="22"/>
          <w:lang w:val="en-US"/>
        </w:rPr>
        <w:t xml:space="preserve"> of premature infants. </w:t>
      </w:r>
    </w:p>
    <w:p w14:paraId="7E1E97D9" w14:textId="77777777" w:rsidR="00451137" w:rsidRPr="00897351" w:rsidRDefault="00451137">
      <w:pPr>
        <w:rPr>
          <w:rFonts w:ascii="Palatino Linotype" w:hAnsi="Palatino Linotype"/>
          <w:sz w:val="22"/>
          <w:szCs w:val="22"/>
          <w:lang w:val="en-US"/>
        </w:rPr>
      </w:pPr>
    </w:p>
    <w:p w14:paraId="54E60919" w14:textId="7C41EBB8" w:rsidR="00451137" w:rsidRPr="00897351" w:rsidRDefault="00451137">
      <w:pPr>
        <w:rPr>
          <w:rFonts w:ascii="Palatino Linotype" w:hAnsi="Palatino Linotype"/>
          <w:sz w:val="22"/>
          <w:szCs w:val="22"/>
          <w:lang w:val="en-US"/>
        </w:rPr>
      </w:pPr>
      <w:r w:rsidRPr="00897351">
        <w:rPr>
          <w:rFonts w:ascii="Palatino Linotype" w:hAnsi="Palatino Linotype"/>
          <w:sz w:val="22"/>
          <w:szCs w:val="22"/>
          <w:lang w:val="en-US"/>
        </w:rPr>
        <w:t>P 9 L</w:t>
      </w:r>
      <w:r w:rsidR="008F2510">
        <w:rPr>
          <w:rFonts w:ascii="Palatino Linotype" w:hAnsi="Palatino Linotype"/>
          <w:sz w:val="22"/>
          <w:szCs w:val="22"/>
          <w:lang w:val="en-US"/>
        </w:rPr>
        <w:t>238</w:t>
      </w:r>
      <w:r w:rsidRPr="00897351">
        <w:rPr>
          <w:rFonts w:ascii="Palatino Linotype" w:hAnsi="Palatino Linotype"/>
          <w:sz w:val="22"/>
          <w:szCs w:val="22"/>
          <w:lang w:val="en-US"/>
        </w:rPr>
        <w:t xml:space="preserve"> </w:t>
      </w:r>
    </w:p>
    <w:p w14:paraId="2A7E1F91" w14:textId="77777777" w:rsidR="00897351" w:rsidRPr="00897351" w:rsidRDefault="00451137">
      <w:pPr>
        <w:rPr>
          <w:rFonts w:ascii="Palatino Linotype" w:hAnsi="Palatino Linotype"/>
          <w:sz w:val="22"/>
          <w:szCs w:val="22"/>
          <w:lang w:val="en-US"/>
        </w:rPr>
      </w:pPr>
      <w:r w:rsidRPr="00897351">
        <w:rPr>
          <w:rFonts w:ascii="Palatino Linotype" w:hAnsi="Palatino Linotype"/>
          <w:sz w:val="22"/>
          <w:szCs w:val="22"/>
          <w:lang w:val="en-US"/>
        </w:rPr>
        <w:t xml:space="preserve">In the present study, we investigated the associations of variants in genes encoding </w:t>
      </w:r>
      <w:r w:rsidRPr="00897351">
        <w:rPr>
          <w:rFonts w:ascii="Palatino Linotype" w:hAnsi="Palatino Linotype"/>
          <w:i/>
          <w:sz w:val="22"/>
          <w:szCs w:val="22"/>
          <w:lang w:val="en-US"/>
        </w:rPr>
        <w:t>MMP-1</w:t>
      </w:r>
      <w:r w:rsidRPr="00897351">
        <w:rPr>
          <w:rFonts w:ascii="Palatino Linotype" w:hAnsi="Palatino Linotype"/>
          <w:sz w:val="22"/>
          <w:szCs w:val="22"/>
          <w:lang w:val="en-US"/>
        </w:rPr>
        <w:t xml:space="preserve">, </w:t>
      </w:r>
      <w:r w:rsidRPr="00897351">
        <w:rPr>
          <w:rFonts w:ascii="Palatino Linotype" w:hAnsi="Palatino Linotype"/>
          <w:i/>
          <w:sz w:val="22"/>
          <w:szCs w:val="22"/>
          <w:lang w:val="en-US"/>
        </w:rPr>
        <w:t>MMP-9</w:t>
      </w:r>
      <w:r w:rsidRPr="00897351">
        <w:rPr>
          <w:rFonts w:ascii="Palatino Linotype" w:hAnsi="Palatino Linotype"/>
          <w:sz w:val="22"/>
          <w:szCs w:val="22"/>
          <w:lang w:val="en-US"/>
        </w:rPr>
        <w:t xml:space="preserve">, </w:t>
      </w:r>
      <w:r w:rsidRPr="00897351">
        <w:rPr>
          <w:rFonts w:ascii="Palatino Linotype" w:hAnsi="Palatino Linotype"/>
          <w:i/>
          <w:sz w:val="22"/>
          <w:szCs w:val="22"/>
          <w:lang w:val="en-US"/>
        </w:rPr>
        <w:t>TIMP-1</w:t>
      </w:r>
      <w:r w:rsidRPr="00897351">
        <w:rPr>
          <w:rFonts w:ascii="Palatino Linotype" w:hAnsi="Palatino Linotype"/>
          <w:sz w:val="22"/>
          <w:szCs w:val="22"/>
          <w:lang w:val="en-US"/>
        </w:rPr>
        <w:t xml:space="preserve"> and </w:t>
      </w:r>
      <w:r w:rsidRPr="00897351">
        <w:rPr>
          <w:rFonts w:ascii="Palatino Linotype" w:hAnsi="Palatino Linotype"/>
          <w:i/>
          <w:sz w:val="22"/>
          <w:szCs w:val="22"/>
          <w:lang w:val="en-US"/>
        </w:rPr>
        <w:t>TIMP-2</w:t>
      </w:r>
      <w:r w:rsidRPr="00897351">
        <w:rPr>
          <w:rFonts w:ascii="Palatino Linotype" w:hAnsi="Palatino Linotype"/>
          <w:sz w:val="22"/>
          <w:szCs w:val="22"/>
          <w:lang w:val="en-US"/>
        </w:rPr>
        <w:t xml:space="preserve"> with ROP </w:t>
      </w:r>
      <w:r w:rsidRPr="00897351">
        <w:rPr>
          <w:rFonts w:ascii="Palatino Linotype" w:hAnsi="Palatino Linotype"/>
          <w:sz w:val="22"/>
          <w:szCs w:val="22"/>
          <w:highlight w:val="yellow"/>
          <w:lang w:val="en-US"/>
        </w:rPr>
        <w:t>in a Polish cohort of premature infants</w:t>
      </w:r>
      <w:r w:rsidRPr="00897351">
        <w:rPr>
          <w:rFonts w:ascii="Palatino Linotype" w:hAnsi="Palatino Linotype"/>
          <w:sz w:val="22"/>
          <w:szCs w:val="22"/>
          <w:lang w:val="en-US"/>
        </w:rPr>
        <w:t xml:space="preserve">. </w:t>
      </w:r>
    </w:p>
    <w:p w14:paraId="4988B27F" w14:textId="77777777" w:rsidR="008F2510" w:rsidRDefault="008F2510">
      <w:pPr>
        <w:rPr>
          <w:rFonts w:ascii="Palatino Linotype" w:hAnsi="Palatino Linotype"/>
          <w:sz w:val="22"/>
          <w:szCs w:val="22"/>
          <w:lang w:val="en-US"/>
        </w:rPr>
      </w:pPr>
    </w:p>
    <w:p w14:paraId="339A543D" w14:textId="24985173" w:rsidR="00897351" w:rsidRPr="00897351" w:rsidRDefault="008F2510">
      <w:pPr>
        <w:rPr>
          <w:rFonts w:ascii="Palatino Linotype" w:hAnsi="Palatino Linotype"/>
          <w:sz w:val="22"/>
          <w:szCs w:val="22"/>
          <w:lang w:val="en-US"/>
        </w:rPr>
      </w:pPr>
      <w:r>
        <w:rPr>
          <w:rFonts w:ascii="Palatino Linotype" w:hAnsi="Palatino Linotype"/>
          <w:sz w:val="22"/>
          <w:szCs w:val="22"/>
          <w:lang w:val="en-US"/>
        </w:rPr>
        <w:t>P13 L429</w:t>
      </w:r>
    </w:p>
    <w:p w14:paraId="14BE65E3" w14:textId="77777777" w:rsidR="00811A3B" w:rsidRDefault="00897351">
      <w:pPr>
        <w:rPr>
          <w:rFonts w:ascii="Palatino Linotype" w:hAnsi="Palatino Linotype"/>
          <w:sz w:val="22"/>
          <w:szCs w:val="22"/>
          <w:lang w:val="en-US"/>
        </w:rPr>
      </w:pPr>
      <w:r w:rsidRPr="00897351">
        <w:rPr>
          <w:rFonts w:ascii="Palatino Linotype" w:hAnsi="Palatino Linotype"/>
          <w:sz w:val="22"/>
          <w:szCs w:val="22"/>
          <w:lang w:val="en-US"/>
        </w:rPr>
        <w:t xml:space="preserve">In conclusion, our findings suggest that </w:t>
      </w:r>
      <w:r w:rsidRPr="00897351">
        <w:rPr>
          <w:rFonts w:ascii="Palatino Linotype" w:hAnsi="Palatino Linotype"/>
          <w:i/>
          <w:sz w:val="22"/>
          <w:szCs w:val="22"/>
          <w:lang w:val="en-US"/>
        </w:rPr>
        <w:t>MMP-1</w:t>
      </w:r>
      <w:r w:rsidRPr="00897351">
        <w:rPr>
          <w:rFonts w:ascii="Palatino Linotype" w:hAnsi="Palatino Linotype"/>
          <w:sz w:val="22"/>
          <w:szCs w:val="22"/>
          <w:lang w:val="en-US"/>
        </w:rPr>
        <w:t xml:space="preserve"> rs179975 and </w:t>
      </w:r>
      <w:r w:rsidRPr="00897351">
        <w:rPr>
          <w:rFonts w:ascii="Palatino Linotype" w:hAnsi="Palatino Linotype"/>
          <w:i/>
          <w:sz w:val="22"/>
          <w:szCs w:val="22"/>
          <w:lang w:val="en-US"/>
        </w:rPr>
        <w:t xml:space="preserve">TIMP-1 </w:t>
      </w:r>
      <w:r w:rsidRPr="00897351">
        <w:rPr>
          <w:rFonts w:ascii="Palatino Linotype" w:hAnsi="Palatino Linotype"/>
          <w:sz w:val="22"/>
          <w:szCs w:val="22"/>
          <w:lang w:val="en-US"/>
        </w:rPr>
        <w:t xml:space="preserve">rs4898 variants, as well as interactions between genes encoding MMPs and TIMPs, may impact the development of ROP </w:t>
      </w:r>
      <w:r w:rsidRPr="00897351">
        <w:rPr>
          <w:rFonts w:ascii="Palatino Linotype" w:hAnsi="Palatino Linotype"/>
          <w:sz w:val="22"/>
          <w:szCs w:val="22"/>
          <w:highlight w:val="yellow"/>
          <w:lang w:val="en-US"/>
        </w:rPr>
        <w:t>in a Polish cohort of premature infants</w:t>
      </w:r>
      <w:r w:rsidRPr="00897351">
        <w:rPr>
          <w:rFonts w:ascii="Palatino Linotype" w:hAnsi="Palatino Linotype"/>
          <w:sz w:val="22"/>
          <w:szCs w:val="22"/>
          <w:lang w:val="en-US"/>
        </w:rPr>
        <w:t>.</w:t>
      </w:r>
    </w:p>
    <w:p w14:paraId="241CC1E0" w14:textId="77777777" w:rsidR="00811A3B" w:rsidRDefault="00811A3B">
      <w:pPr>
        <w:rPr>
          <w:rFonts w:ascii="Palatino Linotype" w:hAnsi="Palatino Linotype"/>
          <w:sz w:val="22"/>
          <w:szCs w:val="22"/>
          <w:lang w:val="en-US"/>
        </w:rPr>
      </w:pPr>
    </w:p>
    <w:p w14:paraId="67C9D85B" w14:textId="54E303FC" w:rsidR="00811A3B" w:rsidRDefault="00811A3B">
      <w:pPr>
        <w:rPr>
          <w:rFonts w:ascii="Palatino Linotype" w:hAnsi="Palatino Linotype"/>
          <w:sz w:val="22"/>
          <w:szCs w:val="22"/>
          <w:lang w:val="en-US"/>
        </w:rPr>
      </w:pPr>
      <w:r>
        <w:rPr>
          <w:rFonts w:ascii="Palatino Linotype" w:hAnsi="Palatino Linotype"/>
          <w:sz w:val="22"/>
          <w:szCs w:val="22"/>
          <w:lang w:val="en-US"/>
        </w:rPr>
        <w:t>Abstract:</w:t>
      </w:r>
    </w:p>
    <w:p w14:paraId="34531448" w14:textId="457E1112" w:rsidR="00986403" w:rsidRPr="00811A3B" w:rsidRDefault="00811A3B">
      <w:pPr>
        <w:rPr>
          <w:rFonts w:ascii="Palatino Linotype" w:eastAsia="Times New Roman" w:hAnsi="Palatino Linotype" w:cs="Arial"/>
          <w:color w:val="0A0A0A"/>
          <w:sz w:val="22"/>
          <w:szCs w:val="22"/>
          <w:lang w:val="en-US" w:eastAsia="pl-PL"/>
        </w:rPr>
      </w:pPr>
      <w:r w:rsidRPr="0012590A">
        <w:rPr>
          <w:rFonts w:ascii="Palatino Linotype" w:hAnsi="Palatino Linotype"/>
          <w:sz w:val="22"/>
          <w:lang w:val="en-US"/>
        </w:rPr>
        <w:t xml:space="preserve">In conclusion, these findings suggest a potential role of </w:t>
      </w:r>
      <w:r w:rsidRPr="0012590A">
        <w:rPr>
          <w:rFonts w:ascii="Palatino Linotype" w:hAnsi="Palatino Linotype"/>
          <w:i/>
          <w:sz w:val="22"/>
          <w:lang w:val="en-US"/>
        </w:rPr>
        <w:t>MMPs</w:t>
      </w:r>
      <w:r w:rsidRPr="0012590A">
        <w:rPr>
          <w:rFonts w:ascii="Palatino Linotype" w:hAnsi="Palatino Linotype"/>
          <w:sz w:val="22"/>
          <w:lang w:val="en-US"/>
        </w:rPr>
        <w:t xml:space="preserve"> and </w:t>
      </w:r>
      <w:r w:rsidRPr="0012590A">
        <w:rPr>
          <w:rFonts w:ascii="Palatino Linotype" w:hAnsi="Palatino Linotype"/>
          <w:i/>
          <w:sz w:val="22"/>
          <w:lang w:val="en-US"/>
        </w:rPr>
        <w:t>TIMPs</w:t>
      </w:r>
      <w:r w:rsidRPr="0012590A">
        <w:rPr>
          <w:rFonts w:ascii="Palatino Linotype" w:hAnsi="Palatino Linotype"/>
          <w:sz w:val="22"/>
          <w:lang w:val="en-US"/>
        </w:rPr>
        <w:t xml:space="preserve"> genetic variations in the development of ROP in the Polish population. </w:t>
      </w:r>
      <w:r w:rsidR="00986403" w:rsidRPr="00811A3B">
        <w:rPr>
          <w:rFonts w:ascii="Palatino Linotype" w:hAnsi="Palatino Linotype" w:cs="Arial"/>
          <w:color w:val="0A0A0A"/>
          <w:sz w:val="22"/>
          <w:szCs w:val="22"/>
          <w:lang w:val="en-US"/>
        </w:rPr>
        <w:br w:type="page"/>
      </w:r>
    </w:p>
    <w:p w14:paraId="67520C00" w14:textId="723DE0CD" w:rsidR="00CD10EF" w:rsidRPr="004A5352" w:rsidRDefault="00CD10EF" w:rsidP="00CD10EF">
      <w:pPr>
        <w:pStyle w:val="NormalnyWeb"/>
        <w:rPr>
          <w:rFonts w:ascii="Palatino Linotype" w:hAnsi="Palatino Linotype" w:cs="Arial"/>
          <w:color w:val="0A0A0A"/>
          <w:sz w:val="22"/>
          <w:szCs w:val="22"/>
          <w:lang w:val="en-US"/>
        </w:rPr>
      </w:pPr>
      <w:r w:rsidRPr="004A5352">
        <w:rPr>
          <w:rFonts w:ascii="Palatino Linotype" w:hAnsi="Palatino Linotype" w:cs="Arial"/>
          <w:color w:val="0A0A0A"/>
          <w:sz w:val="22"/>
          <w:szCs w:val="22"/>
          <w:lang w:val="en-US"/>
        </w:rPr>
        <w:lastRenderedPageBreak/>
        <w:t>Minor:</w:t>
      </w:r>
    </w:p>
    <w:p w14:paraId="3650A942" w14:textId="7B71A4A9" w:rsidR="00F8752E" w:rsidRDefault="00CD10EF" w:rsidP="00F8752E">
      <w:pPr>
        <w:pStyle w:val="NormalnyWeb"/>
        <w:numPr>
          <w:ilvl w:val="0"/>
          <w:numId w:val="5"/>
        </w:numPr>
        <w:rPr>
          <w:rFonts w:ascii="Palatino Linotype" w:hAnsi="Palatino Linotype" w:cs="Arial"/>
          <w:i/>
          <w:sz w:val="22"/>
          <w:szCs w:val="22"/>
          <w:lang w:val="en-US"/>
        </w:rPr>
      </w:pPr>
      <w:r w:rsidRPr="00ED2614">
        <w:rPr>
          <w:rFonts w:ascii="Palatino Linotype" w:hAnsi="Palatino Linotype" w:cs="Arial"/>
          <w:i/>
          <w:sz w:val="22"/>
          <w:szCs w:val="22"/>
          <w:lang w:val="en-US"/>
        </w:rPr>
        <w:t>Please, give the description of the problem in Poland and topicality to research this question there;</w:t>
      </w:r>
    </w:p>
    <w:p w14:paraId="56BB29CF" w14:textId="77777777" w:rsidR="00ED2614" w:rsidRPr="00405226" w:rsidRDefault="00ED2614" w:rsidP="00ED2614">
      <w:pPr>
        <w:pStyle w:val="NormalnyWeb"/>
        <w:ind w:left="928"/>
        <w:rPr>
          <w:rFonts w:ascii="Palatino Linotype" w:hAnsi="Palatino Linotype" w:cs="Arial"/>
          <w:i/>
          <w:sz w:val="22"/>
          <w:szCs w:val="22"/>
          <w:lang w:val="en-US"/>
        </w:rPr>
      </w:pPr>
      <w:r w:rsidRPr="00405226">
        <w:rPr>
          <w:rFonts w:ascii="Palatino Linotype" w:hAnsi="Palatino Linotype" w:cs="Arial"/>
          <w:i/>
          <w:sz w:val="22"/>
          <w:szCs w:val="22"/>
          <w:lang w:val="en-US"/>
        </w:rPr>
        <w:t>Reply</w:t>
      </w:r>
    </w:p>
    <w:p w14:paraId="60C337BC" w14:textId="7A774BBC" w:rsidR="00ED2614" w:rsidRPr="003400E5" w:rsidRDefault="00ED2614" w:rsidP="00ED2614">
      <w:pPr>
        <w:pStyle w:val="NormalnyWeb"/>
        <w:ind w:left="720"/>
        <w:rPr>
          <w:rFonts w:ascii="Palatino Linotype" w:hAnsi="Palatino Linotype" w:cs="Arial"/>
          <w:sz w:val="22"/>
          <w:szCs w:val="22"/>
          <w:lang w:val="en-US"/>
        </w:rPr>
      </w:pPr>
      <w:r w:rsidRPr="003400E5">
        <w:rPr>
          <w:rFonts w:ascii="Palatino Linotype" w:hAnsi="Palatino Linotype" w:cs="Arial"/>
          <w:sz w:val="22"/>
          <w:szCs w:val="22"/>
          <w:lang w:val="en-US"/>
        </w:rPr>
        <w:t>We added a section on data in Poland in the introduction - lines 50-56, and added references [</w:t>
      </w:r>
      <w:r w:rsidR="00405226" w:rsidRPr="003400E5">
        <w:rPr>
          <w:rFonts w:ascii="Palatino Linotype" w:hAnsi="Palatino Linotype" w:cs="Arial"/>
          <w:sz w:val="22"/>
          <w:szCs w:val="22"/>
          <w:lang w:val="en-US"/>
        </w:rPr>
        <w:t>1</w:t>
      </w:r>
      <w:r w:rsidRPr="003400E5">
        <w:rPr>
          <w:rFonts w:ascii="Palatino Linotype" w:hAnsi="Palatino Linotype" w:cs="Arial"/>
          <w:sz w:val="22"/>
          <w:szCs w:val="22"/>
          <w:lang w:val="en-US"/>
        </w:rPr>
        <w:t>] and [</w:t>
      </w:r>
      <w:r w:rsidR="00405226" w:rsidRPr="003400E5">
        <w:rPr>
          <w:rFonts w:ascii="Palatino Linotype" w:hAnsi="Palatino Linotype" w:cs="Arial"/>
          <w:sz w:val="22"/>
          <w:szCs w:val="22"/>
          <w:lang w:val="en-US"/>
        </w:rPr>
        <w:t>2</w:t>
      </w:r>
      <w:r w:rsidRPr="003400E5">
        <w:rPr>
          <w:rFonts w:ascii="Palatino Linotype" w:hAnsi="Palatino Linotype" w:cs="Arial"/>
          <w:sz w:val="22"/>
          <w:szCs w:val="22"/>
          <w:lang w:val="en-US"/>
        </w:rPr>
        <w:t>].</w:t>
      </w:r>
    </w:p>
    <w:p w14:paraId="14DF5A16" w14:textId="77777777" w:rsidR="00ED2614" w:rsidRPr="002F24D9" w:rsidRDefault="00ED2614" w:rsidP="00ED2614">
      <w:pPr>
        <w:pStyle w:val="NormalnyWeb"/>
        <w:rPr>
          <w:rFonts w:ascii="Palatino Linotype" w:hAnsi="Palatino Linotype" w:cs="Arial"/>
          <w:i/>
          <w:sz w:val="22"/>
          <w:szCs w:val="22"/>
          <w:lang w:val="en-US"/>
        </w:rPr>
      </w:pPr>
      <w:r w:rsidRPr="002F24D9">
        <w:rPr>
          <w:rFonts w:ascii="Palatino Linotype" w:hAnsi="Palatino Linotype" w:cs="Arial"/>
          <w:i/>
          <w:sz w:val="22"/>
          <w:szCs w:val="22"/>
          <w:lang w:val="en-US"/>
        </w:rPr>
        <w:t>Changes made</w:t>
      </w:r>
    </w:p>
    <w:p w14:paraId="7D4A88BF" w14:textId="77777777" w:rsidR="00796307" w:rsidRDefault="00796307" w:rsidP="00796307">
      <w:pPr>
        <w:pStyle w:val="MDPI31text"/>
        <w:rPr>
          <w:rFonts w:ascii="Palatino" w:hAnsi="Palatino" w:cs="Segoe UI"/>
          <w:color w:val="222222"/>
          <w:szCs w:val="20"/>
          <w:shd w:val="clear" w:color="auto" w:fill="FFFFFF"/>
        </w:rPr>
      </w:pPr>
      <w:r w:rsidRPr="00B336CF">
        <w:rPr>
          <w:rFonts w:ascii="Palatino" w:hAnsi="Palatino" w:cs="Segoe UI"/>
          <w:color w:val="222222"/>
          <w:szCs w:val="20"/>
          <w:highlight w:val="yellow"/>
          <w:shd w:val="clear" w:color="auto" w:fill="FFFFFF"/>
        </w:rPr>
        <w:t>According to the available data, around 350,000 children were born last year in Poland, of which 7% were born preterm [</w:t>
      </w:r>
      <w:r>
        <w:rPr>
          <w:rFonts w:ascii="Palatino" w:hAnsi="Palatino" w:cs="Segoe UI"/>
          <w:color w:val="222222"/>
          <w:szCs w:val="20"/>
          <w:highlight w:val="yellow"/>
          <w:shd w:val="clear" w:color="auto" w:fill="FFFFFF"/>
        </w:rPr>
        <w:t>5</w:t>
      </w:r>
      <w:r w:rsidRPr="00B336CF">
        <w:rPr>
          <w:rFonts w:ascii="Palatino" w:hAnsi="Palatino" w:cs="Segoe UI"/>
          <w:color w:val="222222"/>
          <w:szCs w:val="20"/>
          <w:highlight w:val="yellow"/>
          <w:shd w:val="clear" w:color="auto" w:fill="FFFFFF"/>
        </w:rPr>
        <w:t>]. There is no central registry of ROP patients in our country, so exact statistics on the disease are unknown. Based on the results of</w:t>
      </w:r>
      <w:r>
        <w:rPr>
          <w:rFonts w:ascii="Palatino" w:hAnsi="Palatino" w:cs="Segoe UI"/>
          <w:color w:val="222222"/>
          <w:szCs w:val="20"/>
          <w:highlight w:val="yellow"/>
          <w:shd w:val="clear" w:color="auto" w:fill="FFFFFF"/>
        </w:rPr>
        <w:t xml:space="preserve"> </w:t>
      </w:r>
      <w:r w:rsidRPr="00B336CF">
        <w:rPr>
          <w:rFonts w:ascii="Palatino" w:hAnsi="Palatino" w:cs="Segoe UI"/>
          <w:color w:val="222222"/>
          <w:szCs w:val="20"/>
          <w:highlight w:val="yellow"/>
          <w:shd w:val="clear" w:color="auto" w:fill="FFFFFF"/>
        </w:rPr>
        <w:t>our earlier stud</w:t>
      </w:r>
      <w:r>
        <w:rPr>
          <w:rFonts w:ascii="Palatino" w:hAnsi="Palatino" w:cs="Segoe UI"/>
          <w:color w:val="222222"/>
          <w:szCs w:val="20"/>
          <w:highlight w:val="yellow"/>
          <w:shd w:val="clear" w:color="auto" w:fill="FFFFFF"/>
        </w:rPr>
        <w:t>y</w:t>
      </w:r>
      <w:r w:rsidRPr="00B336CF">
        <w:rPr>
          <w:rFonts w:ascii="Palatino" w:hAnsi="Palatino" w:cs="Segoe UI"/>
          <w:color w:val="222222"/>
          <w:szCs w:val="20"/>
          <w:highlight w:val="yellow"/>
          <w:shd w:val="clear" w:color="auto" w:fill="FFFFFF"/>
        </w:rPr>
        <w:t>, approximately 25.9% of screened patients were diagnosed with ROP and 6.1% of them required treatment of the disease. It seems that the incidence of ROP and ROP requiring treatment rates in Poland are higher than in Western Europe or the USA</w:t>
      </w:r>
      <w:r>
        <w:rPr>
          <w:rFonts w:ascii="Palatino" w:hAnsi="Palatino" w:cs="Segoe UI"/>
          <w:color w:val="222222"/>
          <w:szCs w:val="20"/>
          <w:highlight w:val="yellow"/>
          <w:shd w:val="clear" w:color="auto" w:fill="FFFFFF"/>
        </w:rPr>
        <w:t xml:space="preserve"> [6]</w:t>
      </w:r>
      <w:r w:rsidRPr="00B336CF">
        <w:rPr>
          <w:rFonts w:ascii="Palatino" w:hAnsi="Palatino" w:cs="Segoe UI"/>
          <w:color w:val="222222"/>
          <w:szCs w:val="20"/>
          <w:highlight w:val="yellow"/>
          <w:shd w:val="clear" w:color="auto" w:fill="FFFFFF"/>
        </w:rPr>
        <w:t>.</w:t>
      </w:r>
    </w:p>
    <w:p w14:paraId="34755CEA" w14:textId="77777777" w:rsidR="00405226" w:rsidRDefault="00405226" w:rsidP="00405226">
      <w:pPr>
        <w:pStyle w:val="MDPI31text"/>
        <w:rPr>
          <w:rFonts w:ascii="Palatino" w:hAnsi="Palatino" w:cs="Segoe UI"/>
          <w:color w:val="222222"/>
          <w:szCs w:val="20"/>
          <w:shd w:val="clear" w:color="auto" w:fill="FFFFFF"/>
        </w:rPr>
      </w:pPr>
    </w:p>
    <w:p w14:paraId="16D355D8" w14:textId="4490F172" w:rsidR="00405226" w:rsidRDefault="00405226" w:rsidP="00405226">
      <w:pPr>
        <w:pStyle w:val="MDPI31text"/>
        <w:rPr>
          <w:rFonts w:ascii="Palatino" w:hAnsi="Palatino" w:cs="Segoe UI"/>
          <w:color w:val="222222"/>
          <w:szCs w:val="20"/>
          <w:shd w:val="clear" w:color="auto" w:fill="FFFFFF"/>
        </w:rPr>
      </w:pPr>
    </w:p>
    <w:p w14:paraId="0E0DB112" w14:textId="2EAD1931" w:rsidR="00405226" w:rsidRPr="00AE5BC5" w:rsidRDefault="00405226" w:rsidP="00796307">
      <w:pPr>
        <w:pStyle w:val="MDPI71References"/>
        <w:numPr>
          <w:ilvl w:val="0"/>
          <w:numId w:val="8"/>
        </w:numPr>
        <w:rPr>
          <w:color w:val="auto"/>
          <w:szCs w:val="18"/>
          <w:highlight w:val="yellow"/>
        </w:rPr>
      </w:pPr>
      <w:r w:rsidRPr="00AE5BC5">
        <w:rPr>
          <w:rFonts w:cs="Segoe UI"/>
          <w:color w:val="222222"/>
          <w:szCs w:val="18"/>
          <w:highlight w:val="yellow"/>
          <w:shd w:val="clear" w:color="auto" w:fill="FFFFFF"/>
          <w:lang w:val="pl-PL"/>
        </w:rPr>
        <w:t xml:space="preserve">Główny Urząd Statystyczny/Rocznik Demograficzny 2022. </w:t>
      </w:r>
      <w:r w:rsidRPr="00AE5BC5">
        <w:rPr>
          <w:rFonts w:cs="Segoe UI"/>
          <w:color w:val="222222"/>
          <w:szCs w:val="18"/>
          <w:highlight w:val="yellow"/>
          <w:shd w:val="clear" w:color="auto" w:fill="FFFFFF"/>
        </w:rPr>
        <w:t>Demographic Yearbook 2022. Warsaw: Central Statistical Office (2022).</w:t>
      </w:r>
      <w:r w:rsidRPr="00AE5BC5">
        <w:rPr>
          <w:rStyle w:val="apple-converted-space"/>
          <w:rFonts w:cs="Segoe UI"/>
          <w:color w:val="222222"/>
          <w:szCs w:val="18"/>
          <w:highlight w:val="yellow"/>
          <w:shd w:val="clear" w:color="auto" w:fill="FFFFFF"/>
        </w:rPr>
        <w:t> </w:t>
      </w:r>
      <w:r w:rsidRPr="00AE5BC5">
        <w:rPr>
          <w:szCs w:val="18"/>
          <w:highlight w:val="yellow"/>
        </w:rPr>
        <w:t>https://stat.gov.pl/obszary-tematyczne/roczniki-statystyczne/roczniki-statystyczne/rocznik-demograficzny-2022,3,16.html</w:t>
      </w:r>
      <w:r w:rsidRPr="00AE5BC5">
        <w:rPr>
          <w:rStyle w:val="apple-converted-space"/>
          <w:rFonts w:cs="Segoe UI"/>
          <w:color w:val="222222"/>
          <w:szCs w:val="18"/>
          <w:highlight w:val="yellow"/>
          <w:shd w:val="clear" w:color="auto" w:fill="FFFFFF"/>
        </w:rPr>
        <w:t> </w:t>
      </w:r>
      <w:r w:rsidRPr="00AE5BC5">
        <w:rPr>
          <w:rFonts w:cs="Segoe UI"/>
          <w:color w:val="222222"/>
          <w:szCs w:val="18"/>
          <w:highlight w:val="yellow"/>
          <w:shd w:val="clear" w:color="auto" w:fill="FFFFFF"/>
        </w:rPr>
        <w:t>(Accessed 06 October 2023).</w:t>
      </w:r>
    </w:p>
    <w:p w14:paraId="3E4EC646" w14:textId="5D97A853" w:rsidR="00405226" w:rsidRPr="00AE5BC5" w:rsidRDefault="00405226" w:rsidP="00796307">
      <w:pPr>
        <w:pStyle w:val="MDPI71References"/>
        <w:numPr>
          <w:ilvl w:val="0"/>
          <w:numId w:val="8"/>
        </w:numPr>
        <w:rPr>
          <w:color w:val="auto"/>
          <w:szCs w:val="18"/>
          <w:highlight w:val="yellow"/>
          <w:lang w:val="pl-PL"/>
        </w:rPr>
      </w:pPr>
      <w:r w:rsidRPr="00AE5BC5">
        <w:rPr>
          <w:szCs w:val="18"/>
          <w:highlight w:val="yellow"/>
          <w:shd w:val="clear" w:color="auto" w:fill="FFFFFF"/>
          <w:lang w:val="pl-PL"/>
        </w:rPr>
        <w:t>Chmielarz-Czarnocińska, A., Pawlak, M., Szpecht, D. </w:t>
      </w:r>
      <w:r w:rsidRPr="00AE5BC5">
        <w:rPr>
          <w:i/>
          <w:iCs/>
          <w:szCs w:val="18"/>
          <w:highlight w:val="yellow"/>
          <w:lang w:val="pl-PL"/>
        </w:rPr>
        <w:t>et al.</w:t>
      </w:r>
      <w:r w:rsidRPr="00AE5BC5">
        <w:rPr>
          <w:szCs w:val="18"/>
          <w:highlight w:val="yellow"/>
          <w:shd w:val="clear" w:color="auto" w:fill="FFFFFF"/>
          <w:lang w:val="pl-PL"/>
        </w:rPr>
        <w:t> </w:t>
      </w:r>
      <w:r w:rsidRPr="00AE5BC5">
        <w:rPr>
          <w:szCs w:val="18"/>
          <w:highlight w:val="yellow"/>
          <w:shd w:val="clear" w:color="auto" w:fill="FFFFFF"/>
        </w:rPr>
        <w:t>Management of retinopathy of prematurity (ROP) in a Polish cohort of infants. </w:t>
      </w:r>
      <w:proofErr w:type="spellStart"/>
      <w:r w:rsidRPr="00AE5BC5">
        <w:rPr>
          <w:i/>
          <w:iCs/>
          <w:szCs w:val="18"/>
          <w:highlight w:val="yellow"/>
          <w:lang w:val="pl-PL"/>
        </w:rPr>
        <w:t>Sci</w:t>
      </w:r>
      <w:proofErr w:type="spellEnd"/>
      <w:r w:rsidRPr="00AE5BC5">
        <w:rPr>
          <w:i/>
          <w:iCs/>
          <w:szCs w:val="18"/>
          <w:highlight w:val="yellow"/>
          <w:lang w:val="pl-PL"/>
        </w:rPr>
        <w:t xml:space="preserve"> Rep</w:t>
      </w:r>
      <w:r w:rsidRPr="00AE5BC5">
        <w:rPr>
          <w:szCs w:val="18"/>
          <w:highlight w:val="yellow"/>
          <w:shd w:val="clear" w:color="auto" w:fill="FFFFFF"/>
          <w:lang w:val="pl-PL"/>
        </w:rPr>
        <w:t> </w:t>
      </w:r>
      <w:r w:rsidRPr="00AE5BC5">
        <w:rPr>
          <w:b/>
          <w:bCs/>
          <w:szCs w:val="18"/>
          <w:highlight w:val="yellow"/>
          <w:lang w:val="pl-PL"/>
        </w:rPr>
        <w:t>11</w:t>
      </w:r>
      <w:r w:rsidRPr="00AE5BC5">
        <w:rPr>
          <w:szCs w:val="18"/>
          <w:highlight w:val="yellow"/>
          <w:shd w:val="clear" w:color="auto" w:fill="FFFFFF"/>
          <w:lang w:val="pl-PL"/>
        </w:rPr>
        <w:t>, 4522 (2021). https://doi.org/10.1038/s41598-021-83985-5</w:t>
      </w:r>
    </w:p>
    <w:p w14:paraId="078B822D" w14:textId="77777777" w:rsidR="00405226" w:rsidRDefault="00405226" w:rsidP="00405226">
      <w:pPr>
        <w:pStyle w:val="MDPI31text"/>
        <w:rPr>
          <w:rFonts w:ascii="Palatino" w:hAnsi="Palatino" w:cs="Segoe UI"/>
          <w:color w:val="222222"/>
          <w:szCs w:val="20"/>
          <w:shd w:val="clear" w:color="auto" w:fill="FFFFFF"/>
        </w:rPr>
      </w:pPr>
    </w:p>
    <w:p w14:paraId="7DC8459A" w14:textId="0518891F" w:rsidR="00CD10EF" w:rsidRPr="00ED2614" w:rsidRDefault="00CD10EF" w:rsidP="00ED2614">
      <w:pPr>
        <w:pStyle w:val="NormalnyWeb"/>
        <w:numPr>
          <w:ilvl w:val="0"/>
          <w:numId w:val="5"/>
        </w:numPr>
        <w:rPr>
          <w:rFonts w:ascii="Palatino Linotype" w:hAnsi="Palatino Linotype" w:cs="Arial"/>
          <w:i/>
          <w:sz w:val="22"/>
          <w:szCs w:val="22"/>
          <w:lang w:val="en-US"/>
        </w:rPr>
      </w:pPr>
      <w:r w:rsidRPr="00ED2614">
        <w:rPr>
          <w:rFonts w:ascii="Palatino Linotype" w:hAnsi="Palatino Linotype" w:cs="Arial"/>
          <w:i/>
          <w:sz w:val="22"/>
          <w:szCs w:val="22"/>
          <w:lang w:val="en-US"/>
        </w:rPr>
        <w:t>please, move the info about the Ethical permissions also in the text and decipher which one permission (office, code, year) is for patients, which one - for controls;</w:t>
      </w:r>
    </w:p>
    <w:p w14:paraId="76149615" w14:textId="77777777" w:rsidR="00ED2614" w:rsidRDefault="00ED2614" w:rsidP="00ED2614">
      <w:pPr>
        <w:pStyle w:val="NormalnyWeb"/>
        <w:rPr>
          <w:rFonts w:ascii="Palatino Linotype" w:hAnsi="Palatino Linotype" w:cs="Arial"/>
          <w:sz w:val="22"/>
          <w:szCs w:val="22"/>
          <w:lang w:val="en-US"/>
        </w:rPr>
      </w:pPr>
      <w:r w:rsidRPr="00405226">
        <w:rPr>
          <w:rFonts w:ascii="Palatino Linotype" w:hAnsi="Palatino Linotype" w:cs="Arial"/>
          <w:i/>
          <w:sz w:val="22"/>
          <w:szCs w:val="22"/>
          <w:lang w:val="en-US"/>
        </w:rPr>
        <w:t>Reply</w:t>
      </w:r>
    </w:p>
    <w:p w14:paraId="5887067A" w14:textId="63304BB6" w:rsidR="00ED2614" w:rsidRDefault="00ED2614" w:rsidP="00ED2614">
      <w:pPr>
        <w:pStyle w:val="NormalnyWeb"/>
        <w:rPr>
          <w:rFonts w:ascii="Palatino Linotype" w:hAnsi="Palatino Linotype" w:cs="Arial"/>
          <w:sz w:val="22"/>
          <w:szCs w:val="22"/>
          <w:lang w:val="en-US"/>
        </w:rPr>
      </w:pPr>
      <w:r w:rsidRPr="00ED2614">
        <w:rPr>
          <w:rFonts w:ascii="Palatino Linotype" w:hAnsi="Palatino Linotype" w:cs="Arial"/>
          <w:sz w:val="22"/>
          <w:szCs w:val="22"/>
          <w:lang w:val="en-US"/>
        </w:rPr>
        <w:t xml:space="preserve">In accordance with the </w:t>
      </w:r>
      <w:r w:rsidR="00796307">
        <w:rPr>
          <w:rFonts w:ascii="Palatino Linotype" w:hAnsi="Palatino Linotype" w:cs="Arial"/>
          <w:sz w:val="22"/>
          <w:szCs w:val="22"/>
          <w:lang w:val="en-US"/>
        </w:rPr>
        <w:t>R</w:t>
      </w:r>
      <w:r w:rsidRPr="00ED2614">
        <w:rPr>
          <w:rFonts w:ascii="Palatino Linotype" w:hAnsi="Palatino Linotype" w:cs="Arial"/>
          <w:sz w:val="22"/>
          <w:szCs w:val="22"/>
          <w:lang w:val="en-US"/>
        </w:rPr>
        <w:t>eviewer's comment, the information about the consent of the bioethics committee was reproduced in the main text - just under the heading Materials and Methods - Information was also added that both consents apply to patients from both control and case groups ("both for patients from control and case group").</w:t>
      </w:r>
      <w:r>
        <w:rPr>
          <w:rFonts w:ascii="Palatino Linotype" w:hAnsi="Palatino Linotype" w:cs="Arial"/>
          <w:sz w:val="22"/>
          <w:szCs w:val="22"/>
          <w:lang w:val="en-US"/>
        </w:rPr>
        <w:t xml:space="preserve"> </w:t>
      </w:r>
      <w:r w:rsidRPr="00ED2614">
        <w:rPr>
          <w:rFonts w:ascii="Palatino Linotype" w:hAnsi="Palatino Linotype" w:cs="Arial"/>
          <w:sz w:val="22"/>
          <w:szCs w:val="22"/>
          <w:lang w:val="en-US"/>
        </w:rPr>
        <w:t xml:space="preserve">The two given consent numbers of the bioethics committee are not due to the separation into separate consents for the control group and the study group, but to the continuation of the study in subsequent years (expansion to study </w:t>
      </w:r>
      <w:r>
        <w:rPr>
          <w:rFonts w:ascii="Palatino Linotype" w:hAnsi="Palatino Linotype" w:cs="Arial"/>
          <w:sz w:val="22"/>
          <w:szCs w:val="22"/>
          <w:lang w:val="en-US"/>
        </w:rPr>
        <w:t>another gene variants</w:t>
      </w:r>
      <w:r w:rsidRPr="00ED2614">
        <w:rPr>
          <w:rFonts w:ascii="Palatino Linotype" w:hAnsi="Palatino Linotype" w:cs="Arial"/>
          <w:sz w:val="22"/>
          <w:szCs w:val="22"/>
          <w:lang w:val="en-US"/>
        </w:rPr>
        <w:t>).</w:t>
      </w:r>
    </w:p>
    <w:p w14:paraId="291F4C2A" w14:textId="6F8C8EBA" w:rsidR="00ED2614" w:rsidRPr="00405226" w:rsidRDefault="00ED2614" w:rsidP="00ED2614">
      <w:pPr>
        <w:pStyle w:val="NormalnyWeb"/>
        <w:rPr>
          <w:rFonts w:ascii="Palatino Linotype" w:hAnsi="Palatino Linotype" w:cs="Arial"/>
          <w:i/>
          <w:sz w:val="22"/>
          <w:szCs w:val="22"/>
          <w:lang w:val="en-US"/>
        </w:rPr>
      </w:pPr>
      <w:r w:rsidRPr="00405226">
        <w:rPr>
          <w:rFonts w:ascii="Palatino Linotype" w:hAnsi="Palatino Linotype" w:cs="Arial"/>
          <w:i/>
          <w:sz w:val="22"/>
          <w:szCs w:val="22"/>
          <w:lang w:val="en-US"/>
        </w:rPr>
        <w:t>Changes made</w:t>
      </w:r>
    </w:p>
    <w:p w14:paraId="47524AC4" w14:textId="77777777" w:rsidR="00ED2614" w:rsidRDefault="00ED2614" w:rsidP="00ED2614">
      <w:pPr>
        <w:pStyle w:val="MDPI21heading1"/>
        <w:rPr>
          <w:shd w:val="clear" w:color="auto" w:fill="FFFFFF"/>
        </w:rPr>
      </w:pPr>
      <w:r w:rsidRPr="002C0757">
        <w:rPr>
          <w:i/>
          <w:shd w:val="clear" w:color="auto" w:fill="FFFFFF"/>
        </w:rPr>
        <w:t xml:space="preserve">4. </w:t>
      </w:r>
      <w:r w:rsidRPr="002C0757">
        <w:rPr>
          <w:shd w:val="clear" w:color="auto" w:fill="FFFFFF"/>
        </w:rPr>
        <w:t>Materials and Methods</w:t>
      </w:r>
    </w:p>
    <w:p w14:paraId="3B0B1247" w14:textId="77777777" w:rsidR="00ED2614" w:rsidRPr="00AE5BC5" w:rsidRDefault="00ED2614" w:rsidP="00ED2614">
      <w:pPr>
        <w:pStyle w:val="MDPI62BackMatter"/>
        <w:ind w:firstLine="425"/>
      </w:pPr>
      <w:r w:rsidRPr="00AE5BC5">
        <w:rPr>
          <w:highlight w:val="yellow"/>
        </w:rPr>
        <w:t>The study was conducted in accordance with the Declaration of Helsinki and approved by the Bioethics Committee of Poznan University of Medical Sciences (45/22 and 126/22</w:t>
      </w:r>
      <w:r>
        <w:rPr>
          <w:highlight w:val="yellow"/>
        </w:rPr>
        <w:t xml:space="preserve"> – both for patients from control and case group</w:t>
      </w:r>
      <w:r w:rsidRPr="00AE5BC5">
        <w:rPr>
          <w:highlight w:val="yellow"/>
        </w:rPr>
        <w:t>).</w:t>
      </w:r>
      <w:r w:rsidRPr="002C0757">
        <w:t xml:space="preserve"> </w:t>
      </w:r>
    </w:p>
    <w:p w14:paraId="26AED649" w14:textId="0AA0DA02" w:rsidR="002F24D9" w:rsidRDefault="002F24D9">
      <w:pPr>
        <w:rPr>
          <w:rFonts w:ascii="Palatino Linotype" w:eastAsia="Times New Roman" w:hAnsi="Palatino Linotype" w:cs="Arial"/>
          <w:sz w:val="22"/>
          <w:szCs w:val="22"/>
          <w:lang w:val="en-US" w:eastAsia="pl-PL"/>
        </w:rPr>
      </w:pPr>
      <w:r>
        <w:rPr>
          <w:rFonts w:ascii="Palatino Linotype" w:hAnsi="Palatino Linotype" w:cs="Arial"/>
          <w:sz w:val="22"/>
          <w:szCs w:val="22"/>
          <w:lang w:val="en-US"/>
        </w:rPr>
        <w:br w:type="page"/>
      </w:r>
    </w:p>
    <w:p w14:paraId="57D833D9" w14:textId="77777777" w:rsidR="00ED2614" w:rsidRPr="00954D52" w:rsidRDefault="00ED2614" w:rsidP="00ED2614">
      <w:pPr>
        <w:pStyle w:val="NormalnyWeb"/>
        <w:rPr>
          <w:rFonts w:ascii="Palatino Linotype" w:hAnsi="Palatino Linotype" w:cs="Arial"/>
          <w:i/>
          <w:sz w:val="22"/>
          <w:szCs w:val="22"/>
          <w:lang w:val="en-US"/>
        </w:rPr>
      </w:pPr>
    </w:p>
    <w:p w14:paraId="07231950" w14:textId="733E73D1" w:rsidR="00CD10EF" w:rsidRPr="002D1C10" w:rsidRDefault="00CD10EF" w:rsidP="00CD10EF">
      <w:pPr>
        <w:pStyle w:val="NormalnyWeb"/>
        <w:rPr>
          <w:rFonts w:ascii="Palatino Linotype" w:hAnsi="Palatino Linotype" w:cs="Arial"/>
          <w:i/>
          <w:sz w:val="22"/>
          <w:szCs w:val="22"/>
          <w:lang w:val="en-US"/>
        </w:rPr>
      </w:pPr>
      <w:r w:rsidRPr="00954D52">
        <w:rPr>
          <w:rFonts w:ascii="Palatino Linotype" w:hAnsi="Palatino Linotype" w:cs="Arial"/>
          <w:i/>
          <w:sz w:val="22"/>
          <w:szCs w:val="22"/>
          <w:lang w:val="en-US"/>
        </w:rPr>
        <w:t xml:space="preserve">3) finally, revise, please, your references. There are 3 previous century sources (out of 35) and this </w:t>
      </w:r>
      <w:proofErr w:type="spellStart"/>
      <w:r w:rsidRPr="00954D52">
        <w:rPr>
          <w:rFonts w:ascii="Palatino Linotype" w:hAnsi="Palatino Linotype" w:cs="Arial"/>
          <w:i/>
          <w:sz w:val="22"/>
          <w:szCs w:val="22"/>
          <w:lang w:val="en-US"/>
        </w:rPr>
        <w:t>doesnt</w:t>
      </w:r>
      <w:proofErr w:type="spellEnd"/>
      <w:r w:rsidRPr="00954D52">
        <w:rPr>
          <w:rFonts w:ascii="Palatino Linotype" w:hAnsi="Palatino Linotype" w:cs="Arial"/>
          <w:i/>
          <w:sz w:val="22"/>
          <w:szCs w:val="22"/>
          <w:lang w:val="en-US"/>
        </w:rPr>
        <w:t xml:space="preserve"> fit to the Journal. </w:t>
      </w:r>
      <w:r w:rsidRPr="002D1C10">
        <w:rPr>
          <w:rFonts w:ascii="Palatino Linotype" w:hAnsi="Palatino Linotype" w:cs="Arial"/>
          <w:i/>
          <w:sz w:val="22"/>
          <w:szCs w:val="22"/>
          <w:lang w:val="en-US"/>
        </w:rPr>
        <w:t>Remove or replace them.</w:t>
      </w:r>
    </w:p>
    <w:p w14:paraId="4703EA14" w14:textId="233A4A93" w:rsidR="00954D52" w:rsidRDefault="00453C4E" w:rsidP="002F24D9">
      <w:pPr>
        <w:pStyle w:val="Tekstkomentarza"/>
        <w:rPr>
          <w:lang w:val="en-US"/>
        </w:rPr>
      </w:pPr>
      <w:r w:rsidRPr="00453C4E">
        <w:rPr>
          <w:lang w:val="en-US"/>
        </w:rPr>
        <w:t>We have changed the references</w:t>
      </w:r>
      <w:r>
        <w:rPr>
          <w:lang w:val="en-US"/>
        </w:rPr>
        <w:t>.</w:t>
      </w:r>
    </w:p>
    <w:p w14:paraId="305D1C9A" w14:textId="77777777" w:rsidR="00954D52" w:rsidRPr="00405226" w:rsidRDefault="00954D52" w:rsidP="00954D52">
      <w:pPr>
        <w:pStyle w:val="NormalnyWeb"/>
        <w:rPr>
          <w:rFonts w:ascii="Palatino Linotype" w:hAnsi="Palatino Linotype" w:cs="Arial"/>
          <w:i/>
          <w:sz w:val="22"/>
          <w:szCs w:val="22"/>
          <w:lang w:val="en-US"/>
        </w:rPr>
      </w:pPr>
      <w:r w:rsidRPr="00405226">
        <w:rPr>
          <w:rFonts w:ascii="Palatino Linotype" w:hAnsi="Palatino Linotype" w:cs="Arial"/>
          <w:i/>
          <w:sz w:val="22"/>
          <w:szCs w:val="22"/>
          <w:lang w:val="en-US"/>
        </w:rPr>
        <w:t>Changes made</w:t>
      </w:r>
    </w:p>
    <w:p w14:paraId="0533D41D" w14:textId="77777777" w:rsidR="00954D52" w:rsidRDefault="00954D52" w:rsidP="002F24D9">
      <w:pPr>
        <w:pStyle w:val="Tekstkomentarza"/>
        <w:rPr>
          <w:lang w:val="en-US"/>
        </w:rPr>
      </w:pPr>
    </w:p>
    <w:p w14:paraId="0557637E" w14:textId="389BD97B" w:rsidR="008B3C48" w:rsidRPr="00166414" w:rsidRDefault="008B3C48" w:rsidP="002F24D9">
      <w:pPr>
        <w:pStyle w:val="Tekstkomentarza"/>
        <w:rPr>
          <w:rFonts w:ascii="Palatino Linotype" w:hAnsi="Palatino Linotype"/>
          <w:lang w:val="en-US"/>
        </w:rPr>
      </w:pPr>
      <w:r w:rsidRPr="00166414">
        <w:rPr>
          <w:rFonts w:ascii="Palatino Linotype" w:hAnsi="Palatino Linotype"/>
          <w:lang w:val="en-US"/>
        </w:rPr>
        <w:t>The old references [11] and [12] have been replaced by another reference</w:t>
      </w:r>
      <w:r w:rsidR="00D67B38" w:rsidRPr="00166414">
        <w:rPr>
          <w:rFonts w:ascii="Palatino Linotype" w:hAnsi="Palatino Linotype"/>
          <w:lang w:val="en-US"/>
        </w:rPr>
        <w:t>s</w:t>
      </w:r>
      <w:r w:rsidRPr="00166414">
        <w:rPr>
          <w:rFonts w:ascii="Palatino Linotype" w:hAnsi="Palatino Linotype"/>
          <w:lang w:val="en-US"/>
        </w:rPr>
        <w:t xml:space="preserve">  </w:t>
      </w:r>
    </w:p>
    <w:p w14:paraId="323DE2E5" w14:textId="77777777" w:rsidR="008B3C48" w:rsidRPr="00166414" w:rsidRDefault="008B3C48" w:rsidP="002F24D9">
      <w:pPr>
        <w:pStyle w:val="Tekstkomentarza"/>
        <w:rPr>
          <w:rFonts w:ascii="Palatino Linotype" w:hAnsi="Palatino Linotype"/>
          <w:lang w:val="en-US"/>
        </w:rPr>
      </w:pPr>
    </w:p>
    <w:p w14:paraId="41E7CFFB" w14:textId="545D272E" w:rsidR="008B3C48" w:rsidRPr="00166414" w:rsidRDefault="008B3C48" w:rsidP="002F24D9">
      <w:pPr>
        <w:pStyle w:val="Tekstkomentarza"/>
        <w:rPr>
          <w:rFonts w:ascii="Palatino Linotype" w:hAnsi="Palatino Linotype"/>
          <w:lang w:val="en-US"/>
        </w:rPr>
      </w:pPr>
      <w:r w:rsidRPr="00166414">
        <w:rPr>
          <w:rFonts w:ascii="Palatino Linotype" w:hAnsi="Palatino Linotype"/>
          <w:lang w:val="en-US"/>
        </w:rPr>
        <w:t>Previous references</w:t>
      </w:r>
    </w:p>
    <w:p w14:paraId="3D536C16" w14:textId="2B2594E6" w:rsidR="002F24D9" w:rsidRPr="00166414" w:rsidRDefault="008B3C48" w:rsidP="002F24D9">
      <w:pPr>
        <w:pStyle w:val="MDPI71References"/>
        <w:numPr>
          <w:ilvl w:val="0"/>
          <w:numId w:val="0"/>
        </w:numPr>
        <w:rPr>
          <w:strike/>
          <w:sz w:val="20"/>
        </w:rPr>
      </w:pPr>
      <w:r w:rsidRPr="00166414">
        <w:rPr>
          <w:sz w:val="20"/>
        </w:rPr>
        <w:t xml:space="preserve"> </w:t>
      </w:r>
      <w:r w:rsidR="002F24D9" w:rsidRPr="00166414">
        <w:rPr>
          <w:strike/>
          <w:sz w:val="20"/>
        </w:rPr>
        <w:t xml:space="preserve">[11] </w:t>
      </w:r>
      <w:proofErr w:type="spellStart"/>
      <w:r w:rsidR="002F24D9" w:rsidRPr="00166414">
        <w:rPr>
          <w:strike/>
          <w:sz w:val="20"/>
        </w:rPr>
        <w:t>Mignatti</w:t>
      </w:r>
      <w:proofErr w:type="spellEnd"/>
      <w:r w:rsidR="002F24D9" w:rsidRPr="00166414">
        <w:rPr>
          <w:strike/>
          <w:sz w:val="20"/>
        </w:rPr>
        <w:t xml:space="preserve">, P.; Rifkin, D.B. Plasminogen activators and matrix </w:t>
      </w:r>
      <w:proofErr w:type="spellStart"/>
      <w:r w:rsidR="002F24D9" w:rsidRPr="00166414">
        <w:rPr>
          <w:strike/>
          <w:sz w:val="20"/>
        </w:rPr>
        <w:t>metalloproteinases</w:t>
      </w:r>
      <w:proofErr w:type="spellEnd"/>
      <w:r w:rsidR="002F24D9" w:rsidRPr="00166414">
        <w:rPr>
          <w:strike/>
          <w:sz w:val="20"/>
        </w:rPr>
        <w:t xml:space="preserve"> in angiogenesis. </w:t>
      </w:r>
      <w:r w:rsidR="002F24D9" w:rsidRPr="00166414">
        <w:rPr>
          <w:i/>
          <w:strike/>
          <w:sz w:val="20"/>
        </w:rPr>
        <w:t xml:space="preserve">Enzyme &amp; protein </w:t>
      </w:r>
      <w:r w:rsidR="002F24D9" w:rsidRPr="00166414">
        <w:rPr>
          <w:b/>
          <w:strike/>
          <w:sz w:val="20"/>
        </w:rPr>
        <w:t>1996</w:t>
      </w:r>
      <w:r w:rsidR="002F24D9" w:rsidRPr="00166414">
        <w:rPr>
          <w:strike/>
          <w:sz w:val="20"/>
        </w:rPr>
        <w:t xml:space="preserve">, </w:t>
      </w:r>
      <w:r w:rsidR="002F24D9" w:rsidRPr="00166414">
        <w:rPr>
          <w:i/>
          <w:strike/>
          <w:sz w:val="20"/>
        </w:rPr>
        <w:t>49</w:t>
      </w:r>
      <w:r w:rsidR="002F24D9" w:rsidRPr="00166414">
        <w:rPr>
          <w:strike/>
          <w:sz w:val="20"/>
        </w:rPr>
        <w:t xml:space="preserve">, 117-137, doi:10.1159/000468621. </w:t>
      </w:r>
    </w:p>
    <w:p w14:paraId="3F44996E" w14:textId="14B4F611" w:rsidR="002F24D9" w:rsidRPr="00166414" w:rsidRDefault="008B3C48" w:rsidP="002F24D9">
      <w:pPr>
        <w:pStyle w:val="Tekstkomentarza"/>
        <w:rPr>
          <w:rFonts w:ascii="Palatino Linotype" w:hAnsi="Palatino Linotype"/>
          <w:strike/>
          <w:lang w:val="en-US"/>
        </w:rPr>
      </w:pPr>
      <w:r w:rsidRPr="00166414">
        <w:rPr>
          <w:rFonts w:ascii="Palatino Linotype" w:hAnsi="Palatino Linotype"/>
          <w:strike/>
          <w:lang w:val="en-US"/>
        </w:rPr>
        <w:t xml:space="preserve"> </w:t>
      </w:r>
      <w:r w:rsidR="002F24D9" w:rsidRPr="00166414">
        <w:rPr>
          <w:rFonts w:ascii="Palatino Linotype" w:hAnsi="Palatino Linotype"/>
          <w:strike/>
          <w:lang w:val="en-US"/>
        </w:rPr>
        <w:t xml:space="preserve">[12] Pepper, M.S.; Montesano, R. Proteolytic balance and capillary morphogenesis. </w:t>
      </w:r>
      <w:r w:rsidR="002F24D9" w:rsidRPr="00166414">
        <w:rPr>
          <w:rFonts w:ascii="Palatino Linotype" w:hAnsi="Palatino Linotype"/>
          <w:i/>
          <w:strike/>
          <w:lang w:val="en-US"/>
        </w:rPr>
        <w:t xml:space="preserve">Cell differentiation and development : the official journal of the International Society of Developmental Biologists </w:t>
      </w:r>
      <w:r w:rsidR="002F24D9" w:rsidRPr="00166414">
        <w:rPr>
          <w:rFonts w:ascii="Palatino Linotype" w:hAnsi="Palatino Linotype"/>
          <w:b/>
          <w:strike/>
          <w:lang w:val="en-US"/>
        </w:rPr>
        <w:t>1990</w:t>
      </w:r>
      <w:r w:rsidR="002F24D9" w:rsidRPr="00166414">
        <w:rPr>
          <w:rFonts w:ascii="Palatino Linotype" w:hAnsi="Palatino Linotype"/>
          <w:strike/>
          <w:lang w:val="en-US"/>
        </w:rPr>
        <w:t xml:space="preserve">, </w:t>
      </w:r>
      <w:r w:rsidR="002F24D9" w:rsidRPr="00166414">
        <w:rPr>
          <w:rFonts w:ascii="Palatino Linotype" w:hAnsi="Palatino Linotype"/>
          <w:i/>
          <w:strike/>
          <w:lang w:val="en-US"/>
        </w:rPr>
        <w:t>32</w:t>
      </w:r>
      <w:r w:rsidR="002F24D9" w:rsidRPr="00166414">
        <w:rPr>
          <w:rFonts w:ascii="Palatino Linotype" w:hAnsi="Palatino Linotype"/>
          <w:strike/>
          <w:lang w:val="en-US"/>
        </w:rPr>
        <w:t>, 319-327, doi:10.1016/0922-3371(90)90046-y</w:t>
      </w:r>
    </w:p>
    <w:p w14:paraId="78599EA9" w14:textId="2128AB96" w:rsidR="008B3C48" w:rsidRPr="00166414" w:rsidRDefault="008B3C48" w:rsidP="002F24D9">
      <w:pPr>
        <w:pStyle w:val="Tekstkomentarza"/>
        <w:rPr>
          <w:rFonts w:ascii="Palatino Linotype" w:hAnsi="Palatino Linotype"/>
          <w:lang w:val="en-US"/>
        </w:rPr>
      </w:pPr>
    </w:p>
    <w:p w14:paraId="304B6C70" w14:textId="7953A71C" w:rsidR="008B3C48" w:rsidRPr="00166414" w:rsidRDefault="008B3C48" w:rsidP="002F24D9">
      <w:pPr>
        <w:pStyle w:val="Tekstkomentarza"/>
        <w:rPr>
          <w:rFonts w:ascii="Palatino Linotype" w:hAnsi="Palatino Linotype"/>
          <w:lang w:val="en-US"/>
        </w:rPr>
      </w:pPr>
      <w:r w:rsidRPr="00166414">
        <w:rPr>
          <w:rFonts w:ascii="Palatino Linotype" w:hAnsi="Palatino Linotype"/>
          <w:lang w:val="en-US"/>
        </w:rPr>
        <w:t>New References</w:t>
      </w:r>
    </w:p>
    <w:p w14:paraId="1563119C" w14:textId="1B19ABC0" w:rsidR="008B3C48" w:rsidRPr="00166414" w:rsidRDefault="008B3C48" w:rsidP="008B3C48">
      <w:pPr>
        <w:pStyle w:val="MDPI71References"/>
        <w:numPr>
          <w:ilvl w:val="0"/>
          <w:numId w:val="0"/>
        </w:numPr>
        <w:ind w:left="425"/>
        <w:rPr>
          <w:sz w:val="20"/>
          <w:highlight w:val="yellow"/>
        </w:rPr>
      </w:pPr>
      <w:r w:rsidRPr="00166414">
        <w:rPr>
          <w:sz w:val="20"/>
          <w:highlight w:val="yellow"/>
        </w:rPr>
        <w:t>[1</w:t>
      </w:r>
      <w:r w:rsidR="00D67B38" w:rsidRPr="00166414">
        <w:rPr>
          <w:sz w:val="20"/>
          <w:highlight w:val="yellow"/>
        </w:rPr>
        <w:t>3</w:t>
      </w:r>
      <w:r w:rsidRPr="00166414">
        <w:rPr>
          <w:sz w:val="20"/>
          <w:highlight w:val="yellow"/>
        </w:rPr>
        <w:t xml:space="preserve">] Raza, S.L.; Cornelius, L.A. Matrix </w:t>
      </w:r>
      <w:proofErr w:type="spellStart"/>
      <w:r w:rsidRPr="00166414">
        <w:rPr>
          <w:sz w:val="20"/>
          <w:highlight w:val="yellow"/>
        </w:rPr>
        <w:t>metalloproteinases</w:t>
      </w:r>
      <w:proofErr w:type="spellEnd"/>
      <w:r w:rsidRPr="00166414">
        <w:rPr>
          <w:sz w:val="20"/>
          <w:highlight w:val="yellow"/>
        </w:rPr>
        <w:t xml:space="preserve">: pro- and anti-angiogenic activities. </w:t>
      </w:r>
      <w:r w:rsidRPr="00166414">
        <w:rPr>
          <w:i/>
          <w:sz w:val="20"/>
          <w:highlight w:val="yellow"/>
        </w:rPr>
        <w:t xml:space="preserve">The journal of investigative dermatology. Symposium proceedings </w:t>
      </w:r>
      <w:r w:rsidRPr="00166414">
        <w:rPr>
          <w:b/>
          <w:sz w:val="20"/>
          <w:highlight w:val="yellow"/>
        </w:rPr>
        <w:t>2000</w:t>
      </w:r>
      <w:r w:rsidRPr="00166414">
        <w:rPr>
          <w:sz w:val="20"/>
          <w:highlight w:val="yellow"/>
        </w:rPr>
        <w:t xml:space="preserve">, </w:t>
      </w:r>
      <w:r w:rsidRPr="00166414">
        <w:rPr>
          <w:i/>
          <w:sz w:val="20"/>
          <w:highlight w:val="yellow"/>
        </w:rPr>
        <w:t>5</w:t>
      </w:r>
      <w:r w:rsidRPr="00166414">
        <w:rPr>
          <w:sz w:val="20"/>
          <w:highlight w:val="yellow"/>
        </w:rPr>
        <w:t>, 47-54, doi:10.1046/j.1087-0024.2000.00004.x.</w:t>
      </w:r>
    </w:p>
    <w:p w14:paraId="14A74426" w14:textId="743D0FCE" w:rsidR="008B3C48" w:rsidRPr="00166414" w:rsidRDefault="008B3C48" w:rsidP="008B3C48">
      <w:pPr>
        <w:pStyle w:val="MDPI71References"/>
        <w:numPr>
          <w:ilvl w:val="0"/>
          <w:numId w:val="0"/>
        </w:numPr>
        <w:ind w:left="425"/>
        <w:rPr>
          <w:sz w:val="20"/>
        </w:rPr>
      </w:pPr>
      <w:r w:rsidRPr="00166414">
        <w:rPr>
          <w:sz w:val="20"/>
          <w:highlight w:val="yellow"/>
        </w:rPr>
        <w:t>[1</w:t>
      </w:r>
      <w:r w:rsidR="00D67B38" w:rsidRPr="00166414">
        <w:rPr>
          <w:sz w:val="20"/>
          <w:highlight w:val="yellow"/>
        </w:rPr>
        <w:t>4</w:t>
      </w:r>
      <w:r w:rsidRPr="00166414">
        <w:rPr>
          <w:sz w:val="20"/>
          <w:highlight w:val="yellow"/>
        </w:rPr>
        <w:t xml:space="preserve">] Singh, M.; </w:t>
      </w:r>
      <w:proofErr w:type="spellStart"/>
      <w:r w:rsidRPr="00166414">
        <w:rPr>
          <w:sz w:val="20"/>
          <w:highlight w:val="yellow"/>
        </w:rPr>
        <w:t>Tyagi</w:t>
      </w:r>
      <w:proofErr w:type="spellEnd"/>
      <w:r w:rsidRPr="00166414">
        <w:rPr>
          <w:sz w:val="20"/>
          <w:highlight w:val="yellow"/>
        </w:rPr>
        <w:t xml:space="preserve">, S.C. </w:t>
      </w:r>
      <w:proofErr w:type="spellStart"/>
      <w:r w:rsidRPr="00166414">
        <w:rPr>
          <w:sz w:val="20"/>
          <w:highlight w:val="yellow"/>
        </w:rPr>
        <w:t>Metalloproteinases</w:t>
      </w:r>
      <w:proofErr w:type="spellEnd"/>
      <w:r w:rsidRPr="00166414">
        <w:rPr>
          <w:sz w:val="20"/>
          <w:highlight w:val="yellow"/>
        </w:rPr>
        <w:t xml:space="preserve"> as mediators of inflammation and the eyes: molecular genetic underpinnings governing ocular pathophysiology. </w:t>
      </w:r>
      <w:r w:rsidRPr="00166414">
        <w:rPr>
          <w:i/>
          <w:sz w:val="20"/>
          <w:highlight w:val="yellow"/>
        </w:rPr>
        <w:t xml:space="preserve">International journal of ophthalmology </w:t>
      </w:r>
      <w:r w:rsidRPr="00166414">
        <w:rPr>
          <w:b/>
          <w:sz w:val="20"/>
          <w:highlight w:val="yellow"/>
        </w:rPr>
        <w:t>2017</w:t>
      </w:r>
      <w:r w:rsidRPr="00166414">
        <w:rPr>
          <w:sz w:val="20"/>
          <w:highlight w:val="yellow"/>
        </w:rPr>
        <w:t xml:space="preserve">, </w:t>
      </w:r>
      <w:r w:rsidRPr="00166414">
        <w:rPr>
          <w:i/>
          <w:sz w:val="20"/>
          <w:highlight w:val="yellow"/>
        </w:rPr>
        <w:t>10</w:t>
      </w:r>
      <w:r w:rsidRPr="00166414">
        <w:rPr>
          <w:sz w:val="20"/>
          <w:highlight w:val="yellow"/>
        </w:rPr>
        <w:t>, 1308-1318, doi:10.18240/ijo.2017.08.20.</w:t>
      </w:r>
    </w:p>
    <w:p w14:paraId="0954CDAD" w14:textId="77777777" w:rsidR="008B3C48" w:rsidRPr="00166414" w:rsidRDefault="008B3C48" w:rsidP="002F24D9">
      <w:pPr>
        <w:pStyle w:val="Tekstkomentarza"/>
        <w:rPr>
          <w:rFonts w:ascii="Palatino Linotype" w:hAnsi="Palatino Linotype"/>
          <w:lang w:val="en-US"/>
        </w:rPr>
      </w:pPr>
    </w:p>
    <w:p w14:paraId="47487765" w14:textId="77777777" w:rsidR="002F24D9" w:rsidRPr="00166414" w:rsidRDefault="002F24D9" w:rsidP="002F24D9">
      <w:pPr>
        <w:pStyle w:val="MDPI71References"/>
        <w:numPr>
          <w:ilvl w:val="0"/>
          <w:numId w:val="0"/>
        </w:numPr>
        <w:rPr>
          <w:sz w:val="20"/>
        </w:rPr>
      </w:pPr>
    </w:p>
    <w:p w14:paraId="5BCE0565" w14:textId="64019573" w:rsidR="008B3C48" w:rsidRPr="00166414" w:rsidRDefault="008B3C48" w:rsidP="008B3C48">
      <w:pPr>
        <w:pStyle w:val="Tekstkomentarza"/>
        <w:rPr>
          <w:rFonts w:ascii="Palatino Linotype" w:hAnsi="Palatino Linotype"/>
          <w:lang w:val="en-US"/>
        </w:rPr>
      </w:pPr>
      <w:r w:rsidRPr="00166414">
        <w:rPr>
          <w:rFonts w:ascii="Palatino Linotype" w:hAnsi="Palatino Linotype"/>
          <w:lang w:val="en-US"/>
        </w:rPr>
        <w:t xml:space="preserve">Reference [27] </w:t>
      </w:r>
      <w:r w:rsidR="00D67B38" w:rsidRPr="00166414">
        <w:rPr>
          <w:rFonts w:ascii="Palatino Linotype" w:hAnsi="Palatino Linotype"/>
          <w:lang w:val="en-US"/>
        </w:rPr>
        <w:t xml:space="preserve">we </w:t>
      </w:r>
      <w:r w:rsidRPr="00166414">
        <w:rPr>
          <w:rFonts w:ascii="Palatino Linotype" w:hAnsi="Palatino Linotype"/>
          <w:lang w:val="en-US"/>
        </w:rPr>
        <w:t xml:space="preserve">replaced by </w:t>
      </w:r>
      <w:r w:rsidR="00D67B38" w:rsidRPr="00166414">
        <w:rPr>
          <w:rFonts w:ascii="Palatino Linotype" w:hAnsi="Palatino Linotype"/>
          <w:lang w:val="en-US"/>
        </w:rPr>
        <w:t>new</w:t>
      </w:r>
      <w:r w:rsidRPr="00166414">
        <w:rPr>
          <w:rFonts w:ascii="Palatino Linotype" w:hAnsi="Palatino Linotype"/>
          <w:lang w:val="en-US"/>
        </w:rPr>
        <w:t xml:space="preserve"> reference  </w:t>
      </w:r>
    </w:p>
    <w:p w14:paraId="3AC5836E" w14:textId="464FE2FC" w:rsidR="008B3C48" w:rsidRPr="00166414" w:rsidRDefault="008B3C48" w:rsidP="008B3C48">
      <w:pPr>
        <w:pStyle w:val="Tekstkomentarza"/>
        <w:rPr>
          <w:rFonts w:ascii="Palatino Linotype" w:hAnsi="Palatino Linotype"/>
          <w:lang w:val="en-US"/>
        </w:rPr>
      </w:pPr>
    </w:p>
    <w:p w14:paraId="430ECA43" w14:textId="77777777" w:rsidR="00D67B38" w:rsidRPr="00166414" w:rsidRDefault="00D67B38" w:rsidP="00D67B38">
      <w:pPr>
        <w:pStyle w:val="Tekstkomentarza"/>
        <w:rPr>
          <w:rFonts w:ascii="Palatino Linotype" w:hAnsi="Palatino Linotype"/>
          <w:lang w:val="en-US"/>
        </w:rPr>
      </w:pPr>
      <w:r w:rsidRPr="00166414">
        <w:rPr>
          <w:rFonts w:ascii="Palatino Linotype" w:hAnsi="Palatino Linotype"/>
          <w:lang w:val="en-US"/>
        </w:rPr>
        <w:t>Previous reference</w:t>
      </w:r>
    </w:p>
    <w:p w14:paraId="297232C6" w14:textId="77777777" w:rsidR="00D67B38" w:rsidRPr="00166414" w:rsidRDefault="00D67B38" w:rsidP="00D67B38">
      <w:pPr>
        <w:pStyle w:val="Tekstkomentarza"/>
        <w:rPr>
          <w:rFonts w:ascii="Palatino Linotype" w:hAnsi="Palatino Linotype"/>
          <w:lang w:val="en-US"/>
        </w:rPr>
      </w:pPr>
    </w:p>
    <w:p w14:paraId="1D12A5E1" w14:textId="77777777" w:rsidR="00D67B38" w:rsidRPr="00166414" w:rsidRDefault="00D67B38" w:rsidP="00D67B38">
      <w:pPr>
        <w:pStyle w:val="MDPI71References"/>
        <w:numPr>
          <w:ilvl w:val="0"/>
          <w:numId w:val="0"/>
        </w:numPr>
        <w:rPr>
          <w:strike/>
          <w:sz w:val="20"/>
        </w:rPr>
      </w:pPr>
      <w:r w:rsidRPr="00166414">
        <w:rPr>
          <w:strike/>
          <w:sz w:val="20"/>
        </w:rPr>
        <w:t xml:space="preserve"> [27] Das, A.; </w:t>
      </w:r>
      <w:proofErr w:type="spellStart"/>
      <w:r w:rsidRPr="00166414">
        <w:rPr>
          <w:strike/>
          <w:sz w:val="20"/>
        </w:rPr>
        <w:t>McLamore</w:t>
      </w:r>
      <w:proofErr w:type="spellEnd"/>
      <w:r w:rsidRPr="00166414">
        <w:rPr>
          <w:strike/>
          <w:sz w:val="20"/>
        </w:rPr>
        <w:t xml:space="preserve">, A.; Song, W.; McGuire, P.G. Retinal neovascularization is suppressed with a matrix metalloproteinase inhibitor. </w:t>
      </w:r>
      <w:r w:rsidRPr="00166414">
        <w:rPr>
          <w:i/>
          <w:strike/>
          <w:sz w:val="20"/>
        </w:rPr>
        <w:t xml:space="preserve">Archives of ophthalmology (Chicago, Ill. : 1960) </w:t>
      </w:r>
      <w:r w:rsidRPr="00166414">
        <w:rPr>
          <w:b/>
          <w:strike/>
          <w:sz w:val="20"/>
        </w:rPr>
        <w:t>1999</w:t>
      </w:r>
      <w:r w:rsidRPr="00166414">
        <w:rPr>
          <w:strike/>
          <w:sz w:val="20"/>
        </w:rPr>
        <w:t xml:space="preserve">, </w:t>
      </w:r>
      <w:r w:rsidRPr="00166414">
        <w:rPr>
          <w:i/>
          <w:strike/>
          <w:sz w:val="20"/>
        </w:rPr>
        <w:t>117</w:t>
      </w:r>
      <w:r w:rsidRPr="00166414">
        <w:rPr>
          <w:strike/>
          <w:sz w:val="20"/>
        </w:rPr>
        <w:t>, 498-503, doi:10.1001/archopht.117.4.498.</w:t>
      </w:r>
    </w:p>
    <w:p w14:paraId="0FD5353D" w14:textId="77777777" w:rsidR="00D67B38" w:rsidRPr="00166414" w:rsidRDefault="00D67B38" w:rsidP="008B3C48">
      <w:pPr>
        <w:pStyle w:val="Tekstkomentarza"/>
        <w:rPr>
          <w:rFonts w:ascii="Palatino Linotype" w:hAnsi="Palatino Linotype"/>
          <w:lang w:val="en-US"/>
        </w:rPr>
      </w:pPr>
    </w:p>
    <w:p w14:paraId="4981E4B1" w14:textId="488310A8" w:rsidR="00D67B38" w:rsidRPr="00166414" w:rsidRDefault="00D67B38" w:rsidP="00D67B38">
      <w:pPr>
        <w:pStyle w:val="Tekstkomentarza"/>
        <w:rPr>
          <w:rFonts w:ascii="Palatino Linotype" w:hAnsi="Palatino Linotype"/>
          <w:lang w:val="en-US"/>
        </w:rPr>
      </w:pPr>
      <w:r w:rsidRPr="00166414">
        <w:rPr>
          <w:rFonts w:ascii="Palatino Linotype" w:hAnsi="Palatino Linotype"/>
          <w:lang w:val="en-US"/>
        </w:rPr>
        <w:t>New reference</w:t>
      </w:r>
    </w:p>
    <w:p w14:paraId="172F44A0" w14:textId="77777777" w:rsidR="00D67B38" w:rsidRPr="00166414" w:rsidRDefault="00D67B38" w:rsidP="00D67B38">
      <w:pPr>
        <w:pStyle w:val="MDPI71References"/>
        <w:numPr>
          <w:ilvl w:val="0"/>
          <w:numId w:val="0"/>
        </w:numPr>
        <w:rPr>
          <w:sz w:val="20"/>
        </w:rPr>
      </w:pPr>
    </w:p>
    <w:p w14:paraId="37DC629E" w14:textId="73E5ACA5" w:rsidR="00D67B38" w:rsidRPr="00166414" w:rsidRDefault="00D67B38" w:rsidP="00D67B38">
      <w:pPr>
        <w:pStyle w:val="MDPI62BackMatter"/>
        <w:numPr>
          <w:ilvl w:val="0"/>
          <w:numId w:val="10"/>
        </w:numPr>
        <w:rPr>
          <w:bCs/>
          <w:color w:val="000000" w:themeColor="text1"/>
          <w:sz w:val="20"/>
          <w:highlight w:val="yellow"/>
          <w:lang w:eastAsia="de-DE"/>
        </w:rPr>
      </w:pPr>
      <w:r w:rsidRPr="00166414">
        <w:rPr>
          <w:bCs/>
          <w:color w:val="000000" w:themeColor="text1"/>
          <w:sz w:val="20"/>
          <w:highlight w:val="yellow"/>
          <w:lang w:eastAsia="de-DE"/>
        </w:rPr>
        <w:t xml:space="preserve">Barnett, J.M.; McCollum, G.W.; Fowler, JA.; </w:t>
      </w:r>
      <w:proofErr w:type="spellStart"/>
      <w:r w:rsidRPr="00166414">
        <w:rPr>
          <w:bCs/>
          <w:color w:val="000000" w:themeColor="text1"/>
          <w:sz w:val="20"/>
          <w:highlight w:val="yellow"/>
          <w:lang w:eastAsia="de-DE"/>
        </w:rPr>
        <w:t>Duan</w:t>
      </w:r>
      <w:proofErr w:type="spellEnd"/>
      <w:r w:rsidRPr="00166414">
        <w:rPr>
          <w:bCs/>
          <w:color w:val="000000" w:themeColor="text1"/>
          <w:sz w:val="20"/>
          <w:highlight w:val="yellow"/>
          <w:lang w:eastAsia="de-DE"/>
        </w:rPr>
        <w:t xml:space="preserve">; J.J.; Kay J.D.; Liu R,Q; Bingaman D.P.; Penn J.S. Pharmacologic and genetic manipulation of MMP-2 and -9 affects retinal neovascularization in rodent models of OIR. </w:t>
      </w:r>
      <w:r w:rsidRPr="00166414">
        <w:rPr>
          <w:bCs/>
          <w:i/>
          <w:iCs/>
          <w:color w:val="000000" w:themeColor="text1"/>
          <w:sz w:val="20"/>
          <w:highlight w:val="yellow"/>
          <w:lang w:eastAsia="de-DE"/>
        </w:rPr>
        <w:t xml:space="preserve">Invest </w:t>
      </w:r>
      <w:proofErr w:type="spellStart"/>
      <w:r w:rsidRPr="00166414">
        <w:rPr>
          <w:bCs/>
          <w:i/>
          <w:iCs/>
          <w:color w:val="000000" w:themeColor="text1"/>
          <w:sz w:val="20"/>
          <w:highlight w:val="yellow"/>
          <w:lang w:eastAsia="de-DE"/>
        </w:rPr>
        <w:t>Ophthalmol</w:t>
      </w:r>
      <w:proofErr w:type="spellEnd"/>
      <w:r w:rsidRPr="00166414">
        <w:rPr>
          <w:bCs/>
          <w:i/>
          <w:iCs/>
          <w:color w:val="000000" w:themeColor="text1"/>
          <w:sz w:val="20"/>
          <w:highlight w:val="yellow"/>
          <w:lang w:eastAsia="de-DE"/>
        </w:rPr>
        <w:t xml:space="preserve"> Vis </w:t>
      </w:r>
      <w:proofErr w:type="spellStart"/>
      <w:r w:rsidRPr="00166414">
        <w:rPr>
          <w:bCs/>
          <w:i/>
          <w:iCs/>
          <w:color w:val="000000" w:themeColor="text1"/>
          <w:sz w:val="20"/>
          <w:highlight w:val="yellow"/>
          <w:lang w:eastAsia="de-DE"/>
        </w:rPr>
        <w:t>Sci</w:t>
      </w:r>
      <w:proofErr w:type="spellEnd"/>
      <w:r w:rsidRPr="00166414">
        <w:rPr>
          <w:bCs/>
          <w:color w:val="000000" w:themeColor="text1"/>
          <w:sz w:val="20"/>
          <w:highlight w:val="yellow"/>
          <w:lang w:eastAsia="de-DE"/>
        </w:rPr>
        <w:t xml:space="preserve"> </w:t>
      </w:r>
      <w:r w:rsidRPr="00166414">
        <w:rPr>
          <w:b/>
          <w:color w:val="000000" w:themeColor="text1"/>
          <w:sz w:val="20"/>
          <w:highlight w:val="yellow"/>
          <w:lang w:eastAsia="de-DE"/>
        </w:rPr>
        <w:t>2007</w:t>
      </w:r>
      <w:r w:rsidRPr="00166414">
        <w:rPr>
          <w:bCs/>
          <w:color w:val="000000" w:themeColor="text1"/>
          <w:sz w:val="20"/>
          <w:highlight w:val="yellow"/>
          <w:lang w:eastAsia="de-DE"/>
        </w:rPr>
        <w:t xml:space="preserve">, 48(2), 907-15, </w:t>
      </w:r>
      <w:proofErr w:type="spellStart"/>
      <w:r w:rsidRPr="00166414">
        <w:rPr>
          <w:bCs/>
          <w:color w:val="000000" w:themeColor="text1"/>
          <w:sz w:val="20"/>
          <w:highlight w:val="yellow"/>
          <w:lang w:eastAsia="de-DE"/>
        </w:rPr>
        <w:t>doi</w:t>
      </w:r>
      <w:proofErr w:type="spellEnd"/>
      <w:r w:rsidRPr="00166414">
        <w:rPr>
          <w:bCs/>
          <w:color w:val="000000" w:themeColor="text1"/>
          <w:sz w:val="20"/>
          <w:highlight w:val="yellow"/>
          <w:lang w:eastAsia="de-DE"/>
        </w:rPr>
        <w:t xml:space="preserve">: 10.1167/iovs.06-0082. </w:t>
      </w:r>
    </w:p>
    <w:p w14:paraId="195E28ED" w14:textId="3F1586D3" w:rsidR="00D67B38" w:rsidRDefault="00D67B38" w:rsidP="008B3C48">
      <w:pPr>
        <w:pStyle w:val="Tekstkomentarza"/>
        <w:rPr>
          <w:rFonts w:ascii="Palatino Linotype" w:hAnsi="Palatino Linotype"/>
          <w:lang w:val="en-US"/>
        </w:rPr>
      </w:pPr>
      <w:r w:rsidRPr="00166414">
        <w:rPr>
          <w:rFonts w:ascii="Palatino Linotype" w:hAnsi="Palatino Linotype"/>
          <w:lang w:val="en-US"/>
        </w:rPr>
        <w:t>And accordingly, we have updated the data</w:t>
      </w:r>
      <w:r w:rsidR="006E364F">
        <w:rPr>
          <w:rFonts w:ascii="Palatino Linotype" w:hAnsi="Palatino Linotype"/>
          <w:lang w:val="en-US"/>
        </w:rPr>
        <w:t>.</w:t>
      </w:r>
    </w:p>
    <w:p w14:paraId="37E214CF" w14:textId="77777777" w:rsidR="006E364F" w:rsidRPr="00166414" w:rsidRDefault="006E364F" w:rsidP="008B3C48">
      <w:pPr>
        <w:pStyle w:val="Tekstkomentarza"/>
        <w:rPr>
          <w:rFonts w:ascii="Palatino Linotype" w:hAnsi="Palatino Linotype"/>
          <w:lang w:val="en-US"/>
        </w:rPr>
      </w:pPr>
    </w:p>
    <w:p w14:paraId="01C3B717" w14:textId="5B70DCF9" w:rsidR="008B3C48" w:rsidRPr="00166414" w:rsidRDefault="008B3C48" w:rsidP="008B3C48">
      <w:pPr>
        <w:pStyle w:val="Tekstkomentarza"/>
        <w:rPr>
          <w:rFonts w:ascii="Palatino Linotype" w:hAnsi="Palatino Linotype"/>
          <w:lang w:val="en-US"/>
        </w:rPr>
      </w:pPr>
      <w:r w:rsidRPr="00166414">
        <w:rPr>
          <w:rFonts w:ascii="Palatino Linotype" w:hAnsi="Palatino Linotype"/>
          <w:lang w:val="en-US"/>
        </w:rPr>
        <w:t>New sentence</w:t>
      </w:r>
      <w:r w:rsidR="00D67B38" w:rsidRPr="00166414">
        <w:rPr>
          <w:rFonts w:ascii="Palatino Linotype" w:hAnsi="Palatino Linotype"/>
          <w:lang w:val="en-US"/>
        </w:rPr>
        <w:t>:</w:t>
      </w:r>
    </w:p>
    <w:p w14:paraId="1E00D42E" w14:textId="20D8A974" w:rsidR="00D67B38" w:rsidRPr="00166414" w:rsidRDefault="00D67B38" w:rsidP="00D67B38">
      <w:pPr>
        <w:pStyle w:val="MDPI16affiliation"/>
        <w:ind w:left="142"/>
        <w:rPr>
          <w:sz w:val="20"/>
          <w:szCs w:val="20"/>
        </w:rPr>
      </w:pPr>
      <w:r w:rsidRPr="00166414">
        <w:rPr>
          <w:sz w:val="20"/>
          <w:szCs w:val="20"/>
          <w:highlight w:val="yellow"/>
        </w:rPr>
        <w:t>Results from both mouse and rat models of oxygen-induced retinopathy suggest that MMP-2 plays a dominant role in retinal angiogenesis, and that MMP-2 inhibition may be a viable therapeutic approach in ocular diseases characterized by retinal neovascularization [30]</w:t>
      </w:r>
      <w:r w:rsidRPr="00166414">
        <w:rPr>
          <w:sz w:val="20"/>
          <w:szCs w:val="20"/>
        </w:rPr>
        <w:t>.</w:t>
      </w:r>
    </w:p>
    <w:p w14:paraId="6669A08E" w14:textId="77777777" w:rsidR="008B3C48" w:rsidRPr="00127F54" w:rsidRDefault="008B3C48" w:rsidP="008B3C48">
      <w:pPr>
        <w:pStyle w:val="Tekstkomentarza"/>
        <w:rPr>
          <w:rFonts w:ascii="Palatino Linotype" w:hAnsi="Palatino Linotype"/>
          <w:lang w:val="en-US"/>
        </w:rPr>
      </w:pPr>
    </w:p>
    <w:p w14:paraId="31E82D9C" w14:textId="77777777" w:rsidR="006E364F" w:rsidRDefault="006E364F" w:rsidP="00D67B38">
      <w:pPr>
        <w:pStyle w:val="Tekstkomentarza"/>
        <w:rPr>
          <w:rFonts w:ascii="Palatino Linotype" w:eastAsia="Times New Roman" w:hAnsi="Palatino Linotype" w:cs="Times New Roman"/>
          <w:color w:val="000000"/>
          <w:lang w:val="en-US" w:eastAsia="de-DE" w:bidi="en-US"/>
        </w:rPr>
      </w:pPr>
    </w:p>
    <w:p w14:paraId="7FEEC259" w14:textId="77777777" w:rsidR="006E364F" w:rsidRDefault="006E364F" w:rsidP="00D67B38">
      <w:pPr>
        <w:pStyle w:val="Tekstkomentarza"/>
        <w:rPr>
          <w:rFonts w:ascii="Palatino Linotype" w:eastAsia="Times New Roman" w:hAnsi="Palatino Linotype" w:cs="Times New Roman"/>
          <w:color w:val="000000"/>
          <w:lang w:val="en-US" w:eastAsia="de-DE" w:bidi="en-US"/>
        </w:rPr>
      </w:pPr>
    </w:p>
    <w:p w14:paraId="3DEE14B5" w14:textId="72F6830A" w:rsidR="00CD10EF" w:rsidRPr="00166414" w:rsidRDefault="00D67B38" w:rsidP="00D67B38">
      <w:pPr>
        <w:pStyle w:val="Tekstkomentarza"/>
        <w:rPr>
          <w:rFonts w:ascii="Palatino Linotype" w:hAnsi="Palatino Linotype" w:cs="Arial"/>
          <w:color w:val="70AD47" w:themeColor="accent6"/>
          <w:lang w:val="en-US"/>
        </w:rPr>
      </w:pPr>
      <w:r w:rsidRPr="00166414">
        <w:rPr>
          <w:rFonts w:ascii="Palatino Linotype" w:eastAsia="Times New Roman" w:hAnsi="Palatino Linotype" w:cs="Times New Roman"/>
          <w:color w:val="000000"/>
          <w:lang w:val="en-US" w:eastAsia="de-DE" w:bidi="en-US"/>
        </w:rPr>
        <w:t xml:space="preserve">In accordance with the changes introduced, we have </w:t>
      </w:r>
      <w:r w:rsidR="006E364F">
        <w:rPr>
          <w:rFonts w:ascii="Palatino Linotype" w:eastAsia="Times New Roman" w:hAnsi="Palatino Linotype" w:cs="Times New Roman"/>
          <w:color w:val="000000"/>
          <w:lang w:val="en-US" w:eastAsia="de-DE" w:bidi="en-US"/>
        </w:rPr>
        <w:t>corrected</w:t>
      </w:r>
      <w:r w:rsidRPr="00166414">
        <w:rPr>
          <w:rFonts w:ascii="Palatino Linotype" w:eastAsia="Times New Roman" w:hAnsi="Palatino Linotype" w:cs="Times New Roman"/>
          <w:color w:val="000000"/>
          <w:lang w:val="en-US" w:eastAsia="de-DE" w:bidi="en-US"/>
        </w:rPr>
        <w:t xml:space="preserve"> the numbering of references in the text the References section</w:t>
      </w:r>
    </w:p>
    <w:sectPr w:rsidR="00CD10EF" w:rsidRPr="00166414" w:rsidSect="007446CC">
      <w:pgSz w:w="11906" w:h="16838"/>
      <w:pgMar w:top="568"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8C88374" w16cex:dateUtc="2023-10-04T22:36:00Z"/>
  <w16cex:commentExtensible w16cex:durableId="28C9E854" w16cex:dateUtc="2023-10-05T23:58:00Z"/>
  <w16cex:commentExtensible w16cex:durableId="28C8013B" w16cex:dateUtc="2023-10-04T13:20:00Z"/>
  <w16cex:commentExtensible w16cex:durableId="28C9C7C2" w16cex:dateUtc="2023-10-05T21:39:00Z"/>
  <w16cex:commentExtensible w16cex:durableId="28C8703F" w16cex:dateUtc="2023-10-04T21:14:00Z"/>
  <w16cex:commentExtensible w16cex:durableId="28C9C9EF" w16cex:dateUtc="2023-10-05T21:49:00Z"/>
  <w16cex:commentExtensible w16cex:durableId="28C9E6EF" w16cex:dateUtc="2023-10-05T23:52:00Z"/>
  <w16cex:commentExtensible w16cex:durableId="28C88BFB" w16cex:dateUtc="2023-10-04T23:12:00Z"/>
  <w16cex:commentExtensible w16cex:durableId="28C8854E" w16cex:dateUtc="2023-10-04T2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29A1751" w16cid:durableId="28C88374"/>
  <w16cid:commentId w16cid:paraId="4528B63B" w16cid:durableId="28C9E854"/>
  <w16cid:commentId w16cid:paraId="4E7503A6" w16cid:durableId="28C8013B"/>
  <w16cid:commentId w16cid:paraId="139422DF" w16cid:durableId="28C9C7C2"/>
  <w16cid:commentId w16cid:paraId="668EBD70" w16cid:durableId="28C8703F"/>
  <w16cid:commentId w16cid:paraId="7B5F5045" w16cid:durableId="28C9C9EF"/>
  <w16cid:commentId w16cid:paraId="32866F82" w16cid:durableId="28C9E6EF"/>
  <w16cid:commentId w16cid:paraId="55942200" w16cid:durableId="28C88BFB"/>
  <w16cid:commentId w16cid:paraId="020AB5E4" w16cid:durableId="28C8854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rdia New">
    <w:altName w:val="Microsoft Sans Serif"/>
    <w:panose1 w:val="020B0304020202020204"/>
    <w:charset w:val="DE"/>
    <w:family w:val="swiss"/>
    <w:pitch w:val="variable"/>
    <w:sig w:usb0="00000000" w:usb1="00000000" w:usb2="00000000" w:usb3="00000000" w:csb0="00010001" w:csb1="00000000"/>
  </w:font>
  <w:font w:name="Arial">
    <w:panose1 w:val="020B0604020202020204"/>
    <w:charset w:val="EE"/>
    <w:family w:val="swiss"/>
    <w:pitch w:val="variable"/>
    <w:sig w:usb0="E0002EFF" w:usb1="C000785B" w:usb2="00000009" w:usb3="00000000" w:csb0="000001FF" w:csb1="00000000"/>
  </w:font>
  <w:font w:name="Palatino">
    <w:altName w:val="Book Antiqua"/>
    <w:charset w:val="00"/>
    <w:family w:val="auto"/>
    <w:pitch w:val="variable"/>
    <w:sig w:usb0="A00002FF" w:usb1="7800205A" w:usb2="14600000" w:usb3="00000000" w:csb0="0000019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36AFD"/>
    <w:multiLevelType w:val="hybridMultilevel"/>
    <w:tmpl w:val="0032C6A0"/>
    <w:lvl w:ilvl="0" w:tplc="D5967F16">
      <w:start w:val="1"/>
      <w:numFmt w:val="decimal"/>
      <w:lvlText w:val="%1."/>
      <w:lvlJc w:val="left"/>
      <w:pPr>
        <w:ind w:left="20" w:hanging="38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 w15:restartNumberingAfterBreak="0">
    <w:nsid w:val="18B468F5"/>
    <w:multiLevelType w:val="hybridMultilevel"/>
    <w:tmpl w:val="FDEA7C70"/>
    <w:lvl w:ilvl="0" w:tplc="3040555E">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463AD3"/>
    <w:multiLevelType w:val="hybridMultilevel"/>
    <w:tmpl w:val="283872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1C87680"/>
    <w:multiLevelType w:val="multilevel"/>
    <w:tmpl w:val="BE14B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B34B55"/>
    <w:multiLevelType w:val="hybridMultilevel"/>
    <w:tmpl w:val="933250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B202A0"/>
    <w:multiLevelType w:val="hybridMultilevel"/>
    <w:tmpl w:val="CA70B972"/>
    <w:lvl w:ilvl="0" w:tplc="04150011">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6" w15:restartNumberingAfterBreak="0">
    <w:nsid w:val="34914AB2"/>
    <w:multiLevelType w:val="hybridMultilevel"/>
    <w:tmpl w:val="9258B7C4"/>
    <w:lvl w:ilvl="0" w:tplc="091CE46C">
      <w:start w:val="5"/>
      <w:numFmt w:val="decimal"/>
      <w:lvlText w:val="%1."/>
      <w:lvlJc w:val="left"/>
      <w:pPr>
        <w:ind w:left="785" w:hanging="360"/>
      </w:pPr>
      <w:rPr>
        <w:rFonts w:cs="Segoe UI" w:hint="default"/>
        <w:color w:val="222222"/>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 w15:restartNumberingAfterBreak="0">
    <w:nsid w:val="362A25A5"/>
    <w:multiLevelType w:val="hybridMultilevel"/>
    <w:tmpl w:val="ACD88878"/>
    <w:lvl w:ilvl="0" w:tplc="3EE0973E">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1AB0489"/>
    <w:multiLevelType w:val="hybridMultilevel"/>
    <w:tmpl w:val="9258B7C4"/>
    <w:lvl w:ilvl="0" w:tplc="091CE46C">
      <w:start w:val="5"/>
      <w:numFmt w:val="decimal"/>
      <w:lvlText w:val="%1."/>
      <w:lvlJc w:val="left"/>
      <w:pPr>
        <w:ind w:left="785" w:hanging="360"/>
      </w:pPr>
      <w:rPr>
        <w:rFonts w:cs="Segoe UI" w:hint="default"/>
        <w:color w:val="222222"/>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9" w15:restartNumberingAfterBreak="0">
    <w:nsid w:val="4D1C753E"/>
    <w:multiLevelType w:val="hybridMultilevel"/>
    <w:tmpl w:val="44EA3798"/>
    <w:lvl w:ilvl="0" w:tplc="D3C83EDE">
      <w:start w:val="3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E4B1FB8"/>
    <w:multiLevelType w:val="hybridMultilevel"/>
    <w:tmpl w:val="915E2C12"/>
    <w:lvl w:ilvl="0" w:tplc="335EE45E">
      <w:start w:val="39"/>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0"/>
  </w:num>
  <w:num w:numId="2">
    <w:abstractNumId w:val="3"/>
  </w:num>
  <w:num w:numId="3">
    <w:abstractNumId w:val="1"/>
  </w:num>
  <w:num w:numId="4">
    <w:abstractNumId w:val="2"/>
  </w:num>
  <w:num w:numId="5">
    <w:abstractNumId w:val="5"/>
  </w:num>
  <w:num w:numId="6">
    <w:abstractNumId w:val="4"/>
  </w:num>
  <w:num w:numId="7">
    <w:abstractNumId w:val="7"/>
  </w:num>
  <w:num w:numId="8">
    <w:abstractNumId w:val="8"/>
  </w:num>
  <w:num w:numId="9">
    <w:abstractNumId w:val="6"/>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0EF"/>
    <w:rsid w:val="00044B0B"/>
    <w:rsid w:val="000600F0"/>
    <w:rsid w:val="000808FC"/>
    <w:rsid w:val="000E4812"/>
    <w:rsid w:val="001211D7"/>
    <w:rsid w:val="0012590A"/>
    <w:rsid w:val="00127F54"/>
    <w:rsid w:val="00143BEE"/>
    <w:rsid w:val="00165EBF"/>
    <w:rsid w:val="00166414"/>
    <w:rsid w:val="001F6F5D"/>
    <w:rsid w:val="00204680"/>
    <w:rsid w:val="0024541C"/>
    <w:rsid w:val="002845CC"/>
    <w:rsid w:val="002A0E01"/>
    <w:rsid w:val="002A1938"/>
    <w:rsid w:val="002D1C10"/>
    <w:rsid w:val="002F24D9"/>
    <w:rsid w:val="0030316F"/>
    <w:rsid w:val="00322019"/>
    <w:rsid w:val="003400E5"/>
    <w:rsid w:val="0037427E"/>
    <w:rsid w:val="00375D70"/>
    <w:rsid w:val="003838B4"/>
    <w:rsid w:val="003A7623"/>
    <w:rsid w:val="003D2941"/>
    <w:rsid w:val="00405226"/>
    <w:rsid w:val="00412BA5"/>
    <w:rsid w:val="00445411"/>
    <w:rsid w:val="00451137"/>
    <w:rsid w:val="00453C4E"/>
    <w:rsid w:val="004A5352"/>
    <w:rsid w:val="004B68A8"/>
    <w:rsid w:val="004C6B6C"/>
    <w:rsid w:val="00506F5F"/>
    <w:rsid w:val="005372D0"/>
    <w:rsid w:val="005C7689"/>
    <w:rsid w:val="005F26AC"/>
    <w:rsid w:val="005F46E7"/>
    <w:rsid w:val="005F58E8"/>
    <w:rsid w:val="005F6482"/>
    <w:rsid w:val="00602D23"/>
    <w:rsid w:val="0061108A"/>
    <w:rsid w:val="006217A8"/>
    <w:rsid w:val="00662E0C"/>
    <w:rsid w:val="0066556A"/>
    <w:rsid w:val="00682FA1"/>
    <w:rsid w:val="006E364F"/>
    <w:rsid w:val="006F7725"/>
    <w:rsid w:val="00701CD3"/>
    <w:rsid w:val="00725465"/>
    <w:rsid w:val="00731A24"/>
    <w:rsid w:val="00740FBB"/>
    <w:rsid w:val="007446CC"/>
    <w:rsid w:val="00747683"/>
    <w:rsid w:val="00796307"/>
    <w:rsid w:val="00811A3B"/>
    <w:rsid w:val="008827A2"/>
    <w:rsid w:val="00897351"/>
    <w:rsid w:val="008B3C48"/>
    <w:rsid w:val="008B3D3D"/>
    <w:rsid w:val="008F1196"/>
    <w:rsid w:val="008F2510"/>
    <w:rsid w:val="00933E92"/>
    <w:rsid w:val="00954D52"/>
    <w:rsid w:val="00962D2F"/>
    <w:rsid w:val="00986403"/>
    <w:rsid w:val="009A63A9"/>
    <w:rsid w:val="009B3E5E"/>
    <w:rsid w:val="009B7412"/>
    <w:rsid w:val="00A27F14"/>
    <w:rsid w:val="00A41918"/>
    <w:rsid w:val="00A51286"/>
    <w:rsid w:val="00A83D44"/>
    <w:rsid w:val="00A96F08"/>
    <w:rsid w:val="00B20065"/>
    <w:rsid w:val="00B406A9"/>
    <w:rsid w:val="00B57B1B"/>
    <w:rsid w:val="00B828A5"/>
    <w:rsid w:val="00B902D5"/>
    <w:rsid w:val="00C3528F"/>
    <w:rsid w:val="00CB2BE0"/>
    <w:rsid w:val="00CB436A"/>
    <w:rsid w:val="00CD10EF"/>
    <w:rsid w:val="00CE6835"/>
    <w:rsid w:val="00D33E52"/>
    <w:rsid w:val="00D36127"/>
    <w:rsid w:val="00D3753E"/>
    <w:rsid w:val="00D4021E"/>
    <w:rsid w:val="00D4491B"/>
    <w:rsid w:val="00D67B38"/>
    <w:rsid w:val="00D755C6"/>
    <w:rsid w:val="00D77243"/>
    <w:rsid w:val="00E37851"/>
    <w:rsid w:val="00E611B2"/>
    <w:rsid w:val="00E62548"/>
    <w:rsid w:val="00ED2614"/>
    <w:rsid w:val="00EE020B"/>
    <w:rsid w:val="00EF66E1"/>
    <w:rsid w:val="00F22A1C"/>
    <w:rsid w:val="00F53923"/>
    <w:rsid w:val="00F8752E"/>
    <w:rsid w:val="00FB047C"/>
    <w:rsid w:val="00FF5F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BABE"/>
  <w15:chartTrackingRefBased/>
  <w15:docId w15:val="{79752EE1-1840-0F4E-BA95-72E207D1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D10EF"/>
    <w:pPr>
      <w:spacing w:before="100" w:beforeAutospacing="1" w:after="100" w:afterAutospacing="1"/>
    </w:pPr>
    <w:rPr>
      <w:rFonts w:ascii="Times New Roman" w:eastAsia="Times New Roman" w:hAnsi="Times New Roman" w:cs="Times New Roman"/>
      <w:lang w:eastAsia="pl-PL"/>
    </w:rPr>
  </w:style>
  <w:style w:type="paragraph" w:styleId="Akapitzlist">
    <w:name w:val="List Paragraph"/>
    <w:basedOn w:val="Normalny"/>
    <w:uiPriority w:val="34"/>
    <w:qFormat/>
    <w:rsid w:val="00CD10EF"/>
    <w:pPr>
      <w:spacing w:before="100" w:beforeAutospacing="1" w:after="100" w:afterAutospacing="1"/>
    </w:pPr>
    <w:rPr>
      <w:rFonts w:ascii="Times New Roman" w:eastAsia="Times New Roman" w:hAnsi="Times New Roman" w:cs="Times New Roman"/>
      <w:lang w:eastAsia="pl-PL"/>
    </w:rPr>
  </w:style>
  <w:style w:type="character" w:customStyle="1" w:styleId="apple-converted-space">
    <w:name w:val="apple-converted-space"/>
    <w:basedOn w:val="Domylnaczcionkaakapitu"/>
    <w:rsid w:val="00CD10EF"/>
  </w:style>
  <w:style w:type="character" w:styleId="Odwoaniedokomentarza">
    <w:name w:val="annotation reference"/>
    <w:basedOn w:val="Domylnaczcionkaakapitu"/>
    <w:uiPriority w:val="99"/>
    <w:semiHidden/>
    <w:unhideWhenUsed/>
    <w:rsid w:val="00933E92"/>
    <w:rPr>
      <w:sz w:val="16"/>
      <w:szCs w:val="16"/>
    </w:rPr>
  </w:style>
  <w:style w:type="paragraph" w:styleId="Tekstkomentarza">
    <w:name w:val="annotation text"/>
    <w:basedOn w:val="Normalny"/>
    <w:link w:val="TekstkomentarzaZnak"/>
    <w:uiPriority w:val="99"/>
    <w:unhideWhenUsed/>
    <w:rsid w:val="00933E92"/>
    <w:rPr>
      <w:sz w:val="20"/>
      <w:szCs w:val="20"/>
    </w:rPr>
  </w:style>
  <w:style w:type="character" w:customStyle="1" w:styleId="TekstkomentarzaZnak">
    <w:name w:val="Tekst komentarza Znak"/>
    <w:basedOn w:val="Domylnaczcionkaakapitu"/>
    <w:link w:val="Tekstkomentarza"/>
    <w:uiPriority w:val="99"/>
    <w:rsid w:val="00933E92"/>
    <w:rPr>
      <w:sz w:val="20"/>
      <w:szCs w:val="20"/>
    </w:rPr>
  </w:style>
  <w:style w:type="paragraph" w:styleId="Tematkomentarza">
    <w:name w:val="annotation subject"/>
    <w:basedOn w:val="Tekstkomentarza"/>
    <w:next w:val="Tekstkomentarza"/>
    <w:link w:val="TematkomentarzaZnak"/>
    <w:uiPriority w:val="99"/>
    <w:semiHidden/>
    <w:unhideWhenUsed/>
    <w:rsid w:val="00933E92"/>
    <w:rPr>
      <w:b/>
      <w:bCs/>
    </w:rPr>
  </w:style>
  <w:style w:type="character" w:customStyle="1" w:styleId="TematkomentarzaZnak">
    <w:name w:val="Temat komentarza Znak"/>
    <w:basedOn w:val="TekstkomentarzaZnak"/>
    <w:link w:val="Tematkomentarza"/>
    <w:uiPriority w:val="99"/>
    <w:semiHidden/>
    <w:rsid w:val="00933E92"/>
    <w:rPr>
      <w:b/>
      <w:bCs/>
      <w:sz w:val="20"/>
      <w:szCs w:val="20"/>
    </w:rPr>
  </w:style>
  <w:style w:type="character" w:styleId="Hipercze">
    <w:name w:val="Hyperlink"/>
    <w:basedOn w:val="Domylnaczcionkaakapitu"/>
    <w:uiPriority w:val="99"/>
    <w:unhideWhenUsed/>
    <w:rsid w:val="004B68A8"/>
    <w:rPr>
      <w:color w:val="0563C1" w:themeColor="hyperlink"/>
      <w:u w:val="single"/>
    </w:rPr>
  </w:style>
  <w:style w:type="character" w:customStyle="1" w:styleId="UnresolvedMention">
    <w:name w:val="Unresolved Mention"/>
    <w:basedOn w:val="Domylnaczcionkaakapitu"/>
    <w:uiPriority w:val="99"/>
    <w:semiHidden/>
    <w:unhideWhenUsed/>
    <w:rsid w:val="004B68A8"/>
    <w:rPr>
      <w:color w:val="605E5C"/>
      <w:shd w:val="clear" w:color="auto" w:fill="E1DFDD"/>
    </w:rPr>
  </w:style>
  <w:style w:type="character" w:styleId="UyteHipercze">
    <w:name w:val="FollowedHyperlink"/>
    <w:basedOn w:val="Domylnaczcionkaakapitu"/>
    <w:uiPriority w:val="99"/>
    <w:semiHidden/>
    <w:unhideWhenUsed/>
    <w:rsid w:val="00B406A9"/>
    <w:rPr>
      <w:color w:val="954F72" w:themeColor="followedHyperlink"/>
      <w:u w:val="single"/>
    </w:rPr>
  </w:style>
  <w:style w:type="character" w:customStyle="1" w:styleId="ref-journal">
    <w:name w:val="ref-journal"/>
    <w:basedOn w:val="Domylnaczcionkaakapitu"/>
    <w:rsid w:val="003D2941"/>
  </w:style>
  <w:style w:type="character" w:customStyle="1" w:styleId="ref-vol">
    <w:name w:val="ref-vol"/>
    <w:basedOn w:val="Domylnaczcionkaakapitu"/>
    <w:rsid w:val="003D2941"/>
  </w:style>
  <w:style w:type="paragraph" w:customStyle="1" w:styleId="html-xxx">
    <w:name w:val="html-xxx"/>
    <w:basedOn w:val="Normalny"/>
    <w:rsid w:val="003D2941"/>
    <w:pPr>
      <w:spacing w:before="100" w:beforeAutospacing="1" w:after="100" w:afterAutospacing="1"/>
    </w:pPr>
    <w:rPr>
      <w:rFonts w:ascii="Times New Roman" w:eastAsia="Times New Roman" w:hAnsi="Times New Roman" w:cs="Times New Roman"/>
      <w:lang w:eastAsia="pl-PL"/>
    </w:rPr>
  </w:style>
  <w:style w:type="character" w:customStyle="1" w:styleId="html-italic">
    <w:name w:val="html-italic"/>
    <w:basedOn w:val="Domylnaczcionkaakapitu"/>
    <w:rsid w:val="003D2941"/>
  </w:style>
  <w:style w:type="paragraph" w:customStyle="1" w:styleId="MDPI16affiliation">
    <w:name w:val="MDPI_1.6_affiliation"/>
    <w:qFormat/>
    <w:rsid w:val="00FB047C"/>
    <w:pPr>
      <w:adjustRightInd w:val="0"/>
      <w:snapToGrid w:val="0"/>
      <w:spacing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71References">
    <w:name w:val="MDPI_7.1_References"/>
    <w:qFormat/>
    <w:rsid w:val="00FB047C"/>
    <w:pPr>
      <w:numPr>
        <w:numId w:val="3"/>
      </w:numPr>
      <w:adjustRightInd w:val="0"/>
      <w:snapToGrid w:val="0"/>
      <w:spacing w:line="228" w:lineRule="auto"/>
      <w:jc w:val="both"/>
    </w:pPr>
    <w:rPr>
      <w:rFonts w:ascii="Palatino Linotype" w:eastAsia="Times New Roman" w:hAnsi="Palatino Linotype" w:cs="Times New Roman"/>
      <w:color w:val="000000"/>
      <w:sz w:val="18"/>
      <w:szCs w:val="20"/>
      <w:lang w:val="en-US" w:eastAsia="de-DE" w:bidi="en-US"/>
    </w:rPr>
  </w:style>
  <w:style w:type="paragraph" w:customStyle="1" w:styleId="MDPI31text">
    <w:name w:val="MDPI_3.1_text"/>
    <w:qFormat/>
    <w:rsid w:val="002A0E01"/>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paragraph" w:styleId="Poprawka">
    <w:name w:val="Revision"/>
    <w:hidden/>
    <w:uiPriority w:val="99"/>
    <w:semiHidden/>
    <w:rsid w:val="0061108A"/>
  </w:style>
  <w:style w:type="paragraph" w:styleId="Tekstdymka">
    <w:name w:val="Balloon Text"/>
    <w:basedOn w:val="Normalny"/>
    <w:link w:val="TekstdymkaZnak"/>
    <w:uiPriority w:val="99"/>
    <w:semiHidden/>
    <w:unhideWhenUsed/>
    <w:rsid w:val="0030316F"/>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316F"/>
    <w:rPr>
      <w:rFonts w:ascii="Segoe UI" w:hAnsi="Segoe UI" w:cs="Segoe UI"/>
      <w:sz w:val="18"/>
      <w:szCs w:val="18"/>
    </w:rPr>
  </w:style>
  <w:style w:type="paragraph" w:customStyle="1" w:styleId="MDPI22heading2">
    <w:name w:val="MDPI_2.2_heading2"/>
    <w:link w:val="MDPI22heading2Znak"/>
    <w:qFormat/>
    <w:rsid w:val="004A5352"/>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szCs w:val="22"/>
      <w:lang w:val="en-US" w:eastAsia="de-DE" w:bidi="en-US"/>
    </w:rPr>
  </w:style>
  <w:style w:type="character" w:customStyle="1" w:styleId="MDPI22heading2Znak">
    <w:name w:val="MDPI_2.2_heading2 Znak"/>
    <w:basedOn w:val="Domylnaczcionkaakapitu"/>
    <w:link w:val="MDPI22heading2"/>
    <w:rsid w:val="004A5352"/>
    <w:rPr>
      <w:rFonts w:ascii="Palatino Linotype" w:eastAsia="Times New Roman" w:hAnsi="Palatino Linotype" w:cs="Times New Roman"/>
      <w:i/>
      <w:noProof/>
      <w:snapToGrid w:val="0"/>
      <w:color w:val="000000"/>
      <w:sz w:val="20"/>
      <w:szCs w:val="22"/>
      <w:lang w:val="en-US" w:eastAsia="de-DE" w:bidi="en-US"/>
    </w:rPr>
  </w:style>
  <w:style w:type="paragraph" w:customStyle="1" w:styleId="MDPI11articletype">
    <w:name w:val="MDPI_1.1_article_type"/>
    <w:next w:val="Normalny"/>
    <w:qFormat/>
    <w:rsid w:val="00602D23"/>
    <w:pPr>
      <w:adjustRightInd w:val="0"/>
      <w:snapToGrid w:val="0"/>
      <w:spacing w:before="240"/>
    </w:pPr>
    <w:rPr>
      <w:rFonts w:ascii="Palatino Linotype" w:eastAsia="Times New Roman" w:hAnsi="Palatino Linotype" w:cs="Times New Roman"/>
      <w:i/>
      <w:snapToGrid w:val="0"/>
      <w:color w:val="000000"/>
      <w:sz w:val="20"/>
      <w:szCs w:val="22"/>
      <w:lang w:val="en-US" w:eastAsia="de-DE" w:bidi="en-US"/>
    </w:rPr>
  </w:style>
  <w:style w:type="paragraph" w:customStyle="1" w:styleId="MDPI21heading1">
    <w:name w:val="MDPI_2.1_heading1"/>
    <w:qFormat/>
    <w:rsid w:val="00ED2614"/>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szCs w:val="22"/>
      <w:lang w:val="en-US" w:eastAsia="de-DE" w:bidi="en-US"/>
    </w:rPr>
  </w:style>
  <w:style w:type="paragraph" w:customStyle="1" w:styleId="MDPI62BackMatter">
    <w:name w:val="MDPI_6.2_BackMatter"/>
    <w:qFormat/>
    <w:rsid w:val="00ED2614"/>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41tablecaption">
    <w:name w:val="MDPI_4.1_table_caption"/>
    <w:qFormat/>
    <w:rsid w:val="00ED2614"/>
    <w:pPr>
      <w:adjustRightInd w:val="0"/>
      <w:snapToGrid w:val="0"/>
      <w:spacing w:before="240" w:after="120" w:line="228" w:lineRule="auto"/>
      <w:ind w:left="2608"/>
    </w:pPr>
    <w:rPr>
      <w:rFonts w:ascii="Palatino Linotype" w:eastAsia="Times New Roman" w:hAnsi="Palatino Linotype"/>
      <w:color w:val="000000"/>
      <w:sz w:val="18"/>
      <w:szCs w:val="22"/>
      <w:lang w:val="en-US" w:eastAsia="de-DE" w:bidi="en-US"/>
    </w:rPr>
  </w:style>
  <w:style w:type="paragraph" w:customStyle="1" w:styleId="MDPI23heading3">
    <w:name w:val="MDPI_2.3_heading3"/>
    <w:qFormat/>
    <w:rsid w:val="00D4491B"/>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szCs w:val="22"/>
      <w:lang w:val="en-US" w:eastAsia="de-DE" w:bidi="en-US"/>
    </w:rPr>
  </w:style>
  <w:style w:type="paragraph" w:customStyle="1" w:styleId="MDPI43tablefooter">
    <w:name w:val="MDPI_4.3_table_footer"/>
    <w:next w:val="MDPI31text"/>
    <w:qFormat/>
    <w:rsid w:val="00C3528F"/>
    <w:pPr>
      <w:adjustRightInd w:val="0"/>
      <w:snapToGrid w:val="0"/>
      <w:spacing w:line="228" w:lineRule="auto"/>
      <w:ind w:left="2608"/>
      <w:jc w:val="both"/>
    </w:pPr>
    <w:rPr>
      <w:rFonts w:ascii="Palatino Linotype" w:eastAsia="Times New Roman" w:hAnsi="Palatino Linotype" w:cs="Cordia New"/>
      <w:color w:val="000000"/>
      <w:kern w:val="2"/>
      <w:sz w:val="18"/>
      <w:szCs w:val="22"/>
      <w:lang w:val="en-US" w:eastAsia="de-DE" w:bidi="en-US"/>
      <w14:ligatures w14:val="standardContextual"/>
    </w:rPr>
  </w:style>
  <w:style w:type="table" w:styleId="Siatkatabelijasna">
    <w:name w:val="Grid Table Light"/>
    <w:basedOn w:val="Standardowy"/>
    <w:uiPriority w:val="40"/>
    <w:rsid w:val="00C3528F"/>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
    <w:name w:val="EndNote Bibliography"/>
    <w:basedOn w:val="Normalny"/>
    <w:link w:val="EndNoteBibliographyZnak"/>
    <w:rsid w:val="0066556A"/>
    <w:rPr>
      <w:rFonts w:ascii="Times New Roman" w:eastAsia="Times New Roman" w:hAnsi="Times New Roman" w:cs="Times New Roman"/>
      <w:noProof/>
      <w:lang w:val="en-GB" w:eastAsia="en-GB"/>
    </w:rPr>
  </w:style>
  <w:style w:type="character" w:customStyle="1" w:styleId="EndNoteBibliographyZnak">
    <w:name w:val="EndNote Bibliography Znak"/>
    <w:basedOn w:val="Domylnaczcionkaakapitu"/>
    <w:link w:val="EndNoteBibliography"/>
    <w:rsid w:val="0066556A"/>
    <w:rPr>
      <w:rFonts w:ascii="Times New Roman" w:eastAsia="Times New Roman" w:hAnsi="Times New Roman" w:cs="Times New Roman"/>
      <w:noProof/>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3719">
      <w:bodyDiv w:val="1"/>
      <w:marLeft w:val="0"/>
      <w:marRight w:val="0"/>
      <w:marTop w:val="0"/>
      <w:marBottom w:val="0"/>
      <w:divBdr>
        <w:top w:val="none" w:sz="0" w:space="0" w:color="auto"/>
        <w:left w:val="none" w:sz="0" w:space="0" w:color="auto"/>
        <w:bottom w:val="none" w:sz="0" w:space="0" w:color="auto"/>
        <w:right w:val="none" w:sz="0" w:space="0" w:color="auto"/>
      </w:divBdr>
    </w:div>
    <w:div w:id="129635741">
      <w:bodyDiv w:val="1"/>
      <w:marLeft w:val="0"/>
      <w:marRight w:val="0"/>
      <w:marTop w:val="0"/>
      <w:marBottom w:val="0"/>
      <w:divBdr>
        <w:top w:val="none" w:sz="0" w:space="0" w:color="auto"/>
        <w:left w:val="none" w:sz="0" w:space="0" w:color="auto"/>
        <w:bottom w:val="none" w:sz="0" w:space="0" w:color="auto"/>
        <w:right w:val="none" w:sz="0" w:space="0" w:color="auto"/>
      </w:divBdr>
    </w:div>
    <w:div w:id="194510852">
      <w:bodyDiv w:val="1"/>
      <w:marLeft w:val="0"/>
      <w:marRight w:val="0"/>
      <w:marTop w:val="0"/>
      <w:marBottom w:val="0"/>
      <w:divBdr>
        <w:top w:val="none" w:sz="0" w:space="0" w:color="auto"/>
        <w:left w:val="none" w:sz="0" w:space="0" w:color="auto"/>
        <w:bottom w:val="none" w:sz="0" w:space="0" w:color="auto"/>
        <w:right w:val="none" w:sz="0" w:space="0" w:color="auto"/>
      </w:divBdr>
    </w:div>
    <w:div w:id="252012884">
      <w:bodyDiv w:val="1"/>
      <w:marLeft w:val="0"/>
      <w:marRight w:val="0"/>
      <w:marTop w:val="0"/>
      <w:marBottom w:val="0"/>
      <w:divBdr>
        <w:top w:val="none" w:sz="0" w:space="0" w:color="auto"/>
        <w:left w:val="none" w:sz="0" w:space="0" w:color="auto"/>
        <w:bottom w:val="none" w:sz="0" w:space="0" w:color="auto"/>
        <w:right w:val="none" w:sz="0" w:space="0" w:color="auto"/>
      </w:divBdr>
    </w:div>
    <w:div w:id="376902090">
      <w:bodyDiv w:val="1"/>
      <w:marLeft w:val="0"/>
      <w:marRight w:val="0"/>
      <w:marTop w:val="0"/>
      <w:marBottom w:val="0"/>
      <w:divBdr>
        <w:top w:val="none" w:sz="0" w:space="0" w:color="auto"/>
        <w:left w:val="none" w:sz="0" w:space="0" w:color="auto"/>
        <w:bottom w:val="none" w:sz="0" w:space="0" w:color="auto"/>
        <w:right w:val="none" w:sz="0" w:space="0" w:color="auto"/>
      </w:divBdr>
    </w:div>
    <w:div w:id="485365991">
      <w:bodyDiv w:val="1"/>
      <w:marLeft w:val="0"/>
      <w:marRight w:val="0"/>
      <w:marTop w:val="0"/>
      <w:marBottom w:val="0"/>
      <w:divBdr>
        <w:top w:val="none" w:sz="0" w:space="0" w:color="auto"/>
        <w:left w:val="none" w:sz="0" w:space="0" w:color="auto"/>
        <w:bottom w:val="none" w:sz="0" w:space="0" w:color="auto"/>
        <w:right w:val="none" w:sz="0" w:space="0" w:color="auto"/>
      </w:divBdr>
    </w:div>
    <w:div w:id="711072356">
      <w:bodyDiv w:val="1"/>
      <w:marLeft w:val="0"/>
      <w:marRight w:val="0"/>
      <w:marTop w:val="0"/>
      <w:marBottom w:val="0"/>
      <w:divBdr>
        <w:top w:val="none" w:sz="0" w:space="0" w:color="auto"/>
        <w:left w:val="none" w:sz="0" w:space="0" w:color="auto"/>
        <w:bottom w:val="none" w:sz="0" w:space="0" w:color="auto"/>
        <w:right w:val="none" w:sz="0" w:space="0" w:color="auto"/>
      </w:divBdr>
    </w:div>
    <w:div w:id="735664007">
      <w:bodyDiv w:val="1"/>
      <w:marLeft w:val="0"/>
      <w:marRight w:val="0"/>
      <w:marTop w:val="0"/>
      <w:marBottom w:val="0"/>
      <w:divBdr>
        <w:top w:val="none" w:sz="0" w:space="0" w:color="auto"/>
        <w:left w:val="none" w:sz="0" w:space="0" w:color="auto"/>
        <w:bottom w:val="none" w:sz="0" w:space="0" w:color="auto"/>
        <w:right w:val="none" w:sz="0" w:space="0" w:color="auto"/>
      </w:divBdr>
    </w:div>
    <w:div w:id="864683223">
      <w:bodyDiv w:val="1"/>
      <w:marLeft w:val="0"/>
      <w:marRight w:val="0"/>
      <w:marTop w:val="0"/>
      <w:marBottom w:val="0"/>
      <w:divBdr>
        <w:top w:val="none" w:sz="0" w:space="0" w:color="auto"/>
        <w:left w:val="none" w:sz="0" w:space="0" w:color="auto"/>
        <w:bottom w:val="none" w:sz="0" w:space="0" w:color="auto"/>
        <w:right w:val="none" w:sz="0" w:space="0" w:color="auto"/>
      </w:divBdr>
    </w:div>
    <w:div w:id="1157842460">
      <w:bodyDiv w:val="1"/>
      <w:marLeft w:val="0"/>
      <w:marRight w:val="0"/>
      <w:marTop w:val="0"/>
      <w:marBottom w:val="0"/>
      <w:divBdr>
        <w:top w:val="none" w:sz="0" w:space="0" w:color="auto"/>
        <w:left w:val="none" w:sz="0" w:space="0" w:color="auto"/>
        <w:bottom w:val="none" w:sz="0" w:space="0" w:color="auto"/>
        <w:right w:val="none" w:sz="0" w:space="0" w:color="auto"/>
      </w:divBdr>
    </w:div>
    <w:div w:id="1345980222">
      <w:bodyDiv w:val="1"/>
      <w:marLeft w:val="0"/>
      <w:marRight w:val="0"/>
      <w:marTop w:val="0"/>
      <w:marBottom w:val="0"/>
      <w:divBdr>
        <w:top w:val="none" w:sz="0" w:space="0" w:color="auto"/>
        <w:left w:val="none" w:sz="0" w:space="0" w:color="auto"/>
        <w:bottom w:val="none" w:sz="0" w:space="0" w:color="auto"/>
        <w:right w:val="none" w:sz="0" w:space="0" w:color="auto"/>
      </w:divBdr>
    </w:div>
    <w:div w:id="1451512146">
      <w:bodyDiv w:val="1"/>
      <w:marLeft w:val="0"/>
      <w:marRight w:val="0"/>
      <w:marTop w:val="0"/>
      <w:marBottom w:val="0"/>
      <w:divBdr>
        <w:top w:val="none" w:sz="0" w:space="0" w:color="auto"/>
        <w:left w:val="none" w:sz="0" w:space="0" w:color="auto"/>
        <w:bottom w:val="none" w:sz="0" w:space="0" w:color="auto"/>
        <w:right w:val="none" w:sz="0" w:space="0" w:color="auto"/>
      </w:divBdr>
    </w:div>
    <w:div w:id="165807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microsoft.com/office/2018/08/relationships/commentsExtensible" Target="commentsExtensi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2125</Words>
  <Characters>12755</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Ewa Strauss</cp:lastModifiedBy>
  <cp:revision>4</cp:revision>
  <dcterms:created xsi:type="dcterms:W3CDTF">2023-10-13T18:50:00Z</dcterms:created>
  <dcterms:modified xsi:type="dcterms:W3CDTF">2023-10-13T19:09:00Z</dcterms:modified>
</cp:coreProperties>
</file>