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59A80" w14:textId="7A8C7469" w:rsidR="00337481" w:rsidRPr="00762623" w:rsidRDefault="00337481" w:rsidP="00337481">
      <w:pPr>
        <w:jc w:val="center"/>
        <w:rPr>
          <w:rFonts w:ascii="Palatino Linotype" w:hAnsi="Palatino Linotype"/>
        </w:rPr>
      </w:pPr>
      <w:r w:rsidRPr="00762623">
        <w:rPr>
          <w:rFonts w:ascii="Palatino Linotype" w:hAnsi="Palatino Linotype"/>
        </w:rPr>
        <w:t xml:space="preserve">Response to </w:t>
      </w:r>
      <w:r>
        <w:rPr>
          <w:rFonts w:ascii="Palatino Linotype" w:hAnsi="Palatino Linotype"/>
        </w:rPr>
        <w:t>Reviewer 1</w:t>
      </w:r>
    </w:p>
    <w:p w14:paraId="48B518D6" w14:textId="795AC824" w:rsidR="00337481" w:rsidRPr="00762623" w:rsidRDefault="00337481" w:rsidP="00337481">
      <w:pPr>
        <w:rPr>
          <w:rFonts w:ascii="Palatino Linotype" w:hAnsi="Palatino Linotype"/>
        </w:rPr>
      </w:pPr>
      <w:r w:rsidRPr="00762623">
        <w:rPr>
          <w:rFonts w:ascii="Palatino Linotype" w:hAnsi="Palatino Linotype"/>
        </w:rPr>
        <w:t xml:space="preserve">We thank the </w:t>
      </w:r>
      <w:proofErr w:type="gramStart"/>
      <w:r w:rsidRPr="00762623">
        <w:rPr>
          <w:rFonts w:ascii="Palatino Linotype" w:hAnsi="Palatino Linotype"/>
        </w:rPr>
        <w:t>reviewer</w:t>
      </w:r>
      <w:proofErr w:type="gramEnd"/>
      <w:r w:rsidRPr="00762623">
        <w:rPr>
          <w:rFonts w:ascii="Palatino Linotype" w:hAnsi="Palatino Linotype"/>
        </w:rPr>
        <w:t xml:space="preserve"> for their comments and the points that were raised. Described below in detail are our responses and how we have addressed the various points in the manuscript. New and edited text are highlighted. </w:t>
      </w:r>
    </w:p>
    <w:p w14:paraId="549AAFAE"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1. The abstract is very large. The section should be a total of about 200 words maximum. Please consider the possibility of reducing.</w:t>
      </w:r>
    </w:p>
    <w:p w14:paraId="4D5299D3"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 xml:space="preserve">We thank the reviewer for this comment. The abstract is now shortened to 200 words. </w:t>
      </w:r>
    </w:p>
    <w:p w14:paraId="74E417E7"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2. Line 106: “To differentiate the cells into neuronal cells …” lacks a corresponding literature reference.</w:t>
      </w:r>
    </w:p>
    <w:p w14:paraId="6D75FA77"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 xml:space="preserve">We have inserted a literature reference to Wiatrak </w:t>
      </w:r>
      <w:r w:rsidRPr="00762623">
        <w:rPr>
          <w:rFonts w:ascii="Palatino Linotype" w:eastAsia="Times New Roman" w:hAnsi="Palatino Linotype" w:cs="Arial"/>
          <w:b/>
          <w:bCs/>
          <w:i/>
          <w:iCs/>
          <w:color w:val="0A0A0A"/>
        </w:rPr>
        <w:t>et al.</w:t>
      </w:r>
      <w:r w:rsidRPr="00762623">
        <w:rPr>
          <w:rFonts w:ascii="Palatino Linotype" w:eastAsia="Times New Roman" w:hAnsi="Palatino Linotype" w:cs="Arial"/>
          <w:b/>
          <w:bCs/>
          <w:color w:val="0A0A0A"/>
        </w:rPr>
        <w:t xml:space="preserve"> (2020) after this statement. This article does a good job of giving an overview of PC-12 cells and explains why differentiation via NGF is necessary when using this cell line for neuroscience research. This change can be found in line 97.</w:t>
      </w:r>
    </w:p>
    <w:p w14:paraId="6216A9AE"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3. Line 179-181: It seems necessary to indicate the protocol code and date of approval.</w:t>
      </w:r>
    </w:p>
    <w:p w14:paraId="1A785B32"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We thank the reviewer for pointing this out. We have added both the protocol code and date of approval to the methods section of this paper, found in lines 17</w:t>
      </w:r>
      <w:r>
        <w:rPr>
          <w:rFonts w:ascii="Palatino Linotype" w:eastAsia="Times New Roman" w:hAnsi="Palatino Linotype" w:cs="Arial"/>
          <w:b/>
          <w:bCs/>
          <w:color w:val="0A0A0A"/>
        </w:rPr>
        <w:t>5</w:t>
      </w:r>
      <w:r w:rsidRPr="00762623">
        <w:rPr>
          <w:rFonts w:ascii="Palatino Linotype" w:eastAsia="Times New Roman" w:hAnsi="Palatino Linotype" w:cs="Arial"/>
          <w:b/>
          <w:bCs/>
          <w:color w:val="0A0A0A"/>
        </w:rPr>
        <w:t>-17</w:t>
      </w:r>
      <w:r>
        <w:rPr>
          <w:rFonts w:ascii="Palatino Linotype" w:eastAsia="Times New Roman" w:hAnsi="Palatino Linotype" w:cs="Arial"/>
          <w:b/>
          <w:bCs/>
          <w:color w:val="0A0A0A"/>
        </w:rPr>
        <w:t>6</w:t>
      </w:r>
      <w:r w:rsidRPr="00762623">
        <w:rPr>
          <w:rFonts w:ascii="Palatino Linotype" w:eastAsia="Times New Roman" w:hAnsi="Palatino Linotype" w:cs="Arial"/>
          <w:b/>
          <w:bCs/>
          <w:color w:val="0A0A0A"/>
        </w:rPr>
        <w:t xml:space="preserve">. </w:t>
      </w:r>
    </w:p>
    <w:p w14:paraId="164F3E9F"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4. Line 183: “CEPO (25 µg/kg) + IGF-1 (50 µg/kg)…” It is necessary to justify why the authors used these doses.</w:t>
      </w:r>
    </w:p>
    <w:p w14:paraId="792208BD"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We have added a sentence in which we reference previous work where the same, or similar, doses were used to justify why we chose these doses. This change can be found in lines 17</w:t>
      </w:r>
      <w:r>
        <w:rPr>
          <w:rFonts w:ascii="Palatino Linotype" w:eastAsia="Times New Roman" w:hAnsi="Palatino Linotype" w:cs="Arial"/>
          <w:b/>
          <w:bCs/>
          <w:color w:val="0A0A0A"/>
        </w:rPr>
        <w:t>8</w:t>
      </w:r>
      <w:r w:rsidRPr="00762623">
        <w:rPr>
          <w:rFonts w:ascii="Palatino Linotype" w:eastAsia="Times New Roman" w:hAnsi="Palatino Linotype" w:cs="Arial"/>
          <w:b/>
          <w:bCs/>
          <w:color w:val="0A0A0A"/>
        </w:rPr>
        <w:t>-1</w:t>
      </w:r>
      <w:r>
        <w:rPr>
          <w:rFonts w:ascii="Palatino Linotype" w:eastAsia="Times New Roman" w:hAnsi="Palatino Linotype" w:cs="Arial"/>
          <w:b/>
          <w:bCs/>
          <w:color w:val="0A0A0A"/>
        </w:rPr>
        <w:t>80</w:t>
      </w:r>
      <w:r w:rsidRPr="00762623">
        <w:rPr>
          <w:rFonts w:ascii="Palatino Linotype" w:eastAsia="Times New Roman" w:hAnsi="Palatino Linotype" w:cs="Arial"/>
          <w:b/>
          <w:bCs/>
          <w:color w:val="0A0A0A"/>
        </w:rPr>
        <w:t>.</w:t>
      </w:r>
    </w:p>
    <w:p w14:paraId="29B63698"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 xml:space="preserve">5. Line 199: “Elements imaging software. CEPO + IGF-1 and vehicle-treated sections were captured using identical exposure sections.” It seems necessary to </w:t>
      </w:r>
      <w:proofErr w:type="gramStart"/>
      <w:r w:rsidRPr="00762623">
        <w:rPr>
          <w:rFonts w:ascii="Palatino Linotype" w:eastAsia="Times New Roman" w:hAnsi="Palatino Linotype" w:cs="Arial"/>
          <w:color w:val="0A0A0A"/>
        </w:rPr>
        <w:t>indicate:</w:t>
      </w:r>
      <w:proofErr w:type="gramEnd"/>
      <w:r w:rsidRPr="00762623">
        <w:rPr>
          <w:rFonts w:ascii="Palatino Linotype" w:eastAsia="Times New Roman" w:hAnsi="Palatino Linotype" w:cs="Arial"/>
          <w:color w:val="0A0A0A"/>
        </w:rPr>
        <w:t xml:space="preserve"> mm from bregma.</w:t>
      </w:r>
    </w:p>
    <w:p w14:paraId="4E59297A"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We thank the reviewer for this comment. We have added the mm from bregma to the materials and methods IHC section. This change can be found in lines 19</w:t>
      </w:r>
      <w:r>
        <w:rPr>
          <w:rFonts w:ascii="Palatino Linotype" w:eastAsia="Times New Roman" w:hAnsi="Palatino Linotype" w:cs="Arial"/>
          <w:b/>
          <w:bCs/>
          <w:color w:val="0A0A0A"/>
        </w:rPr>
        <w:t>7</w:t>
      </w:r>
      <w:r w:rsidRPr="00762623">
        <w:rPr>
          <w:rFonts w:ascii="Palatino Linotype" w:eastAsia="Times New Roman" w:hAnsi="Palatino Linotype" w:cs="Arial"/>
          <w:b/>
          <w:bCs/>
          <w:color w:val="0A0A0A"/>
        </w:rPr>
        <w:t>-19</w:t>
      </w:r>
      <w:r>
        <w:rPr>
          <w:rFonts w:ascii="Palatino Linotype" w:eastAsia="Times New Roman" w:hAnsi="Palatino Linotype" w:cs="Arial"/>
          <w:b/>
          <w:bCs/>
          <w:color w:val="0A0A0A"/>
        </w:rPr>
        <w:t>8</w:t>
      </w:r>
      <w:r w:rsidRPr="00762623">
        <w:rPr>
          <w:rFonts w:ascii="Palatino Linotype" w:eastAsia="Times New Roman" w:hAnsi="Palatino Linotype" w:cs="Arial"/>
          <w:b/>
          <w:bCs/>
          <w:color w:val="0A0A0A"/>
        </w:rPr>
        <w:t>.</w:t>
      </w:r>
    </w:p>
    <w:p w14:paraId="4D99195E"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6. Line 201-207: Have you checked the data for the normality of the distribution? You have small groups (N = 4 – 6). In cases where the hypothesis on the normal distribution cannot be accepted, it is necessary to use nonparametric tests.</w:t>
      </w:r>
    </w:p>
    <w:p w14:paraId="056F0225"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 xml:space="preserve">We thank the reviewer for this comment. We have checked the normality of the distribution for each of the data sets. There were a few cases in which normality was not met and the </w:t>
      </w:r>
      <w:r w:rsidRPr="00762623">
        <w:rPr>
          <w:rFonts w:ascii="Palatino Linotype" w:eastAsia="Times New Roman" w:hAnsi="Palatino Linotype" w:cs="Arial"/>
          <w:b/>
          <w:bCs/>
          <w:color w:val="0A0A0A"/>
        </w:rPr>
        <w:lastRenderedPageBreak/>
        <w:t>statistical analyses were updated to nonparametric tests. These changes were updated in both the materials and methods section and in each figure/corresponding results section.</w:t>
      </w:r>
    </w:p>
    <w:p w14:paraId="0EB1F480"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7. Fig. 1B: CEPO + IGF-1 (50 ng/mL each), or CEPO + IGF-1 (100 ng/mL each). How do you explain the less significant result after high-dose combination treatment?</w:t>
      </w:r>
    </w:p>
    <w:p w14:paraId="5BFD88AC"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We appreciate this point from the reviewer. We have updated the results section to include information on why we might be seeing a less significant result after high-dose combination treatment. This addition can be found on lines 24</w:t>
      </w:r>
      <w:r>
        <w:rPr>
          <w:rFonts w:ascii="Palatino Linotype" w:eastAsia="Times New Roman" w:hAnsi="Palatino Linotype" w:cs="Arial"/>
          <w:b/>
          <w:bCs/>
          <w:color w:val="0A0A0A"/>
        </w:rPr>
        <w:t>4</w:t>
      </w:r>
      <w:r w:rsidRPr="00762623">
        <w:rPr>
          <w:rFonts w:ascii="Palatino Linotype" w:eastAsia="Times New Roman" w:hAnsi="Palatino Linotype" w:cs="Arial"/>
          <w:b/>
          <w:bCs/>
          <w:color w:val="0A0A0A"/>
        </w:rPr>
        <w:t>-25</w:t>
      </w:r>
      <w:r>
        <w:rPr>
          <w:rFonts w:ascii="Palatino Linotype" w:eastAsia="Times New Roman" w:hAnsi="Palatino Linotype" w:cs="Arial"/>
          <w:b/>
          <w:bCs/>
          <w:color w:val="0A0A0A"/>
        </w:rPr>
        <w:t>3</w:t>
      </w:r>
      <w:r w:rsidRPr="00762623">
        <w:rPr>
          <w:rFonts w:ascii="Palatino Linotype" w:eastAsia="Times New Roman" w:hAnsi="Palatino Linotype" w:cs="Arial"/>
          <w:b/>
          <w:bCs/>
          <w:color w:val="0A0A0A"/>
        </w:rPr>
        <w:t>.</w:t>
      </w:r>
      <w:r>
        <w:rPr>
          <w:rFonts w:ascii="Palatino Linotype" w:eastAsia="Times New Roman" w:hAnsi="Palatino Linotype" w:cs="Arial"/>
          <w:b/>
          <w:bCs/>
          <w:color w:val="0A0A0A"/>
        </w:rPr>
        <w:t xml:space="preserve"> As another general point that we felt need not be added to the paper but can also be used to explain this phenomenon with respect to EPOR, there is a 1000-fold difference in affinity between the high-affinity and low-affinity sites of the EPOR dimers (with these sites being located on opposite receptor monomers). At high ligand concentrations, this difference in affinities could be negated because there is now an over-abundance of ligand present to bind to each receptor site individually. Thus, the general sequence of binding events—high-affinity site first, then low-affinity site—is overruled and we see ligand binding to each monomeric EPOR unit  and thus decreasing the ability to signal through this receptor. </w:t>
      </w:r>
    </w:p>
    <w:p w14:paraId="287114D7"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8. Fig. 2. : N values should be added.</w:t>
      </w:r>
    </w:p>
    <w:p w14:paraId="1539343B"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Thank you for this comment. The N values for the bar graphs have been added to the figure legend. The revision can be found on lines 294 and 295.</w:t>
      </w:r>
    </w:p>
    <w:p w14:paraId="4E9570C8"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 xml:space="preserve">9. Line 359-361: “Both Nptx2 and Npas4 showed higher levels of protein expression after CEPO + IGF-1 treatment, albeit in different hippocampal regions.” </w:t>
      </w:r>
      <w:proofErr w:type="gramStart"/>
      <w:r w:rsidRPr="00762623">
        <w:rPr>
          <w:rFonts w:ascii="Palatino Linotype" w:eastAsia="Times New Roman" w:hAnsi="Palatino Linotype" w:cs="Arial"/>
          <w:color w:val="0A0A0A"/>
        </w:rPr>
        <w:t>On the basis of</w:t>
      </w:r>
      <w:proofErr w:type="gramEnd"/>
      <w:r w:rsidRPr="00762623">
        <w:rPr>
          <w:rFonts w:ascii="Palatino Linotype" w:eastAsia="Times New Roman" w:hAnsi="Palatino Linotype" w:cs="Arial"/>
          <w:color w:val="0A0A0A"/>
        </w:rPr>
        <w:t xml:space="preserve"> what do the authors make this conclusion? Has a quantitative analysis been carried out?</w:t>
      </w:r>
    </w:p>
    <w:p w14:paraId="56148F15"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 xml:space="preserve">We thank the reviewer for this comment. This experiment was meant to be a semi-quantitative analysis to observe whether our trophic factors </w:t>
      </w:r>
      <w:r>
        <w:rPr>
          <w:rFonts w:ascii="Palatino Linotype" w:eastAsia="Times New Roman" w:hAnsi="Palatino Linotype" w:cs="Arial"/>
          <w:b/>
          <w:bCs/>
          <w:color w:val="0A0A0A"/>
        </w:rPr>
        <w:t>caused</w:t>
      </w:r>
      <w:r w:rsidRPr="00762623">
        <w:rPr>
          <w:rFonts w:ascii="Palatino Linotype" w:eastAsia="Times New Roman" w:hAnsi="Palatino Linotype" w:cs="Arial"/>
          <w:b/>
          <w:bCs/>
          <w:color w:val="0A0A0A"/>
        </w:rPr>
        <w:t xml:space="preserve"> any </w:t>
      </w:r>
      <w:r>
        <w:rPr>
          <w:rFonts w:ascii="Palatino Linotype" w:eastAsia="Times New Roman" w:hAnsi="Palatino Linotype" w:cs="Arial"/>
          <w:b/>
          <w:bCs/>
          <w:color w:val="0A0A0A"/>
        </w:rPr>
        <w:t>expression changes</w:t>
      </w:r>
      <w:r w:rsidRPr="00762623">
        <w:rPr>
          <w:rFonts w:ascii="Palatino Linotype" w:eastAsia="Times New Roman" w:hAnsi="Palatino Linotype" w:cs="Arial"/>
          <w:b/>
          <w:bCs/>
          <w:color w:val="0A0A0A"/>
        </w:rPr>
        <w:t xml:space="preserve"> </w:t>
      </w:r>
      <w:r>
        <w:rPr>
          <w:rFonts w:ascii="Palatino Linotype" w:eastAsia="Times New Roman" w:hAnsi="Palatino Linotype" w:cs="Arial"/>
          <w:b/>
          <w:bCs/>
          <w:color w:val="0A0A0A"/>
        </w:rPr>
        <w:t>to IEGs</w:t>
      </w:r>
      <w:r w:rsidRPr="00762623">
        <w:rPr>
          <w:rFonts w:ascii="Palatino Linotype" w:eastAsia="Times New Roman" w:hAnsi="Palatino Linotype" w:cs="Arial"/>
          <w:b/>
          <w:bCs/>
          <w:color w:val="0A0A0A"/>
        </w:rPr>
        <w:t xml:space="preserve"> at the protein level in the rat brain. </w:t>
      </w:r>
    </w:p>
    <w:p w14:paraId="6DC1FE14"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color w:val="0A0A0A"/>
        </w:rPr>
      </w:pPr>
      <w:r w:rsidRPr="00762623">
        <w:rPr>
          <w:rFonts w:ascii="Palatino Linotype" w:eastAsia="Times New Roman" w:hAnsi="Palatino Linotype" w:cs="Arial"/>
          <w:color w:val="0A0A0A"/>
        </w:rPr>
        <w:t xml:space="preserve">10. Fig. 5: Please specify “Scale bars = “. Figure would be easier to understand if you added a general outline. As an example: Ref. 35. Ramamoorthi, K.; </w:t>
      </w:r>
      <w:proofErr w:type="spellStart"/>
      <w:r w:rsidRPr="00762623">
        <w:rPr>
          <w:rFonts w:ascii="Palatino Linotype" w:eastAsia="Times New Roman" w:hAnsi="Palatino Linotype" w:cs="Arial"/>
          <w:color w:val="0A0A0A"/>
        </w:rPr>
        <w:t>Fropf</w:t>
      </w:r>
      <w:proofErr w:type="spellEnd"/>
      <w:r w:rsidRPr="00762623">
        <w:rPr>
          <w:rFonts w:ascii="Palatino Linotype" w:eastAsia="Times New Roman" w:hAnsi="Palatino Linotype" w:cs="Arial"/>
          <w:color w:val="0A0A0A"/>
        </w:rPr>
        <w:t>, R.; Belfort, G.M.; Fitzmaurice, H.L.; McKinney, R.M.; Neve, R.L.; Otto, T.; Lin, Y. Npas4 Regulates a Transcriptional Program in CA3 Required for Contextual Memory Formation. Science 2011, 334, 1669-1675. Supplemental Figure 3.</w:t>
      </w:r>
    </w:p>
    <w:p w14:paraId="463D4338" w14:textId="77777777" w:rsidR="00337481" w:rsidRPr="00762623" w:rsidRDefault="00337481" w:rsidP="00337481">
      <w:pPr>
        <w:shd w:val="clear" w:color="auto" w:fill="FEFEFE"/>
        <w:spacing w:before="100" w:beforeAutospacing="1" w:after="100" w:afterAutospacing="1" w:line="240" w:lineRule="auto"/>
        <w:jc w:val="both"/>
        <w:rPr>
          <w:rFonts w:ascii="Palatino Linotype" w:eastAsia="Times New Roman" w:hAnsi="Palatino Linotype" w:cs="Arial"/>
          <w:b/>
          <w:bCs/>
          <w:color w:val="0A0A0A"/>
        </w:rPr>
      </w:pPr>
      <w:r w:rsidRPr="00762623">
        <w:rPr>
          <w:rFonts w:ascii="Palatino Linotype" w:eastAsia="Times New Roman" w:hAnsi="Palatino Linotype" w:cs="Arial"/>
          <w:b/>
          <w:bCs/>
          <w:color w:val="0A0A0A"/>
        </w:rPr>
        <w:t>We thank the reviewer for this comment. We have added the scale bar length to the figure legend, found in line 392. We have also added a supplementary figure showing an outline of our hippocampal regions of interest (Figure S2)</w:t>
      </w:r>
      <w:r>
        <w:rPr>
          <w:rFonts w:ascii="Palatino Linotype" w:eastAsia="Times New Roman" w:hAnsi="Palatino Linotype" w:cs="Arial"/>
          <w:b/>
          <w:bCs/>
          <w:color w:val="0A0A0A"/>
        </w:rPr>
        <w:t>, with in-text reference found on lines 376-378</w:t>
      </w:r>
      <w:r w:rsidRPr="00762623">
        <w:rPr>
          <w:rFonts w:ascii="Palatino Linotype" w:eastAsia="Times New Roman" w:hAnsi="Palatino Linotype" w:cs="Arial"/>
          <w:b/>
          <w:bCs/>
          <w:color w:val="0A0A0A"/>
        </w:rPr>
        <w:t xml:space="preserve">. </w:t>
      </w:r>
    </w:p>
    <w:p w14:paraId="3748A239" w14:textId="77777777" w:rsidR="00337481" w:rsidRPr="00762623" w:rsidRDefault="00337481" w:rsidP="00337481">
      <w:pPr>
        <w:shd w:val="clear" w:color="auto" w:fill="FEFEFE"/>
        <w:spacing w:before="100" w:beforeAutospacing="1" w:after="100" w:afterAutospacing="1" w:line="240" w:lineRule="auto"/>
        <w:rPr>
          <w:rFonts w:ascii="Palatino Linotype" w:eastAsia="Times New Roman" w:hAnsi="Palatino Linotype" w:cs="Arial"/>
          <w:color w:val="0A0A0A"/>
        </w:rPr>
      </w:pPr>
      <w:r w:rsidRPr="00762623">
        <w:rPr>
          <w:rFonts w:ascii="Palatino Linotype" w:eastAsia="Times New Roman" w:hAnsi="Palatino Linotype" w:cs="Arial"/>
          <w:color w:val="0A0A0A"/>
        </w:rPr>
        <w:t>11. It is very interesting to investigate whether the combination of these trophic factors improves the cognitive functions of animals.</w:t>
      </w:r>
    </w:p>
    <w:p w14:paraId="7884273D" w14:textId="77777777" w:rsidR="00337481" w:rsidRPr="00762623" w:rsidRDefault="00337481" w:rsidP="00337481">
      <w:pPr>
        <w:shd w:val="clear" w:color="auto" w:fill="FEFEFE"/>
        <w:spacing w:before="100" w:beforeAutospacing="1" w:after="100" w:afterAutospacing="1" w:line="240" w:lineRule="auto"/>
        <w:rPr>
          <w:rFonts w:ascii="Palatino Linotype" w:eastAsia="Times New Roman" w:hAnsi="Palatino Linotype" w:cs="Arial"/>
          <w:b/>
          <w:bCs/>
          <w:color w:val="0A0A0A"/>
        </w:rPr>
      </w:pPr>
      <w:r w:rsidRPr="00762623">
        <w:rPr>
          <w:rFonts w:ascii="Palatino Linotype" w:eastAsia="Times New Roman" w:hAnsi="Palatino Linotype" w:cs="Arial"/>
          <w:b/>
          <w:bCs/>
          <w:color w:val="0A0A0A"/>
        </w:rPr>
        <w:lastRenderedPageBreak/>
        <w:t xml:space="preserve">Thank you for this comment. We plan to investigate this in future experiments. </w:t>
      </w:r>
    </w:p>
    <w:p w14:paraId="2E7B7679" w14:textId="77777777" w:rsidR="001C627E" w:rsidRDefault="001C627E"/>
    <w:sectPr w:rsidR="001C627E" w:rsidSect="00D87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481"/>
    <w:rsid w:val="00162CE9"/>
    <w:rsid w:val="001C627E"/>
    <w:rsid w:val="00337481"/>
    <w:rsid w:val="00741D5B"/>
    <w:rsid w:val="009B1D2A"/>
    <w:rsid w:val="00D87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8151"/>
  <w15:chartTrackingRefBased/>
  <w15:docId w15:val="{F714838D-9D4D-4C0C-8771-5F561D19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4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4270</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Rothschadl, Morgan Jean</dc:creator>
  <cp:keywords/>
  <dc:description/>
  <cp:lastModifiedBy>Rothschadl, Morgan Jean</cp:lastModifiedBy>
  <cp:revision>1</cp:revision>
  <dcterms:created xsi:type="dcterms:W3CDTF">2023-08-23T18:38:00Z</dcterms:created>
  <dcterms:modified xsi:type="dcterms:W3CDTF">2023-08-23T18:40:00Z</dcterms:modified>
</cp:coreProperties>
</file>