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6B8F0" w14:textId="49385EF2" w:rsidR="00B23C6D" w:rsidRPr="00B23C6D" w:rsidRDefault="00B23C6D" w:rsidP="00B23C6D">
      <w:pPr>
        <w:spacing w:line="259" w:lineRule="auto"/>
        <w:jc w:val="center"/>
        <w:rPr>
          <w:rFonts w:eastAsia="Calibri" w:cs="Times New Roman"/>
          <w:sz w:val="24"/>
          <w:lang w:val="en-US"/>
        </w:rPr>
      </w:pPr>
      <w:bookmarkStart w:id="0" w:name="_Hlk113860030"/>
      <w:r w:rsidRPr="00B23C6D">
        <w:rPr>
          <w:rFonts w:eastAsia="Calibri" w:cs="Times New Roman"/>
          <w:sz w:val="24"/>
          <w:lang w:val="en-US"/>
        </w:rPr>
        <w:t>Dear reviewer!</w:t>
      </w:r>
    </w:p>
    <w:p w14:paraId="5D817E64" w14:textId="77777777" w:rsidR="00B23C6D" w:rsidRPr="00B23C6D" w:rsidRDefault="00B23C6D" w:rsidP="00B23C6D">
      <w:pPr>
        <w:spacing w:line="259" w:lineRule="auto"/>
        <w:jc w:val="both"/>
        <w:rPr>
          <w:rFonts w:eastAsia="Calibri" w:cs="Times New Roman"/>
          <w:sz w:val="24"/>
          <w:lang w:val="en-US"/>
        </w:rPr>
      </w:pPr>
      <w:r w:rsidRPr="00B23C6D">
        <w:rPr>
          <w:rFonts w:eastAsia="Calibri" w:cs="Times New Roman"/>
          <w:sz w:val="24"/>
          <w:lang w:val="en-US"/>
        </w:rPr>
        <w:t>The authors of this paper sincerely thank you for studying the article and writing a constructive review! All comments have been taken into account and appropriate improvements/corrections/experiments have been carried out on them. The following is a description of the changes in the work that we made during the revision.</w:t>
      </w:r>
    </w:p>
    <w:p w14:paraId="00F390F0" w14:textId="77777777" w:rsidR="00A10958" w:rsidRPr="006F3D8A" w:rsidRDefault="00A10958" w:rsidP="00A10958">
      <w:pPr>
        <w:rPr>
          <w:b/>
          <w:bCs/>
          <w:sz w:val="24"/>
          <w:szCs w:val="20"/>
          <w:lang w:val="en-US"/>
        </w:rPr>
      </w:pPr>
      <w:r w:rsidRPr="00E91558">
        <w:rPr>
          <w:b/>
          <w:bCs/>
          <w:sz w:val="24"/>
          <w:szCs w:val="20"/>
          <w:lang w:val="en-US"/>
        </w:rPr>
        <w:t>Reviewer's question 1:</w:t>
      </w:r>
      <w:bookmarkEnd w:id="0"/>
      <w:r w:rsidRPr="006F3D8A">
        <w:rPr>
          <w:rFonts w:ascii="Arial" w:eastAsia="Times New Roman" w:hAnsi="Arial" w:cs="Arial"/>
          <w:color w:val="0A0A0A"/>
          <w:sz w:val="18"/>
          <w:szCs w:val="18"/>
          <w:lang w:val="en-US" w:eastAsia="ru-RU"/>
        </w:rPr>
        <w:t> </w:t>
      </w:r>
    </w:p>
    <w:p w14:paraId="625D8E28" w14:textId="77777777" w:rsidR="00A209F5" w:rsidRDefault="00A209F5" w:rsidP="00A209F5">
      <w:pPr>
        <w:shd w:val="clear" w:color="auto" w:fill="FEFEFE"/>
        <w:spacing w:before="100" w:beforeAutospacing="1" w:after="100" w:afterAutospacing="1"/>
        <w:jc w:val="both"/>
        <w:rPr>
          <w:rFonts w:ascii="Arial" w:eastAsia="Times New Roman" w:hAnsi="Arial" w:cs="Arial"/>
          <w:color w:val="0A0A0A"/>
          <w:sz w:val="20"/>
          <w:szCs w:val="20"/>
          <w:lang w:val="en-US" w:eastAsia="ru-RU"/>
        </w:rPr>
      </w:pPr>
      <w:r w:rsidRPr="00A209F5">
        <w:rPr>
          <w:rFonts w:ascii="Arial" w:eastAsia="Times New Roman" w:hAnsi="Arial" w:cs="Arial"/>
          <w:color w:val="0A0A0A"/>
          <w:sz w:val="20"/>
          <w:szCs w:val="20"/>
          <w:lang w:val="en-US" w:eastAsia="ru-RU"/>
        </w:rPr>
        <w:t>1. What is the specific significance of five-membered heterocycles in cancer treatment?</w:t>
      </w:r>
    </w:p>
    <w:p w14:paraId="4315134B" w14:textId="77777777" w:rsidR="00A209F5" w:rsidRDefault="00A209F5" w:rsidP="00A209F5">
      <w:pPr>
        <w:rPr>
          <w:rFonts w:ascii="Arial" w:eastAsia="Times New Roman" w:hAnsi="Arial" w:cs="Arial"/>
          <w:color w:val="0A0A0A"/>
          <w:sz w:val="18"/>
          <w:szCs w:val="18"/>
          <w:lang w:val="en-US" w:eastAsia="ru-RU"/>
        </w:rPr>
      </w:pPr>
      <w:r>
        <w:rPr>
          <w:b/>
          <w:bCs/>
          <w:sz w:val="24"/>
          <w:szCs w:val="20"/>
          <w:lang w:val="en-US"/>
        </w:rPr>
        <w:t>Authors</w:t>
      </w:r>
      <w:r w:rsidRPr="00CD69C0">
        <w:rPr>
          <w:b/>
          <w:bCs/>
          <w:sz w:val="24"/>
          <w:szCs w:val="20"/>
          <w:lang w:val="en-US"/>
        </w:rPr>
        <w:t xml:space="preserve">' </w:t>
      </w:r>
      <w:r>
        <w:rPr>
          <w:b/>
          <w:bCs/>
          <w:sz w:val="24"/>
          <w:szCs w:val="20"/>
          <w:lang w:val="en-US"/>
        </w:rPr>
        <w:t xml:space="preserve">answer </w:t>
      </w:r>
      <w:r w:rsidRPr="00CD69C0">
        <w:rPr>
          <w:b/>
          <w:bCs/>
          <w:sz w:val="24"/>
          <w:szCs w:val="20"/>
          <w:lang w:val="en-US"/>
        </w:rPr>
        <w:t>1:</w:t>
      </w:r>
      <w:r w:rsidRPr="00CD69C0">
        <w:rPr>
          <w:rFonts w:ascii="Arial" w:eastAsia="Times New Roman" w:hAnsi="Arial" w:cs="Arial"/>
          <w:color w:val="0A0A0A"/>
          <w:sz w:val="18"/>
          <w:szCs w:val="18"/>
          <w:lang w:val="en-US" w:eastAsia="ru-RU"/>
        </w:rPr>
        <w:t> </w:t>
      </w:r>
    </w:p>
    <w:p w14:paraId="0BE20408" w14:textId="3AC819A1" w:rsidR="00023297" w:rsidRPr="00D90DB1" w:rsidRDefault="00023297" w:rsidP="00023297">
      <w:pPr>
        <w:rPr>
          <w:rFonts w:ascii="Arial" w:eastAsia="Times New Roman" w:hAnsi="Arial" w:cs="Arial"/>
          <w:color w:val="0A0A0A"/>
          <w:sz w:val="18"/>
          <w:szCs w:val="18"/>
          <w:lang w:val="en-US" w:eastAsia="ru-RU"/>
        </w:rPr>
      </w:pPr>
      <w:r w:rsidRPr="004C4009">
        <w:rPr>
          <w:rFonts w:ascii="Arial" w:eastAsia="Times New Roman" w:hAnsi="Arial" w:cs="Arial"/>
          <w:color w:val="0A0A0A"/>
          <w:sz w:val="18"/>
          <w:szCs w:val="18"/>
          <w:lang w:val="en-US" w:eastAsia="ru-RU"/>
        </w:rPr>
        <w:t>Changes have been made to the manuscript</w:t>
      </w:r>
      <w:r w:rsidR="00D90DB1" w:rsidRPr="00D90DB1">
        <w:rPr>
          <w:rFonts w:ascii="Arial" w:eastAsia="Times New Roman" w:hAnsi="Arial" w:cs="Arial"/>
          <w:color w:val="0A0A0A"/>
          <w:sz w:val="18"/>
          <w:szCs w:val="18"/>
          <w:lang w:val="en-US" w:eastAsia="ru-RU"/>
        </w:rPr>
        <w:t>:</w:t>
      </w:r>
    </w:p>
    <w:p w14:paraId="58C6EC39" w14:textId="2ADA1846" w:rsidR="00A209F5" w:rsidRDefault="00023297" w:rsidP="00A209F5">
      <w:pPr>
        <w:shd w:val="clear" w:color="auto" w:fill="FEFEFE"/>
        <w:spacing w:before="100" w:beforeAutospacing="1" w:after="100" w:afterAutospacing="1"/>
        <w:jc w:val="both"/>
        <w:rPr>
          <w:rFonts w:ascii="Arial" w:eastAsia="Times New Roman" w:hAnsi="Arial" w:cs="Arial"/>
          <w:color w:val="0A0A0A"/>
          <w:sz w:val="20"/>
          <w:szCs w:val="20"/>
          <w:lang w:val="en-US" w:eastAsia="ru-RU"/>
        </w:rPr>
      </w:pPr>
      <w:r w:rsidRPr="00023297">
        <w:rPr>
          <w:rFonts w:ascii="Arial" w:eastAsia="Times New Roman" w:hAnsi="Arial" w:cs="Arial"/>
          <w:color w:val="0A0A0A"/>
          <w:sz w:val="20"/>
          <w:szCs w:val="20"/>
          <w:lang w:val="en-US" w:eastAsia="ru-RU"/>
        </w:rPr>
        <w:t>For optimal binding to tubulin and the manifestation of high antimitotic activity, combretastatin molecules must have a cis-configuration. Five-membered heterocycles are considered as a non-isomerizable and metabolically stable bioisosteric replacement of the double bond in combretastatins, fixing the rings A and B in the cis-position. Replacement of combretastatin’s double bond with heterocyclic five-membered rings (1,3-thiazol-2-amine, pyrazole, 1,3-thiazole, 1,2,4-triazoles, tetrazoles, e.g.) does not lead to a decrease in both cytotoxic and antitubulin activities, however, it has a number of advantages: (a) prevention of combretastatin cis-trans; (b) increased specificity due to absence of trans-conformation that is non-specific for other cellular targets; and (c) possible improvement of therapeutic properties due to five-membered heterocycles [11].</w:t>
      </w:r>
    </w:p>
    <w:p w14:paraId="1EF4789B" w14:textId="51233DF8" w:rsidR="00023297" w:rsidRPr="00023297" w:rsidRDefault="00023297" w:rsidP="00023297">
      <w:pPr>
        <w:rPr>
          <w:b/>
          <w:bCs/>
          <w:sz w:val="24"/>
          <w:szCs w:val="20"/>
          <w:lang w:val="en-US"/>
        </w:rPr>
      </w:pPr>
      <w:r w:rsidRPr="00E91558">
        <w:rPr>
          <w:b/>
          <w:bCs/>
          <w:sz w:val="24"/>
          <w:szCs w:val="20"/>
          <w:lang w:val="en-US"/>
        </w:rPr>
        <w:t xml:space="preserve">Reviewer's question </w:t>
      </w:r>
      <w:r>
        <w:rPr>
          <w:b/>
          <w:bCs/>
          <w:sz w:val="24"/>
          <w:szCs w:val="20"/>
          <w:lang w:val="en-US"/>
        </w:rPr>
        <w:t>2</w:t>
      </w:r>
      <w:r w:rsidRPr="00E91558">
        <w:rPr>
          <w:b/>
          <w:bCs/>
          <w:sz w:val="24"/>
          <w:szCs w:val="20"/>
          <w:lang w:val="en-US"/>
        </w:rPr>
        <w:t>:</w:t>
      </w:r>
      <w:r w:rsidRPr="006F3D8A">
        <w:rPr>
          <w:rFonts w:ascii="Arial" w:eastAsia="Times New Roman" w:hAnsi="Arial" w:cs="Arial"/>
          <w:color w:val="0A0A0A"/>
          <w:sz w:val="18"/>
          <w:szCs w:val="18"/>
          <w:lang w:val="en-US" w:eastAsia="ru-RU"/>
        </w:rPr>
        <w:t> </w:t>
      </w:r>
    </w:p>
    <w:p w14:paraId="3A238A05" w14:textId="77777777" w:rsidR="00A209F5" w:rsidRPr="00A209F5" w:rsidRDefault="00A209F5" w:rsidP="00A209F5">
      <w:pPr>
        <w:shd w:val="clear" w:color="auto" w:fill="FEFEFE"/>
        <w:spacing w:before="100" w:beforeAutospacing="1" w:after="100" w:afterAutospacing="1"/>
        <w:jc w:val="both"/>
        <w:rPr>
          <w:rFonts w:ascii="Arial" w:eastAsia="Times New Roman" w:hAnsi="Arial" w:cs="Arial"/>
          <w:color w:val="0A0A0A"/>
          <w:sz w:val="20"/>
          <w:szCs w:val="20"/>
          <w:lang w:val="en-US" w:eastAsia="ru-RU"/>
        </w:rPr>
      </w:pPr>
      <w:r w:rsidRPr="00A209F5">
        <w:rPr>
          <w:rFonts w:ascii="Arial" w:eastAsia="Times New Roman" w:hAnsi="Arial" w:cs="Arial"/>
          <w:color w:val="0A0A0A"/>
          <w:sz w:val="20"/>
          <w:szCs w:val="20"/>
          <w:lang w:val="en-US" w:eastAsia="ru-RU"/>
        </w:rPr>
        <w:t>2. What is the reason for choosing specific cationic chitosan over other options polymers, and what function do fatty acids play in the development of micelles to target cancer cells?</w:t>
      </w:r>
    </w:p>
    <w:p w14:paraId="27D89788" w14:textId="3DF2E661" w:rsidR="00023297" w:rsidRPr="00D90DB1" w:rsidRDefault="00023297" w:rsidP="00023297">
      <w:pPr>
        <w:rPr>
          <w:rFonts w:ascii="Arial" w:eastAsia="Times New Roman" w:hAnsi="Arial" w:cs="Arial"/>
          <w:color w:val="0A0A0A"/>
          <w:sz w:val="18"/>
          <w:szCs w:val="18"/>
          <w:lang w:val="en-US" w:eastAsia="ru-RU"/>
        </w:rPr>
      </w:pPr>
      <w:r>
        <w:rPr>
          <w:b/>
          <w:bCs/>
          <w:sz w:val="24"/>
          <w:szCs w:val="20"/>
          <w:lang w:val="en-US"/>
        </w:rPr>
        <w:t>Authors</w:t>
      </w:r>
      <w:r w:rsidRPr="00D90DB1">
        <w:rPr>
          <w:b/>
          <w:bCs/>
          <w:sz w:val="24"/>
          <w:szCs w:val="20"/>
          <w:lang w:val="en-US"/>
        </w:rPr>
        <w:t xml:space="preserve">' </w:t>
      </w:r>
      <w:r>
        <w:rPr>
          <w:b/>
          <w:bCs/>
          <w:sz w:val="24"/>
          <w:szCs w:val="20"/>
          <w:lang w:val="en-US"/>
        </w:rPr>
        <w:t>answer</w:t>
      </w:r>
      <w:r w:rsidRPr="00D90DB1">
        <w:rPr>
          <w:b/>
          <w:bCs/>
          <w:sz w:val="24"/>
          <w:szCs w:val="20"/>
          <w:lang w:val="en-US"/>
        </w:rPr>
        <w:t xml:space="preserve"> 2:</w:t>
      </w:r>
      <w:r w:rsidRPr="00CD69C0">
        <w:rPr>
          <w:rFonts w:ascii="Arial" w:eastAsia="Times New Roman" w:hAnsi="Arial" w:cs="Arial"/>
          <w:color w:val="0A0A0A"/>
          <w:sz w:val="18"/>
          <w:szCs w:val="18"/>
          <w:lang w:val="en-US" w:eastAsia="ru-RU"/>
        </w:rPr>
        <w:t> </w:t>
      </w:r>
    </w:p>
    <w:p w14:paraId="502FE020" w14:textId="3A0603A4" w:rsidR="008D3718" w:rsidRDefault="00E25830" w:rsidP="008D3718">
      <w:pPr>
        <w:shd w:val="clear" w:color="auto" w:fill="FEFEFE"/>
        <w:spacing w:before="100" w:beforeAutospacing="1" w:after="100" w:afterAutospacing="1"/>
        <w:jc w:val="both"/>
        <w:rPr>
          <w:rFonts w:ascii="Arial" w:eastAsia="Times New Roman" w:hAnsi="Arial" w:cs="Arial"/>
          <w:color w:val="0A0A0A"/>
          <w:sz w:val="20"/>
          <w:szCs w:val="20"/>
          <w:lang w:val="en-US" w:eastAsia="ru-RU"/>
        </w:rPr>
      </w:pPr>
      <w:r w:rsidRPr="00E25830">
        <w:rPr>
          <w:rFonts w:ascii="Arial" w:eastAsia="Times New Roman" w:hAnsi="Arial" w:cs="Arial"/>
          <w:color w:val="0A0A0A"/>
          <w:sz w:val="20"/>
          <w:szCs w:val="20"/>
          <w:lang w:val="en-US" w:eastAsia="ru-RU"/>
        </w:rPr>
        <w:t xml:space="preserve">Polymeric micelles based on chitosan modified with fatty acids are promising in the aspects of </w:t>
      </w:r>
      <w:r w:rsidR="00D90DB1">
        <w:rPr>
          <w:rFonts w:ascii="Arial" w:eastAsia="Times New Roman" w:hAnsi="Arial" w:cs="Arial"/>
          <w:color w:val="0A0A0A"/>
          <w:sz w:val="20"/>
          <w:szCs w:val="20"/>
          <w:lang w:val="en-US" w:eastAsia="ru-RU"/>
        </w:rPr>
        <w:t xml:space="preserve">enhanced efficiency of </w:t>
      </w:r>
      <w:r w:rsidRPr="00E25830">
        <w:rPr>
          <w:rFonts w:ascii="Arial" w:eastAsia="Times New Roman" w:hAnsi="Arial" w:cs="Arial"/>
          <w:color w:val="0A0A0A"/>
          <w:sz w:val="20"/>
          <w:szCs w:val="20"/>
          <w:lang w:val="en-US" w:eastAsia="ru-RU"/>
        </w:rPr>
        <w:t>anti-cancer and antibacterial drugs. In this article, an</w:t>
      </w:r>
      <w:r w:rsidR="00D90DB1">
        <w:rPr>
          <w:rFonts w:ascii="Arial" w:eastAsia="Times New Roman" w:hAnsi="Arial" w:cs="Arial"/>
          <w:color w:val="0A0A0A"/>
          <w:sz w:val="20"/>
          <w:szCs w:val="20"/>
          <w:lang w:val="en-US" w:eastAsia="ru-RU"/>
        </w:rPr>
        <w:t xml:space="preserve"> </w:t>
      </w:r>
      <w:r w:rsidRPr="00E25830">
        <w:rPr>
          <w:rFonts w:ascii="Arial" w:eastAsia="Times New Roman" w:hAnsi="Arial" w:cs="Arial"/>
          <w:color w:val="0A0A0A"/>
          <w:sz w:val="20"/>
          <w:szCs w:val="20"/>
          <w:lang w:val="en-US" w:eastAsia="ru-RU"/>
        </w:rPr>
        <w:t>approach is proposed using the properties of chitosan as a polycation with pKa=6.4, ionized in such a way that in the microenvironment of tumors</w:t>
      </w:r>
      <w:r w:rsidR="00D90DB1">
        <w:rPr>
          <w:rFonts w:ascii="Arial" w:eastAsia="Times New Roman" w:hAnsi="Arial" w:cs="Arial"/>
          <w:color w:val="0A0A0A"/>
          <w:sz w:val="20"/>
          <w:szCs w:val="20"/>
          <w:lang w:val="en-US" w:eastAsia="ru-RU"/>
        </w:rPr>
        <w:t xml:space="preserve"> (pH 5.5-6.0) </w:t>
      </w:r>
      <w:r w:rsidRPr="00E25830">
        <w:rPr>
          <w:rFonts w:ascii="Arial" w:eastAsia="Times New Roman" w:hAnsi="Arial" w:cs="Arial"/>
          <w:color w:val="0A0A0A"/>
          <w:sz w:val="20"/>
          <w:szCs w:val="20"/>
          <w:lang w:val="en-US" w:eastAsia="ru-RU"/>
        </w:rPr>
        <w:t xml:space="preserve">the loaded drug is quickly released </w:t>
      </w:r>
      <w:r w:rsidR="00D90DB1">
        <w:rPr>
          <w:rFonts w:ascii="Arial" w:eastAsia="Times New Roman" w:hAnsi="Arial" w:cs="Arial"/>
          <w:color w:val="0A0A0A"/>
          <w:sz w:val="20"/>
          <w:szCs w:val="20"/>
          <w:lang w:val="en-US" w:eastAsia="ru-RU"/>
        </w:rPr>
        <w:t xml:space="preserve">from </w:t>
      </w:r>
      <w:r w:rsidRPr="008D3718">
        <w:rPr>
          <w:rFonts w:ascii="Arial" w:eastAsia="Times New Roman" w:hAnsi="Arial" w:cs="Arial"/>
          <w:color w:val="0A0A0A"/>
          <w:sz w:val="20"/>
          <w:szCs w:val="20"/>
          <w:lang w:val="en-US" w:eastAsia="ru-RU"/>
        </w:rPr>
        <w:t xml:space="preserve">the delivery system. In addition, chitosan can provide thermal sensitivity due to hydrophobic chain interactions at </w:t>
      </w:r>
      <w:r w:rsidR="00D90DB1" w:rsidRPr="008D3718">
        <w:rPr>
          <w:rFonts w:ascii="Arial" w:eastAsia="Times New Roman" w:hAnsi="Arial" w:cs="Arial"/>
          <w:color w:val="0A0A0A"/>
          <w:sz w:val="20"/>
          <w:szCs w:val="20"/>
          <w:lang w:val="en-US" w:eastAsia="ru-RU"/>
        </w:rPr>
        <w:t>40</w:t>
      </w:r>
      <w:r w:rsidRPr="008D3718">
        <w:rPr>
          <w:rFonts w:ascii="Arial" w:eastAsia="Times New Roman" w:hAnsi="Arial" w:cs="Arial"/>
          <w:color w:val="0A0A0A"/>
          <w:sz w:val="20"/>
          <w:szCs w:val="20"/>
          <w:lang w:val="en-US" w:eastAsia="ru-RU"/>
        </w:rPr>
        <w:t>°C</w:t>
      </w:r>
      <w:r w:rsidR="008D3718" w:rsidRPr="008D3718">
        <w:rPr>
          <w:rFonts w:ascii="Arial" w:eastAsia="Times New Roman" w:hAnsi="Arial" w:cs="Arial"/>
          <w:color w:val="0A0A0A"/>
          <w:sz w:val="20"/>
          <w:szCs w:val="20"/>
          <w:lang w:val="en-US" w:eastAsia="ru-RU"/>
        </w:rPr>
        <w:t xml:space="preserve"> (zone of local inflammation)</w:t>
      </w:r>
      <w:r w:rsidRPr="008D3718">
        <w:rPr>
          <w:rFonts w:ascii="Arial" w:eastAsia="Times New Roman" w:hAnsi="Arial" w:cs="Arial"/>
          <w:color w:val="0A0A0A"/>
          <w:sz w:val="20"/>
          <w:szCs w:val="20"/>
          <w:lang w:val="en-US" w:eastAsia="ru-RU"/>
        </w:rPr>
        <w:t>.</w:t>
      </w:r>
      <w:r w:rsidR="00D90DB1" w:rsidRPr="008D3718">
        <w:rPr>
          <w:rFonts w:ascii="Arial" w:eastAsia="Times New Roman" w:hAnsi="Arial" w:cs="Arial"/>
          <w:color w:val="0A0A0A"/>
          <w:sz w:val="20"/>
          <w:szCs w:val="20"/>
          <w:lang w:val="en-US" w:eastAsia="ru-RU"/>
        </w:rPr>
        <w:t xml:space="preserve"> </w:t>
      </w:r>
      <w:r w:rsidRPr="008D3718">
        <w:rPr>
          <w:rFonts w:ascii="Arial" w:eastAsia="Times New Roman" w:hAnsi="Arial" w:cs="Arial"/>
          <w:color w:val="0A0A0A"/>
          <w:sz w:val="20"/>
          <w:szCs w:val="20"/>
          <w:lang w:val="en-US" w:eastAsia="ru-RU"/>
        </w:rPr>
        <w:t>Fatty</w:t>
      </w:r>
      <w:r w:rsidRPr="00E25830">
        <w:rPr>
          <w:rFonts w:ascii="Arial" w:eastAsia="Times New Roman" w:hAnsi="Arial" w:cs="Arial"/>
          <w:color w:val="0A0A0A"/>
          <w:sz w:val="20"/>
          <w:szCs w:val="20"/>
          <w:lang w:val="en-US" w:eastAsia="ru-RU"/>
        </w:rPr>
        <w:t xml:space="preserve"> acids are necessary for the synthesis of amphiphilic polymers forming polymer micelles, which have low critical concentrations of micelle formation, are biocompatible and </w:t>
      </w:r>
      <w:r w:rsidR="00D90DB1">
        <w:rPr>
          <w:rFonts w:ascii="Arial" w:eastAsia="Times New Roman" w:hAnsi="Arial" w:cs="Arial"/>
          <w:color w:val="0A0A0A"/>
          <w:sz w:val="20"/>
          <w:szCs w:val="20"/>
          <w:lang w:val="en-US" w:eastAsia="ru-RU"/>
        </w:rPr>
        <w:t xml:space="preserve">relatively </w:t>
      </w:r>
      <w:r w:rsidRPr="00E25830">
        <w:rPr>
          <w:rFonts w:ascii="Arial" w:eastAsia="Times New Roman" w:hAnsi="Arial" w:cs="Arial"/>
          <w:color w:val="0A0A0A"/>
          <w:sz w:val="20"/>
          <w:szCs w:val="20"/>
          <w:lang w:val="en-US" w:eastAsia="ru-RU"/>
        </w:rPr>
        <w:t>selective</w:t>
      </w:r>
      <w:r w:rsidR="008D3718">
        <w:rPr>
          <w:rFonts w:ascii="Arial" w:eastAsia="Times New Roman" w:hAnsi="Arial" w:cs="Arial"/>
          <w:color w:val="0A0A0A"/>
          <w:sz w:val="20"/>
          <w:szCs w:val="20"/>
          <w:lang w:val="en-US" w:eastAsia="ru-RU"/>
        </w:rPr>
        <w:t xml:space="preserve">. </w:t>
      </w:r>
      <w:r w:rsidR="008D3718" w:rsidRPr="008D3718">
        <w:rPr>
          <w:rFonts w:ascii="Arial" w:eastAsia="Times New Roman" w:hAnsi="Arial" w:cs="Arial"/>
          <w:color w:val="0A0A0A"/>
          <w:sz w:val="20"/>
          <w:szCs w:val="20"/>
          <w:lang w:val="en-US" w:eastAsia="ru-RU"/>
        </w:rPr>
        <w:t>The fatty tails of micelles ensure fusion with the cell membrane, and most importantly ensures the solubility of insoluble tubulins - according to UV-visible and fluorescence spectroscopy located inside the hydrophobic micelle' core</w:t>
      </w:r>
      <w:r w:rsidR="008D3718">
        <w:rPr>
          <w:rFonts w:ascii="Arial" w:eastAsia="Times New Roman" w:hAnsi="Arial" w:cs="Arial"/>
          <w:color w:val="0A0A0A"/>
          <w:sz w:val="20"/>
          <w:szCs w:val="20"/>
          <w:lang w:val="en-US" w:eastAsia="ru-RU"/>
        </w:rPr>
        <w:t>.</w:t>
      </w:r>
    </w:p>
    <w:p w14:paraId="02B2B9F6" w14:textId="0C9F23DF" w:rsidR="007A519F" w:rsidRPr="00023297" w:rsidRDefault="007A519F" w:rsidP="008D3718">
      <w:pPr>
        <w:shd w:val="clear" w:color="auto" w:fill="FEFEFE"/>
        <w:spacing w:before="100" w:beforeAutospacing="1" w:after="100" w:afterAutospacing="1"/>
        <w:jc w:val="both"/>
        <w:rPr>
          <w:b/>
          <w:bCs/>
          <w:sz w:val="24"/>
          <w:szCs w:val="20"/>
          <w:lang w:val="en-US"/>
        </w:rPr>
      </w:pPr>
      <w:r w:rsidRPr="00E91558">
        <w:rPr>
          <w:b/>
          <w:bCs/>
          <w:sz w:val="24"/>
          <w:szCs w:val="20"/>
          <w:lang w:val="en-US"/>
        </w:rPr>
        <w:t xml:space="preserve">Reviewer's question </w:t>
      </w:r>
      <w:r>
        <w:rPr>
          <w:b/>
          <w:bCs/>
          <w:sz w:val="24"/>
          <w:szCs w:val="20"/>
          <w:lang w:val="en-US"/>
        </w:rPr>
        <w:t>3</w:t>
      </w:r>
      <w:r w:rsidRPr="00E91558">
        <w:rPr>
          <w:b/>
          <w:bCs/>
          <w:sz w:val="24"/>
          <w:szCs w:val="20"/>
          <w:lang w:val="en-US"/>
        </w:rPr>
        <w:t>:</w:t>
      </w:r>
      <w:r w:rsidRPr="006F3D8A">
        <w:rPr>
          <w:rFonts w:ascii="Arial" w:eastAsia="Times New Roman" w:hAnsi="Arial" w:cs="Arial"/>
          <w:color w:val="0A0A0A"/>
          <w:sz w:val="18"/>
          <w:szCs w:val="18"/>
          <w:lang w:val="en-US" w:eastAsia="ru-RU"/>
        </w:rPr>
        <w:t> </w:t>
      </w:r>
    </w:p>
    <w:p w14:paraId="0072B477" w14:textId="033E6C41" w:rsidR="00A209F5" w:rsidRPr="00A209F5" w:rsidRDefault="00A209F5" w:rsidP="00A209F5">
      <w:pPr>
        <w:shd w:val="clear" w:color="auto" w:fill="FEFEFE"/>
        <w:spacing w:before="100" w:beforeAutospacing="1" w:after="100" w:afterAutospacing="1"/>
        <w:jc w:val="both"/>
        <w:rPr>
          <w:rFonts w:ascii="Arial" w:eastAsia="Times New Roman" w:hAnsi="Arial" w:cs="Arial"/>
          <w:color w:val="0A0A0A"/>
          <w:sz w:val="20"/>
          <w:szCs w:val="20"/>
          <w:lang w:val="en-US" w:eastAsia="ru-RU"/>
        </w:rPr>
      </w:pPr>
      <w:r w:rsidRPr="00E25830">
        <w:rPr>
          <w:rFonts w:ascii="Arial" w:eastAsia="Times New Roman" w:hAnsi="Arial" w:cs="Arial"/>
          <w:color w:val="0A0A0A"/>
          <w:sz w:val="20"/>
          <w:szCs w:val="20"/>
          <w:lang w:val="en-US" w:eastAsia="ru-RU"/>
        </w:rPr>
        <w:t>3.</w:t>
      </w:r>
      <w:r w:rsidRPr="00A209F5">
        <w:rPr>
          <w:rFonts w:ascii="Arial" w:eastAsia="Times New Roman" w:hAnsi="Arial" w:cs="Arial"/>
          <w:color w:val="0A0A0A"/>
          <w:sz w:val="20"/>
          <w:szCs w:val="20"/>
          <w:lang w:val="en-US" w:eastAsia="ru-RU"/>
        </w:rPr>
        <w:t>  </w:t>
      </w:r>
      <w:r w:rsidRPr="00E25830">
        <w:rPr>
          <w:rFonts w:ascii="Arial" w:eastAsia="Times New Roman" w:hAnsi="Arial" w:cs="Arial"/>
          <w:color w:val="0A0A0A"/>
          <w:sz w:val="20"/>
          <w:szCs w:val="20"/>
          <w:lang w:val="en-US" w:eastAsia="ru-RU"/>
        </w:rPr>
        <w:t xml:space="preserve"> </w:t>
      </w:r>
      <w:r w:rsidRPr="00A209F5">
        <w:rPr>
          <w:rFonts w:ascii="Arial" w:eastAsia="Times New Roman" w:hAnsi="Arial" w:cs="Arial"/>
          <w:color w:val="0A0A0A"/>
          <w:sz w:val="20"/>
          <w:szCs w:val="20"/>
          <w:lang w:val="en-US" w:eastAsia="ru-RU"/>
        </w:rPr>
        <w:t>For a better understanding of the research, it is best to explain the synthesis of Cytostatics 1-4 in a nutshell.</w:t>
      </w:r>
    </w:p>
    <w:p w14:paraId="36194EC7" w14:textId="27BFD8D9" w:rsidR="007A519F" w:rsidRDefault="007A519F" w:rsidP="007A519F">
      <w:pPr>
        <w:rPr>
          <w:rFonts w:ascii="Arial" w:eastAsia="Times New Roman" w:hAnsi="Arial" w:cs="Arial"/>
          <w:color w:val="0A0A0A"/>
          <w:sz w:val="18"/>
          <w:szCs w:val="18"/>
          <w:lang w:val="en-US" w:eastAsia="ru-RU"/>
        </w:rPr>
      </w:pPr>
      <w:r>
        <w:rPr>
          <w:b/>
          <w:bCs/>
          <w:sz w:val="24"/>
          <w:szCs w:val="20"/>
          <w:lang w:val="en-US"/>
        </w:rPr>
        <w:t>Authors</w:t>
      </w:r>
      <w:r w:rsidRPr="007A519F">
        <w:rPr>
          <w:b/>
          <w:bCs/>
          <w:sz w:val="24"/>
          <w:szCs w:val="20"/>
          <w:lang w:val="en-US"/>
        </w:rPr>
        <w:t xml:space="preserve">' </w:t>
      </w:r>
      <w:r>
        <w:rPr>
          <w:b/>
          <w:bCs/>
          <w:sz w:val="24"/>
          <w:szCs w:val="20"/>
          <w:lang w:val="en-US"/>
        </w:rPr>
        <w:t>answer</w:t>
      </w:r>
      <w:r w:rsidRPr="007A519F">
        <w:rPr>
          <w:b/>
          <w:bCs/>
          <w:sz w:val="24"/>
          <w:szCs w:val="20"/>
          <w:lang w:val="en-US"/>
        </w:rPr>
        <w:t xml:space="preserve"> </w:t>
      </w:r>
      <w:r>
        <w:rPr>
          <w:b/>
          <w:bCs/>
          <w:sz w:val="24"/>
          <w:szCs w:val="20"/>
          <w:lang w:val="en-US"/>
        </w:rPr>
        <w:t>3</w:t>
      </w:r>
      <w:r w:rsidRPr="007A519F">
        <w:rPr>
          <w:b/>
          <w:bCs/>
          <w:sz w:val="24"/>
          <w:szCs w:val="20"/>
          <w:lang w:val="en-US"/>
        </w:rPr>
        <w:t>:</w:t>
      </w:r>
      <w:r w:rsidRPr="00CD69C0">
        <w:rPr>
          <w:rFonts w:ascii="Arial" w:eastAsia="Times New Roman" w:hAnsi="Arial" w:cs="Arial"/>
          <w:color w:val="0A0A0A"/>
          <w:sz w:val="18"/>
          <w:szCs w:val="18"/>
          <w:lang w:val="en-US" w:eastAsia="ru-RU"/>
        </w:rPr>
        <w:t> </w:t>
      </w:r>
    </w:p>
    <w:p w14:paraId="1527605D" w14:textId="35E2F176" w:rsidR="00E26504" w:rsidRPr="00E26504" w:rsidRDefault="00E26504" w:rsidP="00E26504">
      <w:pPr>
        <w:rPr>
          <w:rFonts w:ascii="Arial" w:eastAsia="Times New Roman" w:hAnsi="Arial" w:cs="Arial"/>
          <w:color w:val="0A0A0A"/>
          <w:sz w:val="18"/>
          <w:szCs w:val="18"/>
          <w:lang w:val="en-US" w:eastAsia="ru-RU"/>
        </w:rPr>
      </w:pPr>
      <w:r w:rsidRPr="004C4009">
        <w:rPr>
          <w:rFonts w:ascii="Arial" w:eastAsia="Times New Roman" w:hAnsi="Arial" w:cs="Arial"/>
          <w:color w:val="0A0A0A"/>
          <w:sz w:val="18"/>
          <w:szCs w:val="18"/>
          <w:lang w:val="en-US" w:eastAsia="ru-RU"/>
        </w:rPr>
        <w:t>Changes have been made to the manuscript.</w:t>
      </w:r>
    </w:p>
    <w:p w14:paraId="28A6082E" w14:textId="28C587DD" w:rsidR="00E26504" w:rsidRPr="00E26504" w:rsidRDefault="00E26504" w:rsidP="00E26504">
      <w:pPr>
        <w:spacing w:before="60" w:after="60" w:line="228" w:lineRule="auto"/>
        <w:contextualSpacing/>
        <w:jc w:val="both"/>
        <w:rPr>
          <w:bCs/>
          <w:sz w:val="24"/>
          <w:szCs w:val="20"/>
          <w:lang w:val="en-US"/>
        </w:rPr>
      </w:pPr>
      <w:r w:rsidRPr="00E26504">
        <w:rPr>
          <w:bCs/>
          <w:sz w:val="24"/>
          <w:szCs w:val="20"/>
          <w:lang w:val="en-US"/>
        </w:rPr>
        <w:t xml:space="preserve">Cytostatics </w:t>
      </w:r>
      <w:r w:rsidR="00176495" w:rsidRPr="00176495">
        <w:rPr>
          <w:b/>
          <w:sz w:val="24"/>
          <w:szCs w:val="20"/>
          <w:lang w:val="en-US"/>
        </w:rPr>
        <w:t xml:space="preserve">1, 2, 4 </w:t>
      </w:r>
      <w:r w:rsidRPr="00E26504">
        <w:rPr>
          <w:bCs/>
          <w:sz w:val="24"/>
          <w:szCs w:val="20"/>
          <w:lang w:val="en-US"/>
        </w:rPr>
        <w:t xml:space="preserve">(Table 1, Scheme 1) were obtained according to the techniques described by the authors earlier </w:t>
      </w:r>
      <w:r w:rsidRPr="00E26504">
        <w:rPr>
          <w:bCs/>
          <w:sz w:val="24"/>
          <w:szCs w:val="20"/>
        </w:rPr>
        <w:fldChar w:fldCharType="begin" w:fldLock="1"/>
      </w:r>
      <w:r w:rsidRPr="00E26504">
        <w:rPr>
          <w:bCs/>
          <w:sz w:val="24"/>
          <w:szCs w:val="20"/>
          <w:lang w:val="en-US"/>
        </w:rPr>
        <w:instrText xml:space="preserve">ADDIN CSL_CITATION {"citationItems":[{"id":"ITEM-1","itemData":{"DOI":"10.1016/j.bmc.2013.12.015","ISSN":"09680896","PMID":"24387982","abstract":"A series of 1,5-diaryl- and 4,5-diaryl-1,2,3-triazole derivatives of combretastatin A4 were synthesized and evaluated as antimitotic microtubule destabilizing agents using the sea urchin embryo model. Structure-activity relationship studies identified compounds substituted with 3,4,5- trimethoxyphenyl and 3,4-methylenedioxy-5-methoxyphenyl ring A and 4-methoxyphenyl ring B as potent antiproliferative agents with high cytotoxicity against a panel of human cancer cell lines including multi-drug resistant cells. 4,5-Diaryl-1,2,3-triazoles (C-C geometry) were found to be considerably more active than the respective </w:instrText>
      </w:r>
      <w:r w:rsidRPr="00E26504">
        <w:rPr>
          <w:rFonts w:hint="eastAsia"/>
          <w:bCs/>
          <w:sz w:val="24"/>
          <w:szCs w:val="20"/>
          <w:lang w:val="en-US"/>
        </w:rPr>
        <w:instrText>1,5-diaryl-1,2,3-triazoles (N-C geometry). Compound 10ad</w:instrText>
      </w:r>
      <w:r w:rsidRPr="00E26504">
        <w:rPr>
          <w:rFonts w:hint="eastAsia"/>
          <w:bCs/>
          <w:sz w:val="24"/>
          <w:szCs w:val="20"/>
          <w:lang w:val="en-US"/>
        </w:rPr>
        <w:instrText>′</w:instrText>
      </w:r>
      <w:r w:rsidRPr="00E26504">
        <w:rPr>
          <w:rFonts w:hint="eastAsia"/>
          <w:bCs/>
          <w:sz w:val="24"/>
          <w:szCs w:val="20"/>
          <w:lang w:val="en-US"/>
        </w:rPr>
        <w:instrText xml:space="preserve"> induced G2/M cell cycle arrest and apoptosis in human T-leukemia Jurkat cells via caspase 2/3/9 activation and downregulation of the antiapoptotic protein XIAP. A mitotic catastrophe has been evalu</w:instrText>
      </w:r>
      <w:r w:rsidRPr="00E26504">
        <w:rPr>
          <w:bCs/>
          <w:sz w:val="24"/>
          <w:szCs w:val="20"/>
          <w:lang w:val="en-US"/>
        </w:rPr>
        <w:instrText>ated as another possible cell death mode. © 2013 Elsevier Ltd. All rights reserved.","author":[{"dropping-particle":"V.","family":"Demchuk","given":"Dmitry","non-dropping-particle":"","parse-names":false,"suffix":""},{"dropping-particle":"V.","family":"Samet","given":"Alexander","non-dropping-particle":"","parse-names":false,"suffix":""},{"dropping-particle":"","family":"Chernysheva","given":"Natalia B.","non-dropping-particle":"","parse-names":false,"suffix":""},{"dropping-particle":"","family":"Ushkarov","given":"Vladimir I.","non-dropping-particle":"","parse-names":false,"suffix":""},{"dropping-particle":"","family":"Stashina","given":"Galina A.","non-dropping-particle":"","parse-names":false,"suffix":""},{"dropping-particle":"","family":"Konyushkin","given":"Leonid D.","non-dropping-particle":"","parse-names":false,"suffix":""},{"dropping-particle":"","family":"Raihstat","given":"Mikhail M.","non-dropping-particle":"","parse-names":false,"suffix":""},{"dropping-particle":"","family":"Firgang","given":"Sergei I.","non-dropping-particle":"","parse-names":false,"suffix":""},{"dropping-particle":"","family":"Philchenkov","given":"Alex A.","non-dropping-particle":"","parse-names":false,"suffix":""},{"dropping-particle":"","family":"Zavelevich","given":"Michael P.","non-dropping-particle":"","parse-names":false,"suffix":""},{"dropping-particle":"","family":"Kuiava","given":"Ludmila M.","non-dropping-particle":"","parse-names":false,"suffix":""},{"dropping-particle":"","family":"Chekhun","given":"Vasyl F.","non-dropping-particle":"","parse-names":false,"suffix":""},{"dropping-particle":"","family":"Blokhin","given":"Dmitry Yu","non-dropping-particle":"","parse-names":false,"suffix":""},{"dropping-particle":"","family":"Kiselyov","given":"Alex S.","non-dropping-particle":"","parse-names":false,"suffix":""},{"dropping-particle":"","family":"Semenova","given":"Marina N.","non-dropping-particle":"","parse-names":false,"suffix":""},{"dropping-particle":"V.","family":"Semenov","given":"Victor","non-dropping-particle":"","parse-names":false,"suffix":""}],"container-title":"Bioorganic and Medicinal Chemistry","id":"ITEM-1","issue":"2","issued":{"date-parts":[["2014"]]},"page":"738-755","publisher":"Elsevier Ltd","title":"Synthesis and antiproliferative activity of conformationally restricted 1,2,3-triazole analogues of combretastatins in the sea urchin embryo model and against human cancer cell lines","type":"article-journal","volume":"22"},"uris":["http://www.mendeley.com/documents/?uuid=979df0ac-7d79-4ff2-b3b4-7bad4d111c82"]},{"id":"ITEM-2","itemData":{"DOI":"10.1021/acscombsci.8b00113","ISSN":"21568944","PMID":"30452225","abstract":"A series of both novel and reported combretastatin analogues, including diarylpyrazoles, -isoxazoles, -1,2,3-triazoles, and -pyrroles, were synthesized via improved protocols to evaluate their antimitotic antitubulin activity using in vivo sea urchin embryo assay and a panel of human cancer cells. A systematic comparative structure-activity relationship studies of these compounds were conducted. Pyrazoles 1i and 1p, isoxazole 3a, and triazole 7b were found to be the most potent antimitotics across all tested compounds causing cleavage alteration of the sea urchin embryo at 1, 0.25, 1, and 0.5 nM, respectively. These agents exhibited comparable cytotoxicity against human cancer cells. Structure-activity relationship studies revealed that compounds substituted with 3,4,5-trimethoxyphenyl ring A and 4-methoxyphenyl ring B displayed the highest activity. 3-Hydroxy group in the ring B was essential for the antiproliferative activity in the diarylisoxazole series, whereas it was not required for potency of diarylpyrazoles. Isoxazoles 3 with 3,4,5-trimethoxy-substituted ring A and 3-hydroxy-4-methoxy-substituted ring B were more active than the respective pyrazoles 1. Of the azoles substituted with the same set of other aryl pharmacophores, diarylpyrazoles 1, 4,5-diarylisoxazoles 3, and 4,5-diaryl-1,2,3-triazoles 7 displayed similar strongest antimitotic antitubulin effect followed by 3,4-diarylisoxazoles 5, 1,5-diaryl-1,2,3-triazoles 8, and pyrroles 10 that showed the lowest activity. Introduction of the amino group into the heterocyclic core decreased the antimitotic antitubulin effect of pyrazoles, triazoles, and to a lesser degree of 4,5-diarylisoxazoles, whereas potency of the respective 3,4-diarylisoxazoles was increased.","author":[{"dropping-particle":"","family":"Semenova","given":"Marina N.","non-dropping-particle":"","parse-names":false,"suffix":""},{"dropping-particle":"V.","family":"Demchuk","given":"Dmitry","non-dropping-particle":"","parse-names":false,"suffix":""},{"dropping-particle":"V.","family":"Tsyganov","given":"Dmitry","non-dropping-particle":"","parse-names":false,"suffix":""},{"dropping-particle":"","family":"Chernysheva","given":"Natalia B.","non-dropping-particle":"","parse-names":false,"suffix":""},{"dropping-particle":"V.","family":"Samet","given":"Alexander","non-dropping-particle":"","parse-names":false,"suffix":""},{"dropping-particle":"","family":"Silyanova","given":"Eugenia A.","non-dropping-particle":"","parse-names":false,"suffix":""},{"dropping-particle":"","family":"Kislyi","given":"Victor P.","non-dropping-particle":"","parse-names":false,"suffix":""},{"dropping-particle":"","family":"Maksimenko","given":"Anna S.","non-dropping-particle":"","parse-names":false,"suffix":""},{"dropping-particle":"","family":"Varakutin","given":"Alexander E.","non-dropping-particle":"","parse-names":false,"suffix":""},{"dropping-particle":"","family":"Konyushkin","given":"Leonid D.","non-dropping-particle":"","parse-names":false,"suffix":""},{"dropping-particle":"","family":"Raihstat","given":"Mikhail M.","non-dropping-particle":"","parse-names":false,"suffix":""},{"dropping-particle":"","family":"Kiselyov","given":"Alex S.","non-dropping-particle":"","parse-names":false,"suffix":""},{"dropping-particle":"V.","family":"Semenov","given":"Victor","non-dropping-particle":"","parse-names":false,"suffix":""}],"container-title":"ACS Combinatorial Science","id":"ITEM-2","issue":"12","issued":{"date-parts":[["2018"]]},"page":"700-721","title":"Sea Urchin Embryo Model As a Reliable in Vivo Phenotypic Screen to Characterize Selective Antimitotic Molecules. Comparative evaluation of Combretapyrazoles, -isoxazoles, -1,2,3-triazoles, and -pyrroles as Tubulin-Binding Agents","type":"article-journal","volume":"20"},"uris":["http://www.mendeley.com/documents/?uuid=3c9d7be2-27c7-4e7f-8844-b07f5e64177e"]}],"mendeley":{"formattedCitation":"[12,42]","plainTextFormattedCitation":"[12,42]","previouslyFormattedCitation":"[12,42]"},"properties":{"noteIndex":0},"schema":"https://github.com/citation-style-language/schema/raw/master/csl-citation.json"}</w:instrText>
      </w:r>
      <w:r w:rsidRPr="00E26504">
        <w:rPr>
          <w:bCs/>
          <w:sz w:val="24"/>
          <w:szCs w:val="20"/>
        </w:rPr>
        <w:fldChar w:fldCharType="separate"/>
      </w:r>
      <w:r w:rsidRPr="00E26504">
        <w:rPr>
          <w:bCs/>
          <w:noProof/>
          <w:sz w:val="24"/>
          <w:szCs w:val="20"/>
          <w:lang w:val="en-US"/>
        </w:rPr>
        <w:t>[12,42]</w:t>
      </w:r>
      <w:r w:rsidRPr="00E26504">
        <w:rPr>
          <w:bCs/>
          <w:sz w:val="24"/>
          <w:szCs w:val="20"/>
        </w:rPr>
        <w:fldChar w:fldCharType="end"/>
      </w:r>
      <w:r w:rsidRPr="00E26504">
        <w:rPr>
          <w:bCs/>
          <w:sz w:val="24"/>
          <w:szCs w:val="20"/>
          <w:lang w:val="en-US"/>
        </w:rPr>
        <w:t>.</w:t>
      </w:r>
    </w:p>
    <w:p w14:paraId="04949ACA" w14:textId="77777777" w:rsidR="00E26504" w:rsidRPr="0052551D" w:rsidRDefault="00E26504" w:rsidP="00E26504">
      <w:pPr>
        <w:spacing w:before="60" w:after="60" w:line="228" w:lineRule="auto"/>
        <w:contextualSpacing/>
        <w:jc w:val="both"/>
        <w:rPr>
          <w:bCs/>
          <w:lang w:val="en-US"/>
        </w:rPr>
      </w:pPr>
      <w:r w:rsidRPr="00E26504">
        <w:rPr>
          <w:b/>
          <w:sz w:val="24"/>
          <w:szCs w:val="20"/>
          <w:lang w:val="en-US"/>
        </w:rPr>
        <w:t>Scheme 1.</w:t>
      </w:r>
      <w:r w:rsidRPr="00E26504">
        <w:rPr>
          <w:bCs/>
          <w:sz w:val="24"/>
          <w:szCs w:val="20"/>
          <w:lang w:val="en-US"/>
        </w:rPr>
        <w:t xml:space="preserve"> Scheme of synthesis of combretastatin derivatives. Reagents and conditions: (1) and (1’) CO(NH</w:t>
      </w:r>
      <w:r w:rsidRPr="00E26504">
        <w:rPr>
          <w:bCs/>
          <w:sz w:val="24"/>
          <w:szCs w:val="20"/>
          <w:vertAlign w:val="subscript"/>
          <w:lang w:val="en-US"/>
        </w:rPr>
        <w:t>2</w:t>
      </w:r>
      <w:r w:rsidRPr="00E26504">
        <w:rPr>
          <w:bCs/>
          <w:sz w:val="24"/>
          <w:szCs w:val="20"/>
          <w:lang w:val="en-US"/>
        </w:rPr>
        <w:t>)</w:t>
      </w:r>
      <w:r w:rsidRPr="00E26504">
        <w:rPr>
          <w:bCs/>
          <w:sz w:val="24"/>
          <w:szCs w:val="20"/>
          <w:vertAlign w:val="subscript"/>
          <w:lang w:val="en-US"/>
        </w:rPr>
        <w:t>2</w:t>
      </w:r>
      <w:r w:rsidRPr="00E26504">
        <w:rPr>
          <w:bCs/>
          <w:sz w:val="24"/>
          <w:szCs w:val="20"/>
          <w:lang w:val="en-US"/>
        </w:rPr>
        <w:t>·H</w:t>
      </w:r>
      <w:r w:rsidRPr="00E26504">
        <w:rPr>
          <w:bCs/>
          <w:sz w:val="24"/>
          <w:szCs w:val="20"/>
          <w:vertAlign w:val="subscript"/>
          <w:lang w:val="en-US"/>
        </w:rPr>
        <w:t>2</w:t>
      </w:r>
      <w:r w:rsidRPr="00E26504">
        <w:rPr>
          <w:bCs/>
          <w:sz w:val="24"/>
          <w:szCs w:val="20"/>
          <w:lang w:val="en-US"/>
        </w:rPr>
        <w:t>O</w:t>
      </w:r>
      <w:r w:rsidRPr="00E26504">
        <w:rPr>
          <w:bCs/>
          <w:sz w:val="24"/>
          <w:szCs w:val="20"/>
          <w:vertAlign w:val="subscript"/>
          <w:lang w:val="en-US"/>
        </w:rPr>
        <w:t>2</w:t>
      </w:r>
      <w:r w:rsidRPr="00E26504">
        <w:rPr>
          <w:bCs/>
          <w:sz w:val="24"/>
          <w:szCs w:val="20"/>
          <w:lang w:val="en-US"/>
        </w:rPr>
        <w:t>, CH</w:t>
      </w:r>
      <w:r w:rsidRPr="00E26504">
        <w:rPr>
          <w:bCs/>
          <w:sz w:val="24"/>
          <w:szCs w:val="20"/>
          <w:vertAlign w:val="subscript"/>
          <w:lang w:val="en-US"/>
        </w:rPr>
        <w:t>3</w:t>
      </w:r>
      <w:r w:rsidRPr="00E26504">
        <w:rPr>
          <w:bCs/>
          <w:sz w:val="24"/>
          <w:szCs w:val="20"/>
          <w:lang w:val="en-US"/>
        </w:rPr>
        <w:t>OH, reflux, 1.5 h; (2) and (2’) SOCl</w:t>
      </w:r>
      <w:r w:rsidRPr="00E26504">
        <w:rPr>
          <w:bCs/>
          <w:sz w:val="24"/>
          <w:szCs w:val="20"/>
          <w:vertAlign w:val="subscript"/>
          <w:lang w:val="en-US"/>
        </w:rPr>
        <w:t>2</w:t>
      </w:r>
      <w:r w:rsidRPr="00E26504">
        <w:rPr>
          <w:bCs/>
          <w:sz w:val="24"/>
          <w:szCs w:val="20"/>
          <w:lang w:val="en-US"/>
        </w:rPr>
        <w:t>, CH</w:t>
      </w:r>
      <w:r w:rsidRPr="00E26504">
        <w:rPr>
          <w:bCs/>
          <w:sz w:val="24"/>
          <w:szCs w:val="20"/>
          <w:vertAlign w:val="subscript"/>
          <w:lang w:val="en-US"/>
        </w:rPr>
        <w:t>2</w:t>
      </w:r>
      <w:r w:rsidRPr="00E26504">
        <w:rPr>
          <w:bCs/>
          <w:sz w:val="24"/>
          <w:szCs w:val="20"/>
          <w:lang w:val="en-US"/>
        </w:rPr>
        <w:t>Cl</w:t>
      </w:r>
      <w:r w:rsidRPr="00E26504">
        <w:rPr>
          <w:bCs/>
          <w:sz w:val="24"/>
          <w:szCs w:val="20"/>
          <w:vertAlign w:val="subscript"/>
          <w:lang w:val="en-US"/>
        </w:rPr>
        <w:t>2</w:t>
      </w:r>
      <w:r w:rsidRPr="00E26504">
        <w:rPr>
          <w:bCs/>
          <w:sz w:val="24"/>
          <w:szCs w:val="20"/>
          <w:lang w:val="en-US"/>
        </w:rPr>
        <w:t>, drops DMF, rt, overnight; (3) and (3’) SOCl</w:t>
      </w:r>
      <w:r w:rsidRPr="00E26504">
        <w:rPr>
          <w:bCs/>
          <w:sz w:val="24"/>
          <w:szCs w:val="20"/>
          <w:vertAlign w:val="subscript"/>
          <w:lang w:val="en-US"/>
        </w:rPr>
        <w:t>2</w:t>
      </w:r>
      <w:r w:rsidRPr="00E26504">
        <w:rPr>
          <w:bCs/>
          <w:sz w:val="24"/>
          <w:szCs w:val="20"/>
          <w:lang w:val="en-US"/>
        </w:rPr>
        <w:t>, C</w:t>
      </w:r>
      <w:r w:rsidRPr="00E26504">
        <w:rPr>
          <w:bCs/>
          <w:sz w:val="24"/>
          <w:szCs w:val="20"/>
          <w:vertAlign w:val="subscript"/>
          <w:lang w:val="en-US"/>
        </w:rPr>
        <w:t>6</w:t>
      </w:r>
      <w:r w:rsidRPr="00E26504">
        <w:rPr>
          <w:bCs/>
          <w:sz w:val="24"/>
          <w:szCs w:val="20"/>
          <w:lang w:val="en-US"/>
        </w:rPr>
        <w:t>H</w:t>
      </w:r>
      <w:r w:rsidRPr="00E26504">
        <w:rPr>
          <w:bCs/>
          <w:sz w:val="24"/>
          <w:szCs w:val="20"/>
          <w:vertAlign w:val="subscript"/>
          <w:lang w:val="en-US"/>
        </w:rPr>
        <w:t>6</w:t>
      </w:r>
      <w:r w:rsidRPr="00E26504">
        <w:rPr>
          <w:bCs/>
          <w:sz w:val="24"/>
          <w:szCs w:val="20"/>
          <w:lang w:val="en-US"/>
        </w:rPr>
        <w:t>, 45–50 °C, 40 min; (4) and (4’) Mg, ZnCl</w:t>
      </w:r>
      <w:r w:rsidRPr="00E26504">
        <w:rPr>
          <w:bCs/>
          <w:sz w:val="24"/>
          <w:szCs w:val="20"/>
          <w:vertAlign w:val="subscript"/>
          <w:lang w:val="en-US"/>
        </w:rPr>
        <w:t>2</w:t>
      </w:r>
      <w:r w:rsidRPr="00E26504">
        <w:rPr>
          <w:bCs/>
          <w:sz w:val="24"/>
          <w:szCs w:val="20"/>
          <w:lang w:val="en-US"/>
        </w:rPr>
        <w:t>, LiCl, THF, rt, 2h; (5) and (5’) CuCN·2LiCl, THF, –20 °C, 1 h, then rt overnight; (6)</w:t>
      </w:r>
      <w:r w:rsidRPr="00E26504">
        <w:rPr>
          <w:sz w:val="24"/>
          <w:szCs w:val="20"/>
          <w:lang w:val="en-US"/>
        </w:rPr>
        <w:t xml:space="preserve"> </w:t>
      </w:r>
      <w:r w:rsidRPr="00E26504">
        <w:rPr>
          <w:bCs/>
          <w:sz w:val="24"/>
          <w:szCs w:val="20"/>
          <w:lang w:val="en-US"/>
        </w:rPr>
        <w:t>and (6’) N,N-dimethylformamide dimethyl acetal, without solvent, 60 °C, 3h; (7) MeOH–H</w:t>
      </w:r>
      <w:r w:rsidRPr="00E26504">
        <w:rPr>
          <w:bCs/>
          <w:sz w:val="24"/>
          <w:szCs w:val="20"/>
          <w:vertAlign w:val="superscript"/>
          <w:lang w:val="en-US"/>
        </w:rPr>
        <w:t>+</w:t>
      </w:r>
      <w:r w:rsidRPr="00E26504">
        <w:rPr>
          <w:bCs/>
          <w:sz w:val="24"/>
          <w:szCs w:val="20"/>
          <w:lang w:val="en-US"/>
        </w:rPr>
        <w:t>, N</w:t>
      </w:r>
      <w:r w:rsidRPr="00E26504">
        <w:rPr>
          <w:bCs/>
          <w:sz w:val="24"/>
          <w:szCs w:val="20"/>
          <w:vertAlign w:val="subscript"/>
          <w:lang w:val="en-US"/>
        </w:rPr>
        <w:t>2</w:t>
      </w:r>
      <w:r w:rsidRPr="00E26504">
        <w:rPr>
          <w:bCs/>
          <w:sz w:val="24"/>
          <w:szCs w:val="20"/>
          <w:lang w:val="en-US"/>
        </w:rPr>
        <w:t>H</w:t>
      </w:r>
      <w:r w:rsidRPr="00E26504">
        <w:rPr>
          <w:bCs/>
          <w:sz w:val="24"/>
          <w:szCs w:val="20"/>
          <w:vertAlign w:val="subscript"/>
          <w:lang w:val="en-US"/>
        </w:rPr>
        <w:t>4</w:t>
      </w:r>
      <w:r w:rsidRPr="00E26504">
        <w:rPr>
          <w:bCs/>
          <w:sz w:val="24"/>
          <w:szCs w:val="20"/>
          <w:lang w:val="en-US"/>
        </w:rPr>
        <w:t>·2HCl, reflux, 1 h; (7’) MeOH–H</w:t>
      </w:r>
      <w:r w:rsidRPr="00E26504">
        <w:rPr>
          <w:bCs/>
          <w:sz w:val="24"/>
          <w:szCs w:val="20"/>
          <w:vertAlign w:val="superscript"/>
          <w:lang w:val="en-US"/>
        </w:rPr>
        <w:t>+</w:t>
      </w:r>
      <w:r w:rsidRPr="00E26504">
        <w:rPr>
          <w:bCs/>
          <w:sz w:val="24"/>
          <w:szCs w:val="20"/>
          <w:lang w:val="en-US"/>
        </w:rPr>
        <w:t>, NH</w:t>
      </w:r>
      <w:r w:rsidRPr="00E26504">
        <w:rPr>
          <w:bCs/>
          <w:sz w:val="24"/>
          <w:szCs w:val="20"/>
          <w:vertAlign w:val="subscript"/>
          <w:lang w:val="en-US"/>
        </w:rPr>
        <w:t>2</w:t>
      </w:r>
      <w:r w:rsidRPr="00E26504">
        <w:rPr>
          <w:bCs/>
          <w:sz w:val="24"/>
          <w:szCs w:val="20"/>
          <w:lang w:val="en-US"/>
        </w:rPr>
        <w:t>OH·HCl, reflux, 2 h. (1’’) K</w:t>
      </w:r>
      <w:r w:rsidRPr="00E26504">
        <w:rPr>
          <w:bCs/>
          <w:sz w:val="24"/>
          <w:szCs w:val="20"/>
          <w:vertAlign w:val="subscript"/>
          <w:lang w:val="en-US"/>
        </w:rPr>
        <w:t>2</w:t>
      </w:r>
      <w:r w:rsidRPr="00E26504">
        <w:rPr>
          <w:bCs/>
          <w:sz w:val="24"/>
          <w:szCs w:val="20"/>
          <w:lang w:val="en-US"/>
        </w:rPr>
        <w:t>CO</w:t>
      </w:r>
      <w:r w:rsidRPr="00E26504">
        <w:rPr>
          <w:bCs/>
          <w:sz w:val="24"/>
          <w:szCs w:val="20"/>
          <w:vertAlign w:val="subscript"/>
          <w:lang w:val="en-US"/>
        </w:rPr>
        <w:t>3</w:t>
      </w:r>
      <w:r w:rsidRPr="00E26504">
        <w:rPr>
          <w:bCs/>
          <w:sz w:val="24"/>
          <w:szCs w:val="20"/>
          <w:lang w:val="en-US"/>
        </w:rPr>
        <w:t>, MeOH, rt, 48 h; (2’’) Et</w:t>
      </w:r>
      <w:r w:rsidRPr="00E26504">
        <w:rPr>
          <w:bCs/>
          <w:sz w:val="24"/>
          <w:szCs w:val="20"/>
          <w:vertAlign w:val="subscript"/>
          <w:lang w:val="en-US"/>
        </w:rPr>
        <w:t>2</w:t>
      </w:r>
      <w:r w:rsidRPr="00E26504">
        <w:rPr>
          <w:bCs/>
          <w:sz w:val="24"/>
          <w:szCs w:val="20"/>
          <w:lang w:val="en-US"/>
        </w:rPr>
        <w:t>NH, Pd(PPh</w:t>
      </w:r>
      <w:r w:rsidRPr="00E26504">
        <w:rPr>
          <w:bCs/>
          <w:sz w:val="24"/>
          <w:szCs w:val="20"/>
          <w:vertAlign w:val="subscript"/>
          <w:lang w:val="en-US"/>
        </w:rPr>
        <w:t>3</w:t>
      </w:r>
      <w:r w:rsidRPr="00E26504">
        <w:rPr>
          <w:bCs/>
          <w:sz w:val="24"/>
          <w:szCs w:val="20"/>
          <w:lang w:val="en-US"/>
        </w:rPr>
        <w:t>)</w:t>
      </w:r>
      <w:r w:rsidRPr="00E26504">
        <w:rPr>
          <w:bCs/>
          <w:sz w:val="24"/>
          <w:szCs w:val="20"/>
          <w:vertAlign w:val="subscript"/>
          <w:lang w:val="en-US"/>
        </w:rPr>
        <w:t>4</w:t>
      </w:r>
      <w:r w:rsidRPr="00E26504">
        <w:rPr>
          <w:bCs/>
          <w:sz w:val="24"/>
          <w:szCs w:val="20"/>
          <w:lang w:val="en-US"/>
        </w:rPr>
        <w:t xml:space="preserve">, CuI, 50 °C, 2 </w:t>
      </w:r>
      <w:r w:rsidRPr="00E26504">
        <w:rPr>
          <w:bCs/>
          <w:sz w:val="24"/>
          <w:szCs w:val="20"/>
          <w:lang w:val="en-US"/>
        </w:rPr>
        <w:lastRenderedPageBreak/>
        <w:t>h, then rt, overnight; (3’’) DMF, 15000 bar, 100 °C, 7 h; (4’’) H</w:t>
      </w:r>
      <w:r w:rsidRPr="00E26504">
        <w:rPr>
          <w:bCs/>
          <w:sz w:val="24"/>
          <w:szCs w:val="20"/>
          <w:vertAlign w:val="subscript"/>
          <w:lang w:val="en-US"/>
        </w:rPr>
        <w:t>2</w:t>
      </w:r>
      <w:r w:rsidRPr="00E26504">
        <w:rPr>
          <w:bCs/>
          <w:sz w:val="24"/>
          <w:szCs w:val="20"/>
          <w:lang w:val="en-US"/>
        </w:rPr>
        <w:t>, Pd/C, MeOH, CF</w:t>
      </w:r>
      <w:r w:rsidRPr="00E26504">
        <w:rPr>
          <w:bCs/>
          <w:sz w:val="24"/>
          <w:szCs w:val="20"/>
          <w:vertAlign w:val="subscript"/>
          <w:lang w:val="en-US"/>
        </w:rPr>
        <w:t>3</w:t>
      </w:r>
      <w:r w:rsidRPr="00E26504">
        <w:rPr>
          <w:bCs/>
          <w:sz w:val="24"/>
          <w:szCs w:val="20"/>
          <w:lang w:val="en-US"/>
        </w:rPr>
        <w:t>COOH, 20 bar, 55 °C, 50 h.</w:t>
      </w:r>
    </w:p>
    <w:p w14:paraId="5402F533" w14:textId="77777777" w:rsidR="00E26504" w:rsidRPr="00FA79BF" w:rsidRDefault="00E26504" w:rsidP="00E26504">
      <w:pPr>
        <w:spacing w:before="60" w:after="60" w:line="228" w:lineRule="auto"/>
        <w:ind w:hanging="993"/>
        <w:contextualSpacing/>
        <w:rPr>
          <w:b/>
          <w:bCs/>
          <w:lang w:val="en-US"/>
        </w:rPr>
      </w:pPr>
      <w:r>
        <w:rPr>
          <w:noProof/>
        </w:rPr>
        <w:drawing>
          <wp:inline distT="0" distB="0" distL="0" distR="0" wp14:anchorId="108579C0" wp14:editId="6B9C7484">
            <wp:extent cx="6645910" cy="3031490"/>
            <wp:effectExtent l="0" t="0" r="2540" b="0"/>
            <wp:docPr id="125428646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45910" cy="3031490"/>
                    </a:xfrm>
                    <a:prstGeom prst="rect">
                      <a:avLst/>
                    </a:prstGeom>
                    <a:noFill/>
                    <a:ln>
                      <a:noFill/>
                    </a:ln>
                  </pic:spPr>
                </pic:pic>
              </a:graphicData>
            </a:graphic>
          </wp:inline>
        </w:drawing>
      </w:r>
    </w:p>
    <w:p w14:paraId="328F659F" w14:textId="77777777" w:rsidR="007A519F" w:rsidRDefault="007A519F" w:rsidP="007A519F">
      <w:pPr>
        <w:rPr>
          <w:rFonts w:ascii="Arial" w:eastAsia="Times New Roman" w:hAnsi="Arial" w:cs="Arial"/>
          <w:color w:val="0A0A0A"/>
          <w:sz w:val="18"/>
          <w:szCs w:val="18"/>
          <w:lang w:val="en-US" w:eastAsia="ru-RU"/>
        </w:rPr>
      </w:pPr>
    </w:p>
    <w:p w14:paraId="4C6B9F22" w14:textId="76217620" w:rsidR="00205317" w:rsidRPr="00205317" w:rsidRDefault="00205317" w:rsidP="007A519F">
      <w:pPr>
        <w:rPr>
          <w:b/>
          <w:bCs/>
          <w:sz w:val="24"/>
          <w:szCs w:val="20"/>
          <w:lang w:val="en-US"/>
        </w:rPr>
      </w:pPr>
      <w:r w:rsidRPr="00E91558">
        <w:rPr>
          <w:b/>
          <w:bCs/>
          <w:sz w:val="24"/>
          <w:szCs w:val="20"/>
          <w:lang w:val="en-US"/>
        </w:rPr>
        <w:t xml:space="preserve">Reviewer's question </w:t>
      </w:r>
      <w:r>
        <w:rPr>
          <w:b/>
          <w:bCs/>
          <w:sz w:val="24"/>
          <w:szCs w:val="20"/>
          <w:lang w:val="en-US"/>
        </w:rPr>
        <w:t>4</w:t>
      </w:r>
      <w:r w:rsidRPr="00E91558">
        <w:rPr>
          <w:b/>
          <w:bCs/>
          <w:sz w:val="24"/>
          <w:szCs w:val="20"/>
          <w:lang w:val="en-US"/>
        </w:rPr>
        <w:t>:</w:t>
      </w:r>
      <w:r w:rsidRPr="006F3D8A">
        <w:rPr>
          <w:rFonts w:ascii="Arial" w:eastAsia="Times New Roman" w:hAnsi="Arial" w:cs="Arial"/>
          <w:color w:val="0A0A0A"/>
          <w:sz w:val="18"/>
          <w:szCs w:val="18"/>
          <w:lang w:val="en-US" w:eastAsia="ru-RU"/>
        </w:rPr>
        <w:t> </w:t>
      </w:r>
    </w:p>
    <w:p w14:paraId="4B81FA1E" w14:textId="77777777" w:rsidR="00A209F5" w:rsidRPr="00A209F5" w:rsidRDefault="00A209F5" w:rsidP="00A209F5">
      <w:pPr>
        <w:shd w:val="clear" w:color="auto" w:fill="FEFEFE"/>
        <w:spacing w:before="100" w:beforeAutospacing="1" w:after="100" w:afterAutospacing="1"/>
        <w:jc w:val="both"/>
        <w:rPr>
          <w:rFonts w:ascii="Arial" w:eastAsia="Times New Roman" w:hAnsi="Arial" w:cs="Arial"/>
          <w:color w:val="0A0A0A"/>
          <w:sz w:val="20"/>
          <w:szCs w:val="20"/>
          <w:lang w:val="en-US" w:eastAsia="ru-RU"/>
        </w:rPr>
      </w:pPr>
      <w:r w:rsidRPr="00A209F5">
        <w:rPr>
          <w:rFonts w:ascii="Arial" w:eastAsia="Times New Roman" w:hAnsi="Arial" w:cs="Arial"/>
          <w:color w:val="0A0A0A"/>
          <w:sz w:val="20"/>
          <w:szCs w:val="20"/>
          <w:lang w:val="en-US" w:eastAsia="ru-RU"/>
        </w:rPr>
        <w:t>4. Along with the FTIR data, provide the NMR spectra to support in the formation of the Chit5-SA, Chit5-OA, Chit5-MUA, and Chit5-LA.</w:t>
      </w:r>
    </w:p>
    <w:p w14:paraId="5EDE6A4B" w14:textId="15A0B6C2" w:rsidR="00C424C0" w:rsidRDefault="00C424C0" w:rsidP="00C424C0">
      <w:pPr>
        <w:rPr>
          <w:rFonts w:ascii="Arial" w:eastAsia="Times New Roman" w:hAnsi="Arial" w:cs="Arial"/>
          <w:color w:val="0A0A0A"/>
          <w:sz w:val="18"/>
          <w:szCs w:val="18"/>
          <w:lang w:val="en-US" w:eastAsia="ru-RU"/>
        </w:rPr>
      </w:pPr>
      <w:r>
        <w:rPr>
          <w:b/>
          <w:bCs/>
          <w:sz w:val="24"/>
          <w:szCs w:val="20"/>
          <w:lang w:val="en-US"/>
        </w:rPr>
        <w:t>Authors</w:t>
      </w:r>
      <w:r w:rsidRPr="00D90DB1">
        <w:rPr>
          <w:b/>
          <w:bCs/>
          <w:sz w:val="24"/>
          <w:szCs w:val="20"/>
          <w:lang w:val="en-US"/>
        </w:rPr>
        <w:t xml:space="preserve">' </w:t>
      </w:r>
      <w:r>
        <w:rPr>
          <w:b/>
          <w:bCs/>
          <w:sz w:val="24"/>
          <w:szCs w:val="20"/>
          <w:lang w:val="en-US"/>
        </w:rPr>
        <w:t>answer</w:t>
      </w:r>
      <w:r w:rsidRPr="00D90DB1">
        <w:rPr>
          <w:b/>
          <w:bCs/>
          <w:sz w:val="24"/>
          <w:szCs w:val="20"/>
          <w:lang w:val="en-US"/>
        </w:rPr>
        <w:t xml:space="preserve"> </w:t>
      </w:r>
      <w:r>
        <w:rPr>
          <w:b/>
          <w:bCs/>
          <w:sz w:val="24"/>
          <w:szCs w:val="20"/>
          <w:lang w:val="en-US"/>
        </w:rPr>
        <w:t>4</w:t>
      </w:r>
      <w:r w:rsidRPr="00D90DB1">
        <w:rPr>
          <w:b/>
          <w:bCs/>
          <w:sz w:val="24"/>
          <w:szCs w:val="20"/>
          <w:lang w:val="en-US"/>
        </w:rPr>
        <w:t>:</w:t>
      </w:r>
    </w:p>
    <w:p w14:paraId="325A9E48" w14:textId="77777777" w:rsidR="008D3718" w:rsidRDefault="009371D4" w:rsidP="009371D4">
      <w:pPr>
        <w:spacing w:after="0"/>
        <w:jc w:val="both"/>
        <w:rPr>
          <w:sz w:val="24"/>
          <w:szCs w:val="24"/>
          <w:lang w:val="en-US" w:bidi="en-US"/>
        </w:rPr>
      </w:pPr>
      <w:r w:rsidRPr="009371D4">
        <w:rPr>
          <w:sz w:val="24"/>
          <w:szCs w:val="24"/>
          <w:lang w:val="en-US" w:bidi="en-US"/>
        </w:rPr>
        <w:t>Relevant information is provided in Supplement</w:t>
      </w:r>
    </w:p>
    <w:p w14:paraId="17584BD1" w14:textId="58F8B21D" w:rsidR="009371D4" w:rsidRPr="00940603" w:rsidRDefault="00304F77" w:rsidP="004413C5">
      <w:pPr>
        <w:spacing w:after="0"/>
        <w:jc w:val="both"/>
        <w:rPr>
          <w:i/>
        </w:rPr>
      </w:pPr>
      <w:r w:rsidRPr="008D3718">
        <w:rPr>
          <w:sz w:val="24"/>
          <w:szCs w:val="24"/>
          <w:lang w:val="en-US" w:bidi="en-US"/>
        </w:rPr>
        <w:t xml:space="preserve"> </w:t>
      </w:r>
      <w:r w:rsidR="009371D4" w:rsidRPr="004413C5">
        <w:rPr>
          <w:vertAlign w:val="superscript"/>
          <w:lang w:val="en-US"/>
        </w:rPr>
        <w:t>1</w:t>
      </w:r>
      <w:r w:rsidR="009371D4" w:rsidRPr="004413C5">
        <w:rPr>
          <w:lang w:val="en-US"/>
        </w:rPr>
        <w:t xml:space="preserve">H NMR spectra of Chit5 and Chit5 grafted with acid’s are presented in Fig. </w:t>
      </w:r>
      <w:r w:rsidR="009371D4">
        <w:t>S4</w:t>
      </w:r>
      <w:r w:rsidR="009371D4" w:rsidRPr="00940603">
        <w:t xml:space="preserve">. In the </w:t>
      </w:r>
      <w:r w:rsidR="009371D4" w:rsidRPr="00940603">
        <w:rPr>
          <w:vertAlign w:val="superscript"/>
        </w:rPr>
        <w:t>1</w:t>
      </w:r>
      <w:r w:rsidR="009371D4" w:rsidRPr="00940603">
        <w:t xml:space="preserve">H NMR spectra of Chit5 characteristic peaks (δ, ppm) are observed </w:t>
      </w:r>
      <w:r w:rsidR="009371D4">
        <w:rPr>
          <w:i/>
        </w:rPr>
        <w:fldChar w:fldCharType="begin" w:fldLock="1"/>
      </w:r>
      <w:r w:rsidR="009371D4">
        <w:instrText>ADDIN CSL_CITATION {"citationItems":[{"id":"ITEM-1","itemData":{"DOI":"10.1016/j.ejps.2020.105466","ISSN":"18790720","PMID":"32673792","abstract":"Chemical modification of chitosan derivatives with hydrophobic fatty acids to enhance their self-aggregation behavior is well established. Previously our group reported low molecular weight carboxymethyl chitosan (CMCS) which showed enhancement in apparent permeability of hydrophobic drug, tamoxifen. Further extension to this work, herein we synthesize a new polymer of oleic acid grafted low molecular weight carboxymethyl chitosan (OA-CMCS) for maneuvering biopharmaceutical performance of poorly water soluble drugs. This polymer was designed and synthesized via amidation reaction and well characterized by analytical tools like 1H-NMR and FT-IR spectroscopy. OA-CMCS conjugate easily self-organized into micelles like structure in an aqueous medium and showed a low critical micellar concentration of 1 µg/mL. Poorly water-soluble drug, docetaxel (DTX) was used as a model drug in this study. Optimization of variables resulted in the formation of spherical DTX loaded OA-CMCS micelles in the size range of 213.4 ± 9.6 nm with an entrapment efficiency of 57.26 ± 1.25%. DTX loaded OA-CMCS micelles showed slow and sustained DTX release behavior in simulated body fluid during in vitro release study. The permeability of DTX loaded OA-CMCS micelles across the gastrointestinal tract were investigated by in vitro Caco-2 cells model. The apparent permeability of DTX loaded OA-CMCS micelles improved up to 6.57-fold in comparison to free DTX suspension which indicates the increase in paracellular absorption of DTX. Additionally, in vivo pharmacokinetic study demonstrates an increase in Cmax (1.97-fold) and AUC (2.62-fold) for DTX loaded OA-CMCS micelles compared to free DTX suspension. Hence, we propose OA-CMCS as a promising cargo to incorporate drugs for enhancement of biopharmaceutical performance.","author":[{"dropping-particle":"","family":"Kumar","given":"Rahul","non-dropping-particle":"","parse-names":false,"suffix":""},{"dropping-particle":"","family":"Sirvi","given":"Arvind","non-dropping-particle":"","parse-names":false,"suffix":""},{"dropping-particle":"","family":"Kaur","given":"Shamandeep","non-dropping-particle":"","parse-names":false,"suffix":""},{"dropping-particle":"","family":"Samal","given":"Sanjaya K.","non-dropping-particle":"","parse-names":false,"suffix":""},{"dropping-particle":"","family":"Roy","given":"Sabyasachi","non-dropping-particle":"","parse-names":false,"suffix":""},{"dropping-particle":"","family":"Sangamwar","given":"Abhay T.","non-dropping-particle":"","parse-names":false,"suffix":""}],"container-title":"European Journal of Pharmaceutical Sciences","id":"ITEM-1","issue":"May","issued":{"date-parts":[["2020"]]},"page":"105466","publisher":"Elsevier","title":"Polymeric micelles based on amphiphilic oleic acid modified carboxymethyl chitosan for oral drug delivery of bcs class iv compound: Intestinal permeability and pharmacokinetic evaluation","type":"article-journal","volume":"153"},"uris":["http://www.mendeley.com/documents/?uuid=988908e1-1e21-46a3-8b95-58b8e0d4f599"]},{"id":"ITEM-2","itemData":{"DOI":"10.1016/j.jconrel.2006.10.025","ISSN":"01683659","PMID":"17166614","abstract":"Chitosans have been proposed as biocompatible alternative cationic polymers that are suitable for non-viral delivery. However, the transfection efficiency of chitosan-DNA nanoparticles is still very low. To improve transfection efficiency, we prepared chitosan-graft-polyethylenimine (CHI-g-PEI) copolymer by an imine reaction between periodate-oxidized chitosan and polyethylenimine (PEI). The molecular weight and composition of the CHI-g-PEI copolymer were characterized, using multi-angle laser scattering (GPC-MALS) and 1H nuclear magnetic resonance (1H NMR), respectively. The copolymer was complexed with plasmid DNA (pDNA) in various copolymer/DNA (N/P) charge ratios, and the complex was characterized. CHI-g-PEI showed good DNA binding ability and high protection of DNA from nuclease attack. Also, with an increase in charge ratio, the sizes of the CHI-g-PEI/DNA complex showed a tendency to decrease, whereas the zeta potential of the complex showed an increase. The CHI-g-PEI copolymer had low cytotoxicity, compared to PEI 25K from cytotoxicity assays. At high N/P ratios, the CHI-g-PEI/DNA complex showed higher transfection efficiency than PEI 25K in HeLa, 293T and HepG2 cell lines. Our results indicate that the CHI-g-PEI copolymer has potential as a gene carrier in vitro. © 2006 Elsevier B.V. All rights reserved.","author":[{"dropping-particle":"","family":"Jiang","given":"Hu Lin","non-dropping-particle":"","parse-names":false,"suffix":""},{"dropping-particle":"","family":"Kim","given":"You Kyoung","non-dropping-particle":"","parse-names":false,"suffix":""},{"dropping-particle":"","family":"Arote","given":"Rohidas","non-dropping-particle":"","parse-names":false,"suffix":""},{"dropping-particle":"","family":"Nah","given":"Jae Woon","non-dropping-particle":"","parse-names":false,"suffix":""},{"dropping-particle":"","family":"Cho","given":"Myung Haing","non-dropping-particle":"","parse-names":false,"suffix":""},{"dropping-particle":"","family":"Choi","given":"Yun Jaie","non-dropping-particle":"","parse-names":false,"suffix":""},{"dropping-particle":"","family":"Akaike","given":"Toshihiro","non-dropping-particle":"","parse-names":false,"suffix":""},{"dropping-particle":"","family":"Cho","given":"Chong Su","non-dropping-particle":"","parse-names":false,"suffix":""}],"container-title":"Journal of Controlled Release","id":"ITEM-2","issue":"2","issued":{"date-parts":[["2007"]]},"page":"273-280","title":"Chitosan-graft-polyethylenimine as a gene carrier","type":"article-journal","volume":"117"},"uris":["http://www.mendeley.com/documents/?uuid=0c296237-c51e-409a-a4a2-9efcf53f18ea"]},{"id":"ITEM-3","itemData":{"DOI":"10.1016/j.ijpharm.2009.03.033","ISSN":"03785173","PMID":"19481699","abstract":"Gene transfer using non-viral vectors is a promising approach for the safe delivery of therapeutic genes. Among non-viral vectors, chitosans have been proposed as alternative, biocompatible cationic polymers for non-viral gene delivery. However, the low transfection efficiency and low specificity of chitosan needs to be addressed prior to clinical application. In this study, mannosylated chitosan-graft-polyethylenimine (Man-CHI-g-PEI) copolymer was prepared by thiourea reaction between the isothiocyanate group of mannopyranosylphenylisothiocyanate and the amine groups of chitosan-graft-PEI (CHI-g-PEI) for targeting into antigen presenting cells (APCs) having mannose receptors. The composition and molecular weight were characterized using 1H NMR and GPC, respectively. The copolymer was complexed with plasmid DNA in various copolymer/DNA (N/P) charge ratios, and the complexes were characterized. Man-CHI-g-PEI showed good DNA binding ability and high protection of DNA from nuclease attack and had low cytotoxicity compared with PEI 25K. The transfection efficiency of Man-CHI-g-PEI/DNA complexes into the Raw 264.7 macrophage cell line, which has mannose receptors, was higher than CHI-g-PEI itself as well as PEI 25K, indicating Man-CHI-g-PEI can be used as an APCs' targeting gene delivery carrier. © 2009 Elsevier B.V. All rights reserved.","author":[{"dropping-particle":"","family":"Jiang","given":"Hu Lin","non-dropping-particle":"","parse-names":false,"suffix":""},{"dropping-particle":"","family":"Kim","given":"You Kyoung","non-dropping-particle":"","parse-names":false,"suffix":""},{"dropping-particle":"","family":"Arote","given":"Rohidas","non-dropping-particle":"","parse-names":false,"suffix":""},{"dropping-particle":"","family":"Jere","given":"Dhananjay","non-dropping-particle":"","parse-names":false,"suffix":""},{"dropping-particle":"","family":"Quan","given":"Ji Shan","non-dropping-particle":"","parse-names":false,"suffix":""},{"dropping-particle":"","family":"Yu","given":"Jia Hui","non-dropping-particle":"","parse-names":false,"suffix":""},{"dropping-particle":"","family":"Choi","given":"Yun Jaie","non-dropping-particle":"","parse-names":false,"suffix":""},{"dropping-particle":"","family":"Nah","given":"Jae Woon","non-dropping-particle":"","parse-names":false,"suffix":""},{"dropping-particle":"","family":"Cho","given":"Myung Haing","non-dropping-particle":"","parse-names":false,"suffix":""},{"dropping-particle":"","family":"Cho","given":"Chong Su","non-dropping-particle":"","parse-names":false,"suffix":""}],"container-title":"International Journal of Pharmaceutics","id":"ITEM-3","issue":"1-2","issued":{"date-parts":[["2009"]]},"page":"133-139","title":"Mannosylated chitosan-graft-polyethylenimine as a gene carrier for Raw 264.7 cell targeting","type":"article-journal","volume":"375"},"uris":["http://www.mendeley.com/documents/?uuid=8ce18d73-c7c5-4f05-acb7-3fff58f117eb"]},{"id":"ITEM-4","itemData":{"DOI":"10.1016/j.colsurfb.2006.12.006","ISSN":"09277765","PMID":"17254755","abstract":"N-Succinyl-N′-octyl chitosan (SOC) was prepared and characterized by elemental analysis, FTIR, 1H NMR, WAXD and TG. An anticancer drug, doxorubicin (DOX), was incorporated into polymeric micelles forming by SOC in aqueous solutions. Critical micelle concentrations (CMC) of SOC were determined by fluorescence spectroscopy. The DOX-loaded SOC micelles were characterized by measurement of size and drug loading. The loading content of DOX increased with increasing drug-to-carrier ratio, and the more amount of the octyl chain, the higher the drug loading content. The average size, which was affected by the amount of octyl chain and drug loading content, was in the range of 100-200 nm. The polymeric micelles containing doxorubicin in the core region exhibited a sustained release and more cytotoxic activity against HepG2, A549, BGC and K562 than doxorubicin alone, this can be attributed to an endocytosis mechanism rather than passive diffusion. © 2006 Elsevier B.V. All rights reserved.","author":[{"dropping-particle":"","family":"Xiangyang","given":"Xu","non-dropping-particle":"","parse-names":false,"suffix":""},{"dropping-particle":"","family":"Ling","given":"Li","non-dropping-particle":"","parse-names":false,"suffix":""},{"dropping-particle":"","family":"Jianping","given":"Zhou","non-dropping-particle":"","parse-names":false,"suffix":""},{"dropping-particle":"","family":"Shiyue","given":"Lu","non-dropping-particle":"","parse-names":false,"suffix":""},{"dropping-particle":"","family":"Jie","given":"Yang","non-dropping-particle":"","parse-names":false,"suffix":""},{"dropping-particle":"","family":"Xiaojin","given":"Yin","non-dropping-particle":"","parse-names":false,"suffix":""},{"dropping-particle":"","family":"Jinsheng","given":"Ren","non-dropping-particle":"","parse-names":false,"suffix":""}],"container-title":"Colloids and Surfaces B: Biointerfaces","id":"ITEM-4","issue":"2","issued":{"date-parts":[["2007"]]},"page":"222-228","title":"Preparation and characterization of N-succinyl-N′-octyl chitosan micelles as doxorubicin carriers for effective anti-tumor activity","type":"article-journal","volume":"55"},"uris":["http://www.mendeley.com/documents/?uuid=cb8c145e-dbb5-4296-9334-a745e9012fd6"]},{"id":"ITEM-5","itemData":{"DOI":"10.1016/S0144-8617(03)00090-0","ISBN":"8625359493","ISSN":"01448617","abstract":"A series of novel chitosan derivative carrying long chain alkyl groups (n = 8,10,12) as hydrophobic moieties and sulfated groups as hydrophilic moieties were synthesized. The chemical structure of chitosan derivatives were characterized by elemental analysis, FTIR, 1H NMR and 13C NMR. Some physical properties of chitosan derivative were measured by TG and WAXD. Polymeric micelles of size around 100-400 nm were formed in water from the derivative. Taxol, a water insoluble anticancer drug, was solubilized into the polymeric micelle by physical entrapment. The result shows that the taxol concentration in the N-octyl-O-sulfate chitosan (OCS1) micellar solution was 2.01 mg/ml, which was much higher than that in water (&lt;0.001 mg/ml). So N-octyl-O-sulfate chitosan (OCS1) micelle may be useful as a carrier for taxol. © 2003 Elsevier Ltd. All rights reserved.","author":[{"dropping-particle":"","family":"Zhang","given":"Can","non-dropping-particle":"","parse-names":false,"suffix":""},{"dropping-particle":"","family":"Ping","given":"Qineng","non-dropping-particle":"","parse-names":false,"suffix":""},{"dropping-particle":"","family":"Zhang","given":"Hongjuan","non-dropping-particle":"","parse-names":false,"suffix":""},{"dropping-particle":"","family":"Shen","given":"Jian","non-dropping-particle":"","parse-names":false,"suffix":""}],"container-title":"Carbohydrate Polymers","id":"ITEM-5","issue":"2","issued":{"date-parts":[["2003"]]},"page":"137-141","title":"Preparation of N-alkyl-O-sulfate chitosan derivatives and micellar solubilization of taxol","type":"article-journal","volume":"54"},"uris":["http://www.mendeley.com/documents/?uuid=403f307e-94c8-46f3-85b8-eaabc8a3c757"]}],"mendeley":{"formattedCitation":"[24,30,38,43,51]","plainTextFormattedCitation":"[24,30,38,43,51]","previouslyFormattedCitation":"[24,30,38,43,49]"},"properties":{"noteIndex":0},"schema":"https://github.com/citation-style-language/schema/raw/master/csl-citation.json"}</w:instrText>
      </w:r>
      <w:r w:rsidR="009371D4">
        <w:rPr>
          <w:i/>
        </w:rPr>
        <w:fldChar w:fldCharType="separate"/>
      </w:r>
      <w:r w:rsidR="009371D4" w:rsidRPr="00221836">
        <w:t>[24,30,38,43,51]</w:t>
      </w:r>
      <w:r w:rsidR="009371D4">
        <w:rPr>
          <w:i/>
        </w:rPr>
        <w:fldChar w:fldCharType="end"/>
      </w:r>
      <w:r w:rsidR="009371D4" w:rsidRPr="00940603">
        <w:t>: 4.22 (H1), δ = 3.23 (H2), δ = 3.79, 3.96 (H3, H4, H5, H6, H6’), δ = 2.11 (NH–C(=O)–CH</w:t>
      </w:r>
      <w:r w:rsidR="009371D4" w:rsidRPr="00940603">
        <w:rPr>
          <w:vertAlign w:val="subscript"/>
        </w:rPr>
        <w:t>3</w:t>
      </w:r>
      <w:r w:rsidR="009371D4" w:rsidRPr="00940603">
        <w:t>).</w:t>
      </w:r>
      <w:r w:rsidR="009371D4">
        <w:t xml:space="preserve"> </w:t>
      </w:r>
      <w:r w:rsidR="009371D4" w:rsidRPr="00940603">
        <w:rPr>
          <w:vertAlign w:val="superscript"/>
        </w:rPr>
        <w:t>1</w:t>
      </w:r>
      <w:r w:rsidR="009371D4" w:rsidRPr="00940603">
        <w:t xml:space="preserve">H NMR spectra of the Chit5-MUA-20 and Chit5-LA-20 (Fig. </w:t>
      </w:r>
      <w:r w:rsidR="009371D4">
        <w:t>S4</w:t>
      </w:r>
      <w:r w:rsidR="009371D4" w:rsidRPr="00940603">
        <w:t>c-d) contain both signals of two components (chitosan and acid): 1.41 (S–H of MUA), increased signals at 2.0–2.3, 1.25 were assigned to the methene hydrogen of the N-alkyl groups</w:t>
      </w:r>
      <w:r w:rsidR="009371D4">
        <w:rPr>
          <w:i/>
        </w:rPr>
        <w:fldChar w:fldCharType="begin" w:fldLock="1"/>
      </w:r>
      <w:r w:rsidR="009371D4">
        <w:instrText>ADDIN CSL_CITATION {"citationItems":[{"id":"ITEM-1","itemData":{"DOI":"10.5012/bkcs.2009.30.11.2651","ISSN":"02532964","abstract":"In borohydride-protected nanosilvers in laponite sol, the silver particles aggregate to form short chains and a dumbbell shape. The 1H NMR measurements in this study represent, to our knowledge, the first observation of proton resonances of borohydride-protected nanosilvers in aqueous solution. Borohydride on nanosilver can be exchanged with 11-mercaptoundecanoic acid (MUA) or trioctylphosphine (TOP). Transmission electron microscopy and UV-Vis spectroscopy data show that the number of aggregated silver nanoparticles decreases upon addition of aforementioned ligands due to the formation of silver MPCs (monolayer-protected clusters). Adsorption of MUA or TOP on nano-silver is confirmed through the observation of broad proton resonances of MPCs in 1H NMR spectra.","author":[{"dropping-particle":"","family":"Seo","given":"Jae Seok","non-dropping-particle":"","parse-names":false,"suffix":""},{"dropping-particle":"","family":"Son","given":"Dong Min","non-dropping-particle":"","parse-names":false,"suffix":""},{"dropping-particle":"","family":"Lee","given":"Hanna","non-dropping-particle":"","parse-names":false,"suffix":""},{"dropping-particle":"","family":"Kim","given":"Jeekwang","non-dropping-particle":"","parse-names":false,"suffix":""},{"dropping-particle":"","family":"Kim","given":"Youhyuk","non-dropping-particle":"","parse-names":false,"suffix":""}],"container-title":"Bulletin of the Korean Chemical Society","id":"ITEM-1","issue":"11","issued":{"date-parts":[["2009"]]},"page":"2651-2654","title":"The characterization of borohydride-stabilized nanosilvers in laponite sol using 1H NMR: Its Ligand exchange reactions with MUA and TOP","type":"article-journal","volume":"30"},"uris":["http://www.mendeley.com/documents/?uuid=094bbcc4-e031-41f0-a4ec-ded6ba5b4d70"]},{"id":"ITEM-2","itemData":{"DOI":"10.1016/j.saa.2008.12.004","ISSN":"13861425","PMID":"19167270","abstract":"This paper deals with the synthesis of ω-mercaptoundecanoic acid (MUA) capped silver nanoparticles (NPs) with an average size of 15 nm by citrate reduction technique and spectroscopic investigation of S-Ag interaction. We have studied the interaction of thiol with silver NPs in aqueous medium by employing UV-vis, Raman, FT-IR, and photoluminescence spectroscopy. The shifting of silver surface plasmon band in the UV-vis spectra shows the stabilization of the silver nanoparticles by MUA. The disappearance of S-H stretching in both the FT-IR and Raman spectra and the shifting of the NMR signals of the protons in close proximity to the metal center supported the existence of the S-Ag interaction in MUA capped silver NPs. The morphology of the thiol protected silver NPs was investigated by transmission electron microscopy (TEM) and was found to be distinct and spherical entities. © 2008 Elsevier B.V. All rights reserved.","author":[{"dropping-particle":"","family":"Tripathy","given":"Suraj Kumar","non-dropping-particle":"","parse-names":false,"suffix":""},{"dropping-particle":"","family":"Yu","given":"Yeon Tae","non-dropping-particle":"","parse-names":false,"suffix":""}],"container-title":"Spectrochimica Acta - Part A: Molecular and Biomolecular Spectroscopy","id":"ITEM-2","issue":"4","issued":{"date-parts":[["2009"]]},"page":"841-844","title":"Spectroscopic investigation of S-Ag interaction in ω-mercaptoundecanoic acid capped silver nanoparticles","type":"article-journal","volume":"72"},"uris":["http://www.mendeley.com/documents/?uuid=7a7770d8-17dd-4d31-b12e-0cef7a1eb3cb"]},{"id":"ITEM-3","itemData":{"DOI":"10.1002/(sici)1097-458x(199702)35:2&lt;111::aid-omr29&gt;3.3.co;2-j","ISSN":"07491581","abstract":"α-Lipoic acid (thioctic acid) was oxidized in saturated NaHCO3 solution by means of hydrogen peroxide. The resulting mixture of four structurally isomeric S-oxides (β-lipoic acids, thiosulfinates) was characterized by NMR spectroscopy without Chromatographic separation. The regio- and stereochemistry of the S-oxides were elucidated using various one- and two-dimensional NMR techniques. The spectroscopic data obtained allow the quantitative determination of the thiosulfinates based on a high-field proton NMR spectrum of the mixture. © 1997 by John Wiley &amp; Sons, Ltd.","author":[{"dropping-particle":"","family":"Müller","given":"Arndt","non-dropping-particle":"","parse-names":false,"suffix":""},{"dropping-particle":"","family":"Knaack","given":"Martin","non-dropping-particle":"","parse-names":false,"suffix":""},{"dropping-particle":"","family":"Olbrich","given":"Alfred","non-dropping-particle":"","parse-names":false,"suffix":""}],"container-title":"Magnetic Resonance in Chemistry","id":"ITEM-3","issue":"2","issued":{"date-parts":[["1997"]]},"page":"111-114","title":"NMR spectroscopic characterization of isomeric S-oxides derived from α-lipoic acid","type":"article-journal","volume":"35"},"uris":["http://www.mendeley.com/documents/?uuid=7fe2b29c-0588-4faf-8f66-addb159d2499"]}],"mendeley":{"formattedCitation":"[52–54]","plainTextFormattedCitation":"[52–54]","previouslyFormattedCitation":"[50–52]"},"properties":{"noteIndex":0},"schema":"https://github.com/citation-style-language/schema/raw/master/csl-citation.json"}</w:instrText>
      </w:r>
      <w:r w:rsidR="00000000">
        <w:rPr>
          <w:i/>
        </w:rPr>
        <w:fldChar w:fldCharType="separate"/>
      </w:r>
      <w:r w:rsidR="009371D4">
        <w:rPr>
          <w:i/>
        </w:rPr>
        <w:fldChar w:fldCharType="end"/>
      </w:r>
      <w:r w:rsidR="009371D4" w:rsidRPr="00940603">
        <w:t>. Signals 3.64 ppm (C–H near the dithiolan</w:t>
      </w:r>
      <w:r w:rsidR="009371D4">
        <w:t>e</w:t>
      </w:r>
      <w:r w:rsidR="009371D4" w:rsidRPr="00940603">
        <w:t xml:space="preserve"> fragment) and 2.3 (β-H with </w:t>
      </w:r>
      <w:r w:rsidR="009371D4">
        <w:t>relation</w:t>
      </w:r>
      <w:r w:rsidR="009371D4" w:rsidRPr="00940603">
        <w:t xml:space="preserve"> to the carboxyl group) indicate the presence of LA in the conjugat</w:t>
      </w:r>
      <w:r w:rsidR="009371D4">
        <w:t>e</w:t>
      </w:r>
      <w:r w:rsidR="009371D4" w:rsidRPr="00940603">
        <w:t>. Thus, NMR spectra confirm the structures of compounds described by the FTIR method.</w:t>
      </w:r>
    </w:p>
    <w:p w14:paraId="74EF31D9" w14:textId="77777777" w:rsidR="009371D4" w:rsidRPr="009371D4" w:rsidRDefault="009371D4" w:rsidP="009371D4">
      <w:pPr>
        <w:spacing w:after="0"/>
        <w:jc w:val="both"/>
        <w:rPr>
          <w:sz w:val="24"/>
          <w:szCs w:val="24"/>
          <w:lang w:val="en-US" w:bidi="en-US"/>
        </w:rPr>
      </w:pPr>
    </w:p>
    <w:p w14:paraId="6E00CB04" w14:textId="512E2868" w:rsidR="009371D4" w:rsidRPr="002500E2" w:rsidRDefault="009371D4" w:rsidP="009371D4">
      <w:pPr>
        <w:spacing w:after="0"/>
        <w:jc w:val="both"/>
        <w:rPr>
          <w:sz w:val="24"/>
          <w:szCs w:val="24"/>
          <w:lang w:val="en-US" w:bidi="en-US"/>
        </w:rPr>
      </w:pPr>
      <w:r w:rsidRPr="002500E2">
        <w:rPr>
          <w:b/>
          <w:bCs/>
          <w:sz w:val="24"/>
          <w:szCs w:val="24"/>
          <w:lang w:val="en-US" w:bidi="en-US"/>
        </w:rPr>
        <w:t>Figure S4.</w:t>
      </w:r>
      <w:r w:rsidRPr="002500E2">
        <w:rPr>
          <w:sz w:val="24"/>
          <w:szCs w:val="24"/>
          <w:lang w:val="en-US" w:bidi="en-US"/>
        </w:rPr>
        <w:t xml:space="preserve"> </w:t>
      </w:r>
      <w:bookmarkStart w:id="1" w:name="_Hlk131070504"/>
      <w:r w:rsidRPr="002500E2">
        <w:rPr>
          <w:sz w:val="24"/>
          <w:szCs w:val="24"/>
          <w:vertAlign w:val="superscript"/>
          <w:lang w:val="en-US" w:bidi="en-US"/>
        </w:rPr>
        <w:t>1</w:t>
      </w:r>
      <w:r w:rsidRPr="002500E2">
        <w:rPr>
          <w:sz w:val="24"/>
          <w:szCs w:val="24"/>
          <w:lang w:val="en-US" w:bidi="en-US"/>
        </w:rPr>
        <w:t xml:space="preserve">H NMR of </w:t>
      </w:r>
      <w:r>
        <w:rPr>
          <w:sz w:val="24"/>
          <w:szCs w:val="24"/>
          <w:lang w:val="en-US" w:bidi="en-US"/>
        </w:rPr>
        <w:t xml:space="preserve">(a) </w:t>
      </w:r>
      <w:r w:rsidRPr="003640E6">
        <w:rPr>
          <w:sz w:val="24"/>
          <w:szCs w:val="24"/>
          <w:lang w:val="en-US" w:bidi="en-US"/>
        </w:rPr>
        <w:t xml:space="preserve">Chit5-OA-20 non-loaded and loaded with pyrazole </w:t>
      </w:r>
      <w:r w:rsidRPr="003640E6">
        <w:rPr>
          <w:b/>
          <w:bCs/>
          <w:sz w:val="24"/>
          <w:szCs w:val="24"/>
          <w:lang w:val="en-US" w:bidi="en-US"/>
        </w:rPr>
        <w:t>1</w:t>
      </w:r>
      <w:r w:rsidRPr="003640E6">
        <w:rPr>
          <w:sz w:val="24"/>
          <w:szCs w:val="24"/>
          <w:lang w:val="en-US" w:bidi="en-US"/>
        </w:rPr>
        <w:t xml:space="preserve"> and triazole </w:t>
      </w:r>
      <w:r w:rsidRPr="003640E6">
        <w:rPr>
          <w:b/>
          <w:bCs/>
          <w:sz w:val="24"/>
          <w:szCs w:val="24"/>
          <w:lang w:val="en-US" w:bidi="en-US"/>
        </w:rPr>
        <w:t>2</w:t>
      </w:r>
      <w:bookmarkEnd w:id="1"/>
      <w:r>
        <w:rPr>
          <w:sz w:val="24"/>
          <w:szCs w:val="24"/>
          <w:lang w:val="en-US" w:bidi="en-US"/>
        </w:rPr>
        <w:t xml:space="preserve">; (b) </w:t>
      </w:r>
      <w:r w:rsidRPr="00396A1D">
        <w:rPr>
          <w:sz w:val="24"/>
          <w:szCs w:val="24"/>
          <w:lang w:val="en-US" w:bidi="en-US"/>
        </w:rPr>
        <w:t>Chit5</w:t>
      </w:r>
      <w:r>
        <w:rPr>
          <w:sz w:val="24"/>
          <w:szCs w:val="24"/>
          <w:lang w:val="en-US" w:bidi="en-US"/>
        </w:rPr>
        <w:t>, (c) Chit5-MUA-20, (d) Chit5-LA-20</w:t>
      </w:r>
      <w:r w:rsidRPr="00396A1D">
        <w:rPr>
          <w:sz w:val="24"/>
          <w:szCs w:val="24"/>
          <w:lang w:val="en-US" w:bidi="en-US"/>
        </w:rPr>
        <w:t xml:space="preserve">. </w:t>
      </w:r>
      <w:r w:rsidRPr="002500E2">
        <w:rPr>
          <w:sz w:val="24"/>
          <w:szCs w:val="24"/>
          <w:lang w:val="en-US" w:bidi="en-US"/>
        </w:rPr>
        <w:t>D</w:t>
      </w:r>
      <w:r w:rsidRPr="002500E2">
        <w:rPr>
          <w:sz w:val="24"/>
          <w:szCs w:val="24"/>
          <w:vertAlign w:val="subscript"/>
          <w:lang w:val="en-US" w:bidi="en-US"/>
        </w:rPr>
        <w:t>2</w:t>
      </w:r>
      <w:r w:rsidRPr="002500E2">
        <w:rPr>
          <w:sz w:val="24"/>
          <w:szCs w:val="24"/>
          <w:lang w:val="en-US" w:bidi="en-US"/>
        </w:rPr>
        <w:t>O. T = 25 °C.</w:t>
      </w:r>
    </w:p>
    <w:p w14:paraId="2F794626" w14:textId="77777777" w:rsidR="009371D4" w:rsidRDefault="009371D4" w:rsidP="009371D4">
      <w:pPr>
        <w:pStyle w:val="MDPI23heading3"/>
        <w:ind w:left="0"/>
        <w:rPr>
          <w:b/>
          <w:bCs/>
        </w:rPr>
      </w:pPr>
      <w:r>
        <w:rPr>
          <w:sz w:val="24"/>
          <w:szCs w:val="24"/>
        </w:rPr>
        <w:lastRenderedPageBreak/>
        <w:t>(a)</w:t>
      </w:r>
      <w:r w:rsidRPr="002500E2">
        <w:rPr>
          <w:noProof/>
          <w:sz w:val="24"/>
          <w:szCs w:val="24"/>
        </w:rPr>
        <w:drawing>
          <wp:inline distT="0" distB="0" distL="0" distR="0" wp14:anchorId="78E17BB6" wp14:editId="7D53DAA4">
            <wp:extent cx="4061147" cy="7962265"/>
            <wp:effectExtent l="0" t="0" r="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73483" cy="7986451"/>
                    </a:xfrm>
                    <a:prstGeom prst="rect">
                      <a:avLst/>
                    </a:prstGeom>
                    <a:noFill/>
                    <a:ln>
                      <a:noFill/>
                    </a:ln>
                  </pic:spPr>
                </pic:pic>
              </a:graphicData>
            </a:graphic>
          </wp:inline>
        </w:drawing>
      </w:r>
      <w:r w:rsidRPr="00396A1D">
        <w:rPr>
          <w:b/>
          <w:bCs/>
        </w:rPr>
        <w:t xml:space="preserve"> </w:t>
      </w:r>
    </w:p>
    <w:p w14:paraId="5A84F6A5" w14:textId="77777777" w:rsidR="009371D4" w:rsidRDefault="009371D4" w:rsidP="009371D4">
      <w:pPr>
        <w:pStyle w:val="MDPI23heading3"/>
        <w:ind w:left="0"/>
        <w:rPr>
          <w:b/>
          <w:bCs/>
        </w:rPr>
      </w:pPr>
      <w:r>
        <w:rPr>
          <w:b/>
          <w:bCs/>
        </w:rPr>
        <w:lastRenderedPageBreak/>
        <w:t xml:space="preserve">(b) </w:t>
      </w:r>
      <w:r>
        <w:rPr>
          <w:noProof/>
        </w:rPr>
        <w:drawing>
          <wp:inline distT="0" distB="0" distL="0" distR="0" wp14:anchorId="14F7CA94" wp14:editId="01235321">
            <wp:extent cx="5840095" cy="4397091"/>
            <wp:effectExtent l="0" t="0" r="8255" b="381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60792" cy="4412674"/>
                    </a:xfrm>
                    <a:prstGeom prst="rect">
                      <a:avLst/>
                    </a:prstGeom>
                    <a:noFill/>
                    <a:ln>
                      <a:noFill/>
                    </a:ln>
                  </pic:spPr>
                </pic:pic>
              </a:graphicData>
            </a:graphic>
          </wp:inline>
        </w:drawing>
      </w:r>
    </w:p>
    <w:p w14:paraId="39F705C9" w14:textId="77777777" w:rsidR="009371D4" w:rsidRDefault="009371D4" w:rsidP="009371D4">
      <w:pPr>
        <w:pStyle w:val="MDPI23heading3"/>
        <w:ind w:left="0"/>
        <w:rPr>
          <w:b/>
          <w:bCs/>
        </w:rPr>
      </w:pPr>
      <w:r>
        <w:rPr>
          <w:b/>
          <w:bCs/>
        </w:rPr>
        <w:t xml:space="preserve">(c) </w:t>
      </w:r>
      <w:r>
        <w:rPr>
          <w:noProof/>
        </w:rPr>
        <w:drawing>
          <wp:inline distT="0" distB="0" distL="0" distR="0" wp14:anchorId="4338D7C7" wp14:editId="76BACF5F">
            <wp:extent cx="5659756" cy="4320255"/>
            <wp:effectExtent l="0" t="0" r="0" b="444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80510" cy="4336097"/>
                    </a:xfrm>
                    <a:prstGeom prst="rect">
                      <a:avLst/>
                    </a:prstGeom>
                    <a:noFill/>
                    <a:ln>
                      <a:noFill/>
                    </a:ln>
                  </pic:spPr>
                </pic:pic>
              </a:graphicData>
            </a:graphic>
          </wp:inline>
        </w:drawing>
      </w:r>
    </w:p>
    <w:p w14:paraId="54A5D4CC" w14:textId="77777777" w:rsidR="009371D4" w:rsidRDefault="009371D4" w:rsidP="009371D4">
      <w:pPr>
        <w:pStyle w:val="MDPI23heading3"/>
        <w:ind w:left="0"/>
      </w:pPr>
      <w:r>
        <w:rPr>
          <w:b/>
          <w:bCs/>
        </w:rPr>
        <w:lastRenderedPageBreak/>
        <w:t xml:space="preserve">(d) </w:t>
      </w:r>
      <w:r>
        <w:rPr>
          <w:noProof/>
        </w:rPr>
        <w:drawing>
          <wp:inline distT="0" distB="0" distL="0" distR="0" wp14:anchorId="77B27242" wp14:editId="13D64CD5">
            <wp:extent cx="5671017" cy="4240530"/>
            <wp:effectExtent l="0" t="0" r="6350" b="762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3117" cy="4249578"/>
                    </a:xfrm>
                    <a:prstGeom prst="rect">
                      <a:avLst/>
                    </a:prstGeom>
                    <a:noFill/>
                    <a:ln>
                      <a:noFill/>
                    </a:ln>
                  </pic:spPr>
                </pic:pic>
              </a:graphicData>
            </a:graphic>
          </wp:inline>
        </w:drawing>
      </w:r>
    </w:p>
    <w:p w14:paraId="5BCDEC36" w14:textId="77777777" w:rsidR="00C424C0" w:rsidRPr="009371D4" w:rsidRDefault="00C424C0" w:rsidP="00C424C0">
      <w:pPr>
        <w:rPr>
          <w:rFonts w:ascii="Arial" w:eastAsia="Times New Roman" w:hAnsi="Arial" w:cs="Arial"/>
          <w:color w:val="0A0A0A"/>
          <w:sz w:val="18"/>
          <w:szCs w:val="18"/>
          <w:lang w:val="en-US" w:eastAsia="ru-RU"/>
        </w:rPr>
      </w:pPr>
    </w:p>
    <w:p w14:paraId="13489A6B" w14:textId="5D22529F" w:rsidR="00205317" w:rsidRPr="00205317" w:rsidRDefault="00205317" w:rsidP="00205317">
      <w:pPr>
        <w:rPr>
          <w:b/>
          <w:bCs/>
          <w:sz w:val="24"/>
          <w:szCs w:val="20"/>
          <w:lang w:val="en-US"/>
        </w:rPr>
      </w:pPr>
      <w:r w:rsidRPr="00E91558">
        <w:rPr>
          <w:b/>
          <w:bCs/>
          <w:sz w:val="24"/>
          <w:szCs w:val="20"/>
          <w:lang w:val="en-US"/>
        </w:rPr>
        <w:t xml:space="preserve">Reviewer's question </w:t>
      </w:r>
      <w:r>
        <w:rPr>
          <w:b/>
          <w:bCs/>
          <w:sz w:val="24"/>
          <w:szCs w:val="20"/>
          <w:lang w:val="en-US"/>
        </w:rPr>
        <w:t>5</w:t>
      </w:r>
      <w:r w:rsidRPr="00E91558">
        <w:rPr>
          <w:b/>
          <w:bCs/>
          <w:sz w:val="24"/>
          <w:szCs w:val="20"/>
          <w:lang w:val="en-US"/>
        </w:rPr>
        <w:t>:</w:t>
      </w:r>
      <w:r w:rsidRPr="006F3D8A">
        <w:rPr>
          <w:rFonts w:ascii="Arial" w:eastAsia="Times New Roman" w:hAnsi="Arial" w:cs="Arial"/>
          <w:color w:val="0A0A0A"/>
          <w:sz w:val="18"/>
          <w:szCs w:val="18"/>
          <w:lang w:val="en-US" w:eastAsia="ru-RU"/>
        </w:rPr>
        <w:t> </w:t>
      </w:r>
    </w:p>
    <w:p w14:paraId="54653647" w14:textId="77777777" w:rsidR="00A209F5" w:rsidRPr="00A209F5" w:rsidRDefault="00A209F5" w:rsidP="00A209F5">
      <w:pPr>
        <w:shd w:val="clear" w:color="auto" w:fill="FEFEFE"/>
        <w:spacing w:before="100" w:beforeAutospacing="1" w:after="100" w:afterAutospacing="1"/>
        <w:jc w:val="both"/>
        <w:rPr>
          <w:rFonts w:ascii="Arial" w:eastAsia="Times New Roman" w:hAnsi="Arial" w:cs="Arial"/>
          <w:color w:val="0A0A0A"/>
          <w:sz w:val="20"/>
          <w:szCs w:val="20"/>
          <w:lang w:val="en-US" w:eastAsia="ru-RU"/>
        </w:rPr>
      </w:pPr>
      <w:r w:rsidRPr="00A209F5">
        <w:rPr>
          <w:rFonts w:ascii="Arial" w:eastAsia="Times New Roman" w:hAnsi="Arial" w:cs="Arial"/>
          <w:color w:val="0A0A0A"/>
          <w:sz w:val="20"/>
          <w:szCs w:val="20"/>
          <w:lang w:val="en-US" w:eastAsia="ru-RU"/>
        </w:rPr>
        <w:t>5. In section 2.4, authors should provide the concentration range of the micelles formulation for the MTT experiment.</w:t>
      </w:r>
    </w:p>
    <w:p w14:paraId="5D3E3020" w14:textId="02E3D2E2" w:rsidR="00614279" w:rsidRPr="004413C5" w:rsidRDefault="00614279" w:rsidP="00614279">
      <w:pPr>
        <w:rPr>
          <w:b/>
          <w:bCs/>
          <w:sz w:val="24"/>
          <w:szCs w:val="24"/>
          <w:lang w:val="en-US"/>
        </w:rPr>
      </w:pPr>
      <w:r w:rsidRPr="004413C5">
        <w:rPr>
          <w:b/>
          <w:bCs/>
          <w:sz w:val="24"/>
          <w:szCs w:val="24"/>
          <w:lang w:val="en-US"/>
        </w:rPr>
        <w:t>Authors' answer 5:</w:t>
      </w:r>
    </w:p>
    <w:p w14:paraId="7BD32A47" w14:textId="77777777" w:rsidR="008D3718" w:rsidRPr="004413C5" w:rsidRDefault="008D3718" w:rsidP="008D3718">
      <w:pPr>
        <w:rPr>
          <w:rFonts w:ascii="Arial" w:eastAsia="Times New Roman" w:hAnsi="Arial" w:cs="Arial"/>
          <w:color w:val="0A0A0A"/>
          <w:sz w:val="24"/>
          <w:szCs w:val="24"/>
          <w:lang w:val="en-US" w:eastAsia="ru-RU"/>
        </w:rPr>
      </w:pPr>
      <w:r w:rsidRPr="004413C5">
        <w:rPr>
          <w:rFonts w:ascii="Arial" w:eastAsia="Times New Roman" w:hAnsi="Arial" w:cs="Arial"/>
          <w:color w:val="0A0A0A"/>
          <w:sz w:val="24"/>
          <w:szCs w:val="24"/>
          <w:lang w:val="en-US" w:eastAsia="ru-RU"/>
        </w:rPr>
        <w:t>Changes have been made to the manuscript.</w:t>
      </w:r>
    </w:p>
    <w:p w14:paraId="41E75970" w14:textId="0A246DDE" w:rsidR="00614279" w:rsidRPr="004413C5" w:rsidRDefault="00614279" w:rsidP="00614279">
      <w:pPr>
        <w:rPr>
          <w:rFonts w:ascii="Arial" w:eastAsia="Times New Roman" w:hAnsi="Arial" w:cs="Arial"/>
          <w:color w:val="0A0A0A"/>
          <w:sz w:val="24"/>
          <w:szCs w:val="24"/>
          <w:lang w:val="en-US" w:eastAsia="ru-RU"/>
        </w:rPr>
      </w:pPr>
      <w:r w:rsidRPr="004413C5">
        <w:rPr>
          <w:rFonts w:ascii="Arial" w:eastAsia="Times New Roman" w:hAnsi="Arial" w:cs="Arial"/>
          <w:color w:val="0A0A0A"/>
          <w:sz w:val="24"/>
          <w:szCs w:val="24"/>
          <w:lang w:val="en-US" w:eastAsia="ru-RU"/>
        </w:rPr>
        <w:t>To test acute toxicity, cells were cultivated for 72 h in a V-bottom 96-well plate (TPP, Trasadingen, Switzerland) in the presence of cytostatics</w:t>
      </w:r>
      <w:r w:rsidRPr="004413C5">
        <w:rPr>
          <w:rFonts w:ascii="Arial" w:eastAsia="Times New Roman" w:hAnsi="Arial" w:cs="Arial"/>
          <w:b/>
          <w:color w:val="0A0A0A"/>
          <w:sz w:val="24"/>
          <w:szCs w:val="24"/>
          <w:lang w:val="en-US" w:eastAsia="ru-RU"/>
        </w:rPr>
        <w:t xml:space="preserve"> (concentration range is 3 nM – 0.3 mM in micelles 1:1 w/w, 3 nM – </w:t>
      </w:r>
      <w:r w:rsidR="004413C5" w:rsidRPr="004413C5">
        <w:rPr>
          <w:rFonts w:ascii="Arial" w:eastAsia="Times New Roman" w:hAnsi="Arial" w:cs="Arial"/>
          <w:b/>
          <w:color w:val="0A0A0A"/>
          <w:sz w:val="24"/>
          <w:szCs w:val="24"/>
          <w:lang w:val="en-US" w:eastAsia="ru-RU"/>
        </w:rPr>
        <w:t>1</w:t>
      </w:r>
      <w:r w:rsidRPr="004413C5">
        <w:rPr>
          <w:rFonts w:ascii="Arial" w:eastAsia="Times New Roman" w:hAnsi="Arial" w:cs="Arial"/>
          <w:b/>
          <w:color w:val="0A0A0A"/>
          <w:sz w:val="24"/>
          <w:szCs w:val="24"/>
          <w:lang w:val="en-US" w:eastAsia="ru-RU"/>
        </w:rPr>
        <w:t xml:space="preserve"> mM for free cytostatics)</w:t>
      </w:r>
    </w:p>
    <w:p w14:paraId="08C88C23" w14:textId="00CA7CD5" w:rsidR="00205317" w:rsidRPr="004413C5" w:rsidRDefault="00205317" w:rsidP="00205317">
      <w:pPr>
        <w:rPr>
          <w:b/>
          <w:bCs/>
          <w:sz w:val="24"/>
          <w:szCs w:val="24"/>
          <w:lang w:val="en-US"/>
        </w:rPr>
      </w:pPr>
      <w:r w:rsidRPr="004413C5">
        <w:rPr>
          <w:b/>
          <w:bCs/>
          <w:sz w:val="24"/>
          <w:szCs w:val="24"/>
          <w:lang w:val="en-US"/>
        </w:rPr>
        <w:t>Reviewer's question 6:</w:t>
      </w:r>
      <w:r w:rsidRPr="004413C5">
        <w:rPr>
          <w:rFonts w:ascii="Arial" w:eastAsia="Times New Roman" w:hAnsi="Arial" w:cs="Arial"/>
          <w:color w:val="0A0A0A"/>
          <w:sz w:val="24"/>
          <w:szCs w:val="24"/>
          <w:lang w:val="en-US" w:eastAsia="ru-RU"/>
        </w:rPr>
        <w:t> </w:t>
      </w:r>
    </w:p>
    <w:p w14:paraId="49E01DE1" w14:textId="77777777" w:rsidR="00A209F5" w:rsidRPr="004413C5" w:rsidRDefault="00A209F5" w:rsidP="00A209F5">
      <w:pPr>
        <w:shd w:val="clear" w:color="auto" w:fill="FEFEFE"/>
        <w:spacing w:before="100" w:beforeAutospacing="1" w:after="100" w:afterAutospacing="1"/>
        <w:jc w:val="both"/>
        <w:rPr>
          <w:rFonts w:ascii="Arial" w:eastAsia="Times New Roman" w:hAnsi="Arial" w:cs="Arial"/>
          <w:color w:val="0A0A0A"/>
          <w:sz w:val="24"/>
          <w:szCs w:val="24"/>
          <w:lang w:val="en-US" w:eastAsia="ru-RU"/>
        </w:rPr>
      </w:pPr>
      <w:r w:rsidRPr="004413C5">
        <w:rPr>
          <w:rFonts w:ascii="Arial" w:eastAsia="Times New Roman" w:hAnsi="Arial" w:cs="Arial"/>
          <w:color w:val="0A0A0A"/>
          <w:sz w:val="24"/>
          <w:szCs w:val="24"/>
          <w:lang w:val="en-US" w:eastAsia="ru-RU"/>
        </w:rPr>
        <w:t>6. In section 2.5, authors should provide brief descriptions of the FTIR spectroscopy investigation of pharmacological activities on A549 and HEK293T cells.</w:t>
      </w:r>
    </w:p>
    <w:p w14:paraId="791DD97A" w14:textId="211ABA38" w:rsidR="00614279" w:rsidRPr="004413C5" w:rsidRDefault="00614279" w:rsidP="00614279">
      <w:pPr>
        <w:rPr>
          <w:b/>
          <w:bCs/>
          <w:sz w:val="24"/>
          <w:szCs w:val="24"/>
          <w:lang w:val="en-US"/>
        </w:rPr>
      </w:pPr>
      <w:r w:rsidRPr="004413C5">
        <w:rPr>
          <w:b/>
          <w:bCs/>
          <w:sz w:val="24"/>
          <w:szCs w:val="24"/>
          <w:lang w:val="en-US"/>
        </w:rPr>
        <w:t>Authors' answer 6:</w:t>
      </w:r>
    </w:p>
    <w:p w14:paraId="6F09D9B4" w14:textId="77777777" w:rsidR="008D3718" w:rsidRPr="004413C5" w:rsidRDefault="008D3718" w:rsidP="008D3718">
      <w:pPr>
        <w:rPr>
          <w:rFonts w:ascii="Arial" w:eastAsia="Times New Roman" w:hAnsi="Arial" w:cs="Arial"/>
          <w:color w:val="0A0A0A"/>
          <w:sz w:val="24"/>
          <w:szCs w:val="24"/>
          <w:lang w:val="en-US" w:eastAsia="ru-RU"/>
        </w:rPr>
      </w:pPr>
      <w:bookmarkStart w:id="2" w:name="_Hlk125929216"/>
      <w:r w:rsidRPr="004413C5">
        <w:rPr>
          <w:rFonts w:ascii="Arial" w:eastAsia="Times New Roman" w:hAnsi="Arial" w:cs="Arial"/>
          <w:color w:val="0A0A0A"/>
          <w:sz w:val="24"/>
          <w:szCs w:val="24"/>
          <w:lang w:val="en-US" w:eastAsia="ru-RU"/>
        </w:rPr>
        <w:t>Changes have been made to the manuscript.</w:t>
      </w:r>
    </w:p>
    <w:p w14:paraId="0830810B" w14:textId="6CBA623C" w:rsidR="009A2269" w:rsidRPr="00940603" w:rsidRDefault="009A2269" w:rsidP="009A2269">
      <w:pPr>
        <w:pStyle w:val="MDPI31text"/>
        <w:ind w:left="0" w:firstLine="0"/>
        <w:rPr>
          <w:lang w:val="en-US"/>
        </w:rPr>
      </w:pPr>
      <w:r w:rsidRPr="004413C5">
        <w:rPr>
          <w:sz w:val="24"/>
          <w:szCs w:val="24"/>
          <w:lang w:val="en-US"/>
        </w:rPr>
        <w:t xml:space="preserve">ATR-FTIR spectra of cells samples suspension were recorded using a Bruker Tensor 27 spectrometer equipped with a liquid nitrogen-cooled MCT (mercury cadmium telluride) detector as earlier described </w:t>
      </w:r>
      <w:r w:rsidRPr="004413C5">
        <w:rPr>
          <w:sz w:val="24"/>
          <w:szCs w:val="24"/>
        </w:rPr>
        <w:fldChar w:fldCharType="begin" w:fldLock="1"/>
      </w:r>
      <w:r w:rsidRPr="004413C5">
        <w:rPr>
          <w:sz w:val="24"/>
          <w:szCs w:val="24"/>
          <w:lang w:val="en-US"/>
        </w:rPr>
        <w:instrText>ADDIN CSL_CITATION {"citationItems":[{"id":"ITEM-1","itemData":{"author":[{"dropping-particle":"","family":"Zlotnikov","given":"Igor D","non-dropping-particle":"","parse-names":false,"suffix":""},{"dropping-particle":"","family":"Ezhov","given":"Alexander A","non-dropping-particle":"","parse-names":false,"suffix":""},{"dropping-particle":"","family":"Vigovskiy","given":"Maksim A","non-dropping-particle":"","parse-names":false,"suffix":""},{"dropping-particle":"","family":"Grigorieva","given":"Olga A","non-dropping-particle":"","parse-names":false,"suffix":""},{"dropping-particle":"","family":"Dyachkova","given":"Uliana D","non-dropping-particle":"","parse-names":false,"suffix":""},{"dropping-particle":"","family":"Belogurova","given":"Natalia G","non-dropping-particle":"","parse-names":false,"suffix":""},{"dropping-particle":"V","family":"Kudryashova","given":"Elena","non-dropping-particle":"","parse-names":false,"suffix":""}],"id":"ITEM-1","issued":{"date-parts":[["2023"]]},"page":"1-23","title":"Application Prospects of FTIR Spectroscopy and CLSM to Monitor the Drugs Interaction with Bacteria Cells Localized in Macrophages for Diagnosis and Treatment Control of Respiratory Diseases","type":"article-journal"},"uris":["http://www.mendeley.com/documents/?uuid=0709e4a2-8d4f-49cf-91a3-c7f1d08f6c76"]}],"mendeley":{"formattedCitation":"[45]","plainTextFormattedCitation":"[45]","previouslyFormattedCitation":"[45]"},"properties":{"noteIndex":0},"schema":"https://github.com/citation-style-language/schema/raw/master/csl-citation.json"}</w:instrText>
      </w:r>
      <w:r w:rsidRPr="004413C5">
        <w:rPr>
          <w:sz w:val="24"/>
          <w:szCs w:val="24"/>
        </w:rPr>
        <w:fldChar w:fldCharType="separate"/>
      </w:r>
      <w:r w:rsidRPr="004413C5">
        <w:rPr>
          <w:noProof/>
          <w:sz w:val="24"/>
          <w:szCs w:val="24"/>
          <w:lang w:val="en-US"/>
        </w:rPr>
        <w:t>[45]</w:t>
      </w:r>
      <w:r w:rsidRPr="004413C5">
        <w:rPr>
          <w:sz w:val="24"/>
          <w:szCs w:val="24"/>
        </w:rPr>
        <w:fldChar w:fldCharType="end"/>
      </w:r>
      <w:r w:rsidRPr="004413C5">
        <w:rPr>
          <w:sz w:val="24"/>
          <w:szCs w:val="24"/>
          <w:lang w:val="en-US"/>
        </w:rPr>
        <w:t>.</w:t>
      </w:r>
      <w:bookmarkEnd w:id="2"/>
      <w:r w:rsidRPr="004413C5">
        <w:rPr>
          <w:sz w:val="24"/>
          <w:szCs w:val="24"/>
          <w:lang w:val="en-US"/>
        </w:rPr>
        <w:t xml:space="preserve"> </w:t>
      </w:r>
      <w:r w:rsidRPr="004413C5">
        <w:rPr>
          <w:iCs/>
          <w:sz w:val="24"/>
          <w:szCs w:val="24"/>
          <w:lang w:val="en-US"/>
        </w:rPr>
        <w:t>A549 or HEK293T</w:t>
      </w:r>
      <w:r w:rsidRPr="004413C5">
        <w:rPr>
          <w:sz w:val="24"/>
          <w:szCs w:val="24"/>
          <w:lang w:val="en-US"/>
        </w:rPr>
        <w:t xml:space="preserve"> cell’s suspensions (2×10</w:t>
      </w:r>
      <w:r w:rsidRPr="004413C5">
        <w:rPr>
          <w:sz w:val="24"/>
          <w:szCs w:val="24"/>
          <w:vertAlign w:val="superscript"/>
          <w:lang w:val="en-US"/>
        </w:rPr>
        <w:t>6</w:t>
      </w:r>
      <w:r w:rsidRPr="004413C5">
        <w:rPr>
          <w:sz w:val="24"/>
          <w:szCs w:val="24"/>
          <w:lang w:val="en-US"/>
        </w:rPr>
        <w:t xml:space="preserve"> cells/mL) were washed twice with sterile PBS (pH = 7.4) from the culture medium by centrifuging (Eppendorf centrifuge 5415C, 5 min, 1,000×g). The cells are precipitated by centrifugation and separated from the supernatant, washed twice and resuspended in PBS (5×10</w:t>
      </w:r>
      <w:r w:rsidRPr="004413C5">
        <w:rPr>
          <w:sz w:val="24"/>
          <w:szCs w:val="24"/>
          <w:vertAlign w:val="superscript"/>
          <w:lang w:val="en-US"/>
        </w:rPr>
        <w:t>6</w:t>
      </w:r>
      <w:r w:rsidRPr="004413C5">
        <w:rPr>
          <w:sz w:val="24"/>
          <w:szCs w:val="24"/>
          <w:lang w:val="en-US"/>
        </w:rPr>
        <w:t xml:space="preserve"> </w:t>
      </w:r>
      <w:r w:rsidRPr="004413C5">
        <w:rPr>
          <w:sz w:val="24"/>
          <w:szCs w:val="24"/>
          <w:lang w:val="en-US"/>
        </w:rPr>
        <w:lastRenderedPageBreak/>
        <w:t>cells/mL) to register FTIR spectra. Cell suspensions were incubated with cytostatic-containing samples and FTIR spectra were registered at 37 °C online or</w:t>
      </w:r>
      <w:bookmarkStart w:id="3" w:name="_Hlk125837087"/>
      <w:r w:rsidRPr="004413C5">
        <w:rPr>
          <w:sz w:val="24"/>
          <w:szCs w:val="24"/>
          <w:lang w:val="en-US"/>
        </w:rPr>
        <w:t xml:space="preserve"> after incubation. To quantify absorbed cytostatic the cells were precipitated by centrifugation and separated from the supernatant, washed twice and resuspended in 50 µL PBS to register FTIR spectra</w:t>
      </w:r>
      <w:bookmarkEnd w:id="3"/>
      <w:r w:rsidRPr="004413C5">
        <w:rPr>
          <w:sz w:val="24"/>
          <w:szCs w:val="24"/>
          <w:lang w:val="en-US"/>
        </w:rPr>
        <w:t>. The supernatant was separated to determine the amounts of unabsorbed substances</w:t>
      </w:r>
      <w:r w:rsidRPr="00940603">
        <w:rPr>
          <w:lang w:val="en-US"/>
        </w:rPr>
        <w:t>.</w:t>
      </w:r>
    </w:p>
    <w:p w14:paraId="7C1336F6" w14:textId="77777777" w:rsidR="009A2269" w:rsidRDefault="009A2269" w:rsidP="00614279">
      <w:pPr>
        <w:rPr>
          <w:rFonts w:ascii="Arial" w:eastAsia="Times New Roman" w:hAnsi="Arial" w:cs="Arial"/>
          <w:color w:val="0A0A0A"/>
          <w:sz w:val="18"/>
          <w:szCs w:val="18"/>
          <w:lang w:val="en-US" w:eastAsia="ru-RU"/>
        </w:rPr>
      </w:pPr>
    </w:p>
    <w:p w14:paraId="7323B92A" w14:textId="18E76E8E" w:rsidR="00205317" w:rsidRPr="00205317" w:rsidRDefault="00205317" w:rsidP="00205317">
      <w:pPr>
        <w:rPr>
          <w:b/>
          <w:bCs/>
          <w:sz w:val="24"/>
          <w:szCs w:val="20"/>
          <w:lang w:val="en-US"/>
        </w:rPr>
      </w:pPr>
      <w:r w:rsidRPr="00E91558">
        <w:rPr>
          <w:b/>
          <w:bCs/>
          <w:sz w:val="24"/>
          <w:szCs w:val="20"/>
          <w:lang w:val="en-US"/>
        </w:rPr>
        <w:t xml:space="preserve">Reviewer's question </w:t>
      </w:r>
      <w:r>
        <w:rPr>
          <w:b/>
          <w:bCs/>
          <w:sz w:val="24"/>
          <w:szCs w:val="20"/>
          <w:lang w:val="en-US"/>
        </w:rPr>
        <w:t>7</w:t>
      </w:r>
      <w:r w:rsidRPr="00E91558">
        <w:rPr>
          <w:b/>
          <w:bCs/>
          <w:sz w:val="24"/>
          <w:szCs w:val="20"/>
          <w:lang w:val="en-US"/>
        </w:rPr>
        <w:t>:</w:t>
      </w:r>
      <w:r w:rsidRPr="006F3D8A">
        <w:rPr>
          <w:rFonts w:ascii="Arial" w:eastAsia="Times New Roman" w:hAnsi="Arial" w:cs="Arial"/>
          <w:color w:val="0A0A0A"/>
          <w:sz w:val="18"/>
          <w:szCs w:val="18"/>
          <w:lang w:val="en-US" w:eastAsia="ru-RU"/>
        </w:rPr>
        <w:t> </w:t>
      </w:r>
    </w:p>
    <w:p w14:paraId="35E723A5" w14:textId="77777777" w:rsidR="00A209F5" w:rsidRPr="00A209F5" w:rsidRDefault="00A209F5" w:rsidP="00A209F5">
      <w:pPr>
        <w:shd w:val="clear" w:color="auto" w:fill="FEFEFE"/>
        <w:spacing w:before="100" w:beforeAutospacing="1" w:after="100" w:afterAutospacing="1"/>
        <w:jc w:val="both"/>
        <w:rPr>
          <w:rFonts w:ascii="Arial" w:eastAsia="Times New Roman" w:hAnsi="Arial" w:cs="Arial"/>
          <w:color w:val="0A0A0A"/>
          <w:sz w:val="20"/>
          <w:szCs w:val="20"/>
          <w:lang w:val="en-US" w:eastAsia="ru-RU"/>
        </w:rPr>
      </w:pPr>
      <w:r w:rsidRPr="00A209F5">
        <w:rPr>
          <w:rFonts w:ascii="Arial" w:eastAsia="Times New Roman" w:hAnsi="Arial" w:cs="Arial"/>
          <w:color w:val="0A0A0A"/>
          <w:sz w:val="20"/>
          <w:szCs w:val="20"/>
          <w:lang w:val="en-US" w:eastAsia="ru-RU"/>
        </w:rPr>
        <w:t>7. “The excitation and emission wavelength ranges were selected by Olympus U-MNB2 and U-MWG2 fluorescence mirror units for blue and green excitation light respectively”. Section 2.6 requires the wavelength.</w:t>
      </w:r>
    </w:p>
    <w:p w14:paraId="19530F1C" w14:textId="2B4349D1" w:rsidR="00DA4965" w:rsidRPr="00D90DB1" w:rsidRDefault="00DA4965" w:rsidP="00DA4965">
      <w:pPr>
        <w:rPr>
          <w:b/>
          <w:bCs/>
          <w:sz w:val="24"/>
          <w:szCs w:val="20"/>
          <w:lang w:val="en-US"/>
        </w:rPr>
      </w:pPr>
      <w:r>
        <w:rPr>
          <w:b/>
          <w:bCs/>
          <w:sz w:val="24"/>
          <w:szCs w:val="20"/>
          <w:lang w:val="en-US"/>
        </w:rPr>
        <w:t>Authors</w:t>
      </w:r>
      <w:r w:rsidRPr="00D90DB1">
        <w:rPr>
          <w:b/>
          <w:bCs/>
          <w:sz w:val="24"/>
          <w:szCs w:val="20"/>
          <w:lang w:val="en-US"/>
        </w:rPr>
        <w:t xml:space="preserve">' </w:t>
      </w:r>
      <w:r>
        <w:rPr>
          <w:b/>
          <w:bCs/>
          <w:sz w:val="24"/>
          <w:szCs w:val="20"/>
          <w:lang w:val="en-US"/>
        </w:rPr>
        <w:t>answer</w:t>
      </w:r>
      <w:r w:rsidRPr="00D90DB1">
        <w:rPr>
          <w:b/>
          <w:bCs/>
          <w:sz w:val="24"/>
          <w:szCs w:val="20"/>
          <w:lang w:val="en-US"/>
        </w:rPr>
        <w:t xml:space="preserve"> </w:t>
      </w:r>
      <w:r>
        <w:rPr>
          <w:b/>
          <w:bCs/>
          <w:sz w:val="24"/>
          <w:szCs w:val="20"/>
          <w:lang w:val="en-US"/>
        </w:rPr>
        <w:t>7</w:t>
      </w:r>
      <w:r w:rsidRPr="00D90DB1">
        <w:rPr>
          <w:b/>
          <w:bCs/>
          <w:sz w:val="24"/>
          <w:szCs w:val="20"/>
          <w:lang w:val="en-US"/>
        </w:rPr>
        <w:t>:</w:t>
      </w:r>
    </w:p>
    <w:p w14:paraId="7AA728C9" w14:textId="0DAB2FF4" w:rsidR="008D3718" w:rsidRPr="008D3718" w:rsidRDefault="00DA4965" w:rsidP="008D3718">
      <w:pPr>
        <w:spacing w:after="0"/>
        <w:jc w:val="both"/>
        <w:rPr>
          <w:rFonts w:cs="Times New Roman"/>
          <w:bCs/>
          <w:sz w:val="24"/>
          <w:szCs w:val="24"/>
          <w:lang w:val="en-US"/>
        </w:rPr>
      </w:pPr>
      <w:r w:rsidRPr="002500E2">
        <w:rPr>
          <w:b/>
          <w:sz w:val="24"/>
          <w:szCs w:val="24"/>
          <w:lang w:val="en-US"/>
        </w:rPr>
        <w:t>Figure</w:t>
      </w:r>
      <w:r w:rsidRPr="00DA4965">
        <w:rPr>
          <w:b/>
          <w:sz w:val="24"/>
          <w:szCs w:val="24"/>
          <w:lang w:val="en-US"/>
        </w:rPr>
        <w:t xml:space="preserve"> </w:t>
      </w:r>
      <w:r w:rsidRPr="002500E2">
        <w:rPr>
          <w:b/>
          <w:sz w:val="24"/>
          <w:szCs w:val="24"/>
          <w:lang w:val="en-US"/>
        </w:rPr>
        <w:t>S</w:t>
      </w:r>
      <w:r w:rsidRPr="00DA4965">
        <w:rPr>
          <w:b/>
          <w:sz w:val="24"/>
          <w:szCs w:val="24"/>
          <w:lang w:val="en-US"/>
        </w:rPr>
        <w:t xml:space="preserve">2.  </w:t>
      </w:r>
      <w:r w:rsidRPr="002A41CD">
        <w:rPr>
          <w:bCs/>
          <w:sz w:val="24"/>
          <w:szCs w:val="24"/>
          <w:lang w:val="en-US"/>
        </w:rPr>
        <w:t>Parameters of the sources used for excitation and registration of fluorescence in optical microscopy of cells.</w:t>
      </w:r>
      <w:bookmarkStart w:id="4" w:name="_Hlk133304004"/>
      <w:r w:rsidR="00B0587B" w:rsidRPr="00B0587B">
        <w:rPr>
          <w:bCs/>
          <w:sz w:val="24"/>
          <w:szCs w:val="24"/>
          <w:lang w:val="en-US"/>
        </w:rPr>
        <w:t xml:space="preserve"> </w:t>
      </w:r>
      <w:r w:rsidR="008D3718" w:rsidRPr="008D3718">
        <w:rPr>
          <w:rFonts w:cs="Times New Roman"/>
          <w:bCs/>
          <w:sz w:val="24"/>
          <w:szCs w:val="24"/>
        </w:rPr>
        <w:t>λ</w:t>
      </w:r>
      <w:r w:rsidR="008D3718" w:rsidRPr="008D3718">
        <w:rPr>
          <w:rFonts w:cs="Times New Roman"/>
          <w:bCs/>
          <w:sz w:val="24"/>
          <w:szCs w:val="24"/>
          <w:lang w:val="en-US"/>
        </w:rPr>
        <w:t xml:space="preserve">ex(blue) = 470-490 nm, </w:t>
      </w:r>
      <w:r w:rsidR="008D3718" w:rsidRPr="008D3718">
        <w:rPr>
          <w:rFonts w:cs="Times New Roman"/>
          <w:bCs/>
          <w:sz w:val="24"/>
          <w:szCs w:val="24"/>
        </w:rPr>
        <w:t>λ</w:t>
      </w:r>
      <w:r w:rsidR="008D3718" w:rsidRPr="008D3718">
        <w:rPr>
          <w:rFonts w:cs="Times New Roman"/>
          <w:bCs/>
          <w:sz w:val="24"/>
          <w:szCs w:val="24"/>
          <w:lang w:val="en-US"/>
        </w:rPr>
        <w:t>ex(green) = 510-560 nm.</w:t>
      </w:r>
      <w:r w:rsidR="008D3718" w:rsidRPr="008D3718">
        <w:rPr>
          <w:lang w:val="en-US"/>
        </w:rPr>
        <w:t xml:space="preserve"> </w:t>
      </w:r>
      <w:r w:rsidR="008D3718" w:rsidRPr="008D3718">
        <w:rPr>
          <w:rFonts w:cs="Times New Roman"/>
          <w:bCs/>
          <w:sz w:val="24"/>
          <w:szCs w:val="24"/>
          <w:lang w:val="en-US"/>
        </w:rPr>
        <w:t>The fluorescence of R6G was determined at the excitation of 510-560 nm, and the fluorescence of FITC was determined by the difference of the two channels.</w:t>
      </w:r>
      <w:bookmarkEnd w:id="4"/>
    </w:p>
    <w:p w14:paraId="5CB4ADCB" w14:textId="6E10194A" w:rsidR="00DA4965" w:rsidRPr="00396A1D" w:rsidRDefault="00DA4965" w:rsidP="008D3718">
      <w:pPr>
        <w:spacing w:after="0"/>
        <w:jc w:val="both"/>
        <w:rPr>
          <w:sz w:val="24"/>
          <w:szCs w:val="24"/>
          <w:lang w:val="en-US"/>
        </w:rPr>
      </w:pPr>
      <w:r>
        <w:rPr>
          <w:noProof/>
        </w:rPr>
        <w:drawing>
          <wp:inline distT="0" distB="0" distL="0" distR="0" wp14:anchorId="1A7C2601" wp14:editId="27B30567">
            <wp:extent cx="4991735" cy="3487392"/>
            <wp:effectExtent l="0" t="0" r="0" b="0"/>
            <wp:docPr id="653879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08031" cy="3498777"/>
                    </a:xfrm>
                    <a:prstGeom prst="rect">
                      <a:avLst/>
                    </a:prstGeom>
                    <a:noFill/>
                    <a:ln>
                      <a:noFill/>
                    </a:ln>
                  </pic:spPr>
                </pic:pic>
              </a:graphicData>
            </a:graphic>
          </wp:inline>
        </w:drawing>
      </w:r>
    </w:p>
    <w:p w14:paraId="15EC8E64" w14:textId="77777777" w:rsidR="00DA4965" w:rsidRDefault="00DA4965" w:rsidP="00DA4965">
      <w:pPr>
        <w:rPr>
          <w:b/>
          <w:bCs/>
          <w:sz w:val="24"/>
          <w:szCs w:val="20"/>
        </w:rPr>
      </w:pPr>
    </w:p>
    <w:p w14:paraId="01890C91" w14:textId="6634704F" w:rsidR="00205317" w:rsidRPr="00205317" w:rsidRDefault="00205317" w:rsidP="00205317">
      <w:pPr>
        <w:rPr>
          <w:b/>
          <w:bCs/>
          <w:sz w:val="24"/>
          <w:szCs w:val="20"/>
          <w:lang w:val="en-US"/>
        </w:rPr>
      </w:pPr>
      <w:r w:rsidRPr="00E91558">
        <w:rPr>
          <w:b/>
          <w:bCs/>
          <w:sz w:val="24"/>
          <w:szCs w:val="20"/>
          <w:lang w:val="en-US"/>
        </w:rPr>
        <w:t xml:space="preserve">Reviewer's question </w:t>
      </w:r>
      <w:r>
        <w:rPr>
          <w:b/>
          <w:bCs/>
          <w:sz w:val="24"/>
          <w:szCs w:val="20"/>
          <w:lang w:val="en-US"/>
        </w:rPr>
        <w:t>8</w:t>
      </w:r>
      <w:r w:rsidRPr="00E91558">
        <w:rPr>
          <w:b/>
          <w:bCs/>
          <w:sz w:val="24"/>
          <w:szCs w:val="20"/>
          <w:lang w:val="en-US"/>
        </w:rPr>
        <w:t>:</w:t>
      </w:r>
      <w:r w:rsidRPr="006F3D8A">
        <w:rPr>
          <w:rFonts w:ascii="Arial" w:eastAsia="Times New Roman" w:hAnsi="Arial" w:cs="Arial"/>
          <w:color w:val="0A0A0A"/>
          <w:sz w:val="18"/>
          <w:szCs w:val="18"/>
          <w:lang w:val="en-US" w:eastAsia="ru-RU"/>
        </w:rPr>
        <w:t> </w:t>
      </w:r>
    </w:p>
    <w:p w14:paraId="7F4F41C9" w14:textId="77777777" w:rsidR="00A209F5" w:rsidRPr="00A209F5" w:rsidRDefault="00A209F5" w:rsidP="00A209F5">
      <w:pPr>
        <w:shd w:val="clear" w:color="auto" w:fill="FEFEFE"/>
        <w:spacing w:before="100" w:beforeAutospacing="1" w:after="100" w:afterAutospacing="1"/>
        <w:jc w:val="both"/>
        <w:rPr>
          <w:rFonts w:ascii="Arial" w:eastAsia="Times New Roman" w:hAnsi="Arial" w:cs="Arial"/>
          <w:color w:val="0A0A0A"/>
          <w:sz w:val="20"/>
          <w:szCs w:val="20"/>
          <w:lang w:val="en-US" w:eastAsia="ru-RU"/>
        </w:rPr>
      </w:pPr>
      <w:r w:rsidRPr="00A209F5">
        <w:rPr>
          <w:rFonts w:ascii="Arial" w:eastAsia="Times New Roman" w:hAnsi="Arial" w:cs="Arial"/>
          <w:color w:val="0A0A0A"/>
          <w:sz w:val="20"/>
          <w:szCs w:val="20"/>
          <w:lang w:val="en-US" w:eastAsia="ru-RU"/>
        </w:rPr>
        <w:t>8.  The cytostatics' water solubility should be tested only after synthesis. As a result, it is recommended that section 2.9 of the method section should rearrange.</w:t>
      </w:r>
    </w:p>
    <w:p w14:paraId="2277556E" w14:textId="2200FB85" w:rsidR="00DA4965" w:rsidRPr="00D90DB1" w:rsidRDefault="00DA4965" w:rsidP="00DA4965">
      <w:pPr>
        <w:rPr>
          <w:b/>
          <w:bCs/>
          <w:sz w:val="24"/>
          <w:szCs w:val="20"/>
          <w:lang w:val="en-US"/>
        </w:rPr>
      </w:pPr>
      <w:r>
        <w:rPr>
          <w:b/>
          <w:bCs/>
          <w:sz w:val="24"/>
          <w:szCs w:val="20"/>
          <w:lang w:val="en-US"/>
        </w:rPr>
        <w:t>Authors</w:t>
      </w:r>
      <w:r w:rsidRPr="00D90DB1">
        <w:rPr>
          <w:b/>
          <w:bCs/>
          <w:sz w:val="24"/>
          <w:szCs w:val="20"/>
          <w:lang w:val="en-US"/>
        </w:rPr>
        <w:t xml:space="preserve">' </w:t>
      </w:r>
      <w:r>
        <w:rPr>
          <w:b/>
          <w:bCs/>
          <w:sz w:val="24"/>
          <w:szCs w:val="20"/>
          <w:lang w:val="en-US"/>
        </w:rPr>
        <w:t>answer</w:t>
      </w:r>
      <w:r w:rsidRPr="00D90DB1">
        <w:rPr>
          <w:b/>
          <w:bCs/>
          <w:sz w:val="24"/>
          <w:szCs w:val="20"/>
          <w:lang w:val="en-US"/>
        </w:rPr>
        <w:t xml:space="preserve"> </w:t>
      </w:r>
      <w:r>
        <w:rPr>
          <w:b/>
          <w:bCs/>
          <w:sz w:val="24"/>
          <w:szCs w:val="20"/>
          <w:lang w:val="en-US"/>
        </w:rPr>
        <w:t>8</w:t>
      </w:r>
      <w:r w:rsidRPr="00D90DB1">
        <w:rPr>
          <w:b/>
          <w:bCs/>
          <w:sz w:val="24"/>
          <w:szCs w:val="20"/>
          <w:lang w:val="en-US"/>
        </w:rPr>
        <w:t>:</w:t>
      </w:r>
    </w:p>
    <w:p w14:paraId="298504C3" w14:textId="61A36CE2" w:rsidR="00932956" w:rsidRDefault="00932956" w:rsidP="00205317">
      <w:pPr>
        <w:rPr>
          <w:sz w:val="24"/>
          <w:szCs w:val="20"/>
          <w:lang w:val="en-US"/>
        </w:rPr>
      </w:pPr>
      <w:bookmarkStart w:id="5" w:name="_Hlk133171250"/>
      <w:r>
        <w:rPr>
          <w:sz w:val="24"/>
          <w:szCs w:val="20"/>
          <w:lang w:val="en-US"/>
        </w:rPr>
        <w:t xml:space="preserve">The </w:t>
      </w:r>
      <w:r w:rsidRPr="00932956">
        <w:rPr>
          <w:sz w:val="24"/>
          <w:szCs w:val="20"/>
          <w:lang w:val="en-US"/>
        </w:rPr>
        <w:t xml:space="preserve">substances </w:t>
      </w:r>
      <w:r>
        <w:rPr>
          <w:sz w:val="24"/>
          <w:szCs w:val="20"/>
          <w:lang w:val="en-US"/>
        </w:rPr>
        <w:t xml:space="preserve">were dissolved </w:t>
      </w:r>
      <w:r w:rsidRPr="00932956">
        <w:rPr>
          <w:sz w:val="24"/>
          <w:szCs w:val="20"/>
          <w:lang w:val="en-US"/>
        </w:rPr>
        <w:t>in acetonitrile</w:t>
      </w:r>
      <w:r>
        <w:rPr>
          <w:sz w:val="24"/>
          <w:szCs w:val="20"/>
          <w:lang w:val="en-US"/>
        </w:rPr>
        <w:t xml:space="preserve"> followed by</w:t>
      </w:r>
      <w:r w:rsidRPr="00932956">
        <w:rPr>
          <w:sz w:val="24"/>
          <w:szCs w:val="20"/>
          <w:lang w:val="en-US"/>
        </w:rPr>
        <w:t xml:space="preserve"> record</w:t>
      </w:r>
      <w:r>
        <w:rPr>
          <w:sz w:val="24"/>
          <w:szCs w:val="20"/>
          <w:lang w:val="en-US"/>
        </w:rPr>
        <w:t>ing UV</w:t>
      </w:r>
      <w:r w:rsidRPr="00932956">
        <w:rPr>
          <w:sz w:val="24"/>
          <w:szCs w:val="20"/>
          <w:lang w:val="en-US"/>
        </w:rPr>
        <w:t xml:space="preserve"> the spectra at various </w:t>
      </w:r>
      <w:r>
        <w:rPr>
          <w:sz w:val="24"/>
          <w:szCs w:val="20"/>
          <w:lang w:val="en-US"/>
        </w:rPr>
        <w:t xml:space="preserve">cytostatics’ </w:t>
      </w:r>
      <w:r w:rsidRPr="00932956">
        <w:rPr>
          <w:sz w:val="24"/>
          <w:szCs w:val="20"/>
          <w:lang w:val="en-US"/>
        </w:rPr>
        <w:t xml:space="preserve">concentrations, and </w:t>
      </w:r>
      <w:r>
        <w:rPr>
          <w:sz w:val="24"/>
          <w:szCs w:val="20"/>
          <w:lang w:val="en-US"/>
        </w:rPr>
        <w:t>plotted</w:t>
      </w:r>
      <w:r w:rsidRPr="00932956">
        <w:rPr>
          <w:sz w:val="24"/>
          <w:szCs w:val="20"/>
          <w:lang w:val="en-US"/>
        </w:rPr>
        <w:t xml:space="preserve"> calibration dependencies. Next, saturated solutions of substances in water were prepared and the spectr</w:t>
      </w:r>
      <w:r>
        <w:rPr>
          <w:sz w:val="24"/>
          <w:szCs w:val="20"/>
          <w:lang w:val="en-US"/>
        </w:rPr>
        <w:t>a</w:t>
      </w:r>
      <w:r w:rsidRPr="00932956">
        <w:rPr>
          <w:sz w:val="24"/>
          <w:szCs w:val="20"/>
          <w:lang w:val="en-US"/>
        </w:rPr>
        <w:t xml:space="preserve"> of the aqueous solution</w:t>
      </w:r>
      <w:r>
        <w:rPr>
          <w:sz w:val="24"/>
          <w:szCs w:val="20"/>
          <w:lang w:val="en-US"/>
        </w:rPr>
        <w:t>s</w:t>
      </w:r>
      <w:r w:rsidRPr="00932956">
        <w:rPr>
          <w:sz w:val="24"/>
          <w:szCs w:val="20"/>
          <w:lang w:val="en-US"/>
        </w:rPr>
        <w:t xml:space="preserve"> w</w:t>
      </w:r>
      <w:r>
        <w:rPr>
          <w:sz w:val="24"/>
          <w:szCs w:val="20"/>
          <w:lang w:val="en-US"/>
        </w:rPr>
        <w:t>ere</w:t>
      </w:r>
      <w:r w:rsidRPr="00932956">
        <w:rPr>
          <w:sz w:val="24"/>
          <w:szCs w:val="20"/>
          <w:lang w:val="en-US"/>
        </w:rPr>
        <w:t xml:space="preserve"> recorded</w:t>
      </w:r>
      <w:r>
        <w:rPr>
          <w:sz w:val="24"/>
          <w:szCs w:val="20"/>
          <w:lang w:val="en-US"/>
        </w:rPr>
        <w:t>. C</w:t>
      </w:r>
      <w:r w:rsidRPr="00932956">
        <w:rPr>
          <w:sz w:val="24"/>
          <w:szCs w:val="20"/>
          <w:lang w:val="en-US"/>
        </w:rPr>
        <w:t>onsidering the extinction coefficients in water and acetonitrile to be approximately equal, the solubility was determined.</w:t>
      </w:r>
    </w:p>
    <w:bookmarkEnd w:id="5"/>
    <w:p w14:paraId="04C576D5" w14:textId="5A708401" w:rsidR="00205317" w:rsidRPr="00D90DB1" w:rsidRDefault="00205317" w:rsidP="00205317">
      <w:pPr>
        <w:rPr>
          <w:b/>
          <w:bCs/>
          <w:sz w:val="24"/>
          <w:szCs w:val="20"/>
          <w:lang w:val="en-US"/>
        </w:rPr>
      </w:pPr>
      <w:r w:rsidRPr="00E91558">
        <w:rPr>
          <w:b/>
          <w:bCs/>
          <w:sz w:val="24"/>
          <w:szCs w:val="20"/>
          <w:lang w:val="en-US"/>
        </w:rPr>
        <w:lastRenderedPageBreak/>
        <w:t>Reviewer</w:t>
      </w:r>
      <w:r w:rsidRPr="00D90DB1">
        <w:rPr>
          <w:b/>
          <w:bCs/>
          <w:sz w:val="24"/>
          <w:szCs w:val="20"/>
          <w:lang w:val="en-US"/>
        </w:rPr>
        <w:t>'</w:t>
      </w:r>
      <w:r w:rsidRPr="00E91558">
        <w:rPr>
          <w:b/>
          <w:bCs/>
          <w:sz w:val="24"/>
          <w:szCs w:val="20"/>
          <w:lang w:val="en-US"/>
        </w:rPr>
        <w:t>s</w:t>
      </w:r>
      <w:r w:rsidRPr="00D90DB1">
        <w:rPr>
          <w:b/>
          <w:bCs/>
          <w:sz w:val="24"/>
          <w:szCs w:val="20"/>
          <w:lang w:val="en-US"/>
        </w:rPr>
        <w:t xml:space="preserve"> </w:t>
      </w:r>
      <w:r w:rsidRPr="00E91558">
        <w:rPr>
          <w:b/>
          <w:bCs/>
          <w:sz w:val="24"/>
          <w:szCs w:val="20"/>
          <w:lang w:val="en-US"/>
        </w:rPr>
        <w:t>question</w:t>
      </w:r>
      <w:r w:rsidRPr="00D90DB1">
        <w:rPr>
          <w:b/>
          <w:bCs/>
          <w:sz w:val="24"/>
          <w:szCs w:val="20"/>
          <w:lang w:val="en-US"/>
        </w:rPr>
        <w:t xml:space="preserve"> 9:</w:t>
      </w:r>
      <w:r w:rsidRPr="006F3D8A">
        <w:rPr>
          <w:rFonts w:ascii="Arial" w:eastAsia="Times New Roman" w:hAnsi="Arial" w:cs="Arial"/>
          <w:color w:val="0A0A0A"/>
          <w:sz w:val="18"/>
          <w:szCs w:val="18"/>
          <w:lang w:val="en-US" w:eastAsia="ru-RU"/>
        </w:rPr>
        <w:t> </w:t>
      </w:r>
    </w:p>
    <w:p w14:paraId="1E9BBBD9" w14:textId="77777777" w:rsidR="00A209F5" w:rsidRPr="00A209F5" w:rsidRDefault="00A209F5" w:rsidP="00A209F5">
      <w:pPr>
        <w:shd w:val="clear" w:color="auto" w:fill="FEFEFE"/>
        <w:spacing w:before="100" w:beforeAutospacing="1" w:after="100" w:afterAutospacing="1"/>
        <w:jc w:val="both"/>
        <w:rPr>
          <w:rFonts w:ascii="Arial" w:eastAsia="Times New Roman" w:hAnsi="Arial" w:cs="Arial"/>
          <w:color w:val="0A0A0A"/>
          <w:sz w:val="20"/>
          <w:szCs w:val="20"/>
          <w:lang w:val="en-US" w:eastAsia="ru-RU"/>
        </w:rPr>
      </w:pPr>
      <w:r w:rsidRPr="00A209F5">
        <w:rPr>
          <w:rFonts w:ascii="Arial" w:eastAsia="Times New Roman" w:hAnsi="Arial" w:cs="Arial"/>
          <w:color w:val="0A0A0A"/>
          <w:sz w:val="20"/>
          <w:szCs w:val="20"/>
          <w:lang w:val="en-US" w:eastAsia="ru-RU"/>
        </w:rPr>
        <w:t>9. What is the rationale behind providing just the particle size distribution of NTA Chit5-OA-20 loaded with pyrazole but not other polymer formulations? For a better understanding, authors might display all the formulations' particle size distribution in a tabular format.</w:t>
      </w:r>
    </w:p>
    <w:p w14:paraId="57150F89" w14:textId="7FAC45A8" w:rsidR="00DA4965" w:rsidRPr="00D90DB1" w:rsidRDefault="00DA4965" w:rsidP="00DA4965">
      <w:pPr>
        <w:rPr>
          <w:b/>
          <w:bCs/>
          <w:sz w:val="24"/>
          <w:szCs w:val="20"/>
          <w:lang w:val="en-US"/>
        </w:rPr>
      </w:pPr>
      <w:r>
        <w:rPr>
          <w:b/>
          <w:bCs/>
          <w:sz w:val="24"/>
          <w:szCs w:val="20"/>
          <w:lang w:val="en-US"/>
        </w:rPr>
        <w:t>Authors</w:t>
      </w:r>
      <w:r w:rsidRPr="00D90DB1">
        <w:rPr>
          <w:b/>
          <w:bCs/>
          <w:sz w:val="24"/>
          <w:szCs w:val="20"/>
          <w:lang w:val="en-US"/>
        </w:rPr>
        <w:t xml:space="preserve">' </w:t>
      </w:r>
      <w:r>
        <w:rPr>
          <w:b/>
          <w:bCs/>
          <w:sz w:val="24"/>
          <w:szCs w:val="20"/>
          <w:lang w:val="en-US"/>
        </w:rPr>
        <w:t>answer</w:t>
      </w:r>
      <w:r w:rsidRPr="00D90DB1">
        <w:rPr>
          <w:b/>
          <w:bCs/>
          <w:sz w:val="24"/>
          <w:szCs w:val="20"/>
          <w:lang w:val="en-US"/>
        </w:rPr>
        <w:t xml:space="preserve"> </w:t>
      </w:r>
      <w:r>
        <w:rPr>
          <w:b/>
          <w:bCs/>
          <w:sz w:val="24"/>
          <w:szCs w:val="20"/>
          <w:lang w:val="en-US"/>
        </w:rPr>
        <w:t>9</w:t>
      </w:r>
      <w:r w:rsidRPr="00D90DB1">
        <w:rPr>
          <w:b/>
          <w:bCs/>
          <w:sz w:val="24"/>
          <w:szCs w:val="20"/>
          <w:lang w:val="en-US"/>
        </w:rPr>
        <w:t>:</w:t>
      </w:r>
    </w:p>
    <w:p w14:paraId="154923BB" w14:textId="77777777" w:rsidR="00932956" w:rsidRPr="004413C5" w:rsidRDefault="00932956" w:rsidP="00932956">
      <w:pPr>
        <w:pStyle w:val="MDPI23heading3"/>
        <w:ind w:left="0"/>
        <w:jc w:val="both"/>
        <w:rPr>
          <w:sz w:val="24"/>
          <w:szCs w:val="24"/>
        </w:rPr>
      </w:pPr>
      <w:r w:rsidRPr="00BA788B">
        <w:rPr>
          <w:b/>
          <w:bCs/>
          <w:sz w:val="22"/>
          <w:szCs w:val="24"/>
        </w:rPr>
        <w:t>The existence of micelles in solution was confirmed by the NTA method (Videos S1-S</w:t>
      </w:r>
      <w:r>
        <w:rPr>
          <w:b/>
          <w:bCs/>
          <w:sz w:val="22"/>
          <w:szCs w:val="24"/>
        </w:rPr>
        <w:t>4</w:t>
      </w:r>
      <w:r w:rsidRPr="00BA788B">
        <w:rPr>
          <w:b/>
          <w:bCs/>
          <w:sz w:val="22"/>
          <w:szCs w:val="24"/>
        </w:rPr>
        <w:t>, Fig. 3).</w:t>
      </w:r>
      <w:r w:rsidRPr="00BA788B">
        <w:rPr>
          <w:sz w:val="22"/>
          <w:szCs w:val="24"/>
        </w:rPr>
        <w:t xml:space="preserve"> </w:t>
      </w:r>
      <w:r w:rsidRPr="004413C5">
        <w:rPr>
          <w:sz w:val="24"/>
          <w:szCs w:val="24"/>
        </w:rPr>
        <w:t>Figure 3 shows distribution diagrams of particle sizes formed by modified chitosans. A comparison of non-extruded and extruded samples (Fig. 3a vs Fig. 3b) is presented: after passing through a membrane of 400 nm, inhomogeneous particles become beautiful micelles with orderly distribution. The inclusion of drugs (Fig. 3 cde) is accompanied by additional structuring of micelles, which was demonstrated above by the AFM method.</w:t>
      </w:r>
    </w:p>
    <w:p w14:paraId="5FE5F365" w14:textId="77777777" w:rsidR="00932956" w:rsidRDefault="00932956" w:rsidP="00932956">
      <w:pPr>
        <w:pStyle w:val="MDPI23heading3"/>
        <w:tabs>
          <w:tab w:val="left" w:pos="284"/>
        </w:tabs>
        <w:ind w:left="0"/>
        <w:jc w:val="both"/>
      </w:pPr>
      <w:r w:rsidRPr="00231822">
        <w:t>(a</w:t>
      </w:r>
      <w:r>
        <w:t xml:space="preserve">) </w:t>
      </w:r>
      <w:r>
        <w:rPr>
          <w:noProof/>
        </w:rPr>
        <w:drawing>
          <wp:inline distT="0" distB="0" distL="0" distR="0" wp14:anchorId="4447EA49" wp14:editId="15F3D32E">
            <wp:extent cx="3055743" cy="2052000"/>
            <wp:effectExtent l="0" t="0" r="0" b="5715"/>
            <wp:docPr id="11787314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2"/>
                    <a:stretch/>
                  </pic:blipFill>
                  <pic:spPr bwMode="auto">
                    <a:xfrm>
                      <a:off x="0" y="0"/>
                      <a:ext cx="3055743" cy="2052000"/>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p>
    <w:p w14:paraId="31EC7BF3" w14:textId="784DE8B9" w:rsidR="00932956" w:rsidRDefault="00932956" w:rsidP="00932956">
      <w:pPr>
        <w:pStyle w:val="MDPI23heading3"/>
        <w:tabs>
          <w:tab w:val="left" w:pos="284"/>
        </w:tabs>
        <w:ind w:left="0"/>
        <w:jc w:val="both"/>
      </w:pPr>
      <w:r>
        <w:t xml:space="preserve">(b) </w:t>
      </w:r>
      <w:r>
        <w:rPr>
          <w:noProof/>
        </w:rPr>
        <w:drawing>
          <wp:inline distT="0" distB="0" distL="0" distR="0" wp14:anchorId="45F94B53" wp14:editId="07CB912A">
            <wp:extent cx="3089217" cy="2052000"/>
            <wp:effectExtent l="0" t="0" r="0" b="5715"/>
            <wp:docPr id="6460292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9217" cy="2052000"/>
                    </a:xfrm>
                    <a:prstGeom prst="rect">
                      <a:avLst/>
                    </a:prstGeom>
                    <a:noFill/>
                    <a:ln>
                      <a:noFill/>
                    </a:ln>
                  </pic:spPr>
                </pic:pic>
              </a:graphicData>
            </a:graphic>
          </wp:inline>
        </w:drawing>
      </w:r>
    </w:p>
    <w:p w14:paraId="7D5DD3C2" w14:textId="77777777" w:rsidR="00932956" w:rsidRDefault="00932956" w:rsidP="00932956">
      <w:pPr>
        <w:pStyle w:val="MDPI23heading3"/>
        <w:ind w:left="0"/>
        <w:jc w:val="both"/>
      </w:pPr>
      <w:r>
        <w:t xml:space="preserve">(c) </w:t>
      </w:r>
      <w:r>
        <w:rPr>
          <w:noProof/>
        </w:rPr>
        <w:drawing>
          <wp:inline distT="0" distB="0" distL="0" distR="0" wp14:anchorId="278C9BDA" wp14:editId="5843B862">
            <wp:extent cx="3060000" cy="2104856"/>
            <wp:effectExtent l="0" t="0" r="7620" b="0"/>
            <wp:docPr id="77581782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60000" cy="2104856"/>
                    </a:xfrm>
                    <a:prstGeom prst="rect">
                      <a:avLst/>
                    </a:prstGeom>
                    <a:noFill/>
                    <a:ln>
                      <a:noFill/>
                    </a:ln>
                  </pic:spPr>
                </pic:pic>
              </a:graphicData>
            </a:graphic>
          </wp:inline>
        </w:drawing>
      </w:r>
      <w:r>
        <w:t xml:space="preserve"> </w:t>
      </w:r>
    </w:p>
    <w:p w14:paraId="585BE9E6" w14:textId="13B76301" w:rsidR="00932956" w:rsidRDefault="00932956" w:rsidP="00932956">
      <w:pPr>
        <w:pStyle w:val="MDPI23heading3"/>
        <w:ind w:left="0"/>
        <w:jc w:val="both"/>
      </w:pPr>
      <w:r>
        <w:lastRenderedPageBreak/>
        <w:t xml:space="preserve">(d) </w:t>
      </w:r>
      <w:r>
        <w:rPr>
          <w:noProof/>
        </w:rPr>
        <w:drawing>
          <wp:inline distT="0" distB="0" distL="0" distR="0" wp14:anchorId="39057EAA" wp14:editId="22D90B4A">
            <wp:extent cx="3060000" cy="2053248"/>
            <wp:effectExtent l="0" t="0" r="7620" b="4445"/>
            <wp:docPr id="1113698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60000" cy="2053248"/>
                    </a:xfrm>
                    <a:prstGeom prst="rect">
                      <a:avLst/>
                    </a:prstGeom>
                    <a:noFill/>
                    <a:ln>
                      <a:noFill/>
                    </a:ln>
                  </pic:spPr>
                </pic:pic>
              </a:graphicData>
            </a:graphic>
          </wp:inline>
        </w:drawing>
      </w:r>
    </w:p>
    <w:p w14:paraId="5929077A" w14:textId="77777777" w:rsidR="00932956" w:rsidRDefault="00932956" w:rsidP="00932956">
      <w:pPr>
        <w:pStyle w:val="MDPI23heading3"/>
        <w:ind w:left="0"/>
        <w:jc w:val="both"/>
      </w:pPr>
      <w:r>
        <w:t xml:space="preserve">(e) </w:t>
      </w:r>
      <w:r>
        <w:rPr>
          <w:noProof/>
        </w:rPr>
        <w:drawing>
          <wp:inline distT="0" distB="0" distL="0" distR="0" wp14:anchorId="7B92CCF4" wp14:editId="49CD99E3">
            <wp:extent cx="3060000" cy="2040000"/>
            <wp:effectExtent l="0" t="0" r="7620" b="0"/>
            <wp:docPr id="32748627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60000" cy="2040000"/>
                    </a:xfrm>
                    <a:prstGeom prst="rect">
                      <a:avLst/>
                    </a:prstGeom>
                    <a:noFill/>
                    <a:ln>
                      <a:noFill/>
                    </a:ln>
                  </pic:spPr>
                </pic:pic>
              </a:graphicData>
            </a:graphic>
          </wp:inline>
        </w:drawing>
      </w:r>
    </w:p>
    <w:p w14:paraId="1610B4E1" w14:textId="77777777" w:rsidR="00932956" w:rsidRPr="00B64193" w:rsidRDefault="00932956" w:rsidP="00932956">
      <w:pPr>
        <w:pStyle w:val="MDPI23heading3"/>
        <w:ind w:left="0"/>
        <w:jc w:val="both"/>
      </w:pPr>
      <w:r w:rsidRPr="00B64193">
        <w:rPr>
          <w:b/>
        </w:rPr>
        <w:t xml:space="preserve">Figure 3. </w:t>
      </w:r>
      <w:r w:rsidRPr="00B64193">
        <w:rPr>
          <w:bCs/>
        </w:rPr>
        <w:t>Particle size distribution by NTA</w:t>
      </w:r>
      <w:r>
        <w:rPr>
          <w:bCs/>
        </w:rPr>
        <w:t xml:space="preserve"> of: </w:t>
      </w:r>
      <w:r>
        <w:rPr>
          <w:b/>
        </w:rPr>
        <w:t xml:space="preserve">(a) </w:t>
      </w:r>
      <w:r>
        <w:rPr>
          <w:bCs/>
        </w:rPr>
        <w:t>non-</w:t>
      </w:r>
      <w:r w:rsidRPr="00231822">
        <w:rPr>
          <w:bCs/>
        </w:rPr>
        <w:t>extruded</w:t>
      </w:r>
      <w:r>
        <w:rPr>
          <w:bCs/>
        </w:rPr>
        <w:t xml:space="preserve"> </w:t>
      </w:r>
      <w:r w:rsidRPr="00B64193">
        <w:rPr>
          <w:bCs/>
        </w:rPr>
        <w:t>Chit5-OA-20</w:t>
      </w:r>
      <w:r>
        <w:rPr>
          <w:bCs/>
        </w:rPr>
        <w:t xml:space="preserve"> particles,</w:t>
      </w:r>
      <w:r w:rsidRPr="00B64193">
        <w:rPr>
          <w:bCs/>
        </w:rPr>
        <w:t xml:space="preserve"> </w:t>
      </w:r>
      <w:r w:rsidRPr="00B64193">
        <w:rPr>
          <w:b/>
        </w:rPr>
        <w:t>(b)</w:t>
      </w:r>
      <w:r>
        <w:rPr>
          <w:bCs/>
        </w:rPr>
        <w:t xml:space="preserve"> </w:t>
      </w:r>
      <w:r w:rsidRPr="00231822">
        <w:rPr>
          <w:bCs/>
        </w:rPr>
        <w:t>extruded</w:t>
      </w:r>
      <w:r>
        <w:rPr>
          <w:bCs/>
        </w:rPr>
        <w:t xml:space="preserve"> </w:t>
      </w:r>
      <w:r w:rsidRPr="00B64193">
        <w:rPr>
          <w:bCs/>
        </w:rPr>
        <w:t>Chit5-</w:t>
      </w:r>
      <w:r>
        <w:rPr>
          <w:bCs/>
        </w:rPr>
        <w:t>O</w:t>
      </w:r>
      <w:r w:rsidRPr="00B64193">
        <w:rPr>
          <w:bCs/>
        </w:rPr>
        <w:t xml:space="preserve">A-20 </w:t>
      </w:r>
      <w:r>
        <w:rPr>
          <w:bCs/>
        </w:rPr>
        <w:t>micelles,</w:t>
      </w:r>
      <w:r w:rsidRPr="00B64193">
        <w:rPr>
          <w:bCs/>
        </w:rPr>
        <w:t xml:space="preserve"> </w:t>
      </w:r>
      <w:r w:rsidRPr="00B64193">
        <w:rPr>
          <w:b/>
        </w:rPr>
        <w:t>(</w:t>
      </w:r>
      <w:r>
        <w:rPr>
          <w:b/>
        </w:rPr>
        <w:t>c</w:t>
      </w:r>
      <w:r w:rsidRPr="00B64193">
        <w:rPr>
          <w:b/>
        </w:rPr>
        <w:t>)</w:t>
      </w:r>
      <w:r>
        <w:rPr>
          <w:bCs/>
        </w:rPr>
        <w:t xml:space="preserve"> </w:t>
      </w:r>
      <w:r w:rsidRPr="00231822">
        <w:rPr>
          <w:bCs/>
        </w:rPr>
        <w:t>extruded</w:t>
      </w:r>
      <w:r>
        <w:rPr>
          <w:bCs/>
        </w:rPr>
        <w:t xml:space="preserve"> </w:t>
      </w:r>
      <w:r w:rsidRPr="00B64193">
        <w:rPr>
          <w:bCs/>
        </w:rPr>
        <w:t>Chit5-</w:t>
      </w:r>
      <w:r>
        <w:rPr>
          <w:bCs/>
        </w:rPr>
        <w:t>MU</w:t>
      </w:r>
      <w:r w:rsidRPr="00B64193">
        <w:rPr>
          <w:bCs/>
        </w:rPr>
        <w:t xml:space="preserve">A-20 </w:t>
      </w:r>
      <w:r>
        <w:rPr>
          <w:bCs/>
        </w:rPr>
        <w:t>micelles,</w:t>
      </w:r>
      <w:r w:rsidRPr="00B64193">
        <w:rPr>
          <w:bCs/>
        </w:rPr>
        <w:t xml:space="preserve"> </w:t>
      </w:r>
      <w:r w:rsidRPr="00B64193">
        <w:rPr>
          <w:b/>
        </w:rPr>
        <w:t>(</w:t>
      </w:r>
      <w:r>
        <w:rPr>
          <w:b/>
        </w:rPr>
        <w:t>d</w:t>
      </w:r>
      <w:r w:rsidRPr="00B64193">
        <w:rPr>
          <w:b/>
        </w:rPr>
        <w:t>)</w:t>
      </w:r>
      <w:r>
        <w:rPr>
          <w:bCs/>
        </w:rPr>
        <w:t xml:space="preserve"> </w:t>
      </w:r>
      <w:r w:rsidRPr="00231822">
        <w:rPr>
          <w:bCs/>
        </w:rPr>
        <w:t>extruded</w:t>
      </w:r>
      <w:r>
        <w:rPr>
          <w:bCs/>
        </w:rPr>
        <w:t xml:space="preserve"> </w:t>
      </w:r>
      <w:r w:rsidRPr="00B64193">
        <w:rPr>
          <w:bCs/>
        </w:rPr>
        <w:t>Chit5-</w:t>
      </w:r>
      <w:r>
        <w:rPr>
          <w:bCs/>
        </w:rPr>
        <w:t>MU</w:t>
      </w:r>
      <w:r w:rsidRPr="00B64193">
        <w:rPr>
          <w:bCs/>
        </w:rPr>
        <w:t xml:space="preserve">A-20 </w:t>
      </w:r>
      <w:r>
        <w:rPr>
          <w:bCs/>
        </w:rPr>
        <w:t>micelles</w:t>
      </w:r>
      <w:r w:rsidRPr="00E057D3">
        <w:rPr>
          <w:bCs/>
        </w:rPr>
        <w:t xml:space="preserve"> </w:t>
      </w:r>
      <w:r w:rsidRPr="00B64193">
        <w:rPr>
          <w:bCs/>
        </w:rPr>
        <w:t>loaded with</w:t>
      </w:r>
      <w:r>
        <w:rPr>
          <w:bCs/>
        </w:rPr>
        <w:t xml:space="preserve"> </w:t>
      </w:r>
      <w:r>
        <w:t>t</w:t>
      </w:r>
      <w:r w:rsidRPr="00B64193">
        <w:t xml:space="preserve">riazole </w:t>
      </w:r>
      <w:r w:rsidRPr="00B64193">
        <w:rPr>
          <w:b/>
        </w:rPr>
        <w:t>2</w:t>
      </w:r>
      <w:r>
        <w:rPr>
          <w:bCs/>
        </w:rPr>
        <w:t>,</w:t>
      </w:r>
      <w:r w:rsidRPr="00B64193">
        <w:rPr>
          <w:bCs/>
        </w:rPr>
        <w:t xml:space="preserve"> </w:t>
      </w:r>
      <w:r w:rsidRPr="00B64193">
        <w:rPr>
          <w:b/>
        </w:rPr>
        <w:t>(</w:t>
      </w:r>
      <w:r>
        <w:rPr>
          <w:b/>
        </w:rPr>
        <w:t>e</w:t>
      </w:r>
      <w:r w:rsidRPr="00B64193">
        <w:rPr>
          <w:b/>
        </w:rPr>
        <w:t>)</w:t>
      </w:r>
      <w:r>
        <w:rPr>
          <w:bCs/>
        </w:rPr>
        <w:t xml:space="preserve"> </w:t>
      </w:r>
      <w:r w:rsidRPr="00231822">
        <w:rPr>
          <w:bCs/>
        </w:rPr>
        <w:t>extruded</w:t>
      </w:r>
      <w:r>
        <w:rPr>
          <w:bCs/>
        </w:rPr>
        <w:t xml:space="preserve"> </w:t>
      </w:r>
      <w:r w:rsidRPr="00B64193">
        <w:rPr>
          <w:bCs/>
        </w:rPr>
        <w:t>Chit5-</w:t>
      </w:r>
      <w:r>
        <w:rPr>
          <w:bCs/>
        </w:rPr>
        <w:t>MU</w:t>
      </w:r>
      <w:r w:rsidRPr="00B64193">
        <w:rPr>
          <w:bCs/>
        </w:rPr>
        <w:t xml:space="preserve">A-20 </w:t>
      </w:r>
      <w:r>
        <w:rPr>
          <w:bCs/>
        </w:rPr>
        <w:t>micelles</w:t>
      </w:r>
      <w:r w:rsidRPr="00E057D3">
        <w:rPr>
          <w:bCs/>
        </w:rPr>
        <w:t xml:space="preserve"> </w:t>
      </w:r>
      <w:r w:rsidRPr="00B64193">
        <w:rPr>
          <w:bCs/>
        </w:rPr>
        <w:t>loaded with</w:t>
      </w:r>
      <w:r>
        <w:rPr>
          <w:bCs/>
        </w:rPr>
        <w:t xml:space="preserve"> </w:t>
      </w:r>
      <w:r>
        <w:t>a</w:t>
      </w:r>
      <w:r w:rsidRPr="00B64193">
        <w:t xml:space="preserve">lbendazole </w:t>
      </w:r>
      <w:r w:rsidRPr="00B64193">
        <w:rPr>
          <w:b/>
        </w:rPr>
        <w:t>3</w:t>
      </w:r>
      <w:r>
        <w:rPr>
          <w:bCs/>
        </w:rPr>
        <w:t>.</w:t>
      </w:r>
      <w:r w:rsidRPr="00B64193">
        <w:t xml:space="preserve"> T = 2</w:t>
      </w:r>
      <w:r>
        <w:t>5</w:t>
      </w:r>
      <w:r w:rsidRPr="00B64193">
        <w:t xml:space="preserve"> </w:t>
      </w:r>
      <w:r>
        <w:t>°</w:t>
      </w:r>
      <w:r w:rsidRPr="00B64193">
        <w:t>C. MilliQ H</w:t>
      </w:r>
      <w:r w:rsidRPr="00B64193">
        <w:rPr>
          <w:vertAlign w:val="subscript"/>
        </w:rPr>
        <w:t>2</w:t>
      </w:r>
      <w:r w:rsidRPr="00B64193">
        <w:t>O. 10</w:t>
      </w:r>
      <w:r w:rsidRPr="00B64193">
        <w:rPr>
          <w:vertAlign w:val="superscript"/>
        </w:rPr>
        <w:t>9</w:t>
      </w:r>
      <w:r w:rsidRPr="00B64193">
        <w:t>-10</w:t>
      </w:r>
      <w:r w:rsidRPr="00B64193">
        <w:rPr>
          <w:vertAlign w:val="superscript"/>
        </w:rPr>
        <w:t>10</w:t>
      </w:r>
      <w:r w:rsidRPr="00B64193">
        <w:t xml:space="preserve"> particles/mL.</w:t>
      </w:r>
      <w:r>
        <w:t xml:space="preserve"> </w:t>
      </w:r>
      <w:r w:rsidRPr="00831F90">
        <w:t>Avanti Polar Lipids mini-extruder</w:t>
      </w:r>
      <w:r>
        <w:t xml:space="preserve"> was used for samples (b)-(e) with 400 nm membrane.</w:t>
      </w:r>
    </w:p>
    <w:p w14:paraId="19F7E240" w14:textId="77777777" w:rsidR="00932956" w:rsidRDefault="00932956" w:rsidP="00932956">
      <w:pPr>
        <w:pStyle w:val="MDPI23heading3"/>
        <w:jc w:val="both"/>
      </w:pPr>
    </w:p>
    <w:p w14:paraId="3C5D0669" w14:textId="55AF61CD" w:rsidR="00932956" w:rsidRDefault="00932956" w:rsidP="00932956">
      <w:pPr>
        <w:jc w:val="both"/>
        <w:rPr>
          <w:sz w:val="24"/>
          <w:szCs w:val="20"/>
          <w:lang w:val="en-US"/>
        </w:rPr>
      </w:pPr>
      <w:r w:rsidRPr="00932956">
        <w:rPr>
          <w:sz w:val="24"/>
          <w:szCs w:val="20"/>
          <w:lang w:val="en-US"/>
        </w:rPr>
        <w:t>The characteristics of micelles formed by modified chitosan are presented in Table 1.</w:t>
      </w:r>
    </w:p>
    <w:p w14:paraId="01970AC5" w14:textId="2C7231AA" w:rsidR="00932956" w:rsidRPr="004413C5" w:rsidRDefault="00932956" w:rsidP="00932956">
      <w:pPr>
        <w:jc w:val="both"/>
        <w:rPr>
          <w:rFonts w:ascii="Palatino Linotype" w:eastAsia="Times New Roman" w:hAnsi="Palatino Linotype"/>
          <w:bCs/>
          <w:color w:val="000000"/>
          <w:sz w:val="20"/>
          <w:lang w:val="en-US" w:eastAsia="de-DE" w:bidi="en-US"/>
        </w:rPr>
      </w:pPr>
      <w:bookmarkStart w:id="6" w:name="_Hlk131180004"/>
      <w:r w:rsidRPr="00B64193">
        <w:rPr>
          <w:rFonts w:ascii="Palatino Linotype" w:eastAsia="Times New Roman" w:hAnsi="Palatino Linotype"/>
          <w:b/>
          <w:color w:val="000000"/>
          <w:sz w:val="20"/>
          <w:lang w:val="en-US" w:eastAsia="de-DE" w:bidi="en-US"/>
        </w:rPr>
        <w:t>Table 1.</w:t>
      </w:r>
      <w:r w:rsidRPr="00B64193">
        <w:rPr>
          <w:rFonts w:ascii="Palatino Linotype" w:eastAsia="Times New Roman" w:hAnsi="Palatino Linotype"/>
          <w:bCs/>
          <w:color w:val="000000"/>
          <w:sz w:val="20"/>
          <w:lang w:val="en-US" w:eastAsia="de-DE" w:bidi="en-US"/>
        </w:rPr>
        <w:t xml:space="preserve"> Polymeric micelle’s physico-chemical characteristics.</w:t>
      </w:r>
    </w:p>
    <w:tbl>
      <w:tblPr>
        <w:tblStyle w:val="1"/>
        <w:tblW w:w="0" w:type="auto"/>
        <w:tblLook w:val="04A0" w:firstRow="1" w:lastRow="0" w:firstColumn="1" w:lastColumn="0" w:noHBand="0" w:noVBand="1"/>
      </w:tblPr>
      <w:tblGrid>
        <w:gridCol w:w="750"/>
        <w:gridCol w:w="871"/>
        <w:gridCol w:w="1277"/>
        <w:gridCol w:w="1050"/>
        <w:gridCol w:w="1399"/>
        <w:gridCol w:w="1496"/>
        <w:gridCol w:w="1496"/>
        <w:gridCol w:w="1005"/>
      </w:tblGrid>
      <w:tr w:rsidR="00932956" w:rsidRPr="004706A6" w14:paraId="659275D7" w14:textId="77777777" w:rsidTr="00940603">
        <w:tc>
          <w:tcPr>
            <w:tcW w:w="0" w:type="auto"/>
            <w:gridSpan w:val="2"/>
            <w:vAlign w:val="center"/>
          </w:tcPr>
          <w:bookmarkEnd w:id="6"/>
          <w:p w14:paraId="1A84C8B0"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Micelle designation</w:t>
            </w:r>
          </w:p>
        </w:tc>
        <w:tc>
          <w:tcPr>
            <w:tcW w:w="0" w:type="auto"/>
            <w:vAlign w:val="center"/>
          </w:tcPr>
          <w:p w14:paraId="7313C65A"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Chitosan modification degree**, %</w:t>
            </w:r>
          </w:p>
        </w:tc>
        <w:tc>
          <w:tcPr>
            <w:tcW w:w="0" w:type="auto"/>
            <w:vAlign w:val="center"/>
          </w:tcPr>
          <w:p w14:paraId="58AD5BCC"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Average molecular weight of one structure unit, kDa</w:t>
            </w:r>
          </w:p>
        </w:tc>
        <w:tc>
          <w:tcPr>
            <w:tcW w:w="0" w:type="auto"/>
            <w:vAlign w:val="center"/>
          </w:tcPr>
          <w:p w14:paraId="0DA79554"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Critical micelle concentration, nM</w:t>
            </w:r>
          </w:p>
        </w:tc>
        <w:tc>
          <w:tcPr>
            <w:tcW w:w="0" w:type="auto"/>
            <w:vAlign w:val="center"/>
          </w:tcPr>
          <w:p w14:paraId="7118606C"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Hydrodynamic diameter by NTA, nm</w:t>
            </w:r>
          </w:p>
        </w:tc>
        <w:tc>
          <w:tcPr>
            <w:tcW w:w="0" w:type="auto"/>
            <w:vAlign w:val="center"/>
          </w:tcPr>
          <w:p w14:paraId="4F38162E"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Hydrodynamic diameter by DLS, nm</w:t>
            </w:r>
          </w:p>
        </w:tc>
        <w:tc>
          <w:tcPr>
            <w:tcW w:w="0" w:type="auto"/>
            <w:vAlign w:val="center"/>
          </w:tcPr>
          <w:p w14:paraId="35B7C1CC"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Zeta-potential, mV</w:t>
            </w:r>
          </w:p>
        </w:tc>
      </w:tr>
      <w:tr w:rsidR="00932956" w:rsidRPr="004706A6" w14:paraId="37B206CE" w14:textId="77777777" w:rsidTr="00940603">
        <w:tc>
          <w:tcPr>
            <w:tcW w:w="0" w:type="auto"/>
            <w:gridSpan w:val="2"/>
            <w:vAlign w:val="center"/>
          </w:tcPr>
          <w:p w14:paraId="3EBFA4ED"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Chit5-SA-20*</w:t>
            </w:r>
          </w:p>
        </w:tc>
        <w:tc>
          <w:tcPr>
            <w:tcW w:w="0" w:type="auto"/>
            <w:vAlign w:val="center"/>
          </w:tcPr>
          <w:p w14:paraId="5927008C"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15±2</w:t>
            </w:r>
          </w:p>
        </w:tc>
        <w:tc>
          <w:tcPr>
            <w:tcW w:w="0" w:type="auto"/>
            <w:vAlign w:val="center"/>
          </w:tcPr>
          <w:p w14:paraId="484CDCA4"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6.2±0.5</w:t>
            </w:r>
          </w:p>
        </w:tc>
        <w:tc>
          <w:tcPr>
            <w:tcW w:w="0" w:type="auto"/>
            <w:vAlign w:val="center"/>
          </w:tcPr>
          <w:p w14:paraId="47B95AFE"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16±4</w:t>
            </w:r>
          </w:p>
        </w:tc>
        <w:tc>
          <w:tcPr>
            <w:tcW w:w="0" w:type="auto"/>
            <w:vAlign w:val="center"/>
          </w:tcPr>
          <w:p w14:paraId="2CE48CD4"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340±130</w:t>
            </w:r>
          </w:p>
        </w:tc>
        <w:tc>
          <w:tcPr>
            <w:tcW w:w="0" w:type="auto"/>
            <w:vAlign w:val="center"/>
          </w:tcPr>
          <w:p w14:paraId="56FB7097"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420±30</w:t>
            </w:r>
          </w:p>
        </w:tc>
        <w:tc>
          <w:tcPr>
            <w:tcW w:w="0" w:type="auto"/>
            <w:vAlign w:val="center"/>
          </w:tcPr>
          <w:p w14:paraId="071B26F4"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–0.6±0.3</w:t>
            </w:r>
          </w:p>
        </w:tc>
      </w:tr>
      <w:tr w:rsidR="00932956" w:rsidRPr="004706A6" w14:paraId="323D3796" w14:textId="77777777" w:rsidTr="00940603">
        <w:tc>
          <w:tcPr>
            <w:tcW w:w="0" w:type="auto"/>
            <w:gridSpan w:val="2"/>
            <w:vAlign w:val="center"/>
          </w:tcPr>
          <w:p w14:paraId="43BBCE19"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Chit5-OA-20*</w:t>
            </w:r>
          </w:p>
        </w:tc>
        <w:tc>
          <w:tcPr>
            <w:tcW w:w="0" w:type="auto"/>
            <w:vAlign w:val="center"/>
          </w:tcPr>
          <w:p w14:paraId="16DE76F1"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19±3</w:t>
            </w:r>
          </w:p>
        </w:tc>
        <w:tc>
          <w:tcPr>
            <w:tcW w:w="0" w:type="auto"/>
            <w:vAlign w:val="center"/>
          </w:tcPr>
          <w:p w14:paraId="6F85B791"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6.5±0.6</w:t>
            </w:r>
          </w:p>
        </w:tc>
        <w:tc>
          <w:tcPr>
            <w:tcW w:w="0" w:type="auto"/>
            <w:vAlign w:val="center"/>
          </w:tcPr>
          <w:p w14:paraId="77E02278"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8±2</w:t>
            </w:r>
          </w:p>
        </w:tc>
        <w:tc>
          <w:tcPr>
            <w:tcW w:w="0" w:type="auto"/>
            <w:vAlign w:val="center"/>
          </w:tcPr>
          <w:p w14:paraId="6C974BE7"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380±140</w:t>
            </w:r>
          </w:p>
        </w:tc>
        <w:tc>
          <w:tcPr>
            <w:tcW w:w="0" w:type="auto"/>
            <w:vAlign w:val="center"/>
          </w:tcPr>
          <w:p w14:paraId="0347D5EE"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450±70</w:t>
            </w:r>
          </w:p>
        </w:tc>
        <w:tc>
          <w:tcPr>
            <w:tcW w:w="0" w:type="auto"/>
            <w:vAlign w:val="center"/>
          </w:tcPr>
          <w:p w14:paraId="75E6CC6C"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+5±1</w:t>
            </w:r>
          </w:p>
        </w:tc>
      </w:tr>
      <w:tr w:rsidR="00932956" w:rsidRPr="00B64193" w14:paraId="0DE47A44" w14:textId="77777777" w:rsidTr="00940603">
        <w:tc>
          <w:tcPr>
            <w:tcW w:w="0" w:type="auto"/>
            <w:vMerge w:val="restart"/>
            <w:vAlign w:val="center"/>
          </w:tcPr>
          <w:p w14:paraId="718A32B5"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Chit5-MUA-20*</w:t>
            </w:r>
          </w:p>
        </w:tc>
        <w:tc>
          <w:tcPr>
            <w:tcW w:w="0" w:type="auto"/>
            <w:vAlign w:val="center"/>
          </w:tcPr>
          <w:p w14:paraId="5DC832F4"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non-stitched</w:t>
            </w:r>
          </w:p>
        </w:tc>
        <w:tc>
          <w:tcPr>
            <w:tcW w:w="0" w:type="auto"/>
            <w:vMerge w:val="restart"/>
            <w:vAlign w:val="center"/>
          </w:tcPr>
          <w:p w14:paraId="64579560"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17±2</w:t>
            </w:r>
          </w:p>
        </w:tc>
        <w:tc>
          <w:tcPr>
            <w:tcW w:w="0" w:type="auto"/>
            <w:vAlign w:val="center"/>
          </w:tcPr>
          <w:p w14:paraId="0F0A82CF"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6.0±0.3</w:t>
            </w:r>
          </w:p>
        </w:tc>
        <w:tc>
          <w:tcPr>
            <w:tcW w:w="0" w:type="auto"/>
            <w:vAlign w:val="center"/>
          </w:tcPr>
          <w:p w14:paraId="2148E723"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40±7</w:t>
            </w:r>
          </w:p>
        </w:tc>
        <w:tc>
          <w:tcPr>
            <w:tcW w:w="0" w:type="auto"/>
            <w:vAlign w:val="center"/>
          </w:tcPr>
          <w:p w14:paraId="04D7FC71"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170±60</w:t>
            </w:r>
          </w:p>
        </w:tc>
        <w:tc>
          <w:tcPr>
            <w:tcW w:w="0" w:type="auto"/>
            <w:vAlign w:val="center"/>
          </w:tcPr>
          <w:p w14:paraId="6CFC1C8B"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210±20</w:t>
            </w:r>
          </w:p>
        </w:tc>
        <w:tc>
          <w:tcPr>
            <w:tcW w:w="0" w:type="auto"/>
            <w:vAlign w:val="center"/>
          </w:tcPr>
          <w:p w14:paraId="1EDFE1C1"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+19±1</w:t>
            </w:r>
          </w:p>
        </w:tc>
      </w:tr>
      <w:tr w:rsidR="00932956" w:rsidRPr="00B64193" w14:paraId="04DAACEC" w14:textId="77777777" w:rsidTr="00940603">
        <w:tc>
          <w:tcPr>
            <w:tcW w:w="0" w:type="auto"/>
            <w:vMerge/>
            <w:vAlign w:val="center"/>
          </w:tcPr>
          <w:p w14:paraId="11332B51" w14:textId="77777777" w:rsidR="00932956" w:rsidRPr="00B64193" w:rsidRDefault="00932956" w:rsidP="00932956">
            <w:pPr>
              <w:jc w:val="both"/>
              <w:rPr>
                <w:rFonts w:ascii="Palatino Linotype" w:eastAsia="Times New Roman" w:hAnsi="Palatino Linotype"/>
                <w:bCs/>
                <w:color w:val="000000"/>
                <w:sz w:val="20"/>
                <w:lang w:val="en-US" w:eastAsia="de-DE" w:bidi="en-US"/>
              </w:rPr>
            </w:pPr>
          </w:p>
        </w:tc>
        <w:tc>
          <w:tcPr>
            <w:tcW w:w="0" w:type="auto"/>
            <w:vAlign w:val="center"/>
          </w:tcPr>
          <w:p w14:paraId="73118722"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S–S stitched</w:t>
            </w:r>
          </w:p>
        </w:tc>
        <w:tc>
          <w:tcPr>
            <w:tcW w:w="0" w:type="auto"/>
            <w:vMerge/>
            <w:vAlign w:val="center"/>
          </w:tcPr>
          <w:p w14:paraId="027A12D9" w14:textId="77777777" w:rsidR="00932956" w:rsidRPr="00B64193" w:rsidRDefault="00932956" w:rsidP="00932956">
            <w:pPr>
              <w:jc w:val="both"/>
              <w:rPr>
                <w:rFonts w:ascii="Palatino Linotype" w:eastAsia="Times New Roman" w:hAnsi="Palatino Linotype"/>
                <w:bCs/>
                <w:color w:val="000000"/>
                <w:sz w:val="20"/>
                <w:lang w:val="en-US" w:eastAsia="de-DE" w:bidi="en-US"/>
              </w:rPr>
            </w:pPr>
          </w:p>
        </w:tc>
        <w:tc>
          <w:tcPr>
            <w:tcW w:w="0" w:type="auto"/>
            <w:vAlign w:val="center"/>
          </w:tcPr>
          <w:p w14:paraId="2031CD1A"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25±4</w:t>
            </w:r>
          </w:p>
        </w:tc>
        <w:tc>
          <w:tcPr>
            <w:tcW w:w="0" w:type="auto"/>
            <w:vAlign w:val="center"/>
          </w:tcPr>
          <w:p w14:paraId="31960FC0"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5±1</w:t>
            </w:r>
          </w:p>
        </w:tc>
        <w:tc>
          <w:tcPr>
            <w:tcW w:w="0" w:type="auto"/>
            <w:vAlign w:val="center"/>
          </w:tcPr>
          <w:p w14:paraId="64E71728"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310±100</w:t>
            </w:r>
          </w:p>
        </w:tc>
        <w:tc>
          <w:tcPr>
            <w:tcW w:w="0" w:type="auto"/>
            <w:vAlign w:val="center"/>
          </w:tcPr>
          <w:p w14:paraId="107054A4"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530±80</w:t>
            </w:r>
          </w:p>
        </w:tc>
        <w:tc>
          <w:tcPr>
            <w:tcW w:w="0" w:type="auto"/>
            <w:vAlign w:val="center"/>
          </w:tcPr>
          <w:p w14:paraId="406BDBC3"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+23±2</w:t>
            </w:r>
          </w:p>
        </w:tc>
      </w:tr>
      <w:tr w:rsidR="00932956" w:rsidRPr="004706A6" w14:paraId="01E1E888" w14:textId="77777777" w:rsidTr="00940603">
        <w:tc>
          <w:tcPr>
            <w:tcW w:w="0" w:type="auto"/>
            <w:gridSpan w:val="2"/>
            <w:vAlign w:val="center"/>
          </w:tcPr>
          <w:p w14:paraId="54288E7C"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Chit5-LA-20*</w:t>
            </w:r>
          </w:p>
        </w:tc>
        <w:tc>
          <w:tcPr>
            <w:tcW w:w="0" w:type="auto"/>
            <w:vAlign w:val="center"/>
          </w:tcPr>
          <w:p w14:paraId="32EF0017"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15±3</w:t>
            </w:r>
          </w:p>
        </w:tc>
        <w:tc>
          <w:tcPr>
            <w:tcW w:w="0" w:type="auto"/>
            <w:vAlign w:val="center"/>
          </w:tcPr>
          <w:p w14:paraId="15E3526B"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5.9±0.2</w:t>
            </w:r>
          </w:p>
        </w:tc>
        <w:tc>
          <w:tcPr>
            <w:tcW w:w="0" w:type="auto"/>
            <w:vAlign w:val="center"/>
          </w:tcPr>
          <w:p w14:paraId="4CDD811A"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Pr>
                <w:rFonts w:eastAsia="Times New Roman"/>
                <w:bCs/>
                <w:sz w:val="20"/>
                <w:lang w:eastAsia="de-DE" w:bidi="en-US"/>
              </w:rPr>
              <w:t>9</w:t>
            </w:r>
            <w:r w:rsidRPr="00B64193">
              <w:rPr>
                <w:rFonts w:ascii="Palatino Linotype" w:eastAsia="Times New Roman" w:hAnsi="Palatino Linotype"/>
                <w:bCs/>
                <w:color w:val="000000"/>
                <w:sz w:val="20"/>
                <w:lang w:val="en-US" w:eastAsia="de-DE" w:bidi="en-US"/>
              </w:rPr>
              <w:t>±1</w:t>
            </w:r>
          </w:p>
        </w:tc>
        <w:tc>
          <w:tcPr>
            <w:tcW w:w="0" w:type="auto"/>
            <w:vAlign w:val="center"/>
          </w:tcPr>
          <w:p w14:paraId="68AE9F0E"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320±90</w:t>
            </w:r>
          </w:p>
        </w:tc>
        <w:tc>
          <w:tcPr>
            <w:tcW w:w="0" w:type="auto"/>
            <w:vAlign w:val="center"/>
          </w:tcPr>
          <w:p w14:paraId="0E18C969"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760±110</w:t>
            </w:r>
          </w:p>
        </w:tc>
        <w:tc>
          <w:tcPr>
            <w:tcW w:w="0" w:type="auto"/>
            <w:vAlign w:val="center"/>
          </w:tcPr>
          <w:p w14:paraId="67F37525"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+30.5±0.5</w:t>
            </w:r>
          </w:p>
        </w:tc>
      </w:tr>
    </w:tbl>
    <w:p w14:paraId="52A265F3" w14:textId="77777777" w:rsidR="00932956" w:rsidRPr="00B64193" w:rsidRDefault="00932956" w:rsidP="00932956">
      <w:pPr>
        <w:jc w:val="both"/>
        <w:rPr>
          <w:rFonts w:ascii="Palatino Linotype" w:eastAsia="Times New Roman" w:hAnsi="Palatino Linotype"/>
          <w:bCs/>
          <w:color w:val="000000"/>
          <w:sz w:val="20"/>
          <w:lang w:val="en-US" w:eastAsia="de-DE" w:bidi="en-US"/>
        </w:rPr>
      </w:pPr>
      <w:r w:rsidRPr="00B64193">
        <w:rPr>
          <w:rFonts w:ascii="Palatino Linotype" w:eastAsia="Times New Roman" w:hAnsi="Palatino Linotype"/>
          <w:bCs/>
          <w:color w:val="000000"/>
          <w:sz w:val="20"/>
          <w:lang w:val="en-US" w:eastAsia="de-DE" w:bidi="en-US"/>
        </w:rPr>
        <w:t>* Chit5-X-20, where 5 is molecular weight of chitosan in kDa, 20 – theoretical degree of chitosan modification, X – acid residue. SA – stearic acid, OA – oleic acid, MUA – 11-mercaptoundecanoic acid, LA – lipoic acid.</w:t>
      </w:r>
    </w:p>
    <w:p w14:paraId="3B2DEC21" w14:textId="77777777" w:rsidR="00932956" w:rsidRPr="00B64193" w:rsidRDefault="00932956" w:rsidP="00932956">
      <w:pPr>
        <w:pStyle w:val="MDPI23heading3"/>
        <w:ind w:left="0"/>
        <w:jc w:val="both"/>
        <w:rPr>
          <w:bCs/>
        </w:rPr>
      </w:pPr>
      <w:r w:rsidRPr="00B64193">
        <w:rPr>
          <w:bCs/>
        </w:rPr>
        <w:lastRenderedPageBreak/>
        <w:t xml:space="preserve">** Experimental modification degree was determined by TNBS spectrophotometric titration </w:t>
      </w:r>
      <w:bookmarkStart w:id="7" w:name="_Hlk125845807"/>
      <w:r w:rsidRPr="00B64193">
        <w:rPr>
          <w:bCs/>
        </w:rPr>
        <w:t>of NH</w:t>
      </w:r>
      <w:r w:rsidRPr="00B64193">
        <w:rPr>
          <w:bCs/>
          <w:vertAlign w:val="subscript"/>
        </w:rPr>
        <w:t>2</w:t>
      </w:r>
      <w:r w:rsidRPr="00B64193">
        <w:rPr>
          <w:bCs/>
        </w:rPr>
        <w:t>-groups of Chit5 and its conjugates</w:t>
      </w:r>
      <w:bookmarkEnd w:id="7"/>
      <w:r w:rsidRPr="00B64193">
        <w:rPr>
          <w:bCs/>
        </w:rPr>
        <w:t xml:space="preserve"> and FTIR peaks ratio.</w:t>
      </w:r>
    </w:p>
    <w:p w14:paraId="17826CDD" w14:textId="77777777" w:rsidR="00932956" w:rsidRPr="00932956" w:rsidRDefault="00932956" w:rsidP="00932956">
      <w:pPr>
        <w:rPr>
          <w:b/>
          <w:bCs/>
          <w:sz w:val="22"/>
          <w:szCs w:val="18"/>
          <w:lang w:val="en-US"/>
        </w:rPr>
      </w:pPr>
    </w:p>
    <w:p w14:paraId="39135B22" w14:textId="7B69C8D9" w:rsidR="00205317" w:rsidRPr="00205317" w:rsidRDefault="00205317" w:rsidP="00205317">
      <w:pPr>
        <w:rPr>
          <w:b/>
          <w:bCs/>
          <w:sz w:val="24"/>
          <w:szCs w:val="20"/>
          <w:lang w:val="en-US"/>
        </w:rPr>
      </w:pPr>
      <w:r w:rsidRPr="00E91558">
        <w:rPr>
          <w:b/>
          <w:bCs/>
          <w:sz w:val="24"/>
          <w:szCs w:val="20"/>
          <w:lang w:val="en-US"/>
        </w:rPr>
        <w:t xml:space="preserve">Reviewer's question </w:t>
      </w:r>
      <w:r>
        <w:rPr>
          <w:b/>
          <w:bCs/>
          <w:sz w:val="24"/>
          <w:szCs w:val="20"/>
          <w:lang w:val="en-US"/>
        </w:rPr>
        <w:t>10</w:t>
      </w:r>
      <w:r w:rsidRPr="00E91558">
        <w:rPr>
          <w:b/>
          <w:bCs/>
          <w:sz w:val="24"/>
          <w:szCs w:val="20"/>
          <w:lang w:val="en-US"/>
        </w:rPr>
        <w:t>:</w:t>
      </w:r>
      <w:r w:rsidRPr="006F3D8A">
        <w:rPr>
          <w:rFonts w:ascii="Arial" w:eastAsia="Times New Roman" w:hAnsi="Arial" w:cs="Arial"/>
          <w:color w:val="0A0A0A"/>
          <w:sz w:val="18"/>
          <w:szCs w:val="18"/>
          <w:lang w:val="en-US" w:eastAsia="ru-RU"/>
        </w:rPr>
        <w:t> </w:t>
      </w:r>
    </w:p>
    <w:p w14:paraId="5782492D" w14:textId="77777777" w:rsidR="00A209F5" w:rsidRPr="00A209F5" w:rsidRDefault="00A209F5" w:rsidP="00A209F5">
      <w:pPr>
        <w:shd w:val="clear" w:color="auto" w:fill="FEFEFE"/>
        <w:spacing w:before="100" w:beforeAutospacing="1" w:after="100" w:afterAutospacing="1"/>
        <w:jc w:val="both"/>
        <w:rPr>
          <w:rFonts w:ascii="Arial" w:eastAsia="Times New Roman" w:hAnsi="Arial" w:cs="Arial"/>
          <w:color w:val="0A0A0A"/>
          <w:sz w:val="20"/>
          <w:szCs w:val="20"/>
          <w:lang w:val="en-US" w:eastAsia="ru-RU"/>
        </w:rPr>
      </w:pPr>
      <w:r w:rsidRPr="00A209F5">
        <w:rPr>
          <w:rFonts w:ascii="Arial" w:eastAsia="Times New Roman" w:hAnsi="Arial" w:cs="Arial"/>
          <w:color w:val="0A0A0A"/>
          <w:sz w:val="20"/>
          <w:szCs w:val="20"/>
          <w:lang w:val="en-US" w:eastAsia="ru-RU"/>
        </w:rPr>
        <w:t>10. What is the significance of referring to the drug-loaded micelles as "pancakes"?</w:t>
      </w:r>
    </w:p>
    <w:p w14:paraId="5E01EBE9" w14:textId="68E2CB70" w:rsidR="00DA4965" w:rsidRPr="00D90DB1" w:rsidRDefault="00DA4965" w:rsidP="00DA4965">
      <w:pPr>
        <w:rPr>
          <w:b/>
          <w:bCs/>
          <w:sz w:val="24"/>
          <w:szCs w:val="20"/>
          <w:lang w:val="en-US"/>
        </w:rPr>
      </w:pPr>
      <w:r>
        <w:rPr>
          <w:b/>
          <w:bCs/>
          <w:sz w:val="24"/>
          <w:szCs w:val="20"/>
          <w:lang w:val="en-US"/>
        </w:rPr>
        <w:t>Authors</w:t>
      </w:r>
      <w:r w:rsidRPr="00D90DB1">
        <w:rPr>
          <w:b/>
          <w:bCs/>
          <w:sz w:val="24"/>
          <w:szCs w:val="20"/>
          <w:lang w:val="en-US"/>
        </w:rPr>
        <w:t xml:space="preserve">' </w:t>
      </w:r>
      <w:r>
        <w:rPr>
          <w:b/>
          <w:bCs/>
          <w:sz w:val="24"/>
          <w:szCs w:val="20"/>
          <w:lang w:val="en-US"/>
        </w:rPr>
        <w:t>answer</w:t>
      </w:r>
      <w:r w:rsidRPr="00D90DB1">
        <w:rPr>
          <w:b/>
          <w:bCs/>
          <w:sz w:val="24"/>
          <w:szCs w:val="20"/>
          <w:lang w:val="en-US"/>
        </w:rPr>
        <w:t xml:space="preserve"> </w:t>
      </w:r>
      <w:r>
        <w:rPr>
          <w:b/>
          <w:bCs/>
          <w:sz w:val="24"/>
          <w:szCs w:val="20"/>
          <w:lang w:val="en-US"/>
        </w:rPr>
        <w:t>10</w:t>
      </w:r>
      <w:r w:rsidRPr="00D90DB1">
        <w:rPr>
          <w:b/>
          <w:bCs/>
          <w:sz w:val="24"/>
          <w:szCs w:val="20"/>
          <w:lang w:val="en-US"/>
        </w:rPr>
        <w:t>:</w:t>
      </w:r>
    </w:p>
    <w:p w14:paraId="2A3555E5" w14:textId="1330734B" w:rsidR="00E25E71" w:rsidRPr="00E25E71" w:rsidRDefault="00D40A45" w:rsidP="00205317">
      <w:pPr>
        <w:rPr>
          <w:sz w:val="24"/>
          <w:szCs w:val="20"/>
          <w:lang w:val="en-US"/>
        </w:rPr>
      </w:pPr>
      <w:r>
        <w:rPr>
          <w:rFonts w:ascii="Arial" w:eastAsia="Times New Roman" w:hAnsi="Arial" w:cs="Arial"/>
          <w:color w:val="0A0A0A"/>
          <w:sz w:val="20"/>
          <w:szCs w:val="20"/>
          <w:lang w:val="en-US" w:eastAsia="ru-RU"/>
        </w:rPr>
        <w:t>D</w:t>
      </w:r>
      <w:r w:rsidRPr="00A209F5">
        <w:rPr>
          <w:rFonts w:ascii="Arial" w:eastAsia="Times New Roman" w:hAnsi="Arial" w:cs="Arial"/>
          <w:color w:val="0A0A0A"/>
          <w:sz w:val="20"/>
          <w:szCs w:val="20"/>
          <w:lang w:val="en-US" w:eastAsia="ru-RU"/>
        </w:rPr>
        <w:t xml:space="preserve">rug-loaded micelles </w:t>
      </w:r>
      <w:r>
        <w:rPr>
          <w:sz w:val="24"/>
          <w:szCs w:val="20"/>
          <w:lang w:val="en-US"/>
        </w:rPr>
        <w:t>renamed as “disc-like”.</w:t>
      </w:r>
      <w:r w:rsidR="004413C5" w:rsidRPr="004413C5">
        <w:rPr>
          <w:sz w:val="24"/>
          <w:szCs w:val="20"/>
          <w:lang w:val="en-US"/>
        </w:rPr>
        <w:t xml:space="preserve"> </w:t>
      </w:r>
      <w:r w:rsidR="00E25E71" w:rsidRPr="00E25E71">
        <w:rPr>
          <w:sz w:val="24"/>
          <w:szCs w:val="20"/>
          <w:lang w:val="en-US"/>
        </w:rPr>
        <w:t>The difference in morphology and texture according to AFM data for micelles loaded and unloaded with the drug is a very important fact, indicating structural rearrangements when the drug is included in micelle's core. The compaction and structuring of micelles</w:t>
      </w:r>
      <w:r>
        <w:rPr>
          <w:sz w:val="24"/>
          <w:szCs w:val="20"/>
          <w:lang w:val="en-US"/>
        </w:rPr>
        <w:t xml:space="preserve"> is observed</w:t>
      </w:r>
      <w:r w:rsidR="00E25E71" w:rsidRPr="00E25E71">
        <w:rPr>
          <w:sz w:val="24"/>
          <w:szCs w:val="20"/>
          <w:lang w:val="en-US"/>
        </w:rPr>
        <w:t>.</w:t>
      </w:r>
    </w:p>
    <w:p w14:paraId="244B1403" w14:textId="1F195743" w:rsidR="00205317" w:rsidRPr="00E25E71" w:rsidRDefault="00205317" w:rsidP="00205317">
      <w:pPr>
        <w:rPr>
          <w:b/>
          <w:bCs/>
          <w:sz w:val="24"/>
          <w:szCs w:val="20"/>
          <w:lang w:val="en-US"/>
        </w:rPr>
      </w:pPr>
      <w:r w:rsidRPr="00E91558">
        <w:rPr>
          <w:b/>
          <w:bCs/>
          <w:sz w:val="24"/>
          <w:szCs w:val="20"/>
          <w:lang w:val="en-US"/>
        </w:rPr>
        <w:t>Reviewer</w:t>
      </w:r>
      <w:r w:rsidRPr="00E25E71">
        <w:rPr>
          <w:b/>
          <w:bCs/>
          <w:sz w:val="24"/>
          <w:szCs w:val="20"/>
          <w:lang w:val="en-US"/>
        </w:rPr>
        <w:t>'</w:t>
      </w:r>
      <w:r w:rsidRPr="00E91558">
        <w:rPr>
          <w:b/>
          <w:bCs/>
          <w:sz w:val="24"/>
          <w:szCs w:val="20"/>
          <w:lang w:val="en-US"/>
        </w:rPr>
        <w:t>s</w:t>
      </w:r>
      <w:r w:rsidRPr="00E25E71">
        <w:rPr>
          <w:b/>
          <w:bCs/>
          <w:sz w:val="24"/>
          <w:szCs w:val="20"/>
          <w:lang w:val="en-US"/>
        </w:rPr>
        <w:t xml:space="preserve"> </w:t>
      </w:r>
      <w:r w:rsidRPr="00E91558">
        <w:rPr>
          <w:b/>
          <w:bCs/>
          <w:sz w:val="24"/>
          <w:szCs w:val="20"/>
          <w:lang w:val="en-US"/>
        </w:rPr>
        <w:t>question</w:t>
      </w:r>
      <w:r w:rsidRPr="00E25E71">
        <w:rPr>
          <w:b/>
          <w:bCs/>
          <w:sz w:val="24"/>
          <w:szCs w:val="20"/>
          <w:lang w:val="en-US"/>
        </w:rPr>
        <w:t xml:space="preserve"> 11:</w:t>
      </w:r>
      <w:r w:rsidRPr="006F3D8A">
        <w:rPr>
          <w:rFonts w:ascii="Arial" w:eastAsia="Times New Roman" w:hAnsi="Arial" w:cs="Arial"/>
          <w:color w:val="0A0A0A"/>
          <w:sz w:val="18"/>
          <w:szCs w:val="18"/>
          <w:lang w:val="en-US" w:eastAsia="ru-RU"/>
        </w:rPr>
        <w:t> </w:t>
      </w:r>
    </w:p>
    <w:p w14:paraId="3C3E18EB" w14:textId="77777777" w:rsidR="00A209F5" w:rsidRPr="00A209F5" w:rsidRDefault="00A209F5" w:rsidP="00A209F5">
      <w:pPr>
        <w:shd w:val="clear" w:color="auto" w:fill="FEFEFE"/>
        <w:spacing w:before="100" w:beforeAutospacing="1" w:after="100" w:afterAutospacing="1"/>
        <w:jc w:val="both"/>
        <w:rPr>
          <w:rFonts w:ascii="Arial" w:eastAsia="Times New Roman" w:hAnsi="Arial" w:cs="Arial"/>
          <w:color w:val="0A0A0A"/>
          <w:sz w:val="20"/>
          <w:szCs w:val="20"/>
          <w:lang w:val="en-US" w:eastAsia="ru-RU"/>
        </w:rPr>
      </w:pPr>
      <w:r w:rsidRPr="00A209F5">
        <w:rPr>
          <w:rFonts w:ascii="Arial" w:eastAsia="Times New Roman" w:hAnsi="Arial" w:cs="Arial"/>
          <w:color w:val="0A0A0A"/>
          <w:sz w:val="20"/>
          <w:szCs w:val="20"/>
          <w:lang w:val="en-US" w:eastAsia="ru-RU"/>
        </w:rPr>
        <w:t>11. Authors should give supporting evidence for their claim of significant changes in the texture of micellar objects when the drug is loaded.  Why do the NTA data and AFM data differ considerably?</w:t>
      </w:r>
    </w:p>
    <w:p w14:paraId="0AC42E20" w14:textId="25BE51D1" w:rsidR="00DA4965" w:rsidRPr="00D90DB1" w:rsidRDefault="00DA4965" w:rsidP="00DA4965">
      <w:pPr>
        <w:rPr>
          <w:b/>
          <w:bCs/>
          <w:sz w:val="24"/>
          <w:szCs w:val="20"/>
          <w:lang w:val="en-US"/>
        </w:rPr>
      </w:pPr>
      <w:r>
        <w:rPr>
          <w:b/>
          <w:bCs/>
          <w:sz w:val="24"/>
          <w:szCs w:val="20"/>
          <w:lang w:val="en-US"/>
        </w:rPr>
        <w:t>Authors</w:t>
      </w:r>
      <w:r w:rsidRPr="00D90DB1">
        <w:rPr>
          <w:b/>
          <w:bCs/>
          <w:sz w:val="24"/>
          <w:szCs w:val="20"/>
          <w:lang w:val="en-US"/>
        </w:rPr>
        <w:t xml:space="preserve">' </w:t>
      </w:r>
      <w:r>
        <w:rPr>
          <w:b/>
          <w:bCs/>
          <w:sz w:val="24"/>
          <w:szCs w:val="20"/>
          <w:lang w:val="en-US"/>
        </w:rPr>
        <w:t>answer</w:t>
      </w:r>
      <w:r w:rsidRPr="00D90DB1">
        <w:rPr>
          <w:b/>
          <w:bCs/>
          <w:sz w:val="24"/>
          <w:szCs w:val="20"/>
          <w:lang w:val="en-US"/>
        </w:rPr>
        <w:t xml:space="preserve"> </w:t>
      </w:r>
      <w:r>
        <w:rPr>
          <w:b/>
          <w:bCs/>
          <w:sz w:val="24"/>
          <w:szCs w:val="20"/>
          <w:lang w:val="en-US"/>
        </w:rPr>
        <w:t>11</w:t>
      </w:r>
      <w:r w:rsidRPr="00D90DB1">
        <w:rPr>
          <w:b/>
          <w:bCs/>
          <w:sz w:val="24"/>
          <w:szCs w:val="20"/>
          <w:lang w:val="en-US"/>
        </w:rPr>
        <w:t>:</w:t>
      </w:r>
    </w:p>
    <w:p w14:paraId="102CA1B0" w14:textId="76EEDCE4" w:rsidR="006F0F14" w:rsidRPr="004413C5" w:rsidRDefault="006F0F14" w:rsidP="00205317">
      <w:pPr>
        <w:rPr>
          <w:sz w:val="24"/>
          <w:szCs w:val="20"/>
          <w:lang w:val="en-US"/>
        </w:rPr>
      </w:pPr>
      <w:r w:rsidRPr="00D40A45">
        <w:rPr>
          <w:sz w:val="24"/>
          <w:szCs w:val="20"/>
          <w:lang w:val="en-US"/>
        </w:rPr>
        <w:t xml:space="preserve">The authors clarified the NTA data after extrusion of micelles empty and loaded with drug. The extrusion technique (400 nm membrane) makes it possible to significantly increase the drug inclusion degree and turn disordered particles into actual micelles. </w:t>
      </w:r>
      <w:r w:rsidR="005A6E5B" w:rsidRPr="00D40A45">
        <w:rPr>
          <w:sz w:val="24"/>
          <w:szCs w:val="20"/>
          <w:lang w:val="en-US"/>
        </w:rPr>
        <w:t xml:space="preserve">NTA data after extrusion of micelles </w:t>
      </w:r>
      <w:r w:rsidRPr="00D40A45">
        <w:rPr>
          <w:sz w:val="24"/>
          <w:szCs w:val="20"/>
          <w:lang w:val="en-US"/>
        </w:rPr>
        <w:t>is consistent with AFM (see question 9).</w:t>
      </w:r>
      <w:r w:rsidR="00175F1C" w:rsidRPr="00D40A45">
        <w:rPr>
          <w:sz w:val="24"/>
          <w:szCs w:val="20"/>
          <w:lang w:val="en-US"/>
        </w:rPr>
        <w:t xml:space="preserve"> </w:t>
      </w:r>
      <w:r w:rsidR="00260656" w:rsidRPr="00D40A45">
        <w:rPr>
          <w:sz w:val="24"/>
          <w:szCs w:val="20"/>
          <w:lang w:val="en-US"/>
        </w:rPr>
        <w:t>Additionally, the dimensions are determined using DLS (see Table 1 above).</w:t>
      </w:r>
      <w:r w:rsidR="004413C5" w:rsidRPr="004413C5">
        <w:rPr>
          <w:sz w:val="24"/>
          <w:szCs w:val="20"/>
          <w:lang w:val="en-US"/>
        </w:rPr>
        <w:t xml:space="preserve"> </w:t>
      </w:r>
    </w:p>
    <w:p w14:paraId="2AB81B6E" w14:textId="77777777" w:rsidR="007150AB" w:rsidRPr="00260656" w:rsidRDefault="007150AB" w:rsidP="00205317">
      <w:pPr>
        <w:rPr>
          <w:b/>
          <w:bCs/>
          <w:sz w:val="24"/>
          <w:szCs w:val="20"/>
          <w:lang w:val="en-US"/>
        </w:rPr>
      </w:pPr>
    </w:p>
    <w:p w14:paraId="5BE60501" w14:textId="7AAF1B52" w:rsidR="00205317" w:rsidRPr="006F0F14" w:rsidRDefault="00205317" w:rsidP="00205317">
      <w:pPr>
        <w:rPr>
          <w:b/>
          <w:bCs/>
          <w:sz w:val="24"/>
          <w:szCs w:val="20"/>
          <w:lang w:val="en-US"/>
        </w:rPr>
      </w:pPr>
      <w:r w:rsidRPr="00E91558">
        <w:rPr>
          <w:b/>
          <w:bCs/>
          <w:sz w:val="24"/>
          <w:szCs w:val="20"/>
          <w:lang w:val="en-US"/>
        </w:rPr>
        <w:t>Reviewer</w:t>
      </w:r>
      <w:r w:rsidRPr="006F0F14">
        <w:rPr>
          <w:b/>
          <w:bCs/>
          <w:sz w:val="24"/>
          <w:szCs w:val="20"/>
          <w:lang w:val="en-US"/>
        </w:rPr>
        <w:t>'</w:t>
      </w:r>
      <w:r w:rsidRPr="00E91558">
        <w:rPr>
          <w:b/>
          <w:bCs/>
          <w:sz w:val="24"/>
          <w:szCs w:val="20"/>
          <w:lang w:val="en-US"/>
        </w:rPr>
        <w:t>s</w:t>
      </w:r>
      <w:r w:rsidRPr="006F0F14">
        <w:rPr>
          <w:b/>
          <w:bCs/>
          <w:sz w:val="24"/>
          <w:szCs w:val="20"/>
          <w:lang w:val="en-US"/>
        </w:rPr>
        <w:t xml:space="preserve"> </w:t>
      </w:r>
      <w:r w:rsidRPr="00E91558">
        <w:rPr>
          <w:b/>
          <w:bCs/>
          <w:sz w:val="24"/>
          <w:szCs w:val="20"/>
          <w:lang w:val="en-US"/>
        </w:rPr>
        <w:t>question</w:t>
      </w:r>
      <w:r w:rsidRPr="006F0F14">
        <w:rPr>
          <w:b/>
          <w:bCs/>
          <w:sz w:val="24"/>
          <w:szCs w:val="20"/>
          <w:lang w:val="en-US"/>
        </w:rPr>
        <w:t xml:space="preserve"> 12:</w:t>
      </w:r>
      <w:r w:rsidRPr="006F3D8A">
        <w:rPr>
          <w:rFonts w:ascii="Arial" w:eastAsia="Times New Roman" w:hAnsi="Arial" w:cs="Arial"/>
          <w:color w:val="0A0A0A"/>
          <w:sz w:val="18"/>
          <w:szCs w:val="18"/>
          <w:lang w:val="en-US" w:eastAsia="ru-RU"/>
        </w:rPr>
        <w:t> </w:t>
      </w:r>
    </w:p>
    <w:p w14:paraId="354EB37B" w14:textId="2A4B6189" w:rsidR="00A209F5" w:rsidRPr="00A209F5" w:rsidRDefault="00A209F5" w:rsidP="00A209F5">
      <w:pPr>
        <w:shd w:val="clear" w:color="auto" w:fill="FEFEFE"/>
        <w:spacing w:before="100" w:beforeAutospacing="1" w:after="100" w:afterAutospacing="1"/>
        <w:jc w:val="both"/>
        <w:rPr>
          <w:rFonts w:ascii="Arial" w:eastAsia="Times New Roman" w:hAnsi="Arial" w:cs="Arial"/>
          <w:color w:val="0A0A0A"/>
          <w:sz w:val="20"/>
          <w:szCs w:val="20"/>
          <w:lang w:val="en-US" w:eastAsia="ru-RU"/>
        </w:rPr>
      </w:pPr>
      <w:r w:rsidRPr="00A209F5">
        <w:rPr>
          <w:rFonts w:ascii="Arial" w:eastAsia="Times New Roman" w:hAnsi="Arial" w:cs="Arial"/>
          <w:color w:val="0A0A0A"/>
          <w:sz w:val="20"/>
          <w:szCs w:val="20"/>
          <w:lang w:val="en-US" w:eastAsia="ru-RU"/>
        </w:rPr>
        <w:t xml:space="preserve">12. Micelles are self-assembling nanostructures with the most frequent particle size of &lt;200nm. However, in NTA and AFM data authors indicated that the particle distribution was 31-363nm (NTA) or 200 nm to 1.65 </w:t>
      </w:r>
      <w:r w:rsidRPr="00A209F5">
        <w:rPr>
          <w:rFonts w:ascii="Arial" w:eastAsia="Times New Roman" w:hAnsi="Arial" w:cs="Arial"/>
          <w:color w:val="0A0A0A"/>
          <w:sz w:val="20"/>
          <w:szCs w:val="20"/>
          <w:lang w:eastAsia="ru-RU"/>
        </w:rPr>
        <w:t>μ</w:t>
      </w:r>
      <w:r w:rsidRPr="00A209F5">
        <w:rPr>
          <w:rFonts w:ascii="Arial" w:eastAsia="Times New Roman" w:hAnsi="Arial" w:cs="Arial"/>
          <w:color w:val="0A0A0A"/>
          <w:sz w:val="20"/>
          <w:szCs w:val="20"/>
          <w:lang w:val="en-US" w:eastAsia="ru-RU"/>
        </w:rPr>
        <w:t>m . The author should explain their findings and give evidence to support them.</w:t>
      </w:r>
    </w:p>
    <w:p w14:paraId="232A4B5B" w14:textId="124F2865" w:rsidR="00DA4965" w:rsidRPr="00D90DB1" w:rsidRDefault="00DA4965" w:rsidP="00DA4965">
      <w:pPr>
        <w:rPr>
          <w:b/>
          <w:bCs/>
          <w:sz w:val="24"/>
          <w:szCs w:val="20"/>
          <w:lang w:val="en-US"/>
        </w:rPr>
      </w:pPr>
      <w:r>
        <w:rPr>
          <w:b/>
          <w:bCs/>
          <w:sz w:val="24"/>
          <w:szCs w:val="20"/>
          <w:lang w:val="en-US"/>
        </w:rPr>
        <w:t>Authors</w:t>
      </w:r>
      <w:r w:rsidRPr="00D90DB1">
        <w:rPr>
          <w:b/>
          <w:bCs/>
          <w:sz w:val="24"/>
          <w:szCs w:val="20"/>
          <w:lang w:val="en-US"/>
        </w:rPr>
        <w:t xml:space="preserve">' </w:t>
      </w:r>
      <w:r>
        <w:rPr>
          <w:b/>
          <w:bCs/>
          <w:sz w:val="24"/>
          <w:szCs w:val="20"/>
          <w:lang w:val="en-US"/>
        </w:rPr>
        <w:t>answer</w:t>
      </w:r>
      <w:r w:rsidRPr="00D90DB1">
        <w:rPr>
          <w:b/>
          <w:bCs/>
          <w:sz w:val="24"/>
          <w:szCs w:val="20"/>
          <w:lang w:val="en-US"/>
        </w:rPr>
        <w:t xml:space="preserve"> </w:t>
      </w:r>
      <w:r>
        <w:rPr>
          <w:b/>
          <w:bCs/>
          <w:sz w:val="24"/>
          <w:szCs w:val="20"/>
          <w:lang w:val="en-US"/>
        </w:rPr>
        <w:t>12</w:t>
      </w:r>
      <w:r w:rsidRPr="00D90DB1">
        <w:rPr>
          <w:b/>
          <w:bCs/>
          <w:sz w:val="24"/>
          <w:szCs w:val="20"/>
          <w:lang w:val="en-US"/>
        </w:rPr>
        <w:t>:</w:t>
      </w:r>
    </w:p>
    <w:p w14:paraId="43E999DD" w14:textId="28C3F8EB" w:rsidR="006F0F14" w:rsidRPr="008D3718" w:rsidRDefault="006F0F14" w:rsidP="00DA4965">
      <w:pPr>
        <w:rPr>
          <w:sz w:val="24"/>
          <w:szCs w:val="20"/>
          <w:lang w:val="en-US"/>
        </w:rPr>
      </w:pPr>
      <w:r w:rsidRPr="006F0F14">
        <w:rPr>
          <w:sz w:val="24"/>
          <w:szCs w:val="20"/>
          <w:lang w:val="en-US"/>
        </w:rPr>
        <w:t xml:space="preserve">AFM provides data on micelles that are deposited on the substrate and could spread apart (flattening), so their linear size is higher than according to NTA data. Polymer micelles can be considered </w:t>
      </w:r>
      <w:r>
        <w:rPr>
          <w:sz w:val="24"/>
          <w:szCs w:val="20"/>
          <w:lang w:val="en-US"/>
        </w:rPr>
        <w:t xml:space="preserve">as </w:t>
      </w:r>
      <w:r w:rsidRPr="006F0F14">
        <w:rPr>
          <w:sz w:val="24"/>
          <w:szCs w:val="20"/>
          <w:lang w:val="en-US"/>
        </w:rPr>
        <w:t xml:space="preserve">particles </w:t>
      </w:r>
      <w:r w:rsidR="00D40A45">
        <w:rPr>
          <w:sz w:val="24"/>
          <w:szCs w:val="20"/>
          <w:lang w:val="en-US"/>
        </w:rPr>
        <w:t xml:space="preserve">from 150 </w:t>
      </w:r>
      <w:r w:rsidRPr="006F0F14">
        <w:rPr>
          <w:sz w:val="24"/>
          <w:szCs w:val="20"/>
          <w:lang w:val="en-US"/>
        </w:rPr>
        <w:t>up to 400-500 nm. Since the modified chitosan itself has a large hydrodynamic size, and the micelles formed by it are even larger.</w:t>
      </w:r>
      <w:r w:rsidR="00175F1C" w:rsidRPr="00175F1C">
        <w:rPr>
          <w:sz w:val="24"/>
          <w:szCs w:val="20"/>
          <w:lang w:val="en-US"/>
        </w:rPr>
        <w:t xml:space="preserve"> </w:t>
      </w:r>
    </w:p>
    <w:p w14:paraId="664793AF" w14:textId="77777777" w:rsidR="007150AB" w:rsidRDefault="007150AB" w:rsidP="00205317">
      <w:pPr>
        <w:rPr>
          <w:b/>
          <w:bCs/>
          <w:sz w:val="24"/>
          <w:szCs w:val="20"/>
          <w:lang w:val="en-US"/>
        </w:rPr>
      </w:pPr>
    </w:p>
    <w:p w14:paraId="76E72BEF" w14:textId="740105C7" w:rsidR="00205317" w:rsidRPr="00205317" w:rsidRDefault="00205317" w:rsidP="00205317">
      <w:pPr>
        <w:rPr>
          <w:b/>
          <w:bCs/>
          <w:sz w:val="24"/>
          <w:szCs w:val="20"/>
          <w:lang w:val="en-US"/>
        </w:rPr>
      </w:pPr>
      <w:r w:rsidRPr="00E91558">
        <w:rPr>
          <w:b/>
          <w:bCs/>
          <w:sz w:val="24"/>
          <w:szCs w:val="20"/>
          <w:lang w:val="en-US"/>
        </w:rPr>
        <w:t xml:space="preserve">Reviewer's question </w:t>
      </w:r>
      <w:r>
        <w:rPr>
          <w:b/>
          <w:bCs/>
          <w:sz w:val="24"/>
          <w:szCs w:val="20"/>
          <w:lang w:val="en-US"/>
        </w:rPr>
        <w:t>13</w:t>
      </w:r>
      <w:r w:rsidRPr="00E91558">
        <w:rPr>
          <w:b/>
          <w:bCs/>
          <w:sz w:val="24"/>
          <w:szCs w:val="20"/>
          <w:lang w:val="en-US"/>
        </w:rPr>
        <w:t>:</w:t>
      </w:r>
      <w:r w:rsidRPr="006F3D8A">
        <w:rPr>
          <w:rFonts w:ascii="Arial" w:eastAsia="Times New Roman" w:hAnsi="Arial" w:cs="Arial"/>
          <w:color w:val="0A0A0A"/>
          <w:sz w:val="18"/>
          <w:szCs w:val="18"/>
          <w:lang w:val="en-US" w:eastAsia="ru-RU"/>
        </w:rPr>
        <w:t> </w:t>
      </w:r>
    </w:p>
    <w:p w14:paraId="274853CC" w14:textId="77777777" w:rsidR="00A209F5" w:rsidRPr="00A209F5" w:rsidRDefault="00A209F5" w:rsidP="00A209F5">
      <w:pPr>
        <w:shd w:val="clear" w:color="auto" w:fill="FEFEFE"/>
        <w:spacing w:before="100" w:beforeAutospacing="1" w:after="100" w:afterAutospacing="1"/>
        <w:jc w:val="both"/>
        <w:rPr>
          <w:rFonts w:ascii="Arial" w:eastAsia="Times New Roman" w:hAnsi="Arial" w:cs="Arial"/>
          <w:color w:val="0A0A0A"/>
          <w:sz w:val="20"/>
          <w:szCs w:val="20"/>
          <w:lang w:val="en-US" w:eastAsia="ru-RU"/>
        </w:rPr>
      </w:pPr>
      <w:r w:rsidRPr="00A209F5">
        <w:rPr>
          <w:rFonts w:ascii="Arial" w:eastAsia="Times New Roman" w:hAnsi="Arial" w:cs="Arial"/>
          <w:color w:val="0A0A0A"/>
          <w:sz w:val="20"/>
          <w:szCs w:val="20"/>
          <w:lang w:val="en-US" w:eastAsia="ru-RU"/>
        </w:rPr>
        <w:t>13. Why do the authors just look at AFM for Pyrazole 1 loaded micelles and not others?  What is the relevance of the non-loaded Chit5-MUA-20 AFM data?</w:t>
      </w:r>
    </w:p>
    <w:p w14:paraId="3C32C531" w14:textId="77777777" w:rsidR="007150AB" w:rsidRDefault="007150AB" w:rsidP="007150AB">
      <w:pPr>
        <w:rPr>
          <w:b/>
          <w:bCs/>
          <w:sz w:val="24"/>
          <w:szCs w:val="20"/>
          <w:lang w:val="en-US"/>
        </w:rPr>
      </w:pPr>
      <w:r>
        <w:rPr>
          <w:b/>
          <w:bCs/>
          <w:sz w:val="24"/>
          <w:szCs w:val="20"/>
          <w:lang w:val="en-US"/>
        </w:rPr>
        <w:t>Authors</w:t>
      </w:r>
      <w:r w:rsidRPr="007150AB">
        <w:rPr>
          <w:b/>
          <w:bCs/>
          <w:sz w:val="24"/>
          <w:szCs w:val="20"/>
          <w:lang w:val="en-US"/>
        </w:rPr>
        <w:t xml:space="preserve">' </w:t>
      </w:r>
      <w:r>
        <w:rPr>
          <w:b/>
          <w:bCs/>
          <w:sz w:val="24"/>
          <w:szCs w:val="20"/>
          <w:lang w:val="en-US"/>
        </w:rPr>
        <w:t>answer</w:t>
      </w:r>
      <w:r w:rsidRPr="007150AB">
        <w:rPr>
          <w:b/>
          <w:bCs/>
          <w:sz w:val="24"/>
          <w:szCs w:val="20"/>
          <w:lang w:val="en-US"/>
        </w:rPr>
        <w:t xml:space="preserve"> </w:t>
      </w:r>
      <w:r>
        <w:rPr>
          <w:b/>
          <w:bCs/>
          <w:sz w:val="24"/>
          <w:szCs w:val="20"/>
          <w:lang w:val="en-US"/>
        </w:rPr>
        <w:t>12</w:t>
      </w:r>
      <w:r w:rsidRPr="007150AB">
        <w:rPr>
          <w:b/>
          <w:bCs/>
          <w:sz w:val="24"/>
          <w:szCs w:val="20"/>
          <w:lang w:val="en-US"/>
        </w:rPr>
        <w:t>:</w:t>
      </w:r>
    </w:p>
    <w:p w14:paraId="005A0BE7" w14:textId="24D8B0E5" w:rsidR="007150AB" w:rsidRPr="008D3718" w:rsidRDefault="00D40A45" w:rsidP="007150AB">
      <w:pPr>
        <w:shd w:val="clear" w:color="auto" w:fill="FEFEFE"/>
        <w:spacing w:before="100" w:beforeAutospacing="1" w:after="100" w:afterAutospacing="1"/>
        <w:jc w:val="both"/>
        <w:rPr>
          <w:rFonts w:ascii="Arial" w:eastAsia="Times New Roman" w:hAnsi="Arial" w:cs="Arial"/>
          <w:color w:val="0A0A0A"/>
          <w:sz w:val="18"/>
          <w:szCs w:val="18"/>
          <w:lang w:val="en-US" w:eastAsia="ru-RU"/>
        </w:rPr>
      </w:pPr>
      <w:r w:rsidRPr="00D40A45">
        <w:rPr>
          <w:rFonts w:ascii="Arial" w:eastAsia="Times New Roman" w:hAnsi="Arial" w:cs="Arial"/>
          <w:color w:val="0A0A0A"/>
          <w:sz w:val="18"/>
          <w:szCs w:val="18"/>
          <w:lang w:val="en-US" w:eastAsia="ru-RU"/>
        </w:rPr>
        <w:t xml:space="preserve">We added AFM data to the manuscript for a </w:t>
      </w:r>
      <w:r>
        <w:rPr>
          <w:rFonts w:ascii="Arial" w:eastAsia="Times New Roman" w:hAnsi="Arial" w:cs="Arial"/>
          <w:color w:val="0A0A0A"/>
          <w:sz w:val="18"/>
          <w:szCs w:val="18"/>
          <w:lang w:val="en-US" w:eastAsia="ru-RU"/>
        </w:rPr>
        <w:t xml:space="preserve">set </w:t>
      </w:r>
      <w:r w:rsidRPr="00D40A45">
        <w:rPr>
          <w:rFonts w:ascii="Arial" w:eastAsia="Times New Roman" w:hAnsi="Arial" w:cs="Arial"/>
          <w:color w:val="0A0A0A"/>
          <w:sz w:val="18"/>
          <w:szCs w:val="18"/>
          <w:lang w:val="en-US" w:eastAsia="ru-RU"/>
        </w:rPr>
        <w:t>of other micelles studied in the work.</w:t>
      </w:r>
      <w:r w:rsidRPr="00D40A45">
        <w:rPr>
          <w:rFonts w:ascii="Arial" w:eastAsia="Times New Roman" w:hAnsi="Arial" w:cs="Arial"/>
          <w:color w:val="0A0A0A"/>
          <w:sz w:val="18"/>
          <w:szCs w:val="18"/>
          <w:lang w:val="en-US" w:eastAsia="ru-RU"/>
        </w:rPr>
        <w:t xml:space="preserve"> </w:t>
      </w:r>
      <w:r w:rsidR="007150AB" w:rsidRPr="007150AB">
        <w:rPr>
          <w:rFonts w:ascii="Arial" w:eastAsia="Times New Roman" w:hAnsi="Arial" w:cs="Arial"/>
          <w:color w:val="0A0A0A"/>
          <w:sz w:val="18"/>
          <w:szCs w:val="18"/>
          <w:lang w:val="en-US" w:eastAsia="ru-RU"/>
        </w:rPr>
        <w:t xml:space="preserve">The cytostatics used are structurally similar and have </w:t>
      </w:r>
      <w:r w:rsidR="007150AB">
        <w:rPr>
          <w:rFonts w:ascii="Arial" w:eastAsia="Times New Roman" w:hAnsi="Arial" w:cs="Arial"/>
          <w:color w:val="0A0A0A"/>
          <w:sz w:val="18"/>
          <w:szCs w:val="18"/>
          <w:lang w:val="en-US" w:eastAsia="ru-RU"/>
        </w:rPr>
        <w:t>small</w:t>
      </w:r>
      <w:r w:rsidR="007150AB" w:rsidRPr="007150AB">
        <w:rPr>
          <w:rFonts w:ascii="Arial" w:eastAsia="Times New Roman" w:hAnsi="Arial" w:cs="Arial"/>
          <w:color w:val="0A0A0A"/>
          <w:sz w:val="18"/>
          <w:szCs w:val="18"/>
          <w:lang w:val="en-US" w:eastAsia="ru-RU"/>
        </w:rPr>
        <w:t xml:space="preserve"> effect on the structure of loaded micelles. </w:t>
      </w:r>
      <w:r w:rsidR="00260656">
        <w:rPr>
          <w:rFonts w:ascii="Arial" w:eastAsia="Times New Roman" w:hAnsi="Arial" w:cs="Arial"/>
          <w:color w:val="0A0A0A"/>
          <w:sz w:val="18"/>
          <w:szCs w:val="18"/>
          <w:lang w:val="en-US" w:eastAsia="ru-RU"/>
        </w:rPr>
        <w:t>T</w:t>
      </w:r>
      <w:r w:rsidR="00260656" w:rsidRPr="00260656">
        <w:rPr>
          <w:rFonts w:ascii="Arial" w:eastAsia="Times New Roman" w:hAnsi="Arial" w:cs="Arial"/>
          <w:color w:val="0A0A0A"/>
          <w:sz w:val="18"/>
          <w:szCs w:val="18"/>
          <w:lang w:val="en-US" w:eastAsia="ru-RU"/>
        </w:rPr>
        <w:t>he rest of the loaded micelles have a similar texture</w:t>
      </w:r>
      <w:r w:rsidR="00175F1C" w:rsidRPr="00260656">
        <w:rPr>
          <w:rFonts w:ascii="Arial" w:eastAsia="Times New Roman" w:hAnsi="Arial" w:cs="Arial"/>
          <w:color w:val="0A0A0A"/>
          <w:sz w:val="18"/>
          <w:szCs w:val="18"/>
          <w:lang w:val="en-US" w:eastAsia="ru-RU"/>
        </w:rPr>
        <w:t xml:space="preserve">. </w:t>
      </w:r>
      <w:r w:rsidR="007150AB" w:rsidRPr="00260656">
        <w:rPr>
          <w:rFonts w:ascii="Arial" w:eastAsia="Times New Roman" w:hAnsi="Arial" w:cs="Arial"/>
          <w:color w:val="0A0A0A"/>
          <w:sz w:val="18"/>
          <w:szCs w:val="18"/>
          <w:lang w:val="en-US" w:eastAsia="ru-RU"/>
        </w:rPr>
        <w:t xml:space="preserve">The relevance of the data for </w:t>
      </w:r>
      <w:r>
        <w:rPr>
          <w:rFonts w:ascii="Arial" w:eastAsia="Times New Roman" w:hAnsi="Arial" w:cs="Arial"/>
          <w:color w:val="0A0A0A"/>
          <w:sz w:val="18"/>
          <w:szCs w:val="18"/>
          <w:lang w:val="en-US" w:eastAsia="ru-RU"/>
        </w:rPr>
        <w:t xml:space="preserve">loaded and </w:t>
      </w:r>
      <w:r w:rsidRPr="00D40A45">
        <w:rPr>
          <w:rFonts w:ascii="Arial" w:eastAsia="Times New Roman" w:hAnsi="Arial" w:cs="Arial"/>
          <w:color w:val="0A0A0A"/>
          <w:sz w:val="18"/>
          <w:szCs w:val="18"/>
          <w:lang w:val="en-US" w:eastAsia="ru-RU"/>
        </w:rPr>
        <w:t xml:space="preserve">non-loaded </w:t>
      </w:r>
      <w:r w:rsidR="007150AB" w:rsidRPr="00260656">
        <w:rPr>
          <w:rFonts w:ascii="Arial" w:eastAsia="Times New Roman" w:hAnsi="Arial" w:cs="Arial"/>
          <w:color w:val="0A0A0A"/>
          <w:sz w:val="18"/>
          <w:szCs w:val="18"/>
          <w:lang w:val="en-US" w:eastAsia="ru-RU"/>
        </w:rPr>
        <w:t xml:space="preserve">Chit5-MUA-20 </w:t>
      </w:r>
      <w:r>
        <w:rPr>
          <w:rFonts w:ascii="Arial" w:eastAsia="Times New Roman" w:hAnsi="Arial" w:cs="Arial"/>
          <w:color w:val="0A0A0A"/>
          <w:sz w:val="18"/>
          <w:szCs w:val="18"/>
          <w:lang w:val="en-US" w:eastAsia="ru-RU"/>
        </w:rPr>
        <w:t xml:space="preserve">is to </w:t>
      </w:r>
      <w:r w:rsidRPr="00260656">
        <w:rPr>
          <w:rFonts w:ascii="Arial" w:eastAsia="Times New Roman" w:hAnsi="Arial" w:cs="Arial"/>
          <w:color w:val="0A0A0A"/>
          <w:sz w:val="18"/>
          <w:szCs w:val="18"/>
          <w:lang w:val="en-US" w:eastAsia="ru-RU"/>
        </w:rPr>
        <w:t>directly</w:t>
      </w:r>
      <w:r>
        <w:rPr>
          <w:rFonts w:ascii="Arial" w:eastAsia="Times New Roman" w:hAnsi="Arial" w:cs="Arial"/>
          <w:color w:val="0A0A0A"/>
          <w:sz w:val="18"/>
          <w:szCs w:val="18"/>
          <w:lang w:val="en-US" w:eastAsia="ru-RU"/>
        </w:rPr>
        <w:t xml:space="preserve"> compare </w:t>
      </w:r>
      <w:r w:rsidR="007150AB" w:rsidRPr="00260656">
        <w:rPr>
          <w:rFonts w:ascii="Arial" w:eastAsia="Times New Roman" w:hAnsi="Arial" w:cs="Arial"/>
          <w:color w:val="0A0A0A"/>
          <w:sz w:val="18"/>
          <w:szCs w:val="18"/>
          <w:lang w:val="en-US" w:eastAsia="ru-RU"/>
        </w:rPr>
        <w:t xml:space="preserve">the </w:t>
      </w:r>
      <w:r>
        <w:rPr>
          <w:rFonts w:ascii="Arial" w:eastAsia="Times New Roman" w:hAnsi="Arial" w:cs="Arial"/>
          <w:color w:val="0A0A0A"/>
          <w:sz w:val="18"/>
          <w:szCs w:val="18"/>
          <w:lang w:val="en-US" w:eastAsia="ru-RU"/>
        </w:rPr>
        <w:t xml:space="preserve">influence of the drug loading to the particles  formation, </w:t>
      </w:r>
      <w:r w:rsidR="007150AB" w:rsidRPr="00260656">
        <w:rPr>
          <w:rFonts w:ascii="Arial" w:eastAsia="Times New Roman" w:hAnsi="Arial" w:cs="Arial"/>
          <w:color w:val="0A0A0A"/>
          <w:sz w:val="18"/>
          <w:szCs w:val="18"/>
          <w:lang w:val="en-US" w:eastAsia="ru-RU"/>
        </w:rPr>
        <w:t>structure</w:t>
      </w:r>
      <w:r>
        <w:rPr>
          <w:rFonts w:ascii="Arial" w:eastAsia="Times New Roman" w:hAnsi="Arial" w:cs="Arial"/>
          <w:color w:val="0A0A0A"/>
          <w:sz w:val="18"/>
          <w:szCs w:val="18"/>
          <w:lang w:val="en-US" w:eastAsia="ru-RU"/>
        </w:rPr>
        <w:t xml:space="preserve">, morphology and </w:t>
      </w:r>
      <w:r w:rsidRPr="00D40A45">
        <w:rPr>
          <w:rFonts w:ascii="Arial" w:eastAsia="Times New Roman" w:hAnsi="Arial" w:cs="Arial"/>
          <w:color w:val="0A0A0A"/>
          <w:sz w:val="18"/>
          <w:szCs w:val="18"/>
          <w:lang w:val="en-US" w:eastAsia="ru-RU"/>
        </w:rPr>
        <w:t>tendency to aggregation</w:t>
      </w:r>
      <w:r w:rsidRPr="00D40A45">
        <w:rPr>
          <w:rFonts w:ascii="Arial" w:eastAsia="Times New Roman" w:hAnsi="Arial" w:cs="Arial"/>
          <w:color w:val="0A0A0A"/>
          <w:sz w:val="18"/>
          <w:szCs w:val="18"/>
          <w:lang w:val="en-US" w:eastAsia="ru-RU"/>
        </w:rPr>
        <w:t xml:space="preserve"> </w:t>
      </w:r>
      <w:r>
        <w:rPr>
          <w:rFonts w:ascii="Arial" w:eastAsia="Times New Roman" w:hAnsi="Arial" w:cs="Arial"/>
          <w:color w:val="0A0A0A"/>
          <w:sz w:val="18"/>
          <w:szCs w:val="18"/>
          <w:lang w:val="en-US" w:eastAsia="ru-RU"/>
        </w:rPr>
        <w:t>of the micelles as particles.</w:t>
      </w:r>
      <w:r w:rsidR="007150AB" w:rsidRPr="00260656">
        <w:rPr>
          <w:rFonts w:ascii="Arial" w:eastAsia="Times New Roman" w:hAnsi="Arial" w:cs="Arial"/>
          <w:color w:val="0A0A0A"/>
          <w:sz w:val="18"/>
          <w:szCs w:val="18"/>
          <w:lang w:val="en-US" w:eastAsia="ru-RU"/>
        </w:rPr>
        <w:t xml:space="preserve"> </w:t>
      </w:r>
    </w:p>
    <w:p w14:paraId="356F6E90" w14:textId="77777777" w:rsidR="007150AB" w:rsidRPr="008D3718" w:rsidRDefault="007150AB" w:rsidP="007150AB">
      <w:pPr>
        <w:shd w:val="clear" w:color="auto" w:fill="FEFEFE"/>
        <w:spacing w:before="100" w:beforeAutospacing="1" w:after="100" w:afterAutospacing="1"/>
        <w:jc w:val="both"/>
        <w:rPr>
          <w:rFonts w:ascii="Arial" w:eastAsia="Times New Roman" w:hAnsi="Arial" w:cs="Arial"/>
          <w:color w:val="0A0A0A"/>
          <w:sz w:val="18"/>
          <w:szCs w:val="18"/>
          <w:lang w:val="en-US" w:eastAsia="ru-RU"/>
        </w:rPr>
      </w:pPr>
    </w:p>
    <w:p w14:paraId="5881E2B7" w14:textId="09E36412" w:rsidR="00205317" w:rsidRDefault="00205317" w:rsidP="00205317">
      <w:pPr>
        <w:rPr>
          <w:rFonts w:ascii="Arial" w:eastAsia="Times New Roman" w:hAnsi="Arial" w:cs="Arial"/>
          <w:color w:val="0A0A0A"/>
          <w:sz w:val="18"/>
          <w:szCs w:val="18"/>
          <w:lang w:val="en-US" w:eastAsia="ru-RU"/>
        </w:rPr>
      </w:pPr>
      <w:r w:rsidRPr="00E91558">
        <w:rPr>
          <w:b/>
          <w:bCs/>
          <w:sz w:val="24"/>
          <w:szCs w:val="20"/>
          <w:lang w:val="en-US"/>
        </w:rPr>
        <w:lastRenderedPageBreak/>
        <w:t xml:space="preserve">Reviewer's question </w:t>
      </w:r>
      <w:r>
        <w:rPr>
          <w:b/>
          <w:bCs/>
          <w:sz w:val="24"/>
          <w:szCs w:val="20"/>
          <w:lang w:val="en-US"/>
        </w:rPr>
        <w:t>14</w:t>
      </w:r>
      <w:r w:rsidRPr="00E91558">
        <w:rPr>
          <w:b/>
          <w:bCs/>
          <w:sz w:val="24"/>
          <w:szCs w:val="20"/>
          <w:lang w:val="en-US"/>
        </w:rPr>
        <w:t>:</w:t>
      </w:r>
      <w:r w:rsidRPr="006F3D8A">
        <w:rPr>
          <w:rFonts w:ascii="Arial" w:eastAsia="Times New Roman" w:hAnsi="Arial" w:cs="Arial"/>
          <w:color w:val="0A0A0A"/>
          <w:sz w:val="18"/>
          <w:szCs w:val="18"/>
          <w:lang w:val="en-US" w:eastAsia="ru-RU"/>
        </w:rPr>
        <w:t> </w:t>
      </w:r>
    </w:p>
    <w:p w14:paraId="1CC371FC" w14:textId="024D3E91" w:rsidR="00A209F5" w:rsidRPr="008D3718" w:rsidRDefault="00A209F5" w:rsidP="00A209F5">
      <w:pPr>
        <w:shd w:val="clear" w:color="auto" w:fill="FEFEFE"/>
        <w:spacing w:before="100" w:beforeAutospacing="1" w:after="100" w:afterAutospacing="1"/>
        <w:jc w:val="both"/>
        <w:rPr>
          <w:rFonts w:ascii="Arial" w:eastAsia="Times New Roman" w:hAnsi="Arial" w:cs="Arial"/>
          <w:color w:val="0A0A0A"/>
          <w:sz w:val="20"/>
          <w:szCs w:val="20"/>
          <w:lang w:val="en-US" w:eastAsia="ru-RU"/>
        </w:rPr>
      </w:pPr>
      <w:r w:rsidRPr="00A209F5">
        <w:rPr>
          <w:rFonts w:ascii="Arial" w:eastAsia="Times New Roman" w:hAnsi="Arial" w:cs="Arial"/>
          <w:color w:val="0A0A0A"/>
          <w:sz w:val="20"/>
          <w:szCs w:val="20"/>
          <w:lang w:val="en-US" w:eastAsia="ru-RU"/>
        </w:rPr>
        <w:t xml:space="preserve">14. Why did authors not include </w:t>
      </w:r>
      <w:r w:rsidRPr="00260656">
        <w:rPr>
          <w:rFonts w:ascii="Arial" w:eastAsia="Times New Roman" w:hAnsi="Arial" w:cs="Arial"/>
          <w:color w:val="0A0A0A"/>
          <w:sz w:val="20"/>
          <w:szCs w:val="20"/>
          <w:lang w:val="en-US" w:eastAsia="ru-RU"/>
        </w:rPr>
        <w:t>Albendazole and Diarylisoxazole in Chit5-OA-20</w:t>
      </w:r>
    </w:p>
    <w:p w14:paraId="02C3ADBD" w14:textId="39833A35" w:rsidR="007150AB" w:rsidRPr="007150AB" w:rsidRDefault="007150AB" w:rsidP="007150AB">
      <w:pPr>
        <w:rPr>
          <w:b/>
          <w:bCs/>
          <w:sz w:val="24"/>
          <w:szCs w:val="20"/>
          <w:lang w:val="en-US"/>
        </w:rPr>
      </w:pPr>
      <w:r>
        <w:rPr>
          <w:b/>
          <w:bCs/>
          <w:sz w:val="24"/>
          <w:szCs w:val="20"/>
          <w:lang w:val="en-US"/>
        </w:rPr>
        <w:t>Authors</w:t>
      </w:r>
      <w:r w:rsidRPr="007150AB">
        <w:rPr>
          <w:b/>
          <w:bCs/>
          <w:sz w:val="24"/>
          <w:szCs w:val="20"/>
          <w:lang w:val="en-US"/>
        </w:rPr>
        <w:t xml:space="preserve">' </w:t>
      </w:r>
      <w:r>
        <w:rPr>
          <w:b/>
          <w:bCs/>
          <w:sz w:val="24"/>
          <w:szCs w:val="20"/>
          <w:lang w:val="en-US"/>
        </w:rPr>
        <w:t>answer</w:t>
      </w:r>
      <w:r w:rsidRPr="007150AB">
        <w:rPr>
          <w:b/>
          <w:bCs/>
          <w:sz w:val="24"/>
          <w:szCs w:val="20"/>
          <w:lang w:val="en-US"/>
        </w:rPr>
        <w:t xml:space="preserve"> </w:t>
      </w:r>
      <w:r>
        <w:rPr>
          <w:b/>
          <w:bCs/>
          <w:sz w:val="24"/>
          <w:szCs w:val="20"/>
          <w:lang w:val="en-US"/>
        </w:rPr>
        <w:t>14</w:t>
      </w:r>
      <w:r w:rsidRPr="007150AB">
        <w:rPr>
          <w:b/>
          <w:bCs/>
          <w:sz w:val="24"/>
          <w:szCs w:val="20"/>
          <w:lang w:val="en-US"/>
        </w:rPr>
        <w:t>:</w:t>
      </w:r>
    </w:p>
    <w:p w14:paraId="0EA18C5A" w14:textId="110DD443" w:rsidR="007150AB" w:rsidRPr="007150AB" w:rsidRDefault="007150AB" w:rsidP="007150AB">
      <w:pPr>
        <w:jc w:val="both"/>
        <w:rPr>
          <w:sz w:val="24"/>
          <w:szCs w:val="20"/>
          <w:lang w:val="en-US"/>
        </w:rPr>
      </w:pPr>
      <w:r w:rsidRPr="007150AB">
        <w:rPr>
          <w:sz w:val="24"/>
          <w:szCs w:val="20"/>
          <w:lang w:val="en-US"/>
        </w:rPr>
        <w:t>The authors included cytostatics in all micelles, but presented optimal combinations of cytostatics-micelles to avoid cluttering. The best results are given by Chit5-MUA-20 and Chit5-LA-20, and partly by Chit5-OA-20. S</w:t>
      </w:r>
      <w:r>
        <w:rPr>
          <w:sz w:val="24"/>
          <w:szCs w:val="20"/>
          <w:lang w:val="en-US"/>
        </w:rPr>
        <w:t>-</w:t>
      </w:r>
      <w:r w:rsidRPr="007150AB">
        <w:rPr>
          <w:sz w:val="24"/>
          <w:szCs w:val="20"/>
          <w:lang w:val="en-US"/>
        </w:rPr>
        <w:t>S crosslinked micelles</w:t>
      </w:r>
      <w:r w:rsidR="00D61BB1">
        <w:rPr>
          <w:sz w:val="24"/>
          <w:szCs w:val="20"/>
          <w:lang w:val="en-US"/>
        </w:rPr>
        <w:t xml:space="preserve"> (</w:t>
      </w:r>
      <w:r w:rsidR="00D61BB1" w:rsidRPr="00D61BB1">
        <w:rPr>
          <w:sz w:val="24"/>
          <w:szCs w:val="20"/>
          <w:lang w:val="en-US"/>
        </w:rPr>
        <w:t>MUA and to a lesser extent LA</w:t>
      </w:r>
      <w:r w:rsidR="00D61BB1">
        <w:rPr>
          <w:sz w:val="24"/>
          <w:szCs w:val="20"/>
          <w:lang w:val="en-US"/>
        </w:rPr>
        <w:t>)</w:t>
      </w:r>
      <w:r w:rsidRPr="007150AB">
        <w:rPr>
          <w:sz w:val="24"/>
          <w:szCs w:val="20"/>
          <w:lang w:val="en-US"/>
        </w:rPr>
        <w:t xml:space="preserve"> are superior in Cyto</w:t>
      </w:r>
      <w:r>
        <w:rPr>
          <w:sz w:val="24"/>
          <w:szCs w:val="20"/>
          <w:lang w:val="en-US"/>
        </w:rPr>
        <w:t>-</w:t>
      </w:r>
      <w:r w:rsidRPr="007150AB">
        <w:rPr>
          <w:sz w:val="24"/>
          <w:szCs w:val="20"/>
          <w:lang w:val="en-US"/>
        </w:rPr>
        <w:t>tox to non-crosslinked OA and SA because they have glutathione sensitivity to the tumor microenvironment</w:t>
      </w:r>
      <w:r w:rsidR="00D61BB1">
        <w:rPr>
          <w:sz w:val="24"/>
          <w:szCs w:val="20"/>
          <w:lang w:val="en-US"/>
        </w:rPr>
        <w:t>.</w:t>
      </w:r>
    </w:p>
    <w:p w14:paraId="7382B4FE" w14:textId="4FC9DFF5" w:rsidR="00205317" w:rsidRPr="00205317" w:rsidRDefault="00205317" w:rsidP="00205317">
      <w:pPr>
        <w:rPr>
          <w:b/>
          <w:bCs/>
          <w:sz w:val="24"/>
          <w:szCs w:val="20"/>
          <w:lang w:val="en-US"/>
        </w:rPr>
      </w:pPr>
      <w:r w:rsidRPr="00E91558">
        <w:rPr>
          <w:b/>
          <w:bCs/>
          <w:sz w:val="24"/>
          <w:szCs w:val="20"/>
          <w:lang w:val="en-US"/>
        </w:rPr>
        <w:t xml:space="preserve">Reviewer's question </w:t>
      </w:r>
      <w:r>
        <w:rPr>
          <w:b/>
          <w:bCs/>
          <w:sz w:val="24"/>
          <w:szCs w:val="20"/>
          <w:lang w:val="en-US"/>
        </w:rPr>
        <w:t>15</w:t>
      </w:r>
      <w:r w:rsidRPr="00E91558">
        <w:rPr>
          <w:b/>
          <w:bCs/>
          <w:sz w:val="24"/>
          <w:szCs w:val="20"/>
          <w:lang w:val="en-US"/>
        </w:rPr>
        <w:t>:</w:t>
      </w:r>
      <w:r w:rsidRPr="006F3D8A">
        <w:rPr>
          <w:rFonts w:ascii="Arial" w:eastAsia="Times New Roman" w:hAnsi="Arial" w:cs="Arial"/>
          <w:color w:val="0A0A0A"/>
          <w:sz w:val="18"/>
          <w:szCs w:val="18"/>
          <w:lang w:val="en-US" w:eastAsia="ru-RU"/>
        </w:rPr>
        <w:t> </w:t>
      </w:r>
    </w:p>
    <w:p w14:paraId="10F87EDB" w14:textId="5122FE7B" w:rsidR="00A209F5" w:rsidRPr="00260656" w:rsidRDefault="00A209F5" w:rsidP="00A209F5">
      <w:pPr>
        <w:shd w:val="clear" w:color="auto" w:fill="FEFEFE"/>
        <w:spacing w:before="100" w:beforeAutospacing="1" w:after="100" w:afterAutospacing="1"/>
        <w:jc w:val="both"/>
        <w:rPr>
          <w:rFonts w:ascii="Arial" w:eastAsia="Times New Roman" w:hAnsi="Arial" w:cs="Arial"/>
          <w:color w:val="0A0A0A"/>
          <w:sz w:val="20"/>
          <w:szCs w:val="20"/>
          <w:lang w:val="en-US" w:eastAsia="ru-RU"/>
        </w:rPr>
      </w:pPr>
      <w:r w:rsidRPr="00A209F5">
        <w:rPr>
          <w:rFonts w:ascii="Arial" w:eastAsia="Times New Roman" w:hAnsi="Arial" w:cs="Arial"/>
          <w:color w:val="0A0A0A"/>
          <w:sz w:val="20"/>
          <w:szCs w:val="20"/>
          <w:lang w:val="en-US" w:eastAsia="ru-RU"/>
        </w:rPr>
        <w:t xml:space="preserve">15. On what grounds do authors choose Chit5-fatty acid for various Cytostatic drugs? Chit5-OA-20 is just for Pyrazole and Triazole, Chit5-MUA-20 is </w:t>
      </w:r>
      <w:r w:rsidRPr="00260656">
        <w:rPr>
          <w:rFonts w:ascii="Arial" w:eastAsia="Times New Roman" w:hAnsi="Arial" w:cs="Arial"/>
          <w:color w:val="0A0A0A"/>
          <w:sz w:val="20"/>
          <w:szCs w:val="20"/>
          <w:lang w:val="en-US" w:eastAsia="ru-RU"/>
        </w:rPr>
        <w:t>for albendazole, and Chit5-LA-20 is for diarylisoxazole. </w:t>
      </w:r>
    </w:p>
    <w:p w14:paraId="27ECE355" w14:textId="1957AF87" w:rsidR="007150AB" w:rsidRPr="004413C5" w:rsidRDefault="007150AB" w:rsidP="007150AB">
      <w:pPr>
        <w:rPr>
          <w:b/>
          <w:bCs/>
          <w:sz w:val="24"/>
          <w:szCs w:val="20"/>
          <w:lang w:val="en-US"/>
        </w:rPr>
      </w:pPr>
      <w:r>
        <w:rPr>
          <w:b/>
          <w:bCs/>
          <w:sz w:val="24"/>
          <w:szCs w:val="20"/>
          <w:lang w:val="en-US"/>
        </w:rPr>
        <w:t>Authors</w:t>
      </w:r>
      <w:r w:rsidRPr="004413C5">
        <w:rPr>
          <w:b/>
          <w:bCs/>
          <w:sz w:val="24"/>
          <w:szCs w:val="20"/>
          <w:lang w:val="en-US"/>
        </w:rPr>
        <w:t xml:space="preserve">' </w:t>
      </w:r>
      <w:r>
        <w:rPr>
          <w:b/>
          <w:bCs/>
          <w:sz w:val="24"/>
          <w:szCs w:val="20"/>
          <w:lang w:val="en-US"/>
        </w:rPr>
        <w:t>answer</w:t>
      </w:r>
      <w:r w:rsidRPr="004413C5">
        <w:rPr>
          <w:b/>
          <w:bCs/>
          <w:sz w:val="24"/>
          <w:szCs w:val="20"/>
          <w:lang w:val="en-US"/>
        </w:rPr>
        <w:t xml:space="preserve"> 1</w:t>
      </w:r>
      <w:r w:rsidR="00D61BB1" w:rsidRPr="004413C5">
        <w:rPr>
          <w:b/>
          <w:bCs/>
          <w:sz w:val="24"/>
          <w:szCs w:val="20"/>
          <w:lang w:val="en-US"/>
        </w:rPr>
        <w:t>5</w:t>
      </w:r>
      <w:r w:rsidRPr="004413C5">
        <w:rPr>
          <w:b/>
          <w:bCs/>
          <w:sz w:val="24"/>
          <w:szCs w:val="20"/>
          <w:lang w:val="en-US"/>
        </w:rPr>
        <w:t>:</w:t>
      </w:r>
    </w:p>
    <w:p w14:paraId="111CA773" w14:textId="0E25F6A6" w:rsidR="00D61BB1" w:rsidRDefault="00D40A45" w:rsidP="007150AB">
      <w:pPr>
        <w:rPr>
          <w:sz w:val="24"/>
          <w:szCs w:val="20"/>
          <w:lang w:val="en-US"/>
        </w:rPr>
      </w:pPr>
      <w:r w:rsidRPr="00260656">
        <w:rPr>
          <w:rFonts w:ascii="Arial" w:eastAsia="Times New Roman" w:hAnsi="Arial" w:cs="Arial"/>
          <w:color w:val="0A0A0A"/>
          <w:sz w:val="20"/>
          <w:szCs w:val="20"/>
          <w:lang w:val="en-US" w:eastAsia="ru-RU"/>
        </w:rPr>
        <w:t>MTT tests were reworked and completed for other micelles’ too.</w:t>
      </w:r>
      <w:r>
        <w:rPr>
          <w:rFonts w:ascii="Arial" w:eastAsia="Times New Roman" w:hAnsi="Arial" w:cs="Arial"/>
          <w:color w:val="0A0A0A"/>
          <w:sz w:val="20"/>
          <w:szCs w:val="20"/>
          <w:lang w:val="en-US" w:eastAsia="ru-RU"/>
        </w:rPr>
        <w:t xml:space="preserve"> </w:t>
      </w:r>
    </w:p>
    <w:p w14:paraId="72E57E7A" w14:textId="77777777" w:rsidR="00D61BB1" w:rsidRPr="00D61BB1" w:rsidRDefault="00D61BB1" w:rsidP="007150AB">
      <w:pPr>
        <w:rPr>
          <w:sz w:val="24"/>
          <w:szCs w:val="20"/>
          <w:lang w:val="en-US"/>
        </w:rPr>
      </w:pPr>
    </w:p>
    <w:p w14:paraId="5B96B400" w14:textId="7AFD8428" w:rsidR="00205317" w:rsidRPr="00205317" w:rsidRDefault="00205317" w:rsidP="00205317">
      <w:pPr>
        <w:rPr>
          <w:b/>
          <w:bCs/>
          <w:sz w:val="24"/>
          <w:szCs w:val="20"/>
          <w:lang w:val="en-US"/>
        </w:rPr>
      </w:pPr>
      <w:r w:rsidRPr="00E91558">
        <w:rPr>
          <w:b/>
          <w:bCs/>
          <w:sz w:val="24"/>
          <w:szCs w:val="20"/>
          <w:lang w:val="en-US"/>
        </w:rPr>
        <w:t xml:space="preserve">Reviewer's question </w:t>
      </w:r>
      <w:r>
        <w:rPr>
          <w:b/>
          <w:bCs/>
          <w:sz w:val="24"/>
          <w:szCs w:val="20"/>
          <w:lang w:val="en-US"/>
        </w:rPr>
        <w:t>16</w:t>
      </w:r>
      <w:r w:rsidRPr="00E91558">
        <w:rPr>
          <w:b/>
          <w:bCs/>
          <w:sz w:val="24"/>
          <w:szCs w:val="20"/>
          <w:lang w:val="en-US"/>
        </w:rPr>
        <w:t>:</w:t>
      </w:r>
      <w:r w:rsidRPr="006F3D8A">
        <w:rPr>
          <w:rFonts w:ascii="Arial" w:eastAsia="Times New Roman" w:hAnsi="Arial" w:cs="Arial"/>
          <w:color w:val="0A0A0A"/>
          <w:sz w:val="18"/>
          <w:szCs w:val="18"/>
          <w:lang w:val="en-US" w:eastAsia="ru-RU"/>
        </w:rPr>
        <w:t> </w:t>
      </w:r>
    </w:p>
    <w:p w14:paraId="282754C7" w14:textId="77777777" w:rsidR="00A209F5" w:rsidRPr="00A209F5" w:rsidRDefault="00A209F5" w:rsidP="00A209F5">
      <w:pPr>
        <w:shd w:val="clear" w:color="auto" w:fill="FEFEFE"/>
        <w:spacing w:before="100" w:beforeAutospacing="1" w:after="100" w:afterAutospacing="1"/>
        <w:jc w:val="both"/>
        <w:rPr>
          <w:rFonts w:ascii="Arial" w:eastAsia="Times New Roman" w:hAnsi="Arial" w:cs="Arial"/>
          <w:color w:val="0A0A0A"/>
          <w:sz w:val="20"/>
          <w:szCs w:val="20"/>
          <w:lang w:val="en-US" w:eastAsia="ru-RU"/>
        </w:rPr>
      </w:pPr>
      <w:r w:rsidRPr="00A209F5">
        <w:rPr>
          <w:rFonts w:ascii="Arial" w:eastAsia="Times New Roman" w:hAnsi="Arial" w:cs="Arial"/>
          <w:color w:val="0A0A0A"/>
          <w:sz w:val="20"/>
          <w:szCs w:val="20"/>
          <w:lang w:val="en-US" w:eastAsia="ru-RU"/>
        </w:rPr>
        <w:t>16. Table 2 should be changed as a figure legend.</w:t>
      </w:r>
    </w:p>
    <w:p w14:paraId="45DA0C26" w14:textId="40D13783" w:rsidR="007150AB" w:rsidRPr="00733AB9" w:rsidRDefault="007150AB" w:rsidP="007150AB">
      <w:pPr>
        <w:rPr>
          <w:b/>
          <w:bCs/>
          <w:sz w:val="24"/>
          <w:szCs w:val="20"/>
          <w:lang w:val="en-US"/>
        </w:rPr>
      </w:pPr>
      <w:r>
        <w:rPr>
          <w:b/>
          <w:bCs/>
          <w:sz w:val="24"/>
          <w:szCs w:val="20"/>
          <w:lang w:val="en-US"/>
        </w:rPr>
        <w:t>Authors</w:t>
      </w:r>
      <w:r w:rsidRPr="00733AB9">
        <w:rPr>
          <w:b/>
          <w:bCs/>
          <w:sz w:val="24"/>
          <w:szCs w:val="20"/>
          <w:lang w:val="en-US"/>
        </w:rPr>
        <w:t xml:space="preserve">' </w:t>
      </w:r>
      <w:r>
        <w:rPr>
          <w:b/>
          <w:bCs/>
          <w:sz w:val="24"/>
          <w:szCs w:val="20"/>
          <w:lang w:val="en-US"/>
        </w:rPr>
        <w:t>answer</w:t>
      </w:r>
      <w:r w:rsidRPr="00733AB9">
        <w:rPr>
          <w:b/>
          <w:bCs/>
          <w:sz w:val="24"/>
          <w:szCs w:val="20"/>
          <w:lang w:val="en-US"/>
        </w:rPr>
        <w:t xml:space="preserve"> </w:t>
      </w:r>
      <w:r>
        <w:rPr>
          <w:b/>
          <w:bCs/>
          <w:sz w:val="24"/>
          <w:szCs w:val="20"/>
          <w:lang w:val="en-US"/>
        </w:rPr>
        <w:t>1</w:t>
      </w:r>
      <w:r w:rsidR="00D61BB1" w:rsidRPr="00733AB9">
        <w:rPr>
          <w:b/>
          <w:bCs/>
          <w:sz w:val="24"/>
          <w:szCs w:val="20"/>
          <w:lang w:val="en-US"/>
        </w:rPr>
        <w:t>6</w:t>
      </w:r>
      <w:r w:rsidRPr="00733AB9">
        <w:rPr>
          <w:b/>
          <w:bCs/>
          <w:sz w:val="24"/>
          <w:szCs w:val="20"/>
          <w:lang w:val="en-US"/>
        </w:rPr>
        <w:t>:</w:t>
      </w:r>
    </w:p>
    <w:p w14:paraId="70DBF846" w14:textId="3779A824" w:rsidR="00D61BB1" w:rsidRPr="00733AB9" w:rsidRDefault="00D61BB1" w:rsidP="00205317">
      <w:pPr>
        <w:rPr>
          <w:sz w:val="24"/>
          <w:szCs w:val="20"/>
          <w:lang w:val="en-US"/>
        </w:rPr>
      </w:pPr>
      <w:r w:rsidRPr="00D61BB1">
        <w:rPr>
          <w:sz w:val="24"/>
          <w:szCs w:val="20"/>
          <w:lang w:val="en-US"/>
        </w:rPr>
        <w:t xml:space="preserve">The authors consider the presentation of cell images in the form of a table to be more visual. We </w:t>
      </w:r>
      <w:r w:rsidR="00733AB9">
        <w:rPr>
          <w:sz w:val="24"/>
          <w:szCs w:val="20"/>
          <w:lang w:val="en-US"/>
        </w:rPr>
        <w:t xml:space="preserve">have changed </w:t>
      </w:r>
      <w:r w:rsidRPr="00D61BB1">
        <w:rPr>
          <w:sz w:val="24"/>
          <w:szCs w:val="20"/>
          <w:lang w:val="en-US"/>
        </w:rPr>
        <w:t xml:space="preserve">the name of Figure vs Table </w:t>
      </w:r>
      <w:r w:rsidR="00733AB9">
        <w:rPr>
          <w:sz w:val="24"/>
          <w:szCs w:val="20"/>
          <w:lang w:val="en-US"/>
        </w:rPr>
        <w:t xml:space="preserve">according to </w:t>
      </w:r>
      <w:r w:rsidRPr="00D61BB1">
        <w:rPr>
          <w:sz w:val="24"/>
          <w:szCs w:val="20"/>
          <w:lang w:val="en-US"/>
        </w:rPr>
        <w:t xml:space="preserve">with the </w:t>
      </w:r>
      <w:r w:rsidR="00733AB9">
        <w:rPr>
          <w:sz w:val="24"/>
          <w:szCs w:val="20"/>
          <w:lang w:val="en-US"/>
        </w:rPr>
        <w:t xml:space="preserve">reviewer comments </w:t>
      </w:r>
    </w:p>
    <w:p w14:paraId="776897DC" w14:textId="77777777" w:rsidR="00D61BB1" w:rsidRDefault="00D61BB1" w:rsidP="00205317">
      <w:pPr>
        <w:rPr>
          <w:b/>
          <w:bCs/>
          <w:sz w:val="24"/>
          <w:szCs w:val="20"/>
          <w:lang w:val="en-US"/>
        </w:rPr>
      </w:pPr>
    </w:p>
    <w:p w14:paraId="6AC3FF8B" w14:textId="41D08419" w:rsidR="00205317" w:rsidRPr="00D61BB1" w:rsidRDefault="00205317" w:rsidP="00205317">
      <w:pPr>
        <w:rPr>
          <w:b/>
          <w:bCs/>
          <w:sz w:val="24"/>
          <w:szCs w:val="20"/>
          <w:lang w:val="en-US"/>
        </w:rPr>
      </w:pPr>
      <w:r w:rsidRPr="00E91558">
        <w:rPr>
          <w:b/>
          <w:bCs/>
          <w:sz w:val="24"/>
          <w:szCs w:val="20"/>
          <w:lang w:val="en-US"/>
        </w:rPr>
        <w:t>Reviewer</w:t>
      </w:r>
      <w:r w:rsidRPr="00D61BB1">
        <w:rPr>
          <w:b/>
          <w:bCs/>
          <w:sz w:val="24"/>
          <w:szCs w:val="20"/>
          <w:lang w:val="en-US"/>
        </w:rPr>
        <w:t>'</w:t>
      </w:r>
      <w:r w:rsidRPr="00E91558">
        <w:rPr>
          <w:b/>
          <w:bCs/>
          <w:sz w:val="24"/>
          <w:szCs w:val="20"/>
          <w:lang w:val="en-US"/>
        </w:rPr>
        <w:t>s</w:t>
      </w:r>
      <w:r w:rsidRPr="00D61BB1">
        <w:rPr>
          <w:b/>
          <w:bCs/>
          <w:sz w:val="24"/>
          <w:szCs w:val="20"/>
          <w:lang w:val="en-US"/>
        </w:rPr>
        <w:t xml:space="preserve"> </w:t>
      </w:r>
      <w:r w:rsidRPr="00E91558">
        <w:rPr>
          <w:b/>
          <w:bCs/>
          <w:sz w:val="24"/>
          <w:szCs w:val="20"/>
          <w:lang w:val="en-US"/>
        </w:rPr>
        <w:t>question</w:t>
      </w:r>
      <w:r w:rsidRPr="00D61BB1">
        <w:rPr>
          <w:b/>
          <w:bCs/>
          <w:sz w:val="24"/>
          <w:szCs w:val="20"/>
          <w:lang w:val="en-US"/>
        </w:rPr>
        <w:t xml:space="preserve"> 17:</w:t>
      </w:r>
      <w:r w:rsidRPr="006F3D8A">
        <w:rPr>
          <w:rFonts w:ascii="Arial" w:eastAsia="Times New Roman" w:hAnsi="Arial" w:cs="Arial"/>
          <w:color w:val="0A0A0A"/>
          <w:sz w:val="18"/>
          <w:szCs w:val="18"/>
          <w:lang w:val="en-US" w:eastAsia="ru-RU"/>
        </w:rPr>
        <w:t> </w:t>
      </w:r>
    </w:p>
    <w:p w14:paraId="07EC1922" w14:textId="77777777" w:rsidR="00A209F5" w:rsidRPr="00A209F5" w:rsidRDefault="00A209F5" w:rsidP="00A209F5">
      <w:pPr>
        <w:shd w:val="clear" w:color="auto" w:fill="FEFEFE"/>
        <w:spacing w:before="100" w:beforeAutospacing="1" w:after="100" w:afterAutospacing="1"/>
        <w:jc w:val="both"/>
        <w:rPr>
          <w:rFonts w:ascii="Arial" w:eastAsia="Times New Roman" w:hAnsi="Arial" w:cs="Arial"/>
          <w:color w:val="0A0A0A"/>
          <w:sz w:val="20"/>
          <w:szCs w:val="20"/>
          <w:lang w:val="en-US" w:eastAsia="ru-RU"/>
        </w:rPr>
      </w:pPr>
      <w:r w:rsidRPr="00A209F5">
        <w:rPr>
          <w:rFonts w:ascii="Arial" w:eastAsia="Times New Roman" w:hAnsi="Arial" w:cs="Arial"/>
          <w:color w:val="0A0A0A"/>
          <w:sz w:val="20"/>
          <w:szCs w:val="20"/>
          <w:lang w:val="en-US" w:eastAsia="ru-RU"/>
        </w:rPr>
        <w:t>17. To support the claim of pH, temperatures, and glutathione sensitivity of micelles, provide in vitro release data of drug-loaded micelles in different pH and temperature conditions.</w:t>
      </w:r>
    </w:p>
    <w:p w14:paraId="5910D73C" w14:textId="2B8C85D1" w:rsidR="007150AB" w:rsidRPr="00D90DB1" w:rsidRDefault="007150AB" w:rsidP="007150AB">
      <w:pPr>
        <w:rPr>
          <w:b/>
          <w:bCs/>
          <w:sz w:val="24"/>
          <w:szCs w:val="20"/>
          <w:lang w:val="en-US"/>
        </w:rPr>
      </w:pPr>
      <w:r>
        <w:rPr>
          <w:b/>
          <w:bCs/>
          <w:sz w:val="24"/>
          <w:szCs w:val="20"/>
          <w:lang w:val="en-US"/>
        </w:rPr>
        <w:t>Authors</w:t>
      </w:r>
      <w:r w:rsidRPr="00D90DB1">
        <w:rPr>
          <w:b/>
          <w:bCs/>
          <w:sz w:val="24"/>
          <w:szCs w:val="20"/>
          <w:lang w:val="en-US"/>
        </w:rPr>
        <w:t xml:space="preserve">' </w:t>
      </w:r>
      <w:r>
        <w:rPr>
          <w:b/>
          <w:bCs/>
          <w:sz w:val="24"/>
          <w:szCs w:val="20"/>
          <w:lang w:val="en-US"/>
        </w:rPr>
        <w:t>answer</w:t>
      </w:r>
      <w:r w:rsidRPr="00D90DB1">
        <w:rPr>
          <w:b/>
          <w:bCs/>
          <w:sz w:val="24"/>
          <w:szCs w:val="20"/>
          <w:lang w:val="en-US"/>
        </w:rPr>
        <w:t xml:space="preserve"> </w:t>
      </w:r>
      <w:r>
        <w:rPr>
          <w:b/>
          <w:bCs/>
          <w:sz w:val="24"/>
          <w:szCs w:val="20"/>
          <w:lang w:val="en-US"/>
        </w:rPr>
        <w:t>1</w:t>
      </w:r>
      <w:r w:rsidR="00D61BB1" w:rsidRPr="00D90DB1">
        <w:rPr>
          <w:b/>
          <w:bCs/>
          <w:sz w:val="24"/>
          <w:szCs w:val="20"/>
          <w:lang w:val="en-US"/>
        </w:rPr>
        <w:t>7</w:t>
      </w:r>
      <w:r w:rsidRPr="00D90DB1">
        <w:rPr>
          <w:b/>
          <w:bCs/>
          <w:sz w:val="24"/>
          <w:szCs w:val="20"/>
          <w:lang w:val="en-US"/>
        </w:rPr>
        <w:t>:</w:t>
      </w:r>
    </w:p>
    <w:p w14:paraId="3874AF80" w14:textId="5842FCE8" w:rsidR="00D61BB1" w:rsidRPr="004413C5" w:rsidRDefault="00D61BB1" w:rsidP="00D61BB1">
      <w:pPr>
        <w:pStyle w:val="MDPI35textbeforelist"/>
        <w:ind w:left="0" w:firstLine="0"/>
        <w:rPr>
          <w:rFonts w:ascii="Times New Roman" w:eastAsiaTheme="minorHAnsi" w:hAnsi="Times New Roman" w:cstheme="minorBidi"/>
          <w:snapToGrid/>
          <w:color w:val="auto"/>
          <w:sz w:val="24"/>
          <w:szCs w:val="20"/>
          <w:lang w:eastAsia="en-US" w:bidi="ar-SA"/>
        </w:rPr>
      </w:pPr>
      <w:r w:rsidRPr="00D61BB1">
        <w:rPr>
          <w:rFonts w:ascii="Times New Roman" w:eastAsiaTheme="minorHAnsi" w:hAnsi="Times New Roman" w:cstheme="minorBidi"/>
          <w:snapToGrid/>
          <w:color w:val="auto"/>
          <w:sz w:val="24"/>
          <w:szCs w:val="20"/>
          <w:lang w:eastAsia="en-US" w:bidi="ar-SA"/>
        </w:rPr>
        <w:t xml:space="preserve">These data are submitted for publication in another manuscript of the authors </w:t>
      </w:r>
      <w:r w:rsidR="00733AB9">
        <w:rPr>
          <w:rFonts w:ascii="Times New Roman" w:eastAsiaTheme="minorHAnsi" w:hAnsi="Times New Roman" w:cstheme="minorBidi"/>
          <w:snapToGrid/>
          <w:color w:val="auto"/>
          <w:sz w:val="24"/>
          <w:szCs w:val="20"/>
          <w:lang w:eastAsia="en-US" w:bidi="ar-SA"/>
        </w:rPr>
        <w:t xml:space="preserve">for the model Dox release </w:t>
      </w:r>
      <w:r w:rsidRPr="00D61BB1">
        <w:rPr>
          <w:rFonts w:ascii="Times New Roman" w:eastAsiaTheme="minorHAnsi" w:hAnsi="Times New Roman" w:cstheme="minorBidi"/>
          <w:snapToGrid/>
          <w:color w:val="auto"/>
          <w:sz w:val="24"/>
          <w:szCs w:val="20"/>
          <w:lang w:eastAsia="en-US" w:bidi="ar-SA"/>
        </w:rPr>
        <w:t>(Accepted manuscript)</w:t>
      </w:r>
      <w:r>
        <w:rPr>
          <w:rFonts w:ascii="Times New Roman" w:eastAsiaTheme="minorHAnsi" w:hAnsi="Times New Roman" w:cstheme="minorBidi"/>
          <w:snapToGrid/>
          <w:color w:val="auto"/>
          <w:sz w:val="24"/>
          <w:szCs w:val="20"/>
          <w:lang w:eastAsia="en-US" w:bidi="ar-SA"/>
        </w:rPr>
        <w:t>.</w:t>
      </w:r>
    </w:p>
    <w:p w14:paraId="6210C56C" w14:textId="24219C44" w:rsidR="00D61BB1" w:rsidRDefault="00D61BB1" w:rsidP="00D61BB1">
      <w:pPr>
        <w:pStyle w:val="MDPI35textbeforelist"/>
        <w:ind w:left="0" w:firstLine="0"/>
      </w:pPr>
      <w:r>
        <w:rPr>
          <w:noProof/>
        </w:rPr>
        <w:lastRenderedPageBreak/>
        <w:drawing>
          <wp:inline distT="0" distB="0" distL="0" distR="0" wp14:anchorId="2E581DC7" wp14:editId="057B216E">
            <wp:extent cx="4979035" cy="497903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979035" cy="4979035"/>
                    </a:xfrm>
                    <a:prstGeom prst="rect">
                      <a:avLst/>
                    </a:prstGeom>
                    <a:noFill/>
                    <a:ln>
                      <a:noFill/>
                    </a:ln>
                  </pic:spPr>
                </pic:pic>
              </a:graphicData>
            </a:graphic>
          </wp:inline>
        </w:drawing>
      </w:r>
    </w:p>
    <w:p w14:paraId="38729833" w14:textId="2A09157A" w:rsidR="00D61BB1" w:rsidRDefault="00D61BB1" w:rsidP="00D61BB1">
      <w:pPr>
        <w:pStyle w:val="MDPI21heading1"/>
        <w:spacing w:before="0" w:after="0"/>
        <w:ind w:left="0"/>
        <w:jc w:val="both"/>
        <w:rPr>
          <w:b w:val="0"/>
        </w:rPr>
      </w:pPr>
      <w:r w:rsidRPr="000C4B73">
        <w:t>Figure.</w:t>
      </w:r>
      <w:r w:rsidRPr="000C4B73">
        <w:rPr>
          <w:b w:val="0"/>
        </w:rPr>
        <w:t xml:space="preserve"> </w:t>
      </w:r>
      <w:bookmarkStart w:id="8" w:name="_Hlk130403207"/>
      <w:r w:rsidRPr="000C4B73">
        <w:rPr>
          <w:b w:val="0"/>
        </w:rPr>
        <w:t>Release kinetics curves of free Dox and micellar</w:t>
      </w:r>
      <w:r>
        <w:rPr>
          <w:b w:val="0"/>
        </w:rPr>
        <w:t xml:space="preserve"> (Chit5-MUA-20)</w:t>
      </w:r>
      <w:r w:rsidRPr="000C4B73">
        <w:rPr>
          <w:b w:val="0"/>
        </w:rPr>
        <w:t xml:space="preserve"> form of Dox complexes (1 mg/mL, 50% Dox </w:t>
      </w:r>
      <w:r>
        <w:rPr>
          <w:b w:val="0"/>
        </w:rPr>
        <w:t>w/w</w:t>
      </w:r>
      <w:r w:rsidRPr="000C4B73">
        <w:rPr>
          <w:b w:val="0"/>
        </w:rPr>
        <w:t xml:space="preserve">). Dialysis membrane </w:t>
      </w:r>
      <w:r w:rsidRPr="003E0525">
        <w:rPr>
          <w:b w:val="0"/>
        </w:rPr>
        <w:t>(</w:t>
      </w:r>
      <w:r>
        <w:rPr>
          <w:b w:val="0"/>
        </w:rPr>
        <w:t>12-14</w:t>
      </w:r>
      <w:r w:rsidRPr="003E0525">
        <w:rPr>
          <w:b w:val="0"/>
        </w:rPr>
        <w:t xml:space="preserve"> kDa cu</w:t>
      </w:r>
      <w:r w:rsidRPr="003E0525">
        <w:rPr>
          <w:rFonts w:hint="eastAsia"/>
          <w:b w:val="0"/>
        </w:rPr>
        <w:t>t‐off</w:t>
      </w:r>
      <w:r w:rsidRPr="000C4B73">
        <w:rPr>
          <w:rFonts w:hint="eastAsia"/>
          <w:b w:val="0"/>
        </w:rPr>
        <w:t>) into an external solution (1:</w:t>
      </w:r>
      <w:r w:rsidRPr="000C4B73">
        <w:rPr>
          <w:b w:val="0"/>
        </w:rPr>
        <w:t>10</w:t>
      </w:r>
      <w:r w:rsidRPr="000C4B73">
        <w:rPr>
          <w:rFonts w:hint="eastAsia"/>
          <w:b w:val="0"/>
        </w:rPr>
        <w:t xml:space="preserve"> by volumes). PBS (pH = 7.4</w:t>
      </w:r>
      <w:r>
        <w:rPr>
          <w:b w:val="0"/>
        </w:rPr>
        <w:t>, 0.01M</w:t>
      </w:r>
      <w:r w:rsidRPr="000C4B73">
        <w:rPr>
          <w:rFonts w:hint="eastAsia"/>
          <w:b w:val="0"/>
        </w:rPr>
        <w:t>)</w:t>
      </w:r>
      <w:r w:rsidRPr="000C4B73">
        <w:rPr>
          <w:b w:val="0"/>
        </w:rPr>
        <w:t xml:space="preserve">, </w:t>
      </w:r>
      <w:r w:rsidRPr="00CF170B">
        <w:rPr>
          <w:b w:val="0"/>
          <w:bCs/>
        </w:rPr>
        <w:t>sodium acetate buffer</w:t>
      </w:r>
      <w:r w:rsidRPr="00A66945">
        <w:t xml:space="preserve"> </w:t>
      </w:r>
      <w:r w:rsidRPr="000C4B73">
        <w:rPr>
          <w:rFonts w:hint="eastAsia"/>
          <w:b w:val="0"/>
        </w:rPr>
        <w:t xml:space="preserve">(pH = </w:t>
      </w:r>
      <w:r>
        <w:rPr>
          <w:b w:val="0"/>
        </w:rPr>
        <w:t>5.5, 0.01M</w:t>
      </w:r>
      <w:r w:rsidRPr="000C4B73">
        <w:rPr>
          <w:rFonts w:hint="eastAsia"/>
          <w:b w:val="0"/>
        </w:rPr>
        <w:t xml:space="preserve">). </w:t>
      </w:r>
      <w:r>
        <w:rPr>
          <w:b w:val="0"/>
        </w:rPr>
        <w:t>Dox</w:t>
      </w:r>
      <w:r w:rsidRPr="000C4B73">
        <w:rPr>
          <w:rFonts w:hint="eastAsia"/>
          <w:b w:val="0"/>
        </w:rPr>
        <w:t xml:space="preserve"> </w:t>
      </w:r>
      <w:r>
        <w:rPr>
          <w:b w:val="0"/>
        </w:rPr>
        <w:t>is</w:t>
      </w:r>
      <w:r w:rsidRPr="000C4B73">
        <w:rPr>
          <w:rFonts w:hint="eastAsia"/>
          <w:b w:val="0"/>
        </w:rPr>
        <w:t xml:space="preserve"> detected by absorption at </w:t>
      </w:r>
      <w:r>
        <w:rPr>
          <w:b w:val="0"/>
        </w:rPr>
        <w:t>488</w:t>
      </w:r>
      <w:r w:rsidRPr="000C4B73">
        <w:rPr>
          <w:rFonts w:hint="eastAsia"/>
          <w:b w:val="0"/>
        </w:rPr>
        <w:t xml:space="preserve"> nm</w:t>
      </w:r>
      <w:r w:rsidRPr="000C4B73">
        <w:rPr>
          <w:b w:val="0"/>
        </w:rPr>
        <w:t xml:space="preserve">. T = </w:t>
      </w:r>
      <w:r>
        <w:rPr>
          <w:b w:val="0"/>
        </w:rPr>
        <w:t xml:space="preserve">25, </w:t>
      </w:r>
      <w:r w:rsidRPr="000C4B73">
        <w:rPr>
          <w:b w:val="0"/>
        </w:rPr>
        <w:t>37</w:t>
      </w:r>
      <w:r>
        <w:rPr>
          <w:b w:val="0"/>
        </w:rPr>
        <w:t xml:space="preserve"> and 42</w:t>
      </w:r>
      <w:r w:rsidRPr="000C4B73">
        <w:rPr>
          <w:b w:val="0"/>
        </w:rPr>
        <w:t xml:space="preserve"> °C.</w:t>
      </w:r>
    </w:p>
    <w:bookmarkEnd w:id="8"/>
    <w:p w14:paraId="1F45BFCF" w14:textId="77777777" w:rsidR="00D61BB1" w:rsidRDefault="00D61BB1" w:rsidP="00D61BB1">
      <w:pPr>
        <w:pStyle w:val="MDPI21heading1"/>
        <w:spacing w:before="0" w:after="0"/>
        <w:ind w:left="0"/>
        <w:jc w:val="both"/>
        <w:rPr>
          <w:b w:val="0"/>
        </w:rPr>
      </w:pPr>
    </w:p>
    <w:p w14:paraId="51DC3586" w14:textId="136DEC4D" w:rsidR="00D61BB1" w:rsidRDefault="00D61BB1" w:rsidP="00D61BB1">
      <w:pPr>
        <w:pStyle w:val="MDPI21heading1"/>
        <w:spacing w:before="0" w:after="0"/>
        <w:ind w:left="0"/>
        <w:jc w:val="both"/>
        <w:rPr>
          <w:b w:val="0"/>
        </w:rPr>
      </w:pPr>
      <w:r w:rsidRPr="008A5C7C">
        <w:t>Table</w:t>
      </w:r>
      <w:r w:rsidRPr="002E7A3D">
        <w:rPr>
          <w:b w:val="0"/>
        </w:rPr>
        <w:t xml:space="preserve">. </w:t>
      </w:r>
      <w:r>
        <w:rPr>
          <w:b w:val="0"/>
        </w:rPr>
        <w:t xml:space="preserve">Initial rate of Dox </w:t>
      </w:r>
      <w:r w:rsidRPr="008A5C7C">
        <w:rPr>
          <w:b w:val="0"/>
        </w:rPr>
        <w:t>release</w:t>
      </w:r>
      <w:r>
        <w:rPr>
          <w:b w:val="0"/>
        </w:rPr>
        <w:t xml:space="preserve"> (%/h) at</w:t>
      </w:r>
      <w:r w:rsidRPr="002E7A3D">
        <w:rPr>
          <w:b w:val="0"/>
        </w:rPr>
        <w:t xml:space="preserve"> </w:t>
      </w:r>
      <w:r>
        <w:rPr>
          <w:b w:val="0"/>
        </w:rPr>
        <w:t>pH</w:t>
      </w:r>
      <w:r w:rsidRPr="002E7A3D">
        <w:rPr>
          <w:b w:val="0"/>
        </w:rPr>
        <w:t xml:space="preserve"> = 7.4 </w:t>
      </w:r>
      <w:r>
        <w:rPr>
          <w:b w:val="0"/>
        </w:rPr>
        <w:t>or</w:t>
      </w:r>
      <w:r w:rsidRPr="002E7A3D">
        <w:rPr>
          <w:b w:val="0"/>
        </w:rPr>
        <w:t xml:space="preserve"> 5.5</w:t>
      </w:r>
      <w:r>
        <w:rPr>
          <w:b w:val="0"/>
        </w:rPr>
        <w:t xml:space="preserve"> and </w:t>
      </w:r>
      <w:r w:rsidRPr="000C4B73">
        <w:rPr>
          <w:b w:val="0"/>
        </w:rPr>
        <w:t xml:space="preserve">T = </w:t>
      </w:r>
      <w:r>
        <w:rPr>
          <w:b w:val="0"/>
        </w:rPr>
        <w:t xml:space="preserve">25, </w:t>
      </w:r>
      <w:r w:rsidRPr="000C4B73">
        <w:rPr>
          <w:b w:val="0"/>
        </w:rPr>
        <w:t>37</w:t>
      </w:r>
      <w:r>
        <w:rPr>
          <w:b w:val="0"/>
        </w:rPr>
        <w:t xml:space="preserve"> or 42</w:t>
      </w:r>
      <w:r w:rsidRPr="000C4B73">
        <w:rPr>
          <w:b w:val="0"/>
        </w:rPr>
        <w:t xml:space="preserve"> °C</w:t>
      </w:r>
      <w:r w:rsidRPr="002E7A3D">
        <w:rPr>
          <w:b w:val="0"/>
        </w:rPr>
        <w:t xml:space="preserve">. </w:t>
      </w:r>
      <w:r w:rsidRPr="000C4B73">
        <w:rPr>
          <w:b w:val="0"/>
        </w:rPr>
        <w:t>The conditions are similar to those given in Figure.</w:t>
      </w:r>
    </w:p>
    <w:tbl>
      <w:tblPr>
        <w:tblStyle w:val="a6"/>
        <w:tblW w:w="0" w:type="auto"/>
        <w:tblInd w:w="2608" w:type="dxa"/>
        <w:tblLook w:val="04A0" w:firstRow="1" w:lastRow="0" w:firstColumn="1" w:lastColumn="0" w:noHBand="0" w:noVBand="1"/>
      </w:tblPr>
      <w:tblGrid>
        <w:gridCol w:w="2213"/>
        <w:gridCol w:w="2261"/>
        <w:gridCol w:w="2262"/>
      </w:tblGrid>
      <w:tr w:rsidR="00D61BB1" w14:paraId="770BC03D" w14:textId="77777777" w:rsidTr="00940603">
        <w:tc>
          <w:tcPr>
            <w:tcW w:w="3485" w:type="dxa"/>
          </w:tcPr>
          <w:p w14:paraId="07FE40E8" w14:textId="77777777" w:rsidR="00D61BB1" w:rsidRDefault="00D61BB1" w:rsidP="00940603">
            <w:pPr>
              <w:pStyle w:val="MDPI21heading1"/>
              <w:spacing w:before="0" w:after="0"/>
              <w:ind w:left="0"/>
              <w:rPr>
                <w:b w:val="0"/>
              </w:rPr>
            </w:pPr>
            <w:r>
              <w:rPr>
                <w:b w:val="0"/>
              </w:rPr>
              <w:t xml:space="preserve">T, </w:t>
            </w:r>
            <w:r w:rsidRPr="000C4B73">
              <w:rPr>
                <w:b w:val="0"/>
              </w:rPr>
              <w:t>°C</w:t>
            </w:r>
            <w:r>
              <w:rPr>
                <w:b w:val="0"/>
              </w:rPr>
              <w:t xml:space="preserve"> \ pH</w:t>
            </w:r>
          </w:p>
        </w:tc>
        <w:tc>
          <w:tcPr>
            <w:tcW w:w="3485" w:type="dxa"/>
          </w:tcPr>
          <w:p w14:paraId="400CB4FC" w14:textId="77777777" w:rsidR="00D61BB1" w:rsidRDefault="00D61BB1" w:rsidP="00940603">
            <w:pPr>
              <w:pStyle w:val="MDPI21heading1"/>
              <w:spacing w:before="0" w:after="0"/>
              <w:ind w:left="0"/>
              <w:rPr>
                <w:b w:val="0"/>
              </w:rPr>
            </w:pPr>
            <w:r>
              <w:rPr>
                <w:b w:val="0"/>
              </w:rPr>
              <w:t>pH = 5.5</w:t>
            </w:r>
          </w:p>
        </w:tc>
        <w:tc>
          <w:tcPr>
            <w:tcW w:w="3486" w:type="dxa"/>
          </w:tcPr>
          <w:p w14:paraId="428803EF" w14:textId="77777777" w:rsidR="00D61BB1" w:rsidRDefault="00D61BB1" w:rsidP="00940603">
            <w:pPr>
              <w:pStyle w:val="MDPI21heading1"/>
              <w:spacing w:before="0" w:after="0"/>
              <w:ind w:left="0"/>
              <w:rPr>
                <w:b w:val="0"/>
              </w:rPr>
            </w:pPr>
            <w:r>
              <w:rPr>
                <w:b w:val="0"/>
              </w:rPr>
              <w:t>pH = 7.4</w:t>
            </w:r>
          </w:p>
        </w:tc>
      </w:tr>
      <w:tr w:rsidR="00D61BB1" w14:paraId="766F3E5D" w14:textId="77777777" w:rsidTr="00940603">
        <w:tc>
          <w:tcPr>
            <w:tcW w:w="3485" w:type="dxa"/>
          </w:tcPr>
          <w:p w14:paraId="18DACAE4" w14:textId="77777777" w:rsidR="00D61BB1" w:rsidRDefault="00D61BB1" w:rsidP="00940603">
            <w:pPr>
              <w:pStyle w:val="MDPI21heading1"/>
              <w:spacing w:before="0" w:after="0"/>
              <w:ind w:left="0"/>
              <w:rPr>
                <w:b w:val="0"/>
              </w:rPr>
            </w:pPr>
            <w:r>
              <w:rPr>
                <w:b w:val="0"/>
              </w:rPr>
              <w:t xml:space="preserve">25 </w:t>
            </w:r>
            <w:r w:rsidRPr="000C4B73">
              <w:rPr>
                <w:b w:val="0"/>
              </w:rPr>
              <w:t>°C</w:t>
            </w:r>
          </w:p>
        </w:tc>
        <w:tc>
          <w:tcPr>
            <w:tcW w:w="3485" w:type="dxa"/>
          </w:tcPr>
          <w:p w14:paraId="1CA64181" w14:textId="77777777" w:rsidR="00D61BB1" w:rsidRDefault="00D61BB1" w:rsidP="00940603">
            <w:pPr>
              <w:pStyle w:val="MDPI21heading1"/>
              <w:spacing w:before="0" w:after="0"/>
              <w:ind w:left="0"/>
              <w:rPr>
                <w:b w:val="0"/>
              </w:rPr>
            </w:pPr>
            <w:r>
              <w:rPr>
                <w:b w:val="0"/>
              </w:rPr>
              <w:t>22±3</w:t>
            </w:r>
          </w:p>
        </w:tc>
        <w:tc>
          <w:tcPr>
            <w:tcW w:w="3486" w:type="dxa"/>
          </w:tcPr>
          <w:p w14:paraId="312BBFF1" w14:textId="77777777" w:rsidR="00D61BB1" w:rsidRDefault="00D61BB1" w:rsidP="00940603">
            <w:pPr>
              <w:pStyle w:val="MDPI21heading1"/>
              <w:spacing w:before="0" w:after="0"/>
              <w:ind w:left="0"/>
              <w:rPr>
                <w:b w:val="0"/>
              </w:rPr>
            </w:pPr>
            <w:r>
              <w:rPr>
                <w:b w:val="0"/>
              </w:rPr>
              <w:t>8±1</w:t>
            </w:r>
          </w:p>
        </w:tc>
      </w:tr>
      <w:tr w:rsidR="00D61BB1" w14:paraId="4E20B255" w14:textId="77777777" w:rsidTr="00940603">
        <w:tc>
          <w:tcPr>
            <w:tcW w:w="3485" w:type="dxa"/>
          </w:tcPr>
          <w:p w14:paraId="24B8705F" w14:textId="77777777" w:rsidR="00D61BB1" w:rsidRDefault="00D61BB1" w:rsidP="00940603">
            <w:pPr>
              <w:pStyle w:val="MDPI21heading1"/>
              <w:spacing w:before="0" w:after="0"/>
              <w:ind w:left="0"/>
              <w:rPr>
                <w:b w:val="0"/>
              </w:rPr>
            </w:pPr>
            <w:r>
              <w:rPr>
                <w:b w:val="0"/>
              </w:rPr>
              <w:t xml:space="preserve">37 </w:t>
            </w:r>
            <w:r w:rsidRPr="000C4B73">
              <w:rPr>
                <w:b w:val="0"/>
              </w:rPr>
              <w:t>°C</w:t>
            </w:r>
          </w:p>
        </w:tc>
        <w:tc>
          <w:tcPr>
            <w:tcW w:w="3485" w:type="dxa"/>
          </w:tcPr>
          <w:p w14:paraId="52BBA648" w14:textId="77777777" w:rsidR="00D61BB1" w:rsidRDefault="00D61BB1" w:rsidP="00940603">
            <w:pPr>
              <w:pStyle w:val="MDPI21heading1"/>
              <w:spacing w:before="0" w:after="0"/>
              <w:ind w:left="0"/>
              <w:rPr>
                <w:b w:val="0"/>
              </w:rPr>
            </w:pPr>
            <w:r>
              <w:rPr>
                <w:b w:val="0"/>
              </w:rPr>
              <w:t>32±4</w:t>
            </w:r>
          </w:p>
        </w:tc>
        <w:tc>
          <w:tcPr>
            <w:tcW w:w="3486" w:type="dxa"/>
          </w:tcPr>
          <w:p w14:paraId="03E6F3B9" w14:textId="77777777" w:rsidR="00D61BB1" w:rsidRDefault="00D61BB1" w:rsidP="00940603">
            <w:pPr>
              <w:pStyle w:val="MDPI21heading1"/>
              <w:spacing w:before="0" w:after="0"/>
              <w:ind w:left="0"/>
              <w:rPr>
                <w:b w:val="0"/>
              </w:rPr>
            </w:pPr>
            <w:r>
              <w:rPr>
                <w:b w:val="0"/>
              </w:rPr>
              <w:t>15±3</w:t>
            </w:r>
          </w:p>
        </w:tc>
      </w:tr>
      <w:tr w:rsidR="00D61BB1" w14:paraId="4F6344ED" w14:textId="77777777" w:rsidTr="00940603">
        <w:tc>
          <w:tcPr>
            <w:tcW w:w="3485" w:type="dxa"/>
          </w:tcPr>
          <w:p w14:paraId="57665493" w14:textId="77777777" w:rsidR="00D61BB1" w:rsidRDefault="00D61BB1" w:rsidP="00940603">
            <w:pPr>
              <w:pStyle w:val="MDPI21heading1"/>
              <w:spacing w:before="0" w:after="0"/>
              <w:ind w:left="0"/>
              <w:rPr>
                <w:b w:val="0"/>
              </w:rPr>
            </w:pPr>
            <w:r>
              <w:rPr>
                <w:b w:val="0"/>
              </w:rPr>
              <w:t xml:space="preserve">42 </w:t>
            </w:r>
            <w:r w:rsidRPr="000C4B73">
              <w:rPr>
                <w:b w:val="0"/>
              </w:rPr>
              <w:t>°C</w:t>
            </w:r>
          </w:p>
        </w:tc>
        <w:tc>
          <w:tcPr>
            <w:tcW w:w="3485" w:type="dxa"/>
          </w:tcPr>
          <w:p w14:paraId="0BC7623F" w14:textId="77777777" w:rsidR="00D61BB1" w:rsidRDefault="00D61BB1" w:rsidP="00940603">
            <w:pPr>
              <w:pStyle w:val="MDPI21heading1"/>
              <w:spacing w:before="0" w:after="0"/>
              <w:ind w:left="0"/>
              <w:rPr>
                <w:b w:val="0"/>
              </w:rPr>
            </w:pPr>
            <w:r>
              <w:rPr>
                <w:b w:val="0"/>
              </w:rPr>
              <w:t>49±6</w:t>
            </w:r>
          </w:p>
        </w:tc>
        <w:tc>
          <w:tcPr>
            <w:tcW w:w="3486" w:type="dxa"/>
          </w:tcPr>
          <w:p w14:paraId="7B10D25D" w14:textId="77777777" w:rsidR="00D61BB1" w:rsidRDefault="00D61BB1" w:rsidP="00940603">
            <w:pPr>
              <w:pStyle w:val="MDPI21heading1"/>
              <w:spacing w:before="0" w:after="0"/>
              <w:ind w:left="0"/>
              <w:rPr>
                <w:b w:val="0"/>
              </w:rPr>
            </w:pPr>
            <w:r>
              <w:rPr>
                <w:b w:val="0"/>
              </w:rPr>
              <w:t>23±5</w:t>
            </w:r>
          </w:p>
        </w:tc>
      </w:tr>
    </w:tbl>
    <w:p w14:paraId="3FD82503" w14:textId="77777777" w:rsidR="00D61BB1" w:rsidRDefault="00D61BB1" w:rsidP="007150AB">
      <w:pPr>
        <w:rPr>
          <w:b/>
          <w:bCs/>
          <w:sz w:val="24"/>
          <w:szCs w:val="20"/>
        </w:rPr>
      </w:pPr>
    </w:p>
    <w:p w14:paraId="6A855A6D" w14:textId="115B9F83" w:rsidR="00205317" w:rsidRPr="00205317" w:rsidRDefault="00205317" w:rsidP="00205317">
      <w:pPr>
        <w:rPr>
          <w:b/>
          <w:bCs/>
          <w:sz w:val="24"/>
          <w:szCs w:val="20"/>
          <w:lang w:val="en-US"/>
        </w:rPr>
      </w:pPr>
      <w:r w:rsidRPr="00E91558">
        <w:rPr>
          <w:b/>
          <w:bCs/>
          <w:sz w:val="24"/>
          <w:szCs w:val="20"/>
          <w:lang w:val="en-US"/>
        </w:rPr>
        <w:t xml:space="preserve">Reviewer's question </w:t>
      </w:r>
      <w:r>
        <w:rPr>
          <w:b/>
          <w:bCs/>
          <w:sz w:val="24"/>
          <w:szCs w:val="20"/>
          <w:lang w:val="en-US"/>
        </w:rPr>
        <w:t>18</w:t>
      </w:r>
      <w:r w:rsidRPr="00E91558">
        <w:rPr>
          <w:b/>
          <w:bCs/>
          <w:sz w:val="24"/>
          <w:szCs w:val="20"/>
          <w:lang w:val="en-US"/>
        </w:rPr>
        <w:t>:</w:t>
      </w:r>
      <w:r w:rsidRPr="006F3D8A">
        <w:rPr>
          <w:rFonts w:ascii="Arial" w:eastAsia="Times New Roman" w:hAnsi="Arial" w:cs="Arial"/>
          <w:color w:val="0A0A0A"/>
          <w:sz w:val="18"/>
          <w:szCs w:val="18"/>
          <w:lang w:val="en-US" w:eastAsia="ru-RU"/>
        </w:rPr>
        <w:t> </w:t>
      </w:r>
    </w:p>
    <w:p w14:paraId="078CE1BB" w14:textId="77777777" w:rsidR="00A209F5" w:rsidRPr="00A209F5" w:rsidRDefault="00A209F5" w:rsidP="00A209F5">
      <w:pPr>
        <w:shd w:val="clear" w:color="auto" w:fill="FEFEFE"/>
        <w:spacing w:before="100" w:beforeAutospacing="1" w:after="100" w:afterAutospacing="1"/>
        <w:jc w:val="both"/>
        <w:rPr>
          <w:rFonts w:ascii="Arial" w:eastAsia="Times New Roman" w:hAnsi="Arial" w:cs="Arial"/>
          <w:color w:val="0A0A0A"/>
          <w:sz w:val="20"/>
          <w:szCs w:val="20"/>
          <w:lang w:val="en-US" w:eastAsia="ru-RU"/>
        </w:rPr>
      </w:pPr>
      <w:r w:rsidRPr="00A209F5">
        <w:rPr>
          <w:rFonts w:ascii="Arial" w:eastAsia="Times New Roman" w:hAnsi="Arial" w:cs="Arial"/>
          <w:color w:val="0A0A0A"/>
          <w:sz w:val="20"/>
          <w:szCs w:val="20"/>
          <w:lang w:val="en-US" w:eastAsia="ru-RU"/>
        </w:rPr>
        <w:t>18. Although FTIR played an important part in this study, the writers failed to convey its relevance in the introductory section. The involvement of the FTIR in this investigation might be included by the authors to claim a special novelty of their work.</w:t>
      </w:r>
    </w:p>
    <w:p w14:paraId="761DF2EF" w14:textId="2E4094E0" w:rsidR="007150AB" w:rsidRPr="00D90DB1" w:rsidRDefault="007150AB" w:rsidP="007150AB">
      <w:pPr>
        <w:rPr>
          <w:b/>
          <w:bCs/>
          <w:sz w:val="24"/>
          <w:szCs w:val="20"/>
          <w:lang w:val="en-US"/>
        </w:rPr>
      </w:pPr>
      <w:r>
        <w:rPr>
          <w:b/>
          <w:bCs/>
          <w:sz w:val="24"/>
          <w:szCs w:val="20"/>
          <w:lang w:val="en-US"/>
        </w:rPr>
        <w:t>Authors</w:t>
      </w:r>
      <w:r w:rsidRPr="00D90DB1">
        <w:rPr>
          <w:b/>
          <w:bCs/>
          <w:sz w:val="24"/>
          <w:szCs w:val="20"/>
          <w:lang w:val="en-US"/>
        </w:rPr>
        <w:t xml:space="preserve">' </w:t>
      </w:r>
      <w:r>
        <w:rPr>
          <w:b/>
          <w:bCs/>
          <w:sz w:val="24"/>
          <w:szCs w:val="20"/>
          <w:lang w:val="en-US"/>
        </w:rPr>
        <w:t>answer</w:t>
      </w:r>
      <w:r w:rsidRPr="00D90DB1">
        <w:rPr>
          <w:b/>
          <w:bCs/>
          <w:sz w:val="24"/>
          <w:szCs w:val="20"/>
          <w:lang w:val="en-US"/>
        </w:rPr>
        <w:t xml:space="preserve"> </w:t>
      </w:r>
      <w:r>
        <w:rPr>
          <w:b/>
          <w:bCs/>
          <w:sz w:val="24"/>
          <w:szCs w:val="20"/>
          <w:lang w:val="en-US"/>
        </w:rPr>
        <w:t>1</w:t>
      </w:r>
      <w:r w:rsidR="00D61BB1" w:rsidRPr="00D90DB1">
        <w:rPr>
          <w:b/>
          <w:bCs/>
          <w:sz w:val="24"/>
          <w:szCs w:val="20"/>
          <w:lang w:val="en-US"/>
        </w:rPr>
        <w:t>8</w:t>
      </w:r>
      <w:r w:rsidRPr="00D90DB1">
        <w:rPr>
          <w:b/>
          <w:bCs/>
          <w:sz w:val="24"/>
          <w:szCs w:val="20"/>
          <w:lang w:val="en-US"/>
        </w:rPr>
        <w:t>:</w:t>
      </w:r>
    </w:p>
    <w:p w14:paraId="0AA7365A" w14:textId="7A32B031" w:rsidR="00BB3A36" w:rsidRPr="00BB3A36" w:rsidRDefault="00BB3A36" w:rsidP="00BB3A36">
      <w:pPr>
        <w:rPr>
          <w:rFonts w:ascii="Arial" w:eastAsia="Times New Roman" w:hAnsi="Arial" w:cs="Arial"/>
          <w:color w:val="0A0A0A"/>
          <w:sz w:val="18"/>
          <w:szCs w:val="18"/>
          <w:lang w:val="en-US" w:eastAsia="ru-RU"/>
        </w:rPr>
      </w:pPr>
      <w:r w:rsidRPr="004C4009">
        <w:rPr>
          <w:rFonts w:ascii="Arial" w:eastAsia="Times New Roman" w:hAnsi="Arial" w:cs="Arial"/>
          <w:color w:val="0A0A0A"/>
          <w:sz w:val="18"/>
          <w:szCs w:val="18"/>
          <w:lang w:val="en-US" w:eastAsia="ru-RU"/>
        </w:rPr>
        <w:t>Changes have been made to the manuscript</w:t>
      </w:r>
      <w:r w:rsidR="00733AB9">
        <w:rPr>
          <w:rFonts w:ascii="Arial" w:eastAsia="Times New Roman" w:hAnsi="Arial" w:cs="Arial"/>
          <w:color w:val="0A0A0A"/>
          <w:sz w:val="18"/>
          <w:szCs w:val="18"/>
          <w:lang w:val="en-US" w:eastAsia="ru-RU"/>
        </w:rPr>
        <w:t xml:space="preserve"> in Introduction</w:t>
      </w:r>
      <w:r w:rsidRPr="004C4009">
        <w:rPr>
          <w:rFonts w:ascii="Arial" w:eastAsia="Times New Roman" w:hAnsi="Arial" w:cs="Arial"/>
          <w:color w:val="0A0A0A"/>
          <w:sz w:val="18"/>
          <w:szCs w:val="18"/>
          <w:lang w:val="en-US" w:eastAsia="ru-RU"/>
        </w:rPr>
        <w:t>.</w:t>
      </w:r>
    </w:p>
    <w:p w14:paraId="68032DDE" w14:textId="725038FD" w:rsidR="00BB3A36" w:rsidRPr="00807385" w:rsidRDefault="00BB3A36" w:rsidP="00BB3A36">
      <w:pPr>
        <w:pStyle w:val="MDPI21heading1"/>
        <w:spacing w:before="0"/>
        <w:ind w:left="0"/>
        <w:contextualSpacing/>
        <w:jc w:val="both"/>
        <w:rPr>
          <w:b w:val="0"/>
          <w:bCs/>
        </w:rPr>
      </w:pPr>
      <w:r w:rsidRPr="00073413">
        <w:rPr>
          <w:b w:val="0"/>
          <w:bCs/>
        </w:rPr>
        <w:t>New approach based on FTIR, allowing to determine the nature and effectiveness of the drug's effect on individual components of the cell with confirmation of the results by MTT tests was applied to study the effectiveness and mechanism of the action of the micellar cytostatics formulations on tumor cells compared to healthy ones.</w:t>
      </w:r>
      <w:r w:rsidRPr="00940603">
        <w:rPr>
          <w:b w:val="0"/>
          <w:bCs/>
        </w:rPr>
        <w:t xml:space="preserve"> </w:t>
      </w:r>
      <w:r w:rsidRPr="00807385">
        <w:rPr>
          <w:b w:val="0"/>
          <w:bCs/>
        </w:rPr>
        <w:t xml:space="preserve">FTIR spectroscopy allows to monitor the interaction of drugs with the main structural </w:t>
      </w:r>
      <w:r w:rsidRPr="00807385">
        <w:rPr>
          <w:b w:val="0"/>
          <w:bCs/>
        </w:rPr>
        <w:lastRenderedPageBreak/>
        <w:t>components of the cell (cell membrane, transmembrane and internal proteins, DNA, carbohydrates) and study the molecular mechanism of action of drugs in a simple form and micellar - thereby achieving selectivity against cancer cells</w:t>
      </w:r>
      <w:r w:rsidRPr="00940603">
        <w:rPr>
          <w:b w:val="0"/>
          <w:bCs/>
        </w:rPr>
        <w:t xml:space="preserve"> </w:t>
      </w:r>
      <w:r>
        <w:rPr>
          <w:b w:val="0"/>
          <w:bCs/>
        </w:rPr>
        <w:fldChar w:fldCharType="begin" w:fldLock="1"/>
      </w:r>
      <w:r>
        <w:rPr>
          <w:b w:val="0"/>
          <w:bCs/>
        </w:rPr>
        <w:instrText>ADDIN CSL_CITATION {"citationItems":[{"id":"ITEM-1","itemData":{"DOI":"10.1016/j.molstruc.2010.01.052","ISSN":"00222860","abstract":"Carboplatin is a chemotherapeutic drug, used for the treatment of different types of cancers, particularly solid tumors. Carboplatin, like other platinum containing drugs, exerts its cytotoxic effect through DNA binding via cross-linking. It forms interstrand and intrastrand cross-linking with DNA. Intrastrand cross-linking is dominant and believed to be conferring antitumoral efficacy of the drug. This cross-linking results in alteration of DNA winding and bending, which hampers DNA replication and transcription and finally leads to cell death. In the present work, we studied the interaction of carboplatin with calf-thymus DNA in buffer solution under physiological conditions. Different concentrations of carboplatin were incubated with a constant DNA concentration to form carboplatin-DNA complexes. These complexes were studied with Fourier Transform Infrared (FTIR) spectroscopy and circular dichroism (CD) spectroscopy to understand the binding modes of carboplatin with DNA and its effect on DNA conformation. The results showed that carboplatin binds to DNA through direct interaction of platin-DNA bases (guanine, thymine, adenine and cytosine), with a small perturbation of phosphate group of DNA backbone, while DNA remains in the B-conformation. DNA aggregation was also observed at higher drug concentrations. © 2010 Elsevier B.V. All rights reserved.","author":[{"dropping-particle":"","family":"Jangir","given":"Deepak K.","non-dropping-particle":"","parse-names":false,"suffix":""},{"dropping-particle":"","family":"Tyagi","given":"Gunjan","non-dropping-particle":"","parse-names":false,"suffix":""},{"dropping-particle":"","family":"Mehrotra","given":"Ranjana","non-dropping-particle":"","parse-names":false,"suffix":""},{"dropping-particle":"","family":"Kundu","given":"Suman","non-dropping-particle":"","parse-names":false,"suffix":""}],"container-title":"Journal of Molecular Structure","id":"ITEM-1","issue":"1-3","issued":{"date-parts":[["2010"]]},"page":"126-129","publisher":"Elsevier B.V.","title":"Carboplatin interaction with calf-thymus DNA: A FTIR spectroscopic approach","type":"article-journal","volume":"969"},"uris":["http://www.mendeley.com/documents/?uuid=ead13966-2b18-4c5d-a0ea-c5da7b546649"]},{"id":"ITEM-2","itemData":{"DOI":"10.1016/j.colsurfb.2014.01.054","ISSN":"18734367","PMID":"24582147","abstract":"The activity of surfactants against fungal cells has been studied less than against bacteria, although the medical and industrial importance of the former is of paramount importance. In this paper the surfactant biocidal effect was measured in the yeasts Saccharomyces cerevisiae and Candida albicans with a previously described FTIR bioassay which estimates the stress level as function of the FTIR spectra variation of the cells upon exposition to the chemicals. N-tetradecyltropinium bromide was chosen as stressing agent on the basis of previous preliminary study demonstrating its ability to kill prokaryotic and especially eukaryotic cells at concentration around or over the critical micellar concentration ( c.m.c.). Here we show that this surfactant is able to inactivate S. cerevisiae cells at 0.4. mM and C. albicans cells at 0.6. mM after 1. h exposition. FTIR analysis revealed that the surfactant induced metabolomics reactions of S. cerevisiae cells in the regions of amides (W2) and fatty acids (W1). In the same way C. albicans cells showed the maximum stress response in amides (W2) and mixed (W3) regions. Variations of the hydrophobic tail of this surfactant produced a reduced level of cell stress with both the 12C and 16C variants; although these two compounds were more effective in inducing cell mortality in S. cerevisiae but not in C. albicans. In conclusion, this paper has shown that, for this surfactant, the n-alkyl chain must vary between 12C and 16C and that the hydrophilic head size is not as critical as the tail length. © 2014 Elsevier B.V.","author":[{"dropping-particle":"","family":"Corte","given":"Laura","non-dropping-particle":"","parse-names":false,"suffix":""},{"dropping-particle":"","family":"Tiecco","given":"Matteo","non-dropping-particle":"","parse-names":false,"suffix":""},{"dropping-particle":"","family":"Roscini","given":"Luca","non-dropping-particle":"","parse-names":false,"suffix":""},{"dropping-particle":"","family":"Germani","given":"Raimondo","non-dropping-particle":"","parse-names":false,"suffix":""},{"dropping-particle":"","family":"Cardinali","given":"Gianluigi","non-dropping-particle":"","parse-names":false,"suffix":""}],"container-title":"Colloids and Surfaces B: Biointerfaces","id":"ITEM-2","issued":{"date-parts":[["2014"]]},"page":"761-771","publisher":"Elsevier B.V.","title":"FTIR analysis of the metabolomic stress response induced by N-alkyltropinium bromide surfactants in the yeasts Saccharomyces cerevisiae and Candida albicans","type":"article-journal","volume":"116"},"uris":["http://www.mendeley.com/documents/?uuid=b064175c-3e25-4cac-b262-1d2d2286c2c6"]},{"id":"ITEM-3","itemData":{"DOI":"10.3233/SPE-2008-0329","ISSN":"07124813","abstract":"Modern spectroscopic techniques are highly useful in studying diverse processes in microbial cells related to or incited by environmental factors. Spectroscopic data for whole cells, supramolecular structures or isolated cellular constituents can reflect structural and/or compositional changes occurring in the course of cellular metabolic responses to the effects of pollutants, environmental conditions (stress factors); nutrients, signalling molecules (communication factors), etc. This information on the molecular level, often obtained using non-destructive techniques with minimal sample preparation, is of importance for basic studies on mechanisms of bacterial tolerance to stresses and their impact on bacterial metabolism, as well as for applied multidisciplinary research in the fields related to biotechnology, bioremediation, agriculture, biogeochemistry, etc. In the present communication, some recent examples are reviewed and discussed which illustrate the applicability of Fourier transform infrared (FTIR) spectroscopy for monitoring metabolic changes in soil bacteria, using the examples of intensively studied plant-growth-promoting rhizobacteria of the genus Azospirillum. Compositional and structural changes occurring in whole bacterial cells in response to different stress factors and plant signals, as well as spectroscopic images of relevant biospecific interactions are considered from the viewpoint of the possibilities provided by this versatile and easy-to-use technique and its methodology. © 2008 - IOS Press and the authors. All rights reserved.","author":[{"dropping-particle":"","family":"Kamnev","given":"Alexander A.","non-dropping-particle":"","parse-names":false,"suffix":""}],"container-title":"Spectroscopy","id":"ITEM-3","issue":"2-3","issued":{"date-parts":[["2008"]]},"page":"83-95","title":"FTIR spectroscopic studies of bacterial cellular responses to environmental factors, plant-bacterial interactions and signalling","type":"article-journal","volume":"22"},"uris":["http://www.mendeley.com/documents/?uuid=558c4e7f-f148-42e5-bc83-abf1287ffec0"]},{"id":"ITEM-4","itemData":{"DOI":"10.1016/s0924-2031(98)00058-7","ISSN":"09242031","abstract":"The acetone-butanol-ethanol (ABE) fermentation is a complex biotechnological process, forming a range of products which is related to the differentiation of the bacterial population in a cell-cycle. Fourier transform infrared (FTIR) spectroscopy was applied to cells from various stages of the process, revealing major differences in the chemical composition of the cells. When processed by a hierarchical cluster analysis, the spectra differed significantly; the statistical distances corresponded to the physiological status as assessed by the products formed and to the degree of morphological differentiation in the population. Thus, IR spectroscopy can serve as an additional means to characterize the physiological status of the microbial culture in a biotechnological process. © 1999 Elsevier Science B.V. All rights reserved.","author":[{"dropping-particle":"","family":"Schuster","given":"K. C.","non-dropping-particle":"","parse-names":false,"suffix":""},{"dropping-particle":"","family":"Mertens","given":"F.","non-dropping-particle":"","parse-names":false,"suffix":""},{"dropping-particle":"","family":"Gapes","given":"J. R.","non-dropping-particle":"","parse-names":false,"suffix":""}],"container-title":"Vibrational Spectroscopy","id":"ITEM-4","issue":"2","issued":{"date-parts":[["1999"]]},"page":"467-477","title":"FTIR spectroscopy applied to bacterial cells as a novel method for monitoring complex biotechnological processes","type":"article-journal","volume":"19"},"uris":["http://www.mendeley.com/documents/?uuid=42f3fd1d-2357-4086-83aa-701601f3cc64"]},{"id":"ITEM-5","itemData":{"abstract":"Fourier-transform infrared (FTIR) spectroscopy is one of the most versatile analytical tools used across various disciplines. In this study, the Thermo Scientific™ Nicolet™ iS10 and Nicolet iS50 FTIR spectrometers, equipped with Attenuated Total Reflection (ATR)-FTIR and Transmission-FTIR, were used for the determination of protein secondary structures. Structure calculations based on a protein database as well as spectral deconvolution are discussed. The analyses were quick and easy.","author":[{"dropping-particle":"","family":"Sukumaran","given":"Suja","non-dropping-particle":"","parse-names":false,"suffix":""}],"id":"ITEM-5","issued":{"date-parts":[["2018"]]},"page":"4","title":"Protein secondary structure elucidation using FTIR spectroscopy","type":"article-journal"},"uris":["http://www.mendeley.com/documents/?uuid=5858accc-d60a-4ccb-9878-6687726f6b11"]},{"id":"ITEM-6","itemData":{"DOI":"10.1016/0022-2860(91)87150-G","ISSN":"00222860","abstract":"In this report FTIR spectra of cells and bacteria, and related recent work are reviewed and presented. The data may be used for diagnostic purposes and for probing nuclei, membranes and proteins. The monitoring of environmental samples is linked to characteristic bands and band ratios of well-defined absorption bands. © 1990.","author":[{"dropping-particle":"","family":"Legal","given":"J. M.","non-dropping-particle":"","parse-names":false,"suffix":""},{"dropping-particle":"","family":"Manfait","given":"M.","non-dropping-particle":"","parse-names":false,"suffix":""},{"dropping-particle":"","family":"Theophanides","given":"T.","non-dropping-particle":"","parse-names":false,"suffix":""}],"container-title":"Journal of Molecular Structure","id":"ITEM-6","issue":"C","issued":{"date-parts":[["1991"]]},"page":"397-407","title":"Applications of FTIR spectroscopy in structural studies of cells and bacteria","type":"article-journal","volume":"242"},"uris":["http://www.mendeley.com/documents/?uuid=da72cdd9-847a-478a-b0cd-16c085fd292f"]},{"id":"ITEM-7","itemData":{"author":[{"dropping-particle":"","family":"Zlotnikov","given":"Igor D","non-dropping-particle":"","parse-names":false,"suffix":""},{"dropping-particle":"","family":"Ezhov","given":"Alexander A","non-dropping-particle":"","parse-names":false,"suffix":""},{"dropping-particle":"","family":"Vigovskiy","given":"Maksim A","non-dropping-particle":"","parse-names":false,"suffix":""},{"dropping-particle":"","family":"Grigorieva","given":"Olga A","non-dropping-particle":"","parse-names":false,"suffix":""},{"dropping-particle":"","family":"Dyachkova","given":"Uliana D","non-dropping-particle":"","parse-names":false,"suffix":""},{"dropping-particle":"","family":"Belogurova","given":"Natalia G","non-dropping-particle":"","parse-names":false,"suffix":""},{"dropping-particle":"V","family":"Kudryashova","given":"Elena","non-dropping-particle":"","parse-names":false,"suffix":""}],"id":"ITEM-7","issued":{"date-parts":[["2023"]]},"page":"1-23","title":"Application Prospects of FTIR Spectroscopy and CLSM to Monitor the Drugs Interaction with Bacteria Cells Localized in Macrophages for Diagnosis and Treatment Control of Respiratory Diseases","type":"article-journal"},"uris":["http://www.mendeley.com/documents/?uuid=0709e4a2-8d4f-49cf-91a3-c7f1d08f6c76"]},{"id":"ITEM-8","itemData":{"DOI":"10.1080/05704920701829043","ISSN":"05704928","abstract":"This article reviews some of the recent advances on FTIR spectroscopy in areas related to natural tissues and cell biology. It is the second review publication resulting from a detailed study on the applications of spectroscopic methods in biological studies and summarizes some of the most widely used peak frequencies and their assignments. The aim of these studies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FTIR spectra. As a result, it is believed that preparing a unique collection of the frequencies encountered in FTIR spectroscopic studies can lead to significant improvements both in the quantity and quality of research and their outcomes. This article is the first review of its kind that provides a precise database on the most important FTIR characteristic peak frequencies for researchers aiming to analyze natural tissues by FTIR spectroscopy and will be of considerable assistance to those who are focusing on the analysis of cancerous tissues by FTIR spectroscopy.","author":[{"dropping-particle":"","family":"Movasaghi","given":"Zanyar","non-dropping-particle":"","parse-names":false,"suffix":""},{"dropping-particle":"","family":"Rehman","given":"Shazza","non-dropping-particle":"","parse-names":false,"suffix":""},{"dropping-particle":"","family":"Rehman","given":"Ihtesham Ur","non-dropping-particle":"","parse-names":false,"suffix":""}],"container-title":"Applied Spectroscopy Reviews","id":"ITEM-8","issue":"2","issued":{"date-parts":[["2008"]]},"page":"134-179","title":"Fourier transform infrared (FTIR) spectroscopy of biological tissues","type":"article-journal","volume":"43"},"uris":["http://www.mendeley.com/documents/?uuid=f091594e-666d-4287-94af-b31949cfedfc"]}],"mendeley":{"formattedCitation":"[47–54]","plainTextFormattedCitation":"[47–54]"},"properties":{"noteIndex":0},"schema":"https://github.com/citation-style-language/schema/raw/master/csl-citation.json"}</w:instrText>
      </w:r>
      <w:r>
        <w:rPr>
          <w:b w:val="0"/>
          <w:bCs/>
        </w:rPr>
        <w:fldChar w:fldCharType="separate"/>
      </w:r>
      <w:r w:rsidRPr="000A2A7C">
        <w:rPr>
          <w:b w:val="0"/>
          <w:bCs/>
          <w:noProof/>
        </w:rPr>
        <w:t>[47–54]</w:t>
      </w:r>
      <w:r>
        <w:rPr>
          <w:b w:val="0"/>
          <w:bCs/>
        </w:rPr>
        <w:fldChar w:fldCharType="end"/>
      </w:r>
      <w:r w:rsidRPr="00940603">
        <w:rPr>
          <w:b w:val="0"/>
          <w:bCs/>
        </w:rPr>
        <w:t>.</w:t>
      </w:r>
    </w:p>
    <w:p w14:paraId="0ADA678E" w14:textId="77777777" w:rsidR="00D61BB1" w:rsidRPr="00D90DB1" w:rsidRDefault="00D61BB1" w:rsidP="007150AB">
      <w:pPr>
        <w:rPr>
          <w:b/>
          <w:bCs/>
          <w:sz w:val="24"/>
          <w:szCs w:val="20"/>
          <w:lang w:val="en-US"/>
        </w:rPr>
      </w:pPr>
    </w:p>
    <w:p w14:paraId="42BC7523" w14:textId="0A24079A" w:rsidR="00A209F5" w:rsidRPr="00205317" w:rsidRDefault="00205317" w:rsidP="00205317">
      <w:pPr>
        <w:rPr>
          <w:b/>
          <w:bCs/>
          <w:sz w:val="24"/>
          <w:szCs w:val="20"/>
          <w:lang w:val="en-US"/>
        </w:rPr>
      </w:pPr>
      <w:r w:rsidRPr="00E91558">
        <w:rPr>
          <w:b/>
          <w:bCs/>
          <w:sz w:val="24"/>
          <w:szCs w:val="20"/>
          <w:lang w:val="en-US"/>
        </w:rPr>
        <w:t xml:space="preserve">Reviewer's question </w:t>
      </w:r>
      <w:r>
        <w:rPr>
          <w:b/>
          <w:bCs/>
          <w:sz w:val="24"/>
          <w:szCs w:val="20"/>
          <w:lang w:val="en-US"/>
        </w:rPr>
        <w:t>19</w:t>
      </w:r>
      <w:r w:rsidRPr="00E91558">
        <w:rPr>
          <w:b/>
          <w:bCs/>
          <w:sz w:val="24"/>
          <w:szCs w:val="20"/>
          <w:lang w:val="en-US"/>
        </w:rPr>
        <w:t>:</w:t>
      </w:r>
      <w:r w:rsidRPr="006F3D8A">
        <w:rPr>
          <w:rFonts w:ascii="Arial" w:eastAsia="Times New Roman" w:hAnsi="Arial" w:cs="Arial"/>
          <w:color w:val="0A0A0A"/>
          <w:sz w:val="18"/>
          <w:szCs w:val="18"/>
          <w:lang w:val="en-US" w:eastAsia="ru-RU"/>
        </w:rPr>
        <w:t> </w:t>
      </w:r>
    </w:p>
    <w:p w14:paraId="52E68E04" w14:textId="77777777" w:rsidR="00A209F5" w:rsidRPr="00A209F5" w:rsidRDefault="00A209F5" w:rsidP="00A209F5">
      <w:pPr>
        <w:shd w:val="clear" w:color="auto" w:fill="FEFEFE"/>
        <w:spacing w:before="100" w:beforeAutospacing="1" w:after="100" w:afterAutospacing="1"/>
        <w:jc w:val="both"/>
        <w:rPr>
          <w:rFonts w:ascii="Arial" w:eastAsia="Times New Roman" w:hAnsi="Arial" w:cs="Arial"/>
          <w:color w:val="0A0A0A"/>
          <w:sz w:val="20"/>
          <w:szCs w:val="20"/>
          <w:lang w:val="en-US" w:eastAsia="ru-RU"/>
        </w:rPr>
      </w:pPr>
      <w:r w:rsidRPr="00A209F5">
        <w:rPr>
          <w:rFonts w:ascii="Arial" w:eastAsia="Times New Roman" w:hAnsi="Arial" w:cs="Arial"/>
          <w:color w:val="0A0A0A"/>
          <w:sz w:val="20"/>
          <w:szCs w:val="20"/>
          <w:lang w:val="en-US" w:eastAsia="ru-RU"/>
        </w:rPr>
        <w:t>19. Conclusion should be revised to provide the particular and significant conclusion of the research.</w:t>
      </w:r>
    </w:p>
    <w:p w14:paraId="75FDA85E" w14:textId="45EF23A1" w:rsidR="007150AB" w:rsidRPr="00BB3A36" w:rsidRDefault="007150AB" w:rsidP="007150AB">
      <w:pPr>
        <w:rPr>
          <w:b/>
          <w:bCs/>
          <w:sz w:val="24"/>
          <w:szCs w:val="20"/>
          <w:lang w:val="en-US"/>
        </w:rPr>
      </w:pPr>
      <w:r>
        <w:rPr>
          <w:b/>
          <w:bCs/>
          <w:sz w:val="24"/>
          <w:szCs w:val="20"/>
          <w:lang w:val="en-US"/>
        </w:rPr>
        <w:t>Authors</w:t>
      </w:r>
      <w:r w:rsidRPr="00BB3A36">
        <w:rPr>
          <w:b/>
          <w:bCs/>
          <w:sz w:val="24"/>
          <w:szCs w:val="20"/>
          <w:lang w:val="en-US"/>
        </w:rPr>
        <w:t xml:space="preserve">' </w:t>
      </w:r>
      <w:r>
        <w:rPr>
          <w:b/>
          <w:bCs/>
          <w:sz w:val="24"/>
          <w:szCs w:val="20"/>
          <w:lang w:val="en-US"/>
        </w:rPr>
        <w:t>answer</w:t>
      </w:r>
      <w:r w:rsidRPr="00BB3A36">
        <w:rPr>
          <w:b/>
          <w:bCs/>
          <w:sz w:val="24"/>
          <w:szCs w:val="20"/>
          <w:lang w:val="en-US"/>
        </w:rPr>
        <w:t xml:space="preserve"> </w:t>
      </w:r>
      <w:r>
        <w:rPr>
          <w:b/>
          <w:bCs/>
          <w:sz w:val="24"/>
          <w:szCs w:val="20"/>
          <w:lang w:val="en-US"/>
        </w:rPr>
        <w:t>1</w:t>
      </w:r>
      <w:r w:rsidR="00D61BB1" w:rsidRPr="00BB3A36">
        <w:rPr>
          <w:b/>
          <w:bCs/>
          <w:sz w:val="24"/>
          <w:szCs w:val="20"/>
          <w:lang w:val="en-US"/>
        </w:rPr>
        <w:t>9</w:t>
      </w:r>
      <w:r w:rsidRPr="00BB3A36">
        <w:rPr>
          <w:b/>
          <w:bCs/>
          <w:sz w:val="24"/>
          <w:szCs w:val="20"/>
          <w:lang w:val="en-US"/>
        </w:rPr>
        <w:t>:</w:t>
      </w:r>
    </w:p>
    <w:p w14:paraId="67BED21D" w14:textId="77777777" w:rsidR="00BB3A36" w:rsidRPr="00E26504" w:rsidRDefault="00BB3A36" w:rsidP="00BB3A36">
      <w:pPr>
        <w:rPr>
          <w:rFonts w:ascii="Arial" w:eastAsia="Times New Roman" w:hAnsi="Arial" w:cs="Arial"/>
          <w:color w:val="0A0A0A"/>
          <w:sz w:val="18"/>
          <w:szCs w:val="18"/>
          <w:lang w:val="en-US" w:eastAsia="ru-RU"/>
        </w:rPr>
      </w:pPr>
      <w:r w:rsidRPr="004C4009">
        <w:rPr>
          <w:rFonts w:ascii="Arial" w:eastAsia="Times New Roman" w:hAnsi="Arial" w:cs="Arial"/>
          <w:color w:val="0A0A0A"/>
          <w:sz w:val="18"/>
          <w:szCs w:val="18"/>
          <w:lang w:val="en-US" w:eastAsia="ru-RU"/>
        </w:rPr>
        <w:t>Changes have been made to the manuscript.</w:t>
      </w:r>
    </w:p>
    <w:p w14:paraId="1B0BF14D" w14:textId="77777777" w:rsidR="00A10958" w:rsidRDefault="00A10958" w:rsidP="00A10958">
      <w:pPr>
        <w:rPr>
          <w:b/>
          <w:bCs/>
          <w:sz w:val="24"/>
          <w:szCs w:val="20"/>
          <w:lang w:val="en-US"/>
        </w:rPr>
      </w:pPr>
    </w:p>
    <w:p w14:paraId="1279AE02" w14:textId="77777777" w:rsidR="00A10958" w:rsidRPr="00CD69C0" w:rsidRDefault="00A10958" w:rsidP="00A10958">
      <w:pPr>
        <w:rPr>
          <w:b/>
          <w:bCs/>
          <w:sz w:val="24"/>
          <w:szCs w:val="20"/>
          <w:lang w:val="en-US"/>
        </w:rPr>
      </w:pPr>
    </w:p>
    <w:p w14:paraId="7A56220A" w14:textId="77777777" w:rsidR="00E93312" w:rsidRPr="00BF4AAF" w:rsidRDefault="00E93312" w:rsidP="00E93312">
      <w:pPr>
        <w:rPr>
          <w:rFonts w:cs="Times New Roman"/>
          <w:b/>
          <w:bCs/>
          <w:sz w:val="32"/>
          <w:szCs w:val="28"/>
          <w:lang w:val="en-US"/>
        </w:rPr>
      </w:pPr>
      <w:r w:rsidRPr="00A80846">
        <w:rPr>
          <w:rFonts w:eastAsia="Times New Roman" w:cs="Times New Roman"/>
          <w:b/>
          <w:bCs/>
          <w:color w:val="0A0A0A"/>
          <w:szCs w:val="24"/>
          <w:lang w:val="en-US" w:eastAsia="ru-RU"/>
        </w:rPr>
        <w:t>The authors are grateful to the reviewer for valuable comments.</w:t>
      </w:r>
    </w:p>
    <w:p w14:paraId="3F284BD6" w14:textId="77777777" w:rsidR="00F12C76" w:rsidRPr="00A10958" w:rsidRDefault="00F12C76" w:rsidP="00A10958">
      <w:pPr>
        <w:rPr>
          <w:lang w:val="en-US"/>
        </w:rPr>
      </w:pPr>
    </w:p>
    <w:sectPr w:rsidR="00F12C76" w:rsidRPr="00A10958"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140"/>
    <w:rsid w:val="00023297"/>
    <w:rsid w:val="00175F1C"/>
    <w:rsid w:val="00176495"/>
    <w:rsid w:val="00205317"/>
    <w:rsid w:val="00245762"/>
    <w:rsid w:val="00260656"/>
    <w:rsid w:val="002C0C4E"/>
    <w:rsid w:val="00304F77"/>
    <w:rsid w:val="0038777B"/>
    <w:rsid w:val="00402BF6"/>
    <w:rsid w:val="004413C5"/>
    <w:rsid w:val="005A6E5B"/>
    <w:rsid w:val="00614279"/>
    <w:rsid w:val="006670CE"/>
    <w:rsid w:val="006C0B77"/>
    <w:rsid w:val="006F0F14"/>
    <w:rsid w:val="007150AB"/>
    <w:rsid w:val="00733AB9"/>
    <w:rsid w:val="007673AA"/>
    <w:rsid w:val="007A519F"/>
    <w:rsid w:val="00806577"/>
    <w:rsid w:val="008242FF"/>
    <w:rsid w:val="00870751"/>
    <w:rsid w:val="008D3718"/>
    <w:rsid w:val="008F2FAA"/>
    <w:rsid w:val="00922C48"/>
    <w:rsid w:val="00932956"/>
    <w:rsid w:val="009371D4"/>
    <w:rsid w:val="009A2269"/>
    <w:rsid w:val="00A10958"/>
    <w:rsid w:val="00A209F5"/>
    <w:rsid w:val="00A8798F"/>
    <w:rsid w:val="00B0587B"/>
    <w:rsid w:val="00B23C6D"/>
    <w:rsid w:val="00B24C51"/>
    <w:rsid w:val="00B4516F"/>
    <w:rsid w:val="00B915B7"/>
    <w:rsid w:val="00BB3A36"/>
    <w:rsid w:val="00C424C0"/>
    <w:rsid w:val="00C50091"/>
    <w:rsid w:val="00D40A45"/>
    <w:rsid w:val="00D61BB1"/>
    <w:rsid w:val="00D90DB1"/>
    <w:rsid w:val="00D94F20"/>
    <w:rsid w:val="00DA4965"/>
    <w:rsid w:val="00E25830"/>
    <w:rsid w:val="00E25E71"/>
    <w:rsid w:val="00E26504"/>
    <w:rsid w:val="00E93312"/>
    <w:rsid w:val="00EA59DF"/>
    <w:rsid w:val="00EE4070"/>
    <w:rsid w:val="00F12C76"/>
    <w:rsid w:val="00F271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8EB6D"/>
  <w15:chartTrackingRefBased/>
  <w15:docId w15:val="{A3A2A3E7-B0B1-4A3C-8F1B-55C75D9EC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09F5"/>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94F20"/>
    <w:pPr>
      <w:spacing w:before="100" w:beforeAutospacing="1" w:after="100" w:afterAutospacing="1"/>
    </w:pPr>
    <w:rPr>
      <w:rFonts w:eastAsia="Times New Roman" w:cs="Times New Roman"/>
      <w:sz w:val="24"/>
      <w:szCs w:val="24"/>
      <w:lang w:eastAsia="ru-RU"/>
    </w:rPr>
  </w:style>
  <w:style w:type="character" w:styleId="a4">
    <w:name w:val="Strong"/>
    <w:basedOn w:val="a0"/>
    <w:uiPriority w:val="22"/>
    <w:qFormat/>
    <w:rsid w:val="00D94F20"/>
    <w:rPr>
      <w:b/>
      <w:bCs/>
    </w:rPr>
  </w:style>
  <w:style w:type="character" w:styleId="a5">
    <w:name w:val="Emphasis"/>
    <w:basedOn w:val="a0"/>
    <w:uiPriority w:val="20"/>
    <w:qFormat/>
    <w:rsid w:val="00D94F20"/>
    <w:rPr>
      <w:i/>
      <w:iCs/>
    </w:rPr>
  </w:style>
  <w:style w:type="paragraph" w:customStyle="1" w:styleId="MDPI51figurecaption">
    <w:name w:val="MDPI_5.1_figure_caption"/>
    <w:qFormat/>
    <w:rsid w:val="00806577"/>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val="en-US" w:eastAsia="de-DE" w:bidi="en-US"/>
    </w:rPr>
  </w:style>
  <w:style w:type="table" w:customStyle="1" w:styleId="1">
    <w:name w:val="Сетка таблицы1"/>
    <w:basedOn w:val="a1"/>
    <w:next w:val="a6"/>
    <w:uiPriority w:val="39"/>
    <w:rsid w:val="008065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uiPriority w:val="39"/>
    <w:rsid w:val="008065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23heading3">
    <w:name w:val="MDPI_2.3_heading3"/>
    <w:qFormat/>
    <w:rsid w:val="00806577"/>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2heading2">
    <w:name w:val="MDPI_2.2_heading2"/>
    <w:qFormat/>
    <w:rsid w:val="00806577"/>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styleId="a7">
    <w:name w:val="List Paragraph"/>
    <w:basedOn w:val="a"/>
    <w:uiPriority w:val="34"/>
    <w:qFormat/>
    <w:rsid w:val="00A209F5"/>
    <w:pPr>
      <w:ind w:left="720"/>
      <w:contextualSpacing/>
    </w:pPr>
  </w:style>
  <w:style w:type="paragraph" w:customStyle="1" w:styleId="MDPI31text">
    <w:name w:val="MDPI_3.1_text"/>
    <w:qFormat/>
    <w:rsid w:val="009A2269"/>
    <w:pPr>
      <w:spacing w:after="0" w:line="228" w:lineRule="auto"/>
      <w:ind w:left="2608" w:firstLine="425"/>
      <w:jc w:val="both"/>
    </w:pPr>
    <w:rPr>
      <w:rFonts w:ascii="Palatino Linotype" w:eastAsia="Times New Roman" w:hAnsi="Palatino Linotype" w:cs="Times New Roman"/>
      <w:color w:val="000000"/>
      <w:sz w:val="20"/>
      <w:lang w:eastAsia="de-DE" w:bidi="en-US"/>
    </w:rPr>
  </w:style>
  <w:style w:type="paragraph" w:customStyle="1" w:styleId="MDPI35textbeforelist">
    <w:name w:val="MDPI_3.5_text_before_list"/>
    <w:qFormat/>
    <w:rsid w:val="00D61BB1"/>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D61BB1"/>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208183">
      <w:bodyDiv w:val="1"/>
      <w:marLeft w:val="0"/>
      <w:marRight w:val="0"/>
      <w:marTop w:val="0"/>
      <w:marBottom w:val="0"/>
      <w:divBdr>
        <w:top w:val="none" w:sz="0" w:space="0" w:color="auto"/>
        <w:left w:val="none" w:sz="0" w:space="0" w:color="auto"/>
        <w:bottom w:val="none" w:sz="0" w:space="0" w:color="auto"/>
        <w:right w:val="none" w:sz="0" w:space="0" w:color="auto"/>
      </w:divBdr>
    </w:div>
    <w:div w:id="175848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tiff"/><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8.png"/><Relationship Id="rId5" Type="http://schemas.openxmlformats.org/officeDocument/2006/relationships/image" Target="media/image2.tiff"/><Relationship Id="rId15" Type="http://schemas.openxmlformats.org/officeDocument/2006/relationships/image" Target="media/image12.tiff"/><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tiff"/><Relationship Id="rId14"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8691</Words>
  <Characters>49539</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 Zlotnikov</dc:creator>
  <cp:keywords/>
  <dc:description/>
  <cp:lastModifiedBy>Helena Koudriachova</cp:lastModifiedBy>
  <cp:revision>5</cp:revision>
  <dcterms:created xsi:type="dcterms:W3CDTF">2023-04-25T15:31:00Z</dcterms:created>
  <dcterms:modified xsi:type="dcterms:W3CDTF">2023-04-25T15:49:00Z</dcterms:modified>
</cp:coreProperties>
</file>