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
        <w:rPr>
          <w:rFonts w:eastAsia="黑体"/>
          <w:color w:val="auto"/>
        </w:rPr>
      </w:pPr>
      <w:bookmarkStart w:id="0" w:name="OLE_LINK14"/>
      <w:r>
        <w:rPr>
          <w:rFonts w:eastAsia="黑体"/>
          <w:color w:val="auto"/>
        </w:rPr>
        <w:t xml:space="preserve">Screening of candidate </w:t>
      </w:r>
      <w:r>
        <w:rPr>
          <w:rFonts w:eastAsia="黑体"/>
          <w:color w:val="auto"/>
          <w:lang w:bidi="ar"/>
        </w:rPr>
        <w:t>housekeeping genes</w:t>
      </w:r>
      <w:r>
        <w:rPr>
          <w:rFonts w:eastAsia="黑体"/>
          <w:color w:val="auto"/>
        </w:rPr>
        <w:t xml:space="preserve"> in uterus caruncle by RNA-sequence and qPCR analyses in different stages of goat（</w:t>
      </w:r>
      <w:r>
        <w:rPr>
          <w:rFonts w:eastAsia="黑体"/>
          <w:i/>
          <w:iCs/>
          <w:color w:val="auto"/>
        </w:rPr>
        <w:t>Capra hircus</w:t>
      </w:r>
      <w:r>
        <w:rPr>
          <w:rFonts w:eastAsia="黑体"/>
          <w:color w:val="auto"/>
        </w:rPr>
        <w:t>）</w:t>
      </w:r>
    </w:p>
    <w:bookmarkEnd w:id="0"/>
    <w:p>
      <w:pPr>
        <w:pStyle w:val="25"/>
        <w:rPr>
          <w:rFonts w:eastAsia="黑体"/>
          <w:color w:val="auto"/>
          <w:vertAlign w:val="superscript"/>
        </w:rPr>
      </w:pPr>
      <w:r>
        <w:rPr>
          <w:rFonts w:eastAsia="黑体"/>
          <w:color w:val="auto"/>
        </w:rPr>
        <w:t>Zhou Yumei</w:t>
      </w:r>
      <w:r>
        <w:rPr>
          <w:rFonts w:eastAsia="黑体"/>
          <w:color w:val="auto"/>
          <w:vertAlign w:val="superscript"/>
        </w:rPr>
        <w:t>1</w:t>
      </w:r>
      <w:r>
        <w:rPr>
          <w:rFonts w:eastAsia="黑体"/>
          <w:color w:val="auto"/>
        </w:rPr>
        <w:t xml:space="preserve">, </w:t>
      </w:r>
      <w:r>
        <w:rPr>
          <w:rFonts w:hint="eastAsia" w:eastAsia="黑体"/>
          <w:color w:val="auto"/>
          <w:lang w:eastAsia="zh-CN"/>
        </w:rPr>
        <w:t>Li Xingchun</w:t>
      </w:r>
      <w:r>
        <w:rPr>
          <w:rFonts w:eastAsia="黑体"/>
          <w:color w:val="auto"/>
          <w:vertAlign w:val="superscript"/>
          <w:lang w:eastAsia="zh-CN"/>
        </w:rPr>
        <w:t>1</w:t>
      </w:r>
      <w:r>
        <w:rPr>
          <w:rFonts w:eastAsia="黑体"/>
          <w:color w:val="auto"/>
        </w:rPr>
        <w:t>, Zhang Xinyue, Li Minghui</w:t>
      </w:r>
      <w:r>
        <w:rPr>
          <w:rFonts w:eastAsia="黑体"/>
          <w:color w:val="auto"/>
          <w:vertAlign w:val="superscript"/>
        </w:rPr>
        <w:t>1</w:t>
      </w:r>
      <w:r>
        <w:rPr>
          <w:rFonts w:eastAsia="黑体"/>
          <w:color w:val="auto"/>
          <w:lang w:eastAsia="zh-CN"/>
        </w:rPr>
        <w:t>,</w:t>
      </w:r>
      <w:r>
        <w:rPr>
          <w:rFonts w:hint="eastAsia" w:eastAsia="黑体"/>
          <w:color w:val="auto"/>
          <w:vertAlign w:val="superscript"/>
          <w:lang w:eastAsia="zh-CN"/>
        </w:rPr>
        <w:t xml:space="preserve"> </w:t>
      </w:r>
      <w:r>
        <w:rPr>
          <w:rFonts w:eastAsia="黑体"/>
          <w:color w:val="auto"/>
        </w:rPr>
        <w:t>Luo Nanjian</w:t>
      </w:r>
      <w:r>
        <w:rPr>
          <w:rFonts w:eastAsia="黑体"/>
          <w:color w:val="auto"/>
          <w:vertAlign w:val="superscript"/>
        </w:rPr>
        <w:t>*1</w:t>
      </w:r>
      <w:r>
        <w:rPr>
          <w:rFonts w:hint="eastAsia" w:eastAsia="黑体"/>
          <w:color w:val="auto"/>
          <w:vertAlign w:val="superscript"/>
          <w:lang w:eastAsia="zh-CN"/>
        </w:rPr>
        <w:t>2</w:t>
      </w:r>
      <w:r>
        <w:rPr>
          <w:rFonts w:eastAsia="黑体"/>
          <w:color w:val="auto"/>
        </w:rPr>
        <w:t>and Zhao Yongju</w:t>
      </w:r>
      <w:r>
        <w:rPr>
          <w:rFonts w:eastAsia="黑体"/>
          <w:color w:val="auto"/>
          <w:vertAlign w:val="superscript"/>
        </w:rPr>
        <w:t>*1</w:t>
      </w:r>
    </w:p>
    <w:p>
      <w:pPr>
        <w:pStyle w:val="27"/>
        <w:ind w:left="2608" w:firstLine="0"/>
        <w:rPr>
          <w:rFonts w:eastAsia="等线"/>
          <w:color w:val="auto"/>
        </w:rPr>
      </w:pPr>
      <w:r>
        <w:rPr>
          <w:rFonts w:eastAsia="等线"/>
          <w:color w:val="auto"/>
        </w:rPr>
        <w:t>1College of Animal Science and Technology, Southwest University; Chongqing Key Laboratory of Herbivore Science; Chongqing Key Laboratory of Forage &amp; Herbivore; Chongqing Engineering Research Center for Herbivores Resource Protection and Utilization; Chongqing Herbivore Engineering Research Center, Chongqing 400715, China.</w:t>
      </w:r>
    </w:p>
    <w:p>
      <w:pPr>
        <w:pStyle w:val="27"/>
        <w:ind w:left="2608" w:firstLine="0"/>
        <w:rPr>
          <w:rFonts w:eastAsia="等线"/>
          <w:color w:val="auto"/>
          <w:lang w:eastAsia="zh-CN"/>
        </w:rPr>
      </w:pPr>
      <w:r>
        <w:rPr>
          <w:rFonts w:hint="eastAsia" w:eastAsia="等线"/>
          <w:color w:val="auto"/>
          <w:lang w:eastAsia="zh-CN"/>
        </w:rPr>
        <w:t>2School of Preclinical Medicine, Zunyi Medical University, Zunyi, 563000, China</w:t>
      </w:r>
    </w:p>
    <w:tbl>
      <w:tblPr>
        <w:tblStyle w:val="75"/>
        <w:tblpPr w:leftFromText="198" w:rightFromText="198" w:vertAnchor="page" w:horzAnchor="margin" w:tblpY="11393"/>
        <w:tblW w:w="2409" w:type="dxa"/>
        <w:tblInd w:w="0" w:type="dxa"/>
        <w:tblLayout w:type="fixed"/>
        <w:tblCellMar>
          <w:top w:w="0" w:type="dxa"/>
          <w:left w:w="0" w:type="dxa"/>
          <w:bottom w:w="0" w:type="dxa"/>
          <w:right w:w="0" w:type="dxa"/>
        </w:tblCellMar>
      </w:tblPr>
      <w:tblGrid>
        <w:gridCol w:w="2409"/>
      </w:tblGrid>
      <w:tr>
        <w:tblPrEx>
          <w:tblCellMar>
            <w:top w:w="0" w:type="dxa"/>
            <w:left w:w="0" w:type="dxa"/>
            <w:bottom w:w="0" w:type="dxa"/>
            <w:right w:w="0" w:type="dxa"/>
          </w:tblCellMar>
        </w:tblPrEx>
        <w:trPr>
          <w:cantSplit/>
        </w:trPr>
        <w:tc>
          <w:tcPr>
            <w:tcW w:w="2409" w:type="dxa"/>
          </w:tcPr>
          <w:p>
            <w:pPr>
              <w:pStyle w:val="61"/>
              <w:rPr>
                <w:color w:val="auto"/>
                <w:vertAlign w:val="superscript"/>
                <w:lang w:val="en-CA" w:eastAsia="en-US"/>
              </w:rPr>
            </w:pPr>
            <w:r>
              <w:rPr>
                <w:b/>
                <w:color w:val="auto"/>
                <w:lang w:val="en-CA" w:eastAsia="en-US"/>
              </w:rPr>
              <w:t>Citation:</w:t>
            </w:r>
            <w:r>
              <w:rPr>
                <w:color w:val="auto"/>
                <w:lang w:val="en-CA" w:eastAsia="en-US"/>
              </w:rPr>
              <w:t xml:space="preserve"> Science, C.A.; Technology; University, S.; Center, C.H.E.R.; Chongqing; China. Zhou Yumei</w:t>
            </w:r>
            <w:r>
              <w:rPr>
                <w:color w:val="auto"/>
                <w:vertAlign w:val="superscript"/>
                <w:lang w:val="en-CA" w:eastAsia="en-US"/>
              </w:rPr>
              <w:t>1</w:t>
            </w:r>
            <w:r>
              <w:rPr>
                <w:color w:val="auto"/>
                <w:lang w:val="en-CA" w:eastAsia="en-US"/>
              </w:rPr>
              <w:t>, Luo Nanjian</w:t>
            </w:r>
            <w:r>
              <w:rPr>
                <w:color w:val="auto"/>
                <w:vertAlign w:val="superscript"/>
                <w:lang w:val="en-CA" w:eastAsia="en-US"/>
              </w:rPr>
              <w:t>*1</w:t>
            </w:r>
            <w:r>
              <w:rPr>
                <w:color w:val="auto"/>
                <w:lang w:val="en-CA" w:eastAsia="en-US"/>
              </w:rPr>
              <w:t>, Li Minghui</w:t>
            </w:r>
            <w:r>
              <w:rPr>
                <w:color w:val="auto"/>
                <w:vertAlign w:val="superscript"/>
                <w:lang w:val="en-CA" w:eastAsia="en-US"/>
              </w:rPr>
              <w:t>1</w:t>
            </w:r>
            <w:r>
              <w:rPr>
                <w:color w:val="auto"/>
                <w:lang w:val="en-CA" w:eastAsia="en-US"/>
              </w:rPr>
              <w:t xml:space="preserve"> and Zhao Yongju</w:t>
            </w:r>
            <w:r>
              <w:rPr>
                <w:color w:val="auto"/>
                <w:vertAlign w:val="superscript"/>
                <w:lang w:val="en-CA" w:eastAsia="en-US"/>
              </w:rPr>
              <w:t xml:space="preserve">*1. </w:t>
            </w:r>
            <w:r>
              <w:rPr>
                <w:i/>
                <w:color w:val="auto"/>
                <w:vertAlign w:val="superscript"/>
                <w:lang w:val="en-CA" w:eastAsia="en-US"/>
              </w:rPr>
              <w:t xml:space="preserve"> </w:t>
            </w:r>
            <w:r>
              <w:rPr>
                <w:b/>
                <w:color w:val="auto"/>
                <w:vertAlign w:val="superscript"/>
                <w:lang w:val="en-CA" w:eastAsia="en-US"/>
              </w:rPr>
              <w:t>2023</w:t>
            </w:r>
            <w:r>
              <w:rPr>
                <w:color w:val="auto"/>
                <w:vertAlign w:val="superscript"/>
                <w:lang w:val="en-CA" w:eastAsia="en-US"/>
              </w:rPr>
              <w:t xml:space="preserve">, </w:t>
            </w:r>
            <w:r>
              <w:rPr>
                <w:i/>
                <w:color w:val="auto"/>
                <w:vertAlign w:val="superscript"/>
                <w:lang w:val="en-CA" w:eastAsia="en-US"/>
              </w:rPr>
              <w:t>13</w:t>
            </w:r>
            <w:r>
              <w:rPr>
                <w:color w:val="auto"/>
                <w:vertAlign w:val="superscript"/>
                <w:lang w:val="en-CA" w:eastAsia="en-US"/>
              </w:rPr>
              <w:t>, x. https://doi.org/10.3390/xxxxx</w:t>
            </w:r>
          </w:p>
          <w:p>
            <w:pPr>
              <w:pStyle w:val="64"/>
              <w:spacing w:after="120"/>
              <w:rPr>
                <w:color w:val="auto"/>
                <w:lang w:val="en-CA"/>
              </w:rPr>
            </w:pPr>
            <w:r>
              <w:rPr>
                <w:color w:val="auto"/>
                <w:lang w:val="en-CA"/>
              </w:rPr>
              <w:t xml:space="preserve">Academic Editor(s): </w:t>
            </w:r>
          </w:p>
          <w:p>
            <w:pPr>
              <w:pStyle w:val="26"/>
              <w:rPr>
                <w:color w:val="auto"/>
                <w:lang w:val="en-CA"/>
              </w:rPr>
            </w:pPr>
            <w:r>
              <w:rPr>
                <w:color w:val="auto"/>
                <w:lang w:val="en-CA"/>
              </w:rPr>
              <w:t>Received: date</w:t>
            </w:r>
          </w:p>
          <w:p>
            <w:pPr>
              <w:pStyle w:val="26"/>
              <w:rPr>
                <w:color w:val="auto"/>
                <w:lang w:val="en-CA"/>
              </w:rPr>
            </w:pPr>
            <w:r>
              <w:rPr>
                <w:color w:val="auto"/>
                <w:lang w:val="en-CA"/>
              </w:rPr>
              <w:t>Revised: date</w:t>
            </w:r>
          </w:p>
          <w:p>
            <w:pPr>
              <w:pStyle w:val="26"/>
              <w:rPr>
                <w:color w:val="auto"/>
                <w:lang w:val="en-CA"/>
              </w:rPr>
            </w:pPr>
            <w:r>
              <w:rPr>
                <w:color w:val="auto"/>
                <w:lang w:val="en-CA"/>
              </w:rPr>
              <w:t>Accepted: date</w:t>
            </w:r>
          </w:p>
          <w:p>
            <w:pPr>
              <w:pStyle w:val="26"/>
              <w:spacing w:after="120"/>
              <w:rPr>
                <w:color w:val="auto"/>
                <w:lang w:val="en-CA"/>
              </w:rPr>
            </w:pPr>
            <w:r>
              <w:rPr>
                <w:color w:val="auto"/>
                <w:lang w:val="en-CA"/>
              </w:rPr>
              <w:t>Published: date</w:t>
            </w:r>
          </w:p>
          <w:p>
            <w:pPr>
              <w:pStyle w:val="26"/>
              <w:spacing w:before="120"/>
              <w:rPr>
                <w:color w:val="auto"/>
                <w:lang w:val="en-CA"/>
              </w:rPr>
            </w:pPr>
            <w:r>
              <w:rPr>
                <w:color w:val="auto"/>
                <w:lang w:val="en-CA" w:eastAsia="zh-CN" w:bidi="ar-SA"/>
              </w:rPr>
              <w:drawing>
                <wp:inline distT="0" distB="0" distL="0" distR="0">
                  <wp:extent cx="694690" cy="248285"/>
                  <wp:effectExtent l="0" t="0" r="0" b="0"/>
                  <wp:docPr id="2" name="Picture 2"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0"/>
                          <a:stretch>
                            <a:fillRect/>
                          </a:stretch>
                        </pic:blipFill>
                        <pic:spPr>
                          <a:xfrm>
                            <a:off x="0" y="0"/>
                            <a:ext cx="694800" cy="248400"/>
                          </a:xfrm>
                          <a:prstGeom prst="rect">
                            <a:avLst/>
                          </a:prstGeom>
                        </pic:spPr>
                      </pic:pic>
                    </a:graphicData>
                  </a:graphic>
                </wp:inline>
              </w:drawing>
            </w:r>
          </w:p>
          <w:p>
            <w:pPr>
              <w:pStyle w:val="63"/>
              <w:spacing w:before="60"/>
              <w:ind w:right="113"/>
              <w:rPr>
                <w:color w:val="auto"/>
                <w:sz w:val="14"/>
                <w:lang w:val="en-CA"/>
              </w:rPr>
            </w:pPr>
            <w:r>
              <w:rPr>
                <w:b/>
                <w:color w:val="auto"/>
                <w:sz w:val="14"/>
                <w:lang w:val="en-CA"/>
              </w:rPr>
              <w:t>Copyright:</w:t>
            </w:r>
            <w:r>
              <w:rPr>
                <w:color w:val="auto"/>
                <w:sz w:val="14"/>
                <w:lang w:val="en-CA"/>
              </w:rPr>
              <w:t xml:space="preserve"> © 2023 by the authors. Submitted for possible open access publication under the terms and conditions of the Creative Commons Attribution (CC BY) license (https://creativecommons.org/licenses/by/4.0/).</w:t>
            </w:r>
          </w:p>
        </w:tc>
      </w:tr>
    </w:tbl>
    <w:p>
      <w:pPr>
        <w:pStyle w:val="27"/>
        <w:ind w:left="2608" w:firstLine="0"/>
        <w:rPr>
          <w:rFonts w:eastAsia="宋体"/>
          <w:color w:val="auto"/>
        </w:rPr>
      </w:pPr>
      <w:r>
        <w:rPr>
          <w:rFonts w:eastAsia="宋体"/>
          <w:color w:val="auto"/>
        </w:rPr>
        <w:t xml:space="preserve">zym244075@163.com (Y.Z.); </w:t>
      </w:r>
      <w:r>
        <w:fldChar w:fldCharType="begin"/>
      </w:r>
      <w:r>
        <w:instrText xml:space="preserve"> HYPERLINK "mailto:LXC500112@163.com" </w:instrText>
      </w:r>
      <w:r>
        <w:fldChar w:fldCharType="separate"/>
      </w:r>
      <w:r>
        <w:rPr>
          <w:rStyle w:val="21"/>
          <w:rFonts w:hint="eastAsia" w:eastAsia="宋体"/>
        </w:rPr>
        <w:t>LXC500112@163.com</w:t>
      </w:r>
      <w:r>
        <w:rPr>
          <w:rStyle w:val="21"/>
          <w:rFonts w:hint="eastAsia" w:eastAsia="宋体"/>
        </w:rPr>
        <w:fldChar w:fldCharType="end"/>
      </w:r>
      <w:r>
        <w:rPr>
          <w:rFonts w:hint="eastAsia" w:eastAsia="宋体"/>
          <w:color w:val="auto"/>
          <w:lang w:eastAsia="zh-CN"/>
        </w:rPr>
        <w:t xml:space="preserve"> (X.L.); </w:t>
      </w:r>
      <w:r>
        <w:fldChar w:fldCharType="begin"/>
      </w:r>
      <w:r>
        <w:instrText xml:space="preserve"> HYPERLINK "mailto:xyxy662303@163.com" </w:instrText>
      </w:r>
      <w:r>
        <w:fldChar w:fldCharType="separate"/>
      </w:r>
      <w:r>
        <w:rPr>
          <w:rStyle w:val="21"/>
          <w:rFonts w:eastAsia="宋体"/>
          <w:lang w:eastAsia="zh-CN"/>
        </w:rPr>
        <w:t>xyxy662303@163.com</w:t>
      </w:r>
      <w:r>
        <w:rPr>
          <w:rStyle w:val="21"/>
          <w:rFonts w:eastAsia="宋体"/>
          <w:lang w:eastAsia="zh-CN"/>
        </w:rPr>
        <w:fldChar w:fldCharType="end"/>
      </w:r>
      <w:r>
        <w:rPr>
          <w:rFonts w:eastAsia="宋体"/>
          <w:color w:val="auto"/>
          <w:lang w:eastAsia="zh-CN"/>
        </w:rPr>
        <w:t xml:space="preserve">; </w:t>
      </w:r>
      <w:r>
        <w:fldChar w:fldCharType="begin"/>
      </w:r>
      <w:r>
        <w:instrText xml:space="preserve"> HYPERLINK "mailto:minghuili@126.com" </w:instrText>
      </w:r>
      <w:r>
        <w:fldChar w:fldCharType="separate"/>
      </w:r>
      <w:r>
        <w:rPr>
          <w:rStyle w:val="21"/>
          <w:rFonts w:eastAsia="宋体"/>
        </w:rPr>
        <w:t>minghuili@126.com</w:t>
      </w:r>
      <w:r>
        <w:rPr>
          <w:rStyle w:val="21"/>
          <w:rFonts w:eastAsia="宋体"/>
        </w:rPr>
        <w:fldChar w:fldCharType="end"/>
      </w:r>
      <w:r>
        <w:rPr>
          <w:rFonts w:hint="eastAsia" w:eastAsia="宋体"/>
          <w:color w:val="auto"/>
          <w:lang w:eastAsia="zh-CN"/>
        </w:rPr>
        <w:t xml:space="preserve"> (M.L.)</w:t>
      </w:r>
    </w:p>
    <w:p>
      <w:pPr>
        <w:pStyle w:val="27"/>
        <w:rPr>
          <w:rFonts w:eastAsia="宋体"/>
          <w:color w:val="auto"/>
          <w:lang w:eastAsia="zh-CN"/>
        </w:rPr>
      </w:pPr>
      <w:bookmarkStart w:id="1" w:name="_Hlk77185426"/>
      <w:r>
        <w:rPr>
          <w:rFonts w:eastAsia="等线"/>
          <w:b/>
          <w:color w:val="auto"/>
        </w:rPr>
        <w:t>*</w:t>
      </w:r>
      <w:r>
        <w:rPr>
          <w:rFonts w:eastAsia="等线"/>
          <w:color w:val="auto"/>
        </w:rPr>
        <w:tab/>
      </w:r>
      <w:r>
        <w:rPr>
          <w:rFonts w:eastAsia="等线"/>
          <w:color w:val="auto"/>
        </w:rPr>
        <w:t xml:space="preserve">Correspondence: </w:t>
      </w:r>
      <w:r>
        <w:rPr>
          <w:rFonts w:eastAsia="宋体"/>
          <w:color w:val="auto"/>
        </w:rPr>
        <w:t>luonanjian28@sina.cn (N.L.)</w:t>
      </w:r>
      <w:r>
        <w:rPr>
          <w:rFonts w:hint="eastAsia" w:eastAsia="宋体"/>
          <w:color w:val="auto"/>
          <w:lang w:eastAsia="zh-CN"/>
        </w:rPr>
        <w:t xml:space="preserve">, Tel: +86-139-9648-8708; </w:t>
      </w:r>
      <w:r>
        <w:rPr>
          <w:rFonts w:eastAsia="等线"/>
          <w:color w:val="auto"/>
        </w:rPr>
        <w:t>zyongju@163.com</w:t>
      </w:r>
      <w:bookmarkEnd w:id="1"/>
      <w:r>
        <w:rPr>
          <w:rFonts w:eastAsia="等线"/>
          <w:color w:val="auto"/>
        </w:rPr>
        <w:t xml:space="preserve"> </w:t>
      </w:r>
      <w:bookmarkStart w:id="2" w:name="_Hlk77185432"/>
      <w:r>
        <w:rPr>
          <w:rFonts w:eastAsia="等线"/>
          <w:color w:val="auto"/>
        </w:rPr>
        <w:t>(Y.Z.)</w:t>
      </w:r>
      <w:bookmarkEnd w:id="2"/>
      <w:r>
        <w:rPr>
          <w:rFonts w:hint="eastAsia" w:eastAsia="等线"/>
          <w:color w:val="auto"/>
          <w:lang w:eastAsia="zh-CN"/>
        </w:rPr>
        <w:t xml:space="preserve">, </w:t>
      </w:r>
      <w:bookmarkStart w:id="3" w:name="_Hlk77185442"/>
      <w:r>
        <w:rPr>
          <w:rFonts w:eastAsia="等线"/>
          <w:color w:val="auto"/>
        </w:rPr>
        <w:t>Tel.: +86-138-8339-9148</w:t>
      </w:r>
      <w:bookmarkEnd w:id="3"/>
    </w:p>
    <w:p>
      <w:pPr>
        <w:pStyle w:val="28"/>
        <w:rPr>
          <w:color w:val="auto"/>
        </w:rPr>
      </w:pPr>
      <w:r>
        <w:rPr>
          <w:b/>
          <w:color w:val="auto"/>
        </w:rPr>
        <w:t>Abstract:</w:t>
      </w:r>
      <w:bookmarkStart w:id="4" w:name="OLE_LINK9"/>
      <w:r>
        <w:rPr>
          <w:b/>
          <w:color w:val="auto"/>
        </w:rPr>
        <w:t xml:space="preserve"> </w:t>
      </w:r>
      <w:r>
        <w:rPr>
          <w:rFonts w:eastAsia="等线"/>
          <w:color w:val="auto"/>
        </w:rPr>
        <w:t>Uterus</w:t>
      </w:r>
      <w:r>
        <w:rPr>
          <w:rFonts w:eastAsia="等线"/>
          <w:b/>
          <w:bCs/>
          <w:color w:val="auto"/>
        </w:rPr>
        <w:t xml:space="preserve"> </w:t>
      </w:r>
      <w:r>
        <w:rPr>
          <w:rFonts w:eastAsia="等线"/>
          <w:bCs/>
          <w:color w:val="auto"/>
        </w:rPr>
        <w:t xml:space="preserve">is a critical </w:t>
      </w:r>
      <w:r>
        <w:rPr>
          <w:rFonts w:eastAsia="等线"/>
          <w:color w:val="auto"/>
        </w:rPr>
        <w:t>pregnancy</w:t>
      </w:r>
      <w:r>
        <w:rPr>
          <w:rFonts w:eastAsia="等线"/>
          <w:bCs/>
          <w:color w:val="auto"/>
        </w:rPr>
        <w:t xml:space="preserve"> organ for </w:t>
      </w:r>
      <w:r>
        <w:rPr>
          <w:rFonts w:eastAsia="等线"/>
          <w:color w:val="auto"/>
        </w:rPr>
        <w:t>mammal. The normal growth and development of ruminant uterus caruncle are crucial to maintain gestation and fetal health in goat.</w:t>
      </w:r>
      <w:r>
        <w:rPr>
          <w:color w:val="auto"/>
        </w:rPr>
        <w:t xml:space="preserve"> </w:t>
      </w:r>
      <w:bookmarkEnd w:id="4"/>
      <w:bookmarkStart w:id="5" w:name="OLE_LINK11"/>
      <w:r>
        <w:rPr>
          <w:color w:val="auto"/>
        </w:rPr>
        <w:t>Quantitative real-time polymerase chain reaction (qRT-PCR)</w:t>
      </w:r>
      <w:r>
        <w:rPr>
          <w:rFonts w:eastAsia="等线"/>
          <w:color w:val="auto"/>
        </w:rPr>
        <w:t xml:space="preserve"> is a reliable tool to study gene expression profiling for </w:t>
      </w:r>
      <w:r>
        <w:rPr>
          <w:color w:val="auto"/>
        </w:rPr>
        <w:t>exploring the intrinsic mechanism underlying the conversion process of uterus caruncle tissue</w:t>
      </w:r>
      <w:r>
        <w:rPr>
          <w:rFonts w:eastAsia="等线"/>
          <w:color w:val="auto"/>
        </w:rPr>
        <w:t xml:space="preserve">. However, </w:t>
      </w:r>
      <w:bookmarkStart w:id="6" w:name="OLE_LINK12"/>
      <w:r>
        <w:rPr>
          <w:rFonts w:eastAsia="等线"/>
          <w:color w:val="auto"/>
        </w:rPr>
        <w:t>the candidate housekeeping genes</w:t>
      </w:r>
      <w:bookmarkEnd w:id="6"/>
      <w:r>
        <w:rPr>
          <w:rFonts w:eastAsia="等线"/>
          <w:color w:val="auto"/>
        </w:rPr>
        <w:t xml:space="preserve"> (HKGs) are required for normalizing the expression of function genes.</w:t>
      </w:r>
      <w:bookmarkEnd w:id="5"/>
      <w:r>
        <w:rPr>
          <w:color w:val="auto"/>
        </w:rPr>
        <w:t xml:space="preserve"> In our study, </w:t>
      </w:r>
      <w:r>
        <w:rPr>
          <w:rFonts w:eastAsia="等线"/>
          <w:color w:val="auto"/>
        </w:rPr>
        <w:t xml:space="preserve">22 HKGs were selected from analyzing transcriptome data at </w:t>
      </w:r>
      <w:r>
        <w:rPr>
          <w:color w:val="auto"/>
        </w:rPr>
        <w:t>nonpregnancy and pregnancy process</w:t>
      </w:r>
      <w:r>
        <w:rPr>
          <w:rFonts w:eastAsia="等线"/>
          <w:color w:val="auto"/>
        </w:rPr>
        <w:t xml:space="preserve"> and previous reports about HKGs in goat tissues</w:t>
      </w:r>
      <w:r>
        <w:rPr>
          <w:rFonts w:hint="eastAsia" w:eastAsia="等线"/>
          <w:color w:val="auto"/>
          <w:lang w:eastAsia="zh-CN"/>
        </w:rPr>
        <w:t xml:space="preserve"> a</w:t>
      </w:r>
      <w:r>
        <w:rPr>
          <w:rFonts w:eastAsia="等线"/>
          <w:color w:val="auto"/>
        </w:rPr>
        <w:t xml:space="preserve">nd we assessed them for expression suitability in 24 samples from uterus tissues at 15 non-pregnant day (Stage 1), early (Stage 2) and medium-later pregnant day (Stage 3). The expression stability of these genes was evaluated by using geNorm, Normfinder, Bestkeeper and Delta Ct algorithms and comprehensively by ReFinder. In addition, the most and least stable HKGs were used to normalize the target genes expression of </w:t>
      </w:r>
      <w:r>
        <w:rPr>
          <w:rFonts w:eastAsia="等线"/>
          <w:i/>
          <w:iCs/>
          <w:color w:val="auto"/>
        </w:rPr>
        <w:t>SPP1</w:t>
      </w:r>
      <w:r>
        <w:rPr>
          <w:rFonts w:eastAsia="等线"/>
          <w:color w:val="auto"/>
        </w:rPr>
        <w:t xml:space="preserve">, </w:t>
      </w:r>
      <w:r>
        <w:rPr>
          <w:rFonts w:eastAsia="等线"/>
          <w:i/>
          <w:iCs/>
          <w:color w:val="auto"/>
        </w:rPr>
        <w:t>VEGFA</w:t>
      </w:r>
      <w:r>
        <w:rPr>
          <w:rFonts w:eastAsia="等线"/>
          <w:color w:val="auto"/>
        </w:rPr>
        <w:t xml:space="preserve"> and </w:t>
      </w:r>
      <w:r>
        <w:rPr>
          <w:rFonts w:eastAsia="等线"/>
          <w:i/>
          <w:iCs/>
          <w:color w:val="auto"/>
        </w:rPr>
        <w:t>PAG8</w:t>
      </w:r>
      <w:r>
        <w:rPr>
          <w:rFonts w:eastAsia="等线"/>
          <w:color w:val="auto"/>
        </w:rPr>
        <w:t>.</w:t>
      </w:r>
      <w:r>
        <w:rPr>
          <w:color w:val="auto"/>
        </w:rPr>
        <w:t xml:space="preserve"> It was found that traditional reference genes, such as </w:t>
      </w:r>
      <w:r>
        <w:rPr>
          <w:i/>
          <w:iCs/>
          <w:color w:val="auto"/>
        </w:rPr>
        <w:t>ACTB</w:t>
      </w:r>
      <w:r>
        <w:rPr>
          <w:color w:val="auto"/>
        </w:rPr>
        <w:t xml:space="preserve"> and </w:t>
      </w:r>
      <w:r>
        <w:rPr>
          <w:i/>
          <w:iCs/>
          <w:color w:val="auto"/>
        </w:rPr>
        <w:t>GAPDH</w:t>
      </w:r>
      <w:r>
        <w:rPr>
          <w:color w:val="auto"/>
        </w:rPr>
        <w:t xml:space="preserve"> were not suitable for target gene normalization. In contrast, </w:t>
      </w:r>
      <w:r>
        <w:rPr>
          <w:i/>
          <w:iCs/>
          <w:color w:val="auto"/>
        </w:rPr>
        <w:t>PPIB</w:t>
      </w:r>
      <w:r>
        <w:rPr>
          <w:color w:val="auto"/>
        </w:rPr>
        <w:t xml:space="preserve"> selected from RNA sequencing data and </w:t>
      </w:r>
      <w:r>
        <w:rPr>
          <w:i/>
          <w:iCs/>
          <w:color w:val="auto"/>
        </w:rPr>
        <w:t>EIF3K</w:t>
      </w:r>
      <w:r>
        <w:rPr>
          <w:color w:val="auto"/>
        </w:rPr>
        <w:t xml:space="preserve"> selected from previous references showed the least variation and were recommended as the best HKGs during the nonpregnant stage and the whole stages of goat uterus caruncle tissue respectively. </w:t>
      </w:r>
      <w:r>
        <w:rPr>
          <w:rFonts w:eastAsia="等线"/>
          <w:color w:val="auto"/>
        </w:rPr>
        <w:t xml:space="preserve">It is the </w:t>
      </w:r>
      <w:r>
        <w:rPr>
          <w:rFonts w:eastAsia="等线"/>
          <w:bCs/>
          <w:color w:val="auto"/>
        </w:rPr>
        <w:t xml:space="preserve">first time to explore the HKGs genes in uterus during the non-pregnant day and throughout the total pregnancy. These </w:t>
      </w:r>
      <w:r>
        <w:rPr>
          <w:rFonts w:hint="eastAsia" w:eastAsia="等线"/>
          <w:bCs/>
          <w:color w:val="auto"/>
          <w:lang w:eastAsia="zh-CN"/>
        </w:rPr>
        <w:t>findings found</w:t>
      </w:r>
      <w:r>
        <w:rPr>
          <w:rFonts w:eastAsia="等线"/>
          <w:bCs/>
          <w:color w:val="auto"/>
        </w:rPr>
        <w:t xml:space="preserve"> suitable HKGs in uterus caruncle tissues at </w:t>
      </w:r>
      <w:r>
        <w:rPr>
          <w:rFonts w:hint="eastAsia" w:eastAsia="等线"/>
          <w:bCs/>
          <w:color w:val="auto"/>
          <w:lang w:eastAsia="zh-CN"/>
        </w:rPr>
        <w:t>various</w:t>
      </w:r>
      <w:r>
        <w:rPr>
          <w:rFonts w:eastAsia="等线"/>
          <w:bCs/>
          <w:color w:val="auto"/>
        </w:rPr>
        <w:t xml:space="preserve"> stages of non-pregnan</w:t>
      </w:r>
      <w:r>
        <w:rPr>
          <w:rFonts w:hint="eastAsia" w:eastAsia="等线"/>
          <w:bCs/>
          <w:color w:val="auto"/>
          <w:lang w:eastAsia="zh-CN"/>
        </w:rPr>
        <w:t>cy</w:t>
      </w:r>
      <w:r>
        <w:rPr>
          <w:rFonts w:eastAsia="等线"/>
          <w:bCs/>
          <w:color w:val="auto"/>
        </w:rPr>
        <w:t xml:space="preserve"> and pregnancy, which can be </w:t>
      </w:r>
      <w:r>
        <w:rPr>
          <w:rFonts w:hint="eastAsia" w:eastAsia="等线"/>
          <w:bCs/>
          <w:color w:val="auto"/>
          <w:lang w:eastAsia="zh-CN"/>
        </w:rPr>
        <w:t>use</w:t>
      </w:r>
      <w:r>
        <w:rPr>
          <w:rFonts w:eastAsia="等线"/>
          <w:bCs/>
          <w:color w:val="auto"/>
        </w:rPr>
        <w:t>ful for gene expression stud</w:t>
      </w:r>
      <w:r>
        <w:rPr>
          <w:rFonts w:hint="eastAsia" w:eastAsia="等线"/>
          <w:bCs/>
          <w:color w:val="auto"/>
          <w:lang w:eastAsia="zh-CN"/>
        </w:rPr>
        <w:t>ies</w:t>
      </w:r>
      <w:r>
        <w:rPr>
          <w:rFonts w:eastAsia="等线"/>
          <w:bCs/>
          <w:color w:val="auto"/>
        </w:rPr>
        <w:t xml:space="preserve"> to reveal the molecular mechanisms of uterus development in goat</w:t>
      </w:r>
      <w:r>
        <w:rPr>
          <w:rFonts w:hint="eastAsia" w:eastAsia="等线"/>
          <w:bCs/>
          <w:color w:val="auto"/>
          <w:lang w:eastAsia="zh-CN"/>
        </w:rPr>
        <w:t>s</w:t>
      </w:r>
      <w:r>
        <w:rPr>
          <w:rFonts w:eastAsia="等线"/>
          <w:bCs/>
          <w:color w:val="auto"/>
        </w:rPr>
        <w:t>.</w:t>
      </w:r>
    </w:p>
    <w:p>
      <w:pPr>
        <w:pStyle w:val="29"/>
        <w:rPr>
          <w:color w:val="auto"/>
        </w:rPr>
      </w:pPr>
      <w:r>
        <w:rPr>
          <w:b/>
          <w:bCs/>
          <w:color w:val="auto"/>
        </w:rPr>
        <w:t>Keywords:</w:t>
      </w:r>
      <w:r>
        <w:rPr>
          <w:b/>
          <w:color w:val="auto"/>
        </w:rPr>
        <w:t xml:space="preserve"> </w:t>
      </w:r>
      <w:r>
        <w:rPr>
          <w:color w:val="auto"/>
        </w:rPr>
        <w:t xml:space="preserve">uterus caruncle; </w:t>
      </w:r>
      <w:bookmarkStart w:id="7" w:name="OLE_LINK13"/>
      <w:r>
        <w:rPr>
          <w:rFonts w:eastAsia="等线"/>
          <w:color w:val="auto"/>
          <w:lang w:bidi="ar"/>
        </w:rPr>
        <w:t>the candidate housekeeping genes</w:t>
      </w:r>
      <w:bookmarkEnd w:id="7"/>
      <w:r>
        <w:rPr>
          <w:color w:val="auto"/>
        </w:rPr>
        <w:t>; RNA-sequence; goat</w:t>
      </w:r>
    </w:p>
    <w:p>
      <w:pPr>
        <w:pStyle w:val="30"/>
        <w:pBdr>
          <w:bottom w:val="single" w:color="000000" w:sz="4" w:space="1"/>
        </w:pBdr>
        <w:rPr>
          <w:color w:val="auto"/>
        </w:rPr>
      </w:pPr>
    </w:p>
    <w:p>
      <w:pPr>
        <w:pStyle w:val="53"/>
        <w:rPr>
          <w:bCs/>
          <w:color w:val="auto"/>
        </w:rPr>
      </w:pPr>
      <w:r>
        <w:rPr>
          <w:bCs/>
          <w:color w:val="auto"/>
        </w:rPr>
        <w:t xml:space="preserve">1. </w:t>
      </w:r>
      <w:r>
        <w:rPr>
          <w:color w:val="auto"/>
        </w:rPr>
        <w:t>Introduction</w:t>
      </w:r>
    </w:p>
    <w:p>
      <w:pPr>
        <w:pStyle w:val="35"/>
        <w:rPr>
          <w:color w:val="auto"/>
        </w:rPr>
      </w:pPr>
      <w:r>
        <w:rPr>
          <w:color w:val="auto"/>
        </w:rPr>
        <w:t>The uterus, a place where the embryo is implanted and continues to develop, is necessary for the reproduction of mammals. Uterus caruncle is a special structure located on the endometrium of domestic ruminants. With the process of pregnancy, uterus caruncle participates in placentation and forms to be the maternal part of placenta</w:t>
      </w:r>
      <w:r>
        <w:rPr>
          <w:color w:val="auto"/>
        </w:rPr>
        <w:fldChar w:fldCharType="begin"/>
      </w:r>
      <w:r>
        <w:rPr>
          <w:color w:val="auto"/>
        </w:rPr>
        <w:instrText xml:space="preserve"> ADDIN EN.CITE &lt;EndNote&gt;&lt;Cite&gt;&lt;Author&gt;Pere&lt;/Author&gt;&lt;Year&gt;1995&lt;/Year&gt;&lt;RecNum&gt;11&lt;/RecNum&gt;&lt;DisplayText&gt;&lt;style size="10"&gt;[1]&lt;/style&gt;&lt;/DisplayText&gt;&lt;record&gt;&lt;rec-number&gt;11&lt;/rec-number&gt;&lt;foreign-keys&gt;&lt;key app="EN" db-id="xtrefar26vd5acefa9apfdwu2w9tsfax9pfe" timestamp="1625535244"&gt;11&lt;/key&gt;&lt;/foreign-keys&gt;&lt;ref-type name="Journal Article"&gt;17&lt;/ref-type&gt;&lt;contributors&gt;&lt;authors&gt;&lt;author&gt;Pere, M. C.&lt;/author&gt;&lt;/authors&gt;&lt;/contributors&gt;&lt;titles&gt;&lt;title&gt;MATERNAL AND FETAL BLOOD-LEVELS OF GLUCOSE, LACTATE, FRUCTOSE, AND INSULIN IN THE CONSCIOUS PIG&lt;/title&gt;&lt;secondary-title&gt;Journal of Animal Science&lt;/secondary-title&gt;&lt;/titles&gt;&lt;periodical&gt;&lt;full-title&gt;Journal of Animal Science&lt;/full-title&gt;&lt;/periodical&gt;&lt;pages&gt;2994-2999&lt;/pages&gt;&lt;volume&gt;73&lt;/volume&gt;&lt;number&gt;10&lt;/number&gt;&lt;dates&gt;&lt;year&gt;1995&lt;/year&gt;&lt;pub-dates&gt;&lt;date&gt;Oct&lt;/date&gt;&lt;/pub-dates&gt;&lt;/dates&gt;&lt;isbn&gt;0021-8812&lt;/isbn&gt;&lt;accession-num&gt;WOS:A1995TA50500019&lt;/accession-num&gt;&lt;urls&gt;&lt;related-urls&gt;&lt;url&gt;&amp;lt;Go to ISI&amp;gt;://WOS:A1995TA50500019&lt;/url&gt;&lt;/related-urls&gt;&lt;/urls&gt;&lt;/record&gt;&lt;/Cite&gt;&lt;/EndNote&gt;</w:instrText>
      </w:r>
      <w:r>
        <w:rPr>
          <w:color w:val="auto"/>
        </w:rPr>
        <w:fldChar w:fldCharType="separate"/>
      </w:r>
      <w:r>
        <w:rPr>
          <w:color w:val="auto"/>
        </w:rPr>
        <w:t>[1]</w:t>
      </w:r>
      <w:r>
        <w:rPr>
          <w:color w:val="auto"/>
        </w:rPr>
        <w:fldChar w:fldCharType="end"/>
      </w:r>
      <w:r>
        <w:rPr>
          <w:color w:val="auto"/>
        </w:rPr>
        <w:t>. Before and after pregnancy, the uterus caruncle develops from endometrial epithelial cells to connective tissue rich in blood vessels. This dynamic process indicates that the structure and cell types of the uterus caruncle undergo significant changes during the pregnancy.</w:t>
      </w:r>
    </w:p>
    <w:p>
      <w:pPr>
        <w:pStyle w:val="35"/>
        <w:rPr>
          <w:color w:val="auto"/>
        </w:rPr>
      </w:pPr>
      <w:r>
        <w:rPr>
          <w:color w:val="auto"/>
        </w:rPr>
        <w:t>Goat (</w:t>
      </w:r>
      <w:r>
        <w:rPr>
          <w:i/>
          <w:iCs/>
          <w:color w:val="auto"/>
        </w:rPr>
        <w:t xml:space="preserve">Capra </w:t>
      </w:r>
      <w:r>
        <w:rPr>
          <w:rFonts w:hint="eastAsia" w:eastAsia="宋体"/>
          <w:i/>
          <w:iCs/>
          <w:color w:val="auto"/>
          <w:lang w:eastAsia="zh-CN"/>
        </w:rPr>
        <w:t>h</w:t>
      </w:r>
      <w:r>
        <w:rPr>
          <w:i/>
          <w:iCs/>
          <w:color w:val="auto"/>
        </w:rPr>
        <w:t>ircus</w:t>
      </w:r>
      <w:r>
        <w:rPr>
          <w:color w:val="auto"/>
        </w:rPr>
        <w:t xml:space="preserve">) is becoming widely accepted around the world due to the increasing demand for low cholesterol content and high nutritive value of goat meat </w:t>
      </w:r>
      <w:r>
        <w:rPr>
          <w:color w:val="auto"/>
        </w:rPr>
        <w:fldChar w:fldCharType="begin"/>
      </w:r>
      <w:r>
        <w:rPr>
          <w:color w:val="auto"/>
        </w:rPr>
        <w:instrText xml:space="preserve"> ADDIN EN.CITE &lt;EndNote&gt;&lt;Cite&gt;&lt;Author&gt;Talpur&lt;/Author&gt;&lt;Year&gt;2008&lt;/Year&gt;&lt;RecNum&gt;139&lt;/RecNum&gt;&lt;DisplayText&gt;&lt;style size="10"&gt;[2]&lt;/style&gt;&lt;/DisplayText&gt;&lt;record&gt;&lt;rec-number&gt;139&lt;/rec-number&gt;&lt;foreign-keys&gt;&lt;key app="EN" db-id="ddxts92v4vwd5bext9kvere3v2ewddwvt9da" timestamp="1625461139"&gt;139&lt;/key&gt;&lt;/foreign-keys&gt;&lt;ref-type name="Journal Article"&gt;17&lt;/ref-type&gt;&lt;contributors&gt;&lt;authors&gt;&lt;author&gt;Talpur, F. N.&lt;/author&gt;&lt;author&gt;Bhanger, M. I.&lt;/author&gt;&lt;author&gt;Sherazi, S. T.&lt;/author&gt;&lt;/authors&gt;&lt;/contributors&gt;&lt;auth-address&gt;National Center of Excellence in Analytical Chemistry, University of Sindh, Jamshoro 76080, Pakistan.&lt;/auth-address&gt;&lt;titles&gt;&lt;title&gt;Intramuscular fatty acid profile of longissimus dorsi and semitendinosus muscle from Pateri goats fed under traditional feeding system of Sindh, Pakistan&lt;/title&gt;&lt;secondary-title&gt;Meat Sci&lt;/secondary-title&gt;&lt;/titles&gt;&lt;periodical&gt;&lt;full-title&gt;Meat Sci&lt;/full-title&gt;&lt;/periodical&gt;&lt;pages&gt;819-22&lt;/pages&gt;&lt;volume&gt;80&lt;/volume&gt;&lt;number&gt;3&lt;/number&gt;&lt;dates&gt;&lt;year&gt;2008&lt;/year&gt;&lt;pub-dates&gt;&lt;date&gt;Nov&lt;/date&gt;&lt;/pub-dates&gt;&lt;/dates&gt;&lt;isbn&gt;0309-1740 (Print)&amp;#xD;0309-1740 (Linking)&lt;/isbn&gt;&lt;accession-num&gt;22063602&lt;/accession-num&gt;&lt;urls&gt;&lt;related-urls&gt;&lt;url&gt;http://www.ncbi.nlm.nih.gov/pubmed/22063602&lt;/url&gt;&lt;/related-urls&gt;&lt;/urls&gt;&lt;electronic-resource-num&gt;10.1016/j.meatsci.2008.03.028&lt;/electronic-resource-num&gt;&lt;/record&gt;&lt;/Cite&gt;&lt;/EndNote&gt;</w:instrText>
      </w:r>
      <w:r>
        <w:rPr>
          <w:color w:val="auto"/>
        </w:rPr>
        <w:fldChar w:fldCharType="separate"/>
      </w:r>
      <w:r>
        <w:rPr>
          <w:color w:val="auto"/>
        </w:rPr>
        <w:t>[2]</w:t>
      </w:r>
      <w:r>
        <w:rPr>
          <w:color w:val="auto"/>
        </w:rPr>
        <w:fldChar w:fldCharType="end"/>
      </w:r>
      <w:r>
        <w:rPr>
          <w:color w:val="auto"/>
        </w:rPr>
        <w:t xml:space="preserve">. The successful pregnancy and fetal health in goat are important safeguards for reproductive performance and are dependent on normal uterus function and placenta development. </w:t>
      </w:r>
      <w:bookmarkStart w:id="8" w:name="_Hlk76409742"/>
      <w:r>
        <w:rPr>
          <w:color w:val="auto"/>
        </w:rPr>
        <w:t xml:space="preserve">The hircine placenta is the cotyledon placenta, which divide into multiple button-shaped functional units, entrenched into maternal uterus caruncle with the incomplete uterine luminal epithelium, and achieve the synepitheliochorial placenta at gestation </w:t>
      </w:r>
      <w:r>
        <w:rPr>
          <w:color w:val="auto"/>
        </w:rPr>
        <w:fldChar w:fldCharType="begin">
          <w:fldData xml:space="preserve">PEVuZE5vdGU+PENpdGU+PEF1dGhvcj5SZXlub2xkczwvQXV0aG9yPjxZZWFyPjIwMDE8L1llYXI+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</w:fldData>
        </w:fldChar>
      </w:r>
      <w:r>
        <w:rPr>
          <w:color w:val="auto"/>
        </w:rPr>
        <w:instrText xml:space="preserve"> ADDIN EN.CITE </w:instrText>
      </w:r>
      <w:r>
        <w:rPr>
          <w:color w:val="auto"/>
        </w:rPr>
        <w:fldChar w:fldCharType="begin">
          <w:fldData xml:space="preserve">PEVuZE5vdGU+PENpdGU+PEF1dGhvcj5SZXlub2xkczwvQXV0aG9yPjxZZWFyPjIwMDE8L1llYXI+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</w:fldData>
        </w:fldChar>
      </w:r>
      <w:r>
        <w:rPr>
          <w:color w:val="auto"/>
        </w:rPr>
        <w:instrText xml:space="preserve"> ADDIN EN.CITE.DATA </w:instrText>
      </w:r>
      <w:r>
        <w:rPr>
          <w:color w:val="auto"/>
        </w:rPr>
        <w:fldChar w:fldCharType="end"/>
      </w:r>
      <w:r>
        <w:rPr>
          <w:color w:val="auto"/>
        </w:rPr>
        <w:fldChar w:fldCharType="separate"/>
      </w:r>
      <w:r>
        <w:rPr>
          <w:color w:val="auto"/>
        </w:rPr>
        <w:t>[3,4]</w:t>
      </w:r>
      <w:r>
        <w:rPr>
          <w:color w:val="auto"/>
        </w:rPr>
        <w:fldChar w:fldCharType="end"/>
      </w:r>
      <w:r>
        <w:rPr>
          <w:color w:val="auto"/>
        </w:rPr>
        <w:t>.</w:t>
      </w:r>
      <w:bookmarkEnd w:id="8"/>
      <w:r>
        <w:rPr>
          <w:color w:val="auto"/>
        </w:rPr>
        <w:t xml:space="preserve"> Although a lot of physiological process have been reported in uterus from ruminant</w:t>
      </w:r>
      <w:r>
        <w:rPr>
          <w:color w:val="auto"/>
        </w:rPr>
        <w:fldChar w:fldCharType="begin">
          <w:fldData xml:space="preserve">PEVuZE5vdGU+PENpdGU+PEF1dGhvcj5aaGVuZzwvQXV0aG9yPjxZZWFyPjIwMTk8L1llYXI+PFJl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</w:fldData>
        </w:fldChar>
      </w:r>
      <w:r>
        <w:rPr>
          <w:color w:val="auto"/>
        </w:rPr>
        <w:instrText xml:space="preserve"> ADDIN EN.CITE </w:instrText>
      </w:r>
      <w:r>
        <w:rPr>
          <w:color w:val="auto"/>
        </w:rPr>
        <w:fldChar w:fldCharType="begin">
          <w:fldData xml:space="preserve">PEVuZE5vdGU+PENpdGU+PEF1dGhvcj5aaGVuZzwvQXV0aG9yPjxZZWFyPjIwMTk8L1llYXI+PFJl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</w:fldData>
        </w:fldChar>
      </w:r>
      <w:r>
        <w:rPr>
          <w:color w:val="auto"/>
        </w:rPr>
        <w:instrText xml:space="preserve"> ADDIN EN.CITE.DATA </w:instrText>
      </w:r>
      <w:r>
        <w:rPr>
          <w:color w:val="auto"/>
        </w:rPr>
        <w:fldChar w:fldCharType="end"/>
      </w:r>
      <w:r>
        <w:rPr>
          <w:color w:val="auto"/>
        </w:rPr>
        <w:fldChar w:fldCharType="separate"/>
      </w:r>
      <w:r>
        <w:rPr>
          <w:color w:val="auto"/>
        </w:rPr>
        <w:t>[5,6]</w:t>
      </w:r>
      <w:r>
        <w:rPr>
          <w:color w:val="auto"/>
        </w:rPr>
        <w:fldChar w:fldCharType="end"/>
      </w:r>
      <w:r>
        <w:rPr>
          <w:color w:val="auto"/>
        </w:rPr>
        <w:t>, the exact molecular mechanisms remain largely unclear in uterus caruncle development in domestic animals. Gene expression analysis is a useful technique because it provides information on the regulation of uterus development.</w:t>
      </w:r>
    </w:p>
    <w:p>
      <w:pPr>
        <w:pStyle w:val="35"/>
        <w:rPr>
          <w:color w:val="auto"/>
        </w:rPr>
      </w:pPr>
      <w:bookmarkStart w:id="9" w:name="OLE_LINK2"/>
      <w:r>
        <w:rPr>
          <w:color w:val="auto"/>
        </w:rPr>
        <w:t>Quantitative real-time polymerase chain reaction (qRT-PCR) is widely applied to quickly and accurately characterize the expression of target genes.</w:t>
      </w:r>
      <w:bookmarkEnd w:id="9"/>
      <w:r>
        <w:rPr>
          <w:color w:val="auto"/>
        </w:rPr>
        <w:t xml:space="preserve"> To obtain the real expression changes of target genes, HKGs must be used to normalize cycle threshold (Ct) value from </w:t>
      </w:r>
      <w:bookmarkStart w:id="10" w:name="OLE_LINK15"/>
      <w:r>
        <w:rPr>
          <w:color w:val="auto"/>
        </w:rPr>
        <w:t>qRT-PCR</w:t>
      </w:r>
      <w:bookmarkEnd w:id="10"/>
      <w:r>
        <w:rPr>
          <w:color w:val="auto"/>
        </w:rPr>
        <w:t xml:space="preserve">. In theory, </w:t>
      </w:r>
      <w:r>
        <w:rPr>
          <w:rFonts w:eastAsia="等线"/>
          <w:color w:val="auto"/>
          <w:lang w:bidi="ar"/>
        </w:rPr>
        <w:t>the HKG</w:t>
      </w:r>
      <w:r>
        <w:rPr>
          <w:color w:val="auto"/>
        </w:rPr>
        <w:t xml:space="preserve">s expression should not change in the investigated different tissues or in development stages. To obtain </w:t>
      </w:r>
      <w:r>
        <w:rPr>
          <w:rFonts w:eastAsia="等线"/>
          <w:color w:val="auto"/>
          <w:lang w:bidi="ar"/>
        </w:rPr>
        <w:t>the candidate housekeeping genes</w:t>
      </w:r>
      <w:r>
        <w:rPr>
          <w:color w:val="auto"/>
        </w:rPr>
        <w:t xml:space="preserve">, </w:t>
      </w:r>
      <w:bookmarkStart w:id="11" w:name="_Hlk76329221"/>
      <w:r>
        <w:rPr>
          <w:color w:val="auto"/>
        </w:rPr>
        <w:t>programs</w:t>
      </w:r>
      <w:bookmarkEnd w:id="11"/>
      <w:r>
        <w:rPr>
          <w:color w:val="auto"/>
        </w:rPr>
        <w:t xml:space="preserve"> (including geNorm</w:t>
      </w:r>
      <w:r>
        <w:rPr>
          <w:color w:val="auto"/>
        </w:rPr>
        <w:fldChar w:fldCharType="begin"/>
      </w:r>
      <w:r>
        <w:rPr>
          <w:color w:val="auto"/>
        </w:rPr>
        <w:instrText xml:space="preserve"> ADDIN EN.CITE &lt;EndNote&gt;&lt;Cite&gt;&lt;Author&gt;Vandesompele&lt;/Author&gt;&lt;Year&gt;2002&lt;/Year&gt;&lt;RecNum&gt;5&lt;/RecNum&gt;&lt;DisplayText&gt;&lt;style size="10"&gt;[7]&lt;/style&gt;&lt;/DisplayText&gt;&lt;record&gt;&lt;rec-number&gt;5&lt;/rec-number&gt;&lt;foreign-keys&gt;&lt;key app="EN" db-id="zspwvtzvtfa5xberewspedv8zv02d5dtx902" timestamp="1684309140" guid="d60a3b05-df8c-41fa-8ce5-c07c83b271eb"&gt;5&lt;/key&gt;&lt;/foreign-keys&gt;&lt;ref-type name="Journal Article"&gt;17&lt;/ref-type&gt;&lt;contributors&gt;&lt;authors&gt;&lt;author&gt;Vandesompele, J.&lt;/author&gt;&lt;author&gt;De Preter, K.&lt;/author&gt;&lt;author&gt;Pattyn, F.&lt;/author&gt;&lt;author&gt;Poppe, B.&lt;/author&gt;&lt;author&gt;Van Roy, N.&lt;/author&gt;&lt;author&gt;De Paepe, A.&lt;/author&gt;&lt;author&gt;Speleman, F.&lt;/author&gt;&lt;/authors&gt;&lt;/contributors&gt;&lt;titles&gt;&lt;title&gt;Accurate normalization of real-time quantitative RT-PCR data by geometric averaging of multiple internal control genes&lt;/title&gt;&lt;secondary-title&gt;Genome Biology&lt;/secondary-title&gt;&lt;/titles&gt;&lt;periodical&gt;&lt;full-title&gt;Genome Biology&lt;/full-title&gt;&lt;/periodical&gt;&lt;volume&gt;3&lt;/volume&gt;&lt;number&gt;7&lt;/number&gt;&lt;dates&gt;&lt;year&gt;2002&lt;/year&gt;&lt;/dates&gt;&lt;isbn&gt;1474-760X&lt;/isbn&gt;&lt;accession-num&gt;WOS:000207581200010&lt;/accession-num&gt;&lt;urls&gt;&lt;related-urls&gt;&lt;url&gt;&amp;lt;Go to ISI&amp;gt;://WOS:000207581200010&lt;/url&gt;&lt;/related-urls&gt;&lt;/urls&gt;&lt;custom7&gt;0034.1&lt;/custom7&gt;&lt;electronic-resource-num&gt;10.1186/gb-2002-3-7-research0034&lt;/electronic-resource-num&gt;&lt;/record&gt;&lt;/Cite&gt;&lt;/EndNote&gt;</w:instrText>
      </w:r>
      <w:r>
        <w:rPr>
          <w:color w:val="auto"/>
        </w:rPr>
        <w:fldChar w:fldCharType="separate"/>
      </w:r>
      <w:r>
        <w:rPr>
          <w:color w:val="auto"/>
        </w:rPr>
        <w:t>[7]</w:t>
      </w:r>
      <w:r>
        <w:rPr>
          <w:color w:val="auto"/>
        </w:rPr>
        <w:fldChar w:fldCharType="end"/>
      </w:r>
      <w:r>
        <w:rPr>
          <w:color w:val="auto"/>
        </w:rPr>
        <w:t>, Normfinder</w:t>
      </w:r>
      <w:r>
        <w:rPr>
          <w:color w:val="auto"/>
        </w:rPr>
        <w:fldChar w:fldCharType="begin"/>
      </w:r>
      <w:r>
        <w:rPr>
          <w:color w:val="auto"/>
        </w:rPr>
        <w:instrText xml:space="preserve"> ADDIN EN.CITE &lt;EndNote&gt;&lt;Cite&gt;&lt;Author&gt;Andersen&lt;/Author&gt;&lt;Year&gt;2004&lt;/Year&gt;&lt;RecNum&gt;228&lt;/RecNum&gt;&lt;DisplayText&gt;&lt;style size="10"&gt;[8]&lt;/style&gt;&lt;/DisplayText&gt;&lt;record&gt;&lt;rec-number&gt;228&lt;/rec-number&gt;&lt;foreign-keys&gt;&lt;key app="EN" db-id="xtrefar26vd5acefa9apfdwu2w9tsfax9pfe" timestamp="1684499559"&gt;228&lt;/key&gt;&lt;/foreign-keys&gt;&lt;ref-type name="Journal Article"&gt;17&lt;/ref-type&gt;&lt;contributors&gt;&lt;authors&gt;&lt;author&gt;Andersen, C. L.&lt;/author&gt;&lt;author&gt;Jensen, J. L.&lt;/author&gt;&lt;author&gt;Orntoft, T. F.&lt;/author&gt;&lt;/authors&gt;&lt;/contributors&gt;&lt;titles&gt;&lt;title&gt;Normalization of real-time quantitative reverse transcription-PCR data: A model-based variance estimation approach to identify genes suited for normalization, applied to bladder and colon cancer data sets&lt;/title&gt;&lt;secondary-title&gt;Cancer Research&lt;/secondary-title&gt;&lt;/titles&gt;&lt;periodical&gt;&lt;full-title&gt;Cancer Research&lt;/full-title&gt;&lt;/periodical&gt;&lt;pages&gt;5245-5250&lt;/pages&gt;&lt;volume&gt;64&lt;/volume&gt;&lt;number&gt;15&lt;/number&gt;&lt;dates&gt;&lt;year&gt;2004&lt;/year&gt;&lt;pub-dates&gt;&lt;date&gt;Aug 1&lt;/date&gt;&lt;/pub-dates&gt;&lt;/dates&gt;&lt;isbn&gt;0008-5472&lt;/isbn&gt;&lt;accession-num&gt;WOS:000223038200033&lt;/accession-num&gt;&lt;work-type&gt;Article&lt;/work-type&gt;&lt;urls&gt;&lt;related-urls&gt;&lt;url&gt;&amp;lt;Go to ISI&amp;gt;://WOS:000223038200033&lt;/url&gt;&lt;/related-urls&gt;&lt;/urls&gt;&lt;electronic-resource-num&gt;10.1158/0008-5472.Can-04-0496&lt;/electronic-resource-num&gt;&lt;/record&gt;&lt;/Cite&gt;&lt;/EndNote&gt;</w:instrText>
      </w:r>
      <w:r>
        <w:rPr>
          <w:color w:val="auto"/>
        </w:rPr>
        <w:fldChar w:fldCharType="separate"/>
      </w:r>
      <w:r>
        <w:rPr>
          <w:color w:val="auto"/>
        </w:rPr>
        <w:t>[8]</w:t>
      </w:r>
      <w:r>
        <w:rPr>
          <w:color w:val="auto"/>
        </w:rPr>
        <w:fldChar w:fldCharType="end"/>
      </w:r>
      <w:r>
        <w:rPr>
          <w:color w:val="auto"/>
        </w:rPr>
        <w:t>, BestKeeper</w:t>
      </w:r>
      <w:r>
        <w:rPr>
          <w:color w:val="auto"/>
        </w:rPr>
        <w:fldChar w:fldCharType="begin"/>
      </w:r>
      <w:r>
        <w:rPr>
          <w:color w:val="auto"/>
        </w:rPr>
        <w:instrText xml:space="preserve"> ADDIN EN.CITE &lt;EndNote&gt;&lt;Cite&gt;&lt;Author&gt;Pfaffl&lt;/Author&gt;&lt;Year&gt;2004&lt;/Year&gt;&lt;RecNum&gt;19&lt;/RecNum&gt;&lt;DisplayText&gt;&lt;style size="10"&gt;[9]&lt;/style&gt;&lt;/DisplayText&gt;&lt;record&gt;&lt;rec-number&gt;19&lt;/rec-number&gt;&lt;foreign-keys&gt;&lt;key app="EN" db-id="xtrefar26vd5acefa9apfdwu2w9tsfax9pfe" timestamp="1626164961"&gt;19&lt;/key&gt;&lt;/foreign-keys&gt;&lt;ref-type name="Journal Article"&gt;17&lt;/ref-type&gt;&lt;contributors&gt;&lt;authors&gt;&lt;author&gt;Pfaffl, M. W.&lt;/author&gt;&lt;author&gt;Tichopad, A.&lt;/author&gt;&lt;author&gt;Prgomet, C.&lt;/author&gt;&lt;author&gt;Neuvians, T. P.&lt;/author&gt;&lt;/authors&gt;&lt;/contributors&gt;&lt;titles&gt;&lt;title&gt;Determination of stable housekeeping genes, differentially regulated target genes and sample integrity: BestKeeper - Excel-based tool using pair-wise correlations&lt;/title&gt;&lt;secondary-title&gt;Biotechnology Letters&lt;/secondary-title&gt;&lt;/titles&gt;&lt;periodical&gt;&lt;full-title&gt;Biotechnology Letters&lt;/full-title&gt;&lt;/periodical&gt;&lt;pages&gt;509-515&lt;/pages&gt;&lt;volume&gt;26&lt;/volume&gt;&lt;number&gt;6&lt;/number&gt;&lt;dates&gt;&lt;year&gt;2004&lt;/year&gt;&lt;pub-dates&gt;&lt;date&gt;Mar&lt;/date&gt;&lt;/pub-dates&gt;&lt;/dates&gt;&lt;isbn&gt;0141-5492&lt;/isbn&gt;&lt;accession-num&gt;WOS:000220217900008&lt;/accession-num&gt;&lt;urls&gt;&lt;related-urls&gt;&lt;url&gt;&amp;lt;Go to ISI&amp;gt;://WOS:000220217900008&lt;/url&gt;&lt;/related-urls&gt;&lt;/urls&gt;&lt;electronic-resource-num&gt;10.1023/b:bile.0000019559.84305.47&lt;/electronic-resource-num&gt;&lt;/record&gt;&lt;/Cite&gt;&lt;/EndNote&gt;</w:instrText>
      </w:r>
      <w:r>
        <w:rPr>
          <w:color w:val="auto"/>
        </w:rPr>
        <w:fldChar w:fldCharType="separate"/>
      </w:r>
      <w:r>
        <w:rPr>
          <w:color w:val="auto"/>
        </w:rPr>
        <w:t>[9]</w:t>
      </w:r>
      <w:r>
        <w:rPr>
          <w:color w:val="auto"/>
        </w:rPr>
        <w:fldChar w:fldCharType="end"/>
      </w:r>
      <w:r>
        <w:rPr>
          <w:color w:val="auto"/>
        </w:rPr>
        <w:t>, and Delta-Ct method</w:t>
      </w:r>
      <w:r>
        <w:rPr>
          <w:color w:val="auto"/>
        </w:rPr>
        <w:fldChar w:fldCharType="begin"/>
      </w:r>
      <w:r>
        <w:rPr>
          <w:color w:val="auto"/>
        </w:rPr>
        <w:instrText xml:space="preserve"> ADDIN EN.CITE &lt;EndNote&gt;&lt;Cite&gt;&lt;Author&gt;Silver&lt;/Author&gt;&lt;Year&gt;2006&lt;/Year&gt;&lt;RecNum&gt;129&lt;/RecNum&gt;&lt;DisplayText&gt;&lt;style size="10"&gt;[10]&lt;/style&gt;&lt;/DisplayText&gt;&lt;record&gt;&lt;rec-number&gt;129&lt;/rec-number&gt;&lt;foreign-keys&gt;&lt;key app="EN" db-id="ddxts92v4vwd5bext9kvere3v2ewddwvt9da" timestamp="1621931106"&gt;129&lt;/key&gt;&lt;/foreign-keys&gt;&lt;ref-type name="Journal Article"&gt;17&lt;/ref-type&gt;&lt;contributors&gt;&lt;authors&gt;&lt;author&gt;Silver, N.&lt;/author&gt;&lt;author&gt;Best, S.&lt;/author&gt;&lt;author&gt;Jiang, J.&lt;/author&gt;&lt;author&gt;Thein, S. L.&lt;/author&gt;&lt;/authors&gt;&lt;/contributors&gt;&lt;auth-address&gt;Kings Coll London, Sch Med, Kings Coll Hosp, Div Gene &amp;amp; Cell Based Therapy, London SE5 9PJ, England&lt;/auth-address&gt;&lt;titles&gt;&lt;title&gt;Selection of housekeeping genes for gene expression studies in human reticulocytes using real-time PCR&lt;/title&gt;&lt;secondary-title&gt;Bmc Molecular Biology&lt;/secondary-title&gt;&lt;alt-title&gt;Bmc Mol Biol&lt;/alt-title&gt;&lt;/titles&gt;&lt;periodical&gt;&lt;full-title&gt;Bmc Molecular Biology&lt;/full-title&gt;&lt;abbr-1&gt;Bmc Mol Biol&lt;/abbr-1&gt;&lt;/periodical&gt;&lt;alt-periodical&gt;&lt;full-title&gt;Bmc Molecular Biology&lt;/full-title&gt;&lt;abbr-1&gt;Bmc Mol Biol&lt;/abbr-1&gt;&lt;/alt-periodical&gt;&lt;volume&gt;7&lt;/volume&gt;&lt;keywords&gt;&lt;keyword&gt;messenger-rna&lt;/keyword&gt;&lt;keyword&gt;beta-actin&lt;/keyword&gt;&lt;keyword&gt;internal standards&lt;/keyword&gt;&lt;keyword&gt;rt-pcr&lt;/keyword&gt;&lt;keyword&gt;transcription&lt;/keyword&gt;&lt;keyword&gt;gapdh&lt;/keyword&gt;&lt;keyword&gt;validation&lt;/keyword&gt;&lt;keyword&gt;cells&lt;/keyword&gt;&lt;keyword&gt;colon&lt;/keyword&gt;&lt;/keywords&gt;&lt;dates&gt;&lt;year&gt;2006&lt;/year&gt;&lt;pub-dates&gt;&lt;date&gt;Oct 6&lt;/date&gt;&lt;/pub-dates&gt;&lt;/dates&gt;&lt;isbn&gt;1471-2199&lt;/isbn&gt;&lt;accession-num&gt;WOS:000241377400001&lt;/accession-num&gt;&lt;urls&gt;&lt;related-urls&gt;&lt;url&gt;&amp;lt;Go to ISI&amp;gt;://WOS:000241377400001&lt;/url&gt;&lt;/related-urls&gt;&lt;/urls&gt;&lt;electronic-resource-num&gt;Artn 33&amp;#xD;10.1186/1471-2199-7-33&lt;/electronic-resource-num&gt;&lt;language&gt;English&lt;/language&gt;&lt;/record&gt;&lt;/Cite&gt;&lt;/EndNote&gt;</w:instrText>
      </w:r>
      <w:r>
        <w:rPr>
          <w:color w:val="auto"/>
        </w:rPr>
        <w:fldChar w:fldCharType="separate"/>
      </w:r>
      <w:r>
        <w:rPr>
          <w:color w:val="auto"/>
        </w:rPr>
        <w:t>[10]</w:t>
      </w:r>
      <w:r>
        <w:rPr>
          <w:color w:val="auto"/>
        </w:rPr>
        <w:fldChar w:fldCharType="end"/>
      </w:r>
      <w:r>
        <w:rPr>
          <w:color w:val="auto"/>
        </w:rPr>
        <w:t xml:space="preserve"> have been invented to facilitate the statistical analysis of potential endogenous control genes base on the results of qRT-PCR. Furthermore, comprehensive tools have also been developed to compare tested HKGs, for example RefFinder </w:t>
      </w:r>
      <w:r>
        <w:rPr>
          <w:color w:val="auto"/>
        </w:rPr>
        <w:fldChar w:fldCharType="begin"/>
      </w:r>
      <w:r>
        <w:rPr>
          <w:color w:val="auto"/>
        </w:rPr>
        <w:instrText xml:space="preserve"> ADDIN EN.CITE &lt;EndNote&gt;&lt;Cite&gt;&lt;Author&gt;Xie&lt;/Author&gt;&lt;Year&gt;2012&lt;/Year&gt;&lt;RecNum&gt;130&lt;/RecNum&gt;&lt;DisplayText&gt;&lt;style size="10"&gt;[11]&lt;/style&gt;&lt;/DisplayText&gt;&lt;record&gt;&lt;rec-number&gt;130&lt;/rec-number&gt;&lt;foreign-keys&gt;&lt;key app="EN" db-id="ddxts92v4vwd5bext9kvere3v2ewddwvt9da" timestamp="1621932084"&gt;130&lt;/key&gt;&lt;/foreign-keys&gt;&lt;ref-type name="Journal Article"&gt;17&lt;/ref-type&gt;&lt;contributors&gt;&lt;authors&gt;&lt;author&gt;Xie, F. L.&lt;/author&gt;&lt;author&gt;Xiao, P.&lt;/author&gt;&lt;author&gt;Chen, D. L.&lt;/author&gt;&lt;author&gt;Xu, L.&lt;/author&gt;&lt;author&gt;Zhang, B. H.&lt;/author&gt;&lt;/authors&gt;&lt;/contributors&gt;&lt;auth-address&gt;E Carolina Univ, Dept Biol, Greenville, NC 27858 USA&amp;#xD;E Carolina Univ, Dept Math, Greenville, NC 27858 USA&lt;/auth-address&gt;&lt;titles&gt;&lt;title&gt;miRDeepFinder: a miRNA analysis tool for deep sequencing of plant small RNAs&lt;/title&gt;&lt;secondary-title&gt;Plant Molecular Biology&lt;/secondary-title&gt;&lt;alt-title&gt;Plant Mol Biol&lt;/alt-title&gt;&lt;/titles&gt;&lt;periodical&gt;&lt;full-title&gt;Plant Molecular Biology&lt;/full-title&gt;&lt;abbr-1&gt;Plant Mol Biol&lt;/abbr-1&gt;&lt;/periodical&gt;&lt;alt-periodical&gt;&lt;full-title&gt;Plant Molecular Biology&lt;/full-title&gt;&lt;abbr-1&gt;Plant Mol Biol&lt;/abbr-1&gt;&lt;/alt-periodical&gt;&lt;pages&gt;75-84&lt;/pages&gt;&lt;volume&gt;80&lt;/volume&gt;&lt;number&gt;1&lt;/number&gt;&lt;keywords&gt;&lt;keyword&gt;microrna&lt;/keyword&gt;&lt;keyword&gt;mirdeepfinder&lt;/keyword&gt;&lt;keyword&gt;deep sequencing&lt;/keyword&gt;&lt;keyword&gt;target&lt;/keyword&gt;&lt;keyword&gt;pathway analysis&lt;/keyword&gt;&lt;keyword&gt;microrna&lt;/keyword&gt;&lt;keyword&gt;identification&lt;/keyword&gt;&lt;keyword&gt;arabidopsis&lt;/keyword&gt;&lt;keyword&gt;biogenesis&lt;/keyword&gt;&lt;keyword&gt;prediction&lt;/keyword&gt;&lt;keyword&gt;targets&lt;/keyword&gt;&lt;keyword&gt;scale&lt;/keyword&gt;&lt;keyword&gt;time&lt;/keyword&gt;&lt;/keywords&gt;&lt;dates&gt;&lt;year&gt;2012&lt;/year&gt;&lt;pub-dates&gt;&lt;date&gt;Sep&lt;/date&gt;&lt;/pub-dates&gt;&lt;/dates&gt;&lt;isbn&gt;0167-4412&lt;/isbn&gt;&lt;accession-num&gt;WOS:000307539800007&lt;/accession-num&gt;&lt;urls&gt;&lt;related-urls&gt;&lt;url&gt;&amp;lt;Go to ISI&amp;gt;://WOS:000307539800007&lt;/url&gt;&lt;/related-urls&gt;&lt;/urls&gt;&lt;electronic-resource-num&gt;10.1007/s11103-012-9885-2&lt;/electronic-resource-num&gt;&lt;language&gt;English&lt;/language&gt;&lt;/record&gt;&lt;/Cite&gt;&lt;/EndNote&gt;</w:instrText>
      </w:r>
      <w:r>
        <w:rPr>
          <w:color w:val="auto"/>
        </w:rPr>
        <w:fldChar w:fldCharType="separate"/>
      </w:r>
      <w:r>
        <w:rPr>
          <w:color w:val="auto"/>
        </w:rPr>
        <w:t>[11]</w:t>
      </w:r>
      <w:r>
        <w:rPr>
          <w:color w:val="auto"/>
        </w:rPr>
        <w:fldChar w:fldCharType="end"/>
      </w:r>
      <w:r>
        <w:rPr>
          <w:color w:val="auto"/>
        </w:rPr>
        <w:t xml:space="preserve"> and ComprFinder </w:t>
      </w:r>
      <w:r>
        <w:rPr>
          <w:color w:val="auto"/>
        </w:rPr>
        <w:fldChar w:fldCharType="begin"/>
      </w:r>
      <w:r>
        <w:rPr>
          <w:color w:val="auto"/>
        </w:rPr>
        <w:instrText xml:space="preserve"> ADDIN EN.CITE &lt;EndNote&gt;&lt;Cite&gt;&lt;Author&gt;Zhang&lt;/Author&gt;&lt;Year&gt;2020&lt;/Year&gt;&lt;RecNum&gt;131&lt;/RecNum&gt;&lt;DisplayText&gt;&lt;style size="10"&gt;[12]&lt;/style&gt;&lt;/DisplayText&gt;&lt;record&gt;&lt;rec-number&gt;131&lt;/rec-number&gt;&lt;foreign-keys&gt;&lt;key app="EN" db-id="ddxts92v4vwd5bext9kvere3v2ewddwvt9da" timestamp="1621932122"&gt;131&lt;/key&gt;&lt;/foreign-keys&gt;&lt;ref-type name="Journal Article"&gt;17&lt;/ref-type&gt;&lt;contributors&gt;&lt;authors&gt;&lt;author&gt;Zhang, J. P.&lt;/author&gt;&lt;author&gt;Deng, C. C.&lt;/author&gt;&lt;author&gt;Li, J. L.&lt;/author&gt;&lt;author&gt;Zhao, Y. J.&lt;/author&gt;&lt;/authors&gt;&lt;/contributors&gt;&lt;auth-address&gt;Southwest Univ, Coll Anim Sci &amp;amp; Technol, Chongqing Engn Res Ctr Herbivores Resource Protec, Chongqing Key Lab Forage &amp;amp; Herbivore, Chongqing 400715, Peoples R China&lt;/auth-address&gt;&lt;titles&gt;&lt;title&gt;Transcriptome-based selection and validation of optimal house-keeping genes for skin research in goats (Capra hircus)&lt;/title&gt;&lt;secondary-title&gt;Bmc Genomics&lt;/secondary-title&gt;&lt;alt-title&gt;Bmc Genomics&lt;/alt-title&gt;&lt;/titles&gt;&lt;periodical&gt;&lt;full-title&gt;Bmc Genomics&lt;/full-title&gt;&lt;abbr-1&gt;Bmc Genomics&lt;/abbr-1&gt;&lt;/periodical&gt;&lt;alt-periodical&gt;&lt;full-title&gt;Bmc Genomics&lt;/full-title&gt;&lt;abbr-1&gt;Bmc Genomics&lt;/abbr-1&gt;&lt;/alt-periodical&gt;&lt;volume&gt;21&lt;/volume&gt;&lt;number&gt;1&lt;/number&gt;&lt;keywords&gt;&lt;keyword&gt;house-keeping genes&lt;/keyword&gt;&lt;keyword&gt;reference genes&lt;/keyword&gt;&lt;keyword&gt;goat&lt;/keyword&gt;&lt;keyword&gt;skin&lt;/keyword&gt;&lt;keyword&gt;comprfinder method&lt;/keyword&gt;&lt;keyword&gt;real-time pcr&lt;/keyword&gt;&lt;keyword&gt;rt-pcr&lt;/keyword&gt;&lt;keyword&gt;expression analysis&lt;/keyword&gt;&lt;keyword&gt;housekeeping genes&lt;/keyword&gt;&lt;keyword&gt;identification&lt;/keyword&gt;&lt;keyword&gt;quantification&lt;/keyword&gt;&lt;keyword&gt;normalization&lt;/keyword&gt;&lt;keyword&gt;publication&lt;/keyword&gt;&lt;keyword&gt;tissue&lt;/keyword&gt;&lt;keyword&gt;hair&lt;/keyword&gt;&lt;/keywords&gt;&lt;dates&gt;&lt;year&gt;2020&lt;/year&gt;&lt;pub-dates&gt;&lt;date&gt;Jul 18&lt;/date&gt;&lt;/pub-dates&gt;&lt;/dates&gt;&lt;isbn&gt;1471-2164&lt;/isbn&gt;&lt;accession-num&gt;WOS:000552396700003&lt;/accession-num&gt;&lt;urls&gt;&lt;related-urls&gt;&lt;url&gt;&amp;lt;Go to ISI&amp;gt;://WOS:000552396700003&lt;/url&gt;&lt;/related-urls&gt;&lt;/urls&gt;&lt;electronic-resource-num&gt;ARTN 493&amp;#xD;10.1186/s12864-020-06912-4&lt;/electronic-resource-num&gt;&lt;language&gt;English&lt;/language&gt;&lt;/record&gt;&lt;/Cite&gt;&lt;/EndNote&gt;</w:instrText>
      </w:r>
      <w:r>
        <w:rPr>
          <w:color w:val="auto"/>
        </w:rPr>
        <w:fldChar w:fldCharType="separate"/>
      </w:r>
      <w:r>
        <w:rPr>
          <w:color w:val="auto"/>
        </w:rPr>
        <w:t>[12]</w:t>
      </w:r>
      <w:r>
        <w:rPr>
          <w:color w:val="auto"/>
        </w:rPr>
        <w:fldChar w:fldCharType="end"/>
      </w:r>
      <w:r>
        <w:rPr>
          <w:color w:val="auto"/>
        </w:rPr>
        <w:t>. Meanwhile, high-throughput RNA sequencing provided a large transcriptional collection of all genes</w:t>
      </w:r>
      <w:r>
        <w:rPr>
          <w:rFonts w:hint="eastAsia" w:eastAsia="宋体"/>
          <w:color w:val="auto"/>
          <w:lang w:eastAsia="zh-CN"/>
        </w:rPr>
        <w:t xml:space="preserve">, </w:t>
      </w:r>
      <w:r>
        <w:rPr>
          <w:color w:val="auto"/>
        </w:rPr>
        <w:t xml:space="preserve">and the fragments per kilobase of transcript sequence per millions of base pairs sequenced (PFKM) has been </w:t>
      </w:r>
      <w:r>
        <w:rPr>
          <w:rFonts w:hint="eastAsia" w:eastAsia="宋体"/>
          <w:color w:val="auto"/>
          <w:lang w:eastAsia="zh-CN"/>
        </w:rPr>
        <w:t>used</w:t>
      </w:r>
      <w:r>
        <w:rPr>
          <w:color w:val="auto"/>
        </w:rPr>
        <w:t xml:space="preserve"> to screen </w:t>
      </w:r>
      <w:r>
        <w:rPr>
          <w:rFonts w:hint="eastAsia" w:eastAsia="宋体"/>
          <w:color w:val="auto"/>
          <w:lang w:eastAsia="zh-CN"/>
        </w:rPr>
        <w:t xml:space="preserve">for </w:t>
      </w:r>
      <w:r>
        <w:rPr>
          <w:color w:val="auto"/>
        </w:rPr>
        <w:t xml:space="preserve">new or stable reference genes </w:t>
      </w:r>
      <w:r>
        <w:rPr>
          <w:rFonts w:hint="eastAsia" w:eastAsia="宋体"/>
          <w:color w:val="auto"/>
          <w:lang w:eastAsia="zh-CN"/>
        </w:rPr>
        <w:t>with</w:t>
      </w:r>
      <w:r>
        <w:rPr>
          <w:color w:val="auto"/>
        </w:rPr>
        <w:t xml:space="preserve"> low coefficient variation </w:t>
      </w:r>
      <w:r>
        <w:rPr>
          <w:color w:val="auto"/>
        </w:rPr>
        <w:fldChar w:fldCharType="begin">
          <w:fldData xml:space="preserve">PEVuZE5vdGU+PENpdGU+PEF1dGhvcj5XYW5nPC9BdXRob3I+PFllYXI+MjAyMDwvWWVhcj48UmVj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</w:fldData>
        </w:fldChar>
      </w:r>
      <w:r>
        <w:rPr>
          <w:color w:val="auto"/>
        </w:rPr>
        <w:instrText xml:space="preserve"> ADDIN EN.CITE </w:instrText>
      </w:r>
      <w:r>
        <w:rPr>
          <w:color w:val="auto"/>
        </w:rPr>
        <w:fldChar w:fldCharType="begin">
          <w:fldData xml:space="preserve">PEVuZE5vdGU+PENpdGU+PEF1dGhvcj5XYW5nPC9BdXRob3I+PFllYXI+MjAyMDwvWWVhcj48UmVj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</w:fldData>
        </w:fldChar>
      </w:r>
      <w:r>
        <w:rPr>
          <w:color w:val="auto"/>
        </w:rPr>
        <w:instrText xml:space="preserve"> ADDIN EN.CITE.DATA </w:instrText>
      </w:r>
      <w:r>
        <w:rPr>
          <w:color w:val="auto"/>
        </w:rPr>
        <w:fldChar w:fldCharType="end"/>
      </w:r>
      <w:r>
        <w:rPr>
          <w:color w:val="auto"/>
        </w:rPr>
        <w:fldChar w:fldCharType="separate"/>
      </w:r>
      <w:r>
        <w:rPr>
          <w:color w:val="auto"/>
        </w:rPr>
        <w:t>[13,14]</w:t>
      </w:r>
      <w:r>
        <w:rPr>
          <w:color w:val="auto"/>
        </w:rPr>
        <w:fldChar w:fldCharType="end"/>
      </w:r>
      <w:r>
        <w:rPr>
          <w:color w:val="auto"/>
        </w:rPr>
        <w:t xml:space="preserve">. </w:t>
      </w:r>
    </w:p>
    <w:p>
      <w:pPr>
        <w:pStyle w:val="35"/>
        <w:rPr>
          <w:color w:val="auto"/>
        </w:rPr>
      </w:pPr>
      <w:r>
        <w:rPr>
          <w:color w:val="auto"/>
        </w:rPr>
        <w:t xml:space="preserve">To date, several studies have identified the candidate HKGs in uterus of other species but not goats. For instance, the combination of </w:t>
      </w:r>
      <w:r>
        <w:rPr>
          <w:i/>
          <w:iCs/>
          <w:color w:val="auto"/>
        </w:rPr>
        <w:t>YWHAZ</w:t>
      </w:r>
      <w:r>
        <w:rPr>
          <w:color w:val="auto"/>
        </w:rPr>
        <w:t xml:space="preserve">, </w:t>
      </w:r>
      <w:r>
        <w:rPr>
          <w:i/>
          <w:iCs/>
          <w:color w:val="auto"/>
        </w:rPr>
        <w:t>HPRT1</w:t>
      </w:r>
      <w:r>
        <w:rPr>
          <w:color w:val="auto"/>
        </w:rPr>
        <w:t xml:space="preserve">, and </w:t>
      </w:r>
      <w:r>
        <w:rPr>
          <w:i/>
          <w:iCs/>
          <w:color w:val="auto"/>
        </w:rPr>
        <w:t>HMBS</w:t>
      </w:r>
      <w:r>
        <w:rPr>
          <w:color w:val="auto"/>
        </w:rPr>
        <w:t xml:space="preserve"> was suggested as the most stable reference group of genes in the ovarian and uterine tissues of laying hens under control and heat stress conditions </w:t>
      </w:r>
      <w:r>
        <w:rPr>
          <w:color w:val="auto"/>
        </w:rPr>
        <w:fldChar w:fldCharType="begin"/>
      </w:r>
      <w:r>
        <w:rPr>
          <w:color w:val="auto"/>
        </w:rPr>
        <w:instrText xml:space="preserve"> ADDIN EN.CITE &lt;EndNote&gt;&lt;Cite&gt;&lt;Author&gt;Hassanpour&lt;/Author&gt;&lt;Year&gt;2019&lt;/Year&gt;&lt;RecNum&gt;9&lt;/RecNum&gt;&lt;DisplayText&gt;&lt;style size="10"&gt;[15]&lt;/style&gt;&lt;/DisplayText&gt;&lt;record&gt;&lt;rec-number&gt;9&lt;/rec-number&gt;&lt;foreign-keys&gt;&lt;key app="EN" db-id="xtrefar26vd5acefa9apfdwu2w9tsfax9pfe" timestamp="1625493027"&gt;9&lt;/key&gt;&lt;/foreign-keys&gt;&lt;ref-type name="Journal Article"&gt;17&lt;/ref-type&gt;&lt;contributors&gt;&lt;authors&gt;&lt;author&gt;Hassanpour, H.&lt;/author&gt;&lt;author&gt;Aghajani, Z.&lt;/author&gt;&lt;author&gt;Bahadoran, S.&lt;/author&gt;&lt;author&gt;Farhadi, N.&lt;/author&gt;&lt;author&gt;Nazari, H.&lt;/author&gt;&lt;author&gt;Kaewduangta, W.&lt;/author&gt;&lt;/authors&gt;&lt;/contributors&gt;&lt;titles&gt;&lt;title&gt;Identification of reliable reference genes for quantitative real-time PCR in ovary and uterus of laying hens under heat stress&lt;/title&gt;&lt;secondary-title&gt;Stress-the International Journal on the Biology of Stress&lt;/secondary-title&gt;&lt;/titles&gt;&lt;periodical&gt;&lt;full-title&gt;Stress-the International Journal on the Biology of Stress&lt;/full-title&gt;&lt;/periodical&gt;&lt;pages&gt;387-394&lt;/pages&gt;&lt;volume&gt;22&lt;/volume&gt;&lt;number&gt;3&lt;/number&gt;&lt;dates&gt;&lt;year&gt;2019&lt;/year&gt;&lt;pub-dates&gt;&lt;date&gt;May&lt;/date&gt;&lt;/pub-dates&gt;&lt;/dates&gt;&lt;isbn&gt;1025-3890&lt;/isbn&gt;&lt;accession-num&gt;WOS:000466610700010&lt;/accession-num&gt;&lt;urls&gt;&lt;related-urls&gt;&lt;url&gt;&amp;lt;Go to ISI&amp;gt;://WOS:000466610700010&lt;/url&gt;&lt;/related-urls&gt;&lt;/urls&gt;&lt;electronic-resource-num&gt;10.1080/10253890.2019.1574294&lt;/electronic-resource-num&gt;&lt;/record&gt;&lt;/Cite&gt;&lt;/EndNote&gt;</w:instrText>
      </w:r>
      <w:r>
        <w:rPr>
          <w:color w:val="auto"/>
        </w:rPr>
        <w:fldChar w:fldCharType="separate"/>
      </w:r>
      <w:r>
        <w:rPr>
          <w:color w:val="auto"/>
        </w:rPr>
        <w:t>[15]</w:t>
      </w:r>
      <w:r>
        <w:rPr>
          <w:color w:val="auto"/>
        </w:rPr>
        <w:fldChar w:fldCharType="end"/>
      </w:r>
      <w:r>
        <w:rPr>
          <w:rFonts w:hint="eastAsia" w:eastAsia="宋体"/>
          <w:color w:val="auto"/>
          <w:lang w:eastAsia="zh-CN"/>
        </w:rPr>
        <w:t xml:space="preserve"> a</w:t>
      </w:r>
      <w:r>
        <w:rPr>
          <w:color w:val="auto"/>
        </w:rPr>
        <w:t xml:space="preserve">nd </w:t>
      </w:r>
      <w:r>
        <w:rPr>
          <w:i/>
          <w:iCs/>
          <w:color w:val="auto"/>
        </w:rPr>
        <w:t>YWHAZ</w:t>
      </w:r>
      <w:r>
        <w:rPr>
          <w:color w:val="auto"/>
        </w:rPr>
        <w:t xml:space="preserve"> was the best reference gene, which could be used as an accurate internal control gene in canine pyometra studies</w:t>
      </w:r>
      <w:r>
        <w:rPr>
          <w:color w:val="auto"/>
        </w:rPr>
        <w:fldChar w:fldCharType="begin"/>
      </w:r>
      <w:r>
        <w:rPr>
          <w:color w:val="auto"/>
        </w:rPr>
        <w:instrText xml:space="preserve"> ADDIN EN.CITE &lt;EndNote&gt;&lt;Cite&gt;&lt;Author&gt;Du&lt;/Author&gt;&lt;Year&gt;2016&lt;/Year&gt;&lt;RecNum&gt;10&lt;/RecNum&gt;&lt;DisplayText&gt;&lt;style size="10"&gt;[16]&lt;/style&gt;&lt;/DisplayText&gt;&lt;record&gt;&lt;rec-number&gt;10&lt;/rec-number&gt;&lt;foreign-keys&gt;&lt;key app="EN" db-id="xtrefar26vd5acefa9apfdwu2w9tsfax9pfe" timestamp="1625493956"&gt;10&lt;/key&gt;&lt;/foreign-keys&gt;&lt;ref-type name="Journal Article"&gt;17&lt;/ref-type&gt;&lt;contributors&gt;&lt;authors&gt;&lt;author&gt;Du, M.&lt;/author&gt;&lt;author&gt;Wang, X.&lt;/author&gt;&lt;author&gt;Yue, Y. W.&lt;/author&gt;&lt;author&gt;Zhou, P. Y.&lt;/author&gt;&lt;author&gt;Yao, W.&lt;/author&gt;&lt;author&gt;Li, X.&lt;/author&gt;&lt;author&gt;Ding, X. B.&lt;/author&gt;&lt;author&gt;Liu, X. F.&lt;/author&gt;&lt;author&gt;Guo, H.&lt;/author&gt;&lt;author&gt;Ma, W. Z.&lt;/author&gt;&lt;/authors&gt;&lt;/contributors&gt;&lt;titles&gt;&lt;title&gt;Selection of reference genes in canine uterine tissues&lt;/title&gt;&lt;secondary-title&gt;Genetics and Molecular Research&lt;/secondary-title&gt;&lt;/titles&gt;&lt;periodical&gt;&lt;full-title&gt;Genetics and Molecular Research&lt;/full-title&gt;&lt;/periodical&gt;&lt;volume&gt;15&lt;/volume&gt;&lt;number&gt;2&lt;/number&gt;&lt;dates&gt;&lt;year&gt;2016&lt;/year&gt;&lt;/dates&gt;&lt;isbn&gt;1676-5680&lt;/isbn&gt;&lt;accession-num&gt;WOS:000384881000041&lt;/accession-num&gt;&lt;urls&gt;&lt;related-urls&gt;&lt;url&gt;&amp;lt;Go to ISI&amp;gt;://WOS:000384881000041&lt;/url&gt;&lt;/related-urls&gt;&lt;/urls&gt;&lt;custom7&gt;15028138&lt;/custom7&gt;&lt;electronic-resource-num&gt;10.4238/gmr.15028138&lt;/electronic-resource-num&gt;&lt;/record&gt;&lt;/Cite&gt;&lt;/EndNote&gt;</w:instrText>
      </w:r>
      <w:r>
        <w:rPr>
          <w:color w:val="auto"/>
        </w:rPr>
        <w:fldChar w:fldCharType="separate"/>
      </w:r>
      <w:r>
        <w:rPr>
          <w:color w:val="auto"/>
        </w:rPr>
        <w:t>[16]</w:t>
      </w:r>
      <w:r>
        <w:rPr>
          <w:color w:val="auto"/>
        </w:rPr>
        <w:fldChar w:fldCharType="end"/>
      </w:r>
      <w:r>
        <w:rPr>
          <w:color w:val="auto"/>
        </w:rPr>
        <w:t xml:space="preserve">. Moreover, there were also some studies carried on other tissues except uterus of goat. </w:t>
      </w:r>
      <w:r>
        <w:rPr>
          <w:rFonts w:hint="eastAsia" w:eastAsia="宋体"/>
          <w:color w:val="auto"/>
          <w:lang w:eastAsia="zh-CN"/>
        </w:rPr>
        <w:t xml:space="preserve">The </w:t>
      </w:r>
      <w:r>
        <w:rPr>
          <w:i/>
          <w:iCs/>
          <w:color w:val="auto"/>
        </w:rPr>
        <w:t>HMBS</w:t>
      </w:r>
      <w:r>
        <w:rPr>
          <w:color w:val="auto"/>
        </w:rPr>
        <w:t xml:space="preserve"> and </w:t>
      </w:r>
      <w:r>
        <w:rPr>
          <w:i/>
          <w:iCs/>
          <w:color w:val="auto"/>
        </w:rPr>
        <w:t>B2M</w:t>
      </w:r>
      <w:r>
        <w:rPr>
          <w:color w:val="auto"/>
        </w:rPr>
        <w:t xml:space="preserve"> were identified as the </w:t>
      </w:r>
      <w:r>
        <w:rPr>
          <w:rFonts w:eastAsia="等线"/>
          <w:color w:val="auto"/>
          <w:lang w:bidi="ar"/>
        </w:rPr>
        <w:t>the candidate housekeeping genes</w:t>
      </w:r>
      <w:r>
        <w:rPr>
          <w:color w:val="auto"/>
        </w:rPr>
        <w:t xml:space="preserve"> in hircine spleen, caecum, small intestine, lower lip, large intestine, trachea and upper lip </w:t>
      </w:r>
      <w:r>
        <w:rPr>
          <w:color w:val="auto"/>
        </w:rPr>
        <w:fldChar w:fldCharType="begin">
          <w:fldData xml:space="preserve">PEVuZE5vdGU+PENpdGU+PEF1dGhvcj5TYWh1PC9BdXRob3I+PFllYXI+MjAxODwvWWVhcj48UmVj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</w:fldData>
        </w:fldChar>
      </w:r>
      <w:r>
        <w:rPr>
          <w:color w:val="auto"/>
        </w:rPr>
        <w:instrText xml:space="preserve"> ADDIN EN.CITE </w:instrText>
      </w:r>
      <w:r>
        <w:rPr>
          <w:color w:val="auto"/>
        </w:rPr>
        <w:fldChar w:fldCharType="begin">
          <w:fldData xml:space="preserve">PEVuZE5vdGU+PENpdGU+PEF1dGhvcj5TYWh1PC9BdXRob3I+PFllYXI+MjAxODwvWWVhcj48UmVj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</w:fldData>
        </w:fldChar>
      </w:r>
      <w:r>
        <w:rPr>
          <w:color w:val="auto"/>
        </w:rPr>
        <w:instrText xml:space="preserve"> ADDIN EN.CITE.DATA </w:instrText>
      </w:r>
      <w:r>
        <w:rPr>
          <w:color w:val="auto"/>
        </w:rPr>
        <w:fldChar w:fldCharType="end"/>
      </w:r>
      <w:r>
        <w:rPr>
          <w:color w:val="auto"/>
        </w:rPr>
        <w:fldChar w:fldCharType="separate"/>
      </w:r>
      <w:r>
        <w:rPr>
          <w:color w:val="auto"/>
        </w:rPr>
        <w:t>[14]</w:t>
      </w:r>
      <w:r>
        <w:rPr>
          <w:color w:val="auto"/>
        </w:rPr>
        <w:fldChar w:fldCharType="end"/>
      </w:r>
      <w:r>
        <w:rPr>
          <w:color w:val="auto"/>
        </w:rPr>
        <w:t xml:space="preserve">. Several HKGs were also demonstrated in other tissues of goat, such as </w:t>
      </w:r>
      <w:r>
        <w:rPr>
          <w:i/>
          <w:iCs/>
          <w:color w:val="auto"/>
        </w:rPr>
        <w:t>SDHA</w:t>
      </w:r>
      <w:r>
        <w:rPr>
          <w:color w:val="auto"/>
        </w:rPr>
        <w:t xml:space="preserve"> in skin</w:t>
      </w:r>
      <w:r>
        <w:rPr>
          <w:color w:val="auto"/>
        </w:rPr>
        <w:fldChar w:fldCharType="begin"/>
      </w:r>
      <w:r>
        <w:rPr>
          <w:color w:val="auto"/>
        </w:rPr>
        <w:instrText xml:space="preserve"> ADDIN EN.CITE &lt;EndNote&gt;&lt;Cite&gt;&lt;Author&gt;Zhang&lt;/Author&gt;&lt;Year&gt;2020&lt;/Year&gt;&lt;RecNum&gt;137&lt;/RecNum&gt;&lt;DisplayText&gt;&lt;style size="10"&gt;[12]&lt;/style&gt;&lt;/DisplayText&gt;&lt;record&gt;&lt;rec-number&gt;137&lt;/rec-number&gt;&lt;foreign-keys&gt;&lt;key app="EN" db-id="ddxts92v4vwd5bext9kvere3v2ewddwvt9da" timestamp="1625456610"&gt;137&lt;/key&gt;&lt;/foreign-keys&gt;&lt;ref-type name="Journal Article"&gt;17&lt;/ref-type&gt;&lt;contributors&gt;&lt;authors&gt;&lt;author&gt;Zhang, J. P.&lt;/author&gt;&lt;author&gt;Deng, C. C.&lt;/author&gt;&lt;author&gt;Li, J. L.&lt;/author&gt;&lt;author&gt;Zhao, Y. J.&lt;/author&gt;&lt;/authors&gt;&lt;/contributors&gt;&lt;auth-address&gt;Southwest Univ, Coll Anim Sci &amp;amp; Technol, Chongqing Engn Res Ctr Herbivores Resource Protec, Chongqing Key Lab Forage &amp;amp; Herbivore, Chongqing 400715, Peoples R China&lt;/auth-address&gt;&lt;titles&gt;&lt;title&gt;Transcriptome-based selection and validation of optimal house-keeping genes for skin research in goats (Capra hircus)&lt;/title&gt;&lt;secondary-title&gt;Bmc Genomics&lt;/secondary-title&gt;&lt;alt-title&gt;Bmc Genomics&lt;/alt-title&gt;&lt;/titles&gt;&lt;periodical&gt;&lt;full-title&gt;Bmc Genomics&lt;/full-title&gt;&lt;abbr-1&gt;Bmc Genomics&lt;/abbr-1&gt;&lt;/periodical&gt;&lt;alt-periodical&gt;&lt;full-title&gt;Bmc Genomics&lt;/full-title&gt;&lt;abbr-1&gt;Bmc Genomics&lt;/abbr-1&gt;&lt;/alt-periodical&gt;&lt;volume&gt;21&lt;/volume&gt;&lt;number&gt;1&lt;/number&gt;&lt;keywords&gt;&lt;keyword&gt;house-keeping genes&lt;/keyword&gt;&lt;keyword&gt;reference genes&lt;/keyword&gt;&lt;keyword&gt;goat&lt;/keyword&gt;&lt;keyword&gt;skin&lt;/keyword&gt;&lt;keyword&gt;comprfinder method&lt;/keyword&gt;&lt;keyword&gt;real-time pcr&lt;/keyword&gt;&lt;keyword&gt;rt-pcr&lt;/keyword&gt;&lt;keyword&gt;expression analysis&lt;/keyword&gt;&lt;keyword&gt;housekeeping genes&lt;/keyword&gt;&lt;keyword&gt;identification&lt;/keyword&gt;&lt;keyword&gt;quantification&lt;/keyword&gt;&lt;keyword&gt;normalization&lt;/keyword&gt;&lt;keyword&gt;publication&lt;/keyword&gt;&lt;keyword&gt;tissue&lt;/keyword&gt;&lt;keyword&gt;hair&lt;/keyword&gt;&lt;/keywords&gt;&lt;dates&gt;&lt;year&gt;2020&lt;/year&gt;&lt;pub-dates&gt;&lt;date&gt;Jul 18&lt;/date&gt;&lt;/pub-dates&gt;&lt;/dates&gt;&lt;isbn&gt;1471-2164&lt;/isbn&gt;&lt;accession-num&gt;WOS:000552396700003&lt;/accession-num&gt;&lt;urls&gt;&lt;related-urls&gt;&lt;url&gt;&amp;lt;Go to ISI&amp;gt;://WOS:000552396700003&lt;/url&gt;&lt;/related-urls&gt;&lt;/urls&gt;&lt;electronic-resource-num&gt;ARTN 493&amp;#xD;10.1186/s12864-020-06912-4&lt;/electronic-resource-num&gt;&lt;language&gt;English&lt;/language&gt;&lt;/record&gt;&lt;/Cite&gt;&lt;/EndNote&gt;</w:instrText>
      </w:r>
      <w:r>
        <w:rPr>
          <w:color w:val="auto"/>
        </w:rPr>
        <w:fldChar w:fldCharType="separate"/>
      </w:r>
      <w:r>
        <w:rPr>
          <w:color w:val="auto"/>
        </w:rPr>
        <w:t>[12]</w:t>
      </w:r>
      <w:r>
        <w:rPr>
          <w:color w:val="auto"/>
        </w:rPr>
        <w:fldChar w:fldCharType="end"/>
      </w:r>
      <w:r>
        <w:rPr>
          <w:color w:val="auto"/>
        </w:rPr>
        <w:t xml:space="preserve">, </w:t>
      </w:r>
      <w:r>
        <w:rPr>
          <w:i/>
          <w:iCs/>
          <w:color w:val="auto"/>
        </w:rPr>
        <w:t>EIF3M</w:t>
      </w:r>
      <w:r>
        <w:rPr>
          <w:color w:val="auto"/>
        </w:rPr>
        <w:t xml:space="preserve"> in adipose tissue</w:t>
      </w:r>
      <w:r>
        <w:rPr>
          <w:color w:val="auto"/>
        </w:rPr>
        <w:fldChar w:fldCharType="begin">
          <w:fldData xml:space="preserve">PEVuZE5vdGU+PENpdGU+PEF1dGhvcj5XYW5nPC9BdXRob3I+PFllYXI+MjAyMDwvWWVhcj48UmVj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</w:fldData>
        </w:fldChar>
      </w:r>
      <w:r>
        <w:rPr>
          <w:color w:val="auto"/>
        </w:rPr>
        <w:instrText xml:space="preserve"> ADDIN EN.CITE </w:instrText>
      </w:r>
      <w:r>
        <w:rPr>
          <w:color w:val="auto"/>
        </w:rPr>
        <w:fldChar w:fldCharType="begin">
          <w:fldData xml:space="preserve">PEVuZE5vdGU+PENpdGU+PEF1dGhvcj5XYW5nPC9BdXRob3I+PFllYXI+MjAyMDwvWWVhcj48UmVj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</w:fldData>
        </w:fldChar>
      </w:r>
      <w:r>
        <w:rPr>
          <w:color w:val="auto"/>
        </w:rPr>
        <w:instrText xml:space="preserve"> ADDIN EN.CITE.DATA </w:instrText>
      </w:r>
      <w:r>
        <w:rPr>
          <w:color w:val="auto"/>
        </w:rPr>
        <w:fldChar w:fldCharType="end"/>
      </w:r>
      <w:r>
        <w:rPr>
          <w:color w:val="auto"/>
        </w:rPr>
        <w:fldChar w:fldCharType="separate"/>
      </w:r>
      <w:r>
        <w:rPr>
          <w:color w:val="auto"/>
        </w:rPr>
        <w:t>[13]</w:t>
      </w:r>
      <w:r>
        <w:rPr>
          <w:color w:val="auto"/>
        </w:rPr>
        <w:fldChar w:fldCharType="end"/>
      </w:r>
      <w:r>
        <w:rPr>
          <w:color w:val="auto"/>
        </w:rPr>
        <w:t xml:space="preserve">, and </w:t>
      </w:r>
      <w:r>
        <w:rPr>
          <w:i/>
          <w:iCs/>
          <w:color w:val="auto"/>
        </w:rPr>
        <w:t>PPIB</w:t>
      </w:r>
      <w:r>
        <w:rPr>
          <w:color w:val="auto"/>
        </w:rPr>
        <w:t xml:space="preserve"> and </w:t>
      </w:r>
      <w:r>
        <w:rPr>
          <w:i/>
          <w:iCs/>
          <w:color w:val="auto"/>
        </w:rPr>
        <w:t>HMBS</w:t>
      </w:r>
      <w:r>
        <w:rPr>
          <w:color w:val="auto"/>
        </w:rPr>
        <w:t xml:space="preserve"> in intramuscular fat </w:t>
      </w:r>
      <w:r>
        <w:rPr>
          <w:color w:val="auto"/>
        </w:rPr>
        <w:fldChar w:fldCharType="begin"/>
      </w:r>
      <w:r>
        <w:rPr>
          <w:color w:val="auto"/>
        </w:rPr>
        <w:instrText xml:space="preserve"> ADDIN EN.CITE &lt;EndNote&gt;&lt;Cite&gt;&lt;Author&gt;Zhu&lt;/Author&gt;&lt;Year&gt;2015&lt;/Year&gt;&lt;RecNum&gt;4&lt;/RecNum&gt;&lt;DisplayText&gt;&lt;style size="10"&gt;[17]&lt;/style&gt;&lt;/DisplayText&gt;&lt;record&gt;&lt;rec-number&gt;4&lt;/rec-number&gt;&lt;foreign-keys&gt;&lt;key app="EN" db-id="xtrefar26vd5acefa9apfdwu2w9tsfax9pfe" timestamp="1625404117"&gt;4&lt;/key&gt;&lt;/foreign-keys&gt;&lt;ref-type name="Journal Article"&gt;17&lt;/ref-type&gt;&lt;contributors&gt;&lt;authors&gt;&lt;author&gt;Zhu, W. Z.&lt;/author&gt;&lt;author&gt;Lin, Y. Q.&lt;/author&gt;&lt;author&gt;Liao, H. H.&lt;/author&gt;&lt;author&gt;Wang, Y.&lt;/author&gt;&lt;/authors&gt;&lt;/contributors&gt;&lt;titles&gt;&lt;title&gt;Selection of Reference Genes for Gene Expression Studies Related to Intramuscular Fat Deposition in Capra hircus Skeletal Muscle&lt;/title&gt;&lt;secondary-title&gt;Plos One&lt;/secondary-title&gt;&lt;/titles&gt;&lt;periodical&gt;&lt;full-title&gt;Plos One&lt;/full-title&gt;&lt;/periodical&gt;&lt;volume&gt;10&lt;/volume&gt;&lt;number&gt;3&lt;/number&gt;&lt;dates&gt;&lt;year&gt;2015&lt;/year&gt;&lt;pub-dates&gt;&lt;date&gt;Mar&lt;/date&gt;&lt;/pub-dates&gt;&lt;/dates&gt;&lt;isbn&gt;1932-6203&lt;/isbn&gt;&lt;accession-num&gt;WOS:000352083900119&lt;/accession-num&gt;&lt;urls&gt;&lt;related-urls&gt;&lt;url&gt;&amp;lt;Go to ISI&amp;gt;://WOS:000352083900119&lt;/url&gt;&lt;/related-urls&gt;&lt;/urls&gt;&lt;custom7&gt;e0121280&lt;/custom7&gt;&lt;electronic-resource-num&gt;10.1371/journal.pone.0121280&lt;/electronic-resource-num&gt;&lt;/record&gt;&lt;/Cite&gt;&lt;/EndNote&gt;</w:instrText>
      </w:r>
      <w:r>
        <w:rPr>
          <w:color w:val="auto"/>
        </w:rPr>
        <w:fldChar w:fldCharType="separate"/>
      </w:r>
      <w:r>
        <w:rPr>
          <w:color w:val="auto"/>
        </w:rPr>
        <w:t>[17]</w:t>
      </w:r>
      <w:r>
        <w:rPr>
          <w:color w:val="auto"/>
        </w:rPr>
        <w:fldChar w:fldCharType="end"/>
      </w:r>
      <w:r>
        <w:rPr>
          <w:color w:val="auto"/>
        </w:rPr>
        <w:t xml:space="preserve">. However, </w:t>
      </w:r>
      <w:r>
        <w:rPr>
          <w:rFonts w:eastAsia="等线"/>
          <w:color w:val="auto"/>
          <w:lang w:bidi="ar"/>
        </w:rPr>
        <w:t>the candidate housekeeping genes</w:t>
      </w:r>
      <w:r>
        <w:rPr>
          <w:color w:val="auto"/>
        </w:rPr>
        <w:t xml:space="preserve"> for using in the study of goat uterus, especially uterus caruncle, are lacking. </w:t>
      </w:r>
    </w:p>
    <w:p>
      <w:pPr>
        <w:pStyle w:val="35"/>
        <w:rPr>
          <w:b/>
          <w:bCs/>
          <w:color w:val="auto"/>
        </w:rPr>
      </w:pPr>
      <w:r>
        <w:rPr>
          <w:color w:val="auto"/>
        </w:rPr>
        <w:t xml:space="preserve">In this study, we aimed to screen a set of candidate HKGs in </w:t>
      </w:r>
      <w:r>
        <w:rPr>
          <w:i/>
          <w:iCs/>
          <w:color w:val="auto"/>
        </w:rPr>
        <w:t>Carpra hircus</w:t>
      </w:r>
      <w:r>
        <w:rPr>
          <w:color w:val="auto"/>
        </w:rPr>
        <w:t xml:space="preserve"> uterus caruncle. 22 original candidate HKGs were selected by analyzing transcriptome data and referring previous researches. The transcriptional expression levels of these genes were detected in uterus caruncle by qRT-PCR. Four programs and one comprehensive index were applied to assess the stability of HKGs expression during non-pregnant and pregnancy stages. These </w:t>
      </w:r>
      <w:r>
        <w:rPr>
          <w:rFonts w:hint="eastAsia" w:eastAsia="宋体"/>
          <w:color w:val="auto"/>
          <w:lang w:eastAsia="zh-CN"/>
        </w:rPr>
        <w:t>findings were useful in</w:t>
      </w:r>
      <w:r>
        <w:rPr>
          <w:color w:val="auto"/>
        </w:rPr>
        <w:t xml:space="preserve"> selecting HKGs to </w:t>
      </w:r>
      <w:r>
        <w:rPr>
          <w:rFonts w:hint="eastAsia" w:eastAsia="宋体"/>
          <w:color w:val="auto"/>
          <w:lang w:eastAsia="zh-CN"/>
        </w:rPr>
        <w:t>correctly</w:t>
      </w:r>
      <w:r>
        <w:rPr>
          <w:color w:val="auto"/>
        </w:rPr>
        <w:t xml:space="preserve"> analy</w:t>
      </w:r>
      <w:r>
        <w:rPr>
          <w:rFonts w:hint="eastAsia" w:eastAsia="宋体"/>
          <w:color w:val="auto"/>
          <w:lang w:eastAsia="zh-CN"/>
        </w:rPr>
        <w:t>s</w:t>
      </w:r>
      <w:r>
        <w:rPr>
          <w:color w:val="auto"/>
        </w:rPr>
        <w:t>e the expression of function gene</w:t>
      </w:r>
      <w:r>
        <w:rPr>
          <w:rFonts w:hint="eastAsia" w:eastAsia="宋体"/>
          <w:color w:val="auto"/>
          <w:lang w:eastAsia="zh-CN"/>
        </w:rPr>
        <w:t>s</w:t>
      </w:r>
      <w:r>
        <w:rPr>
          <w:color w:val="auto"/>
        </w:rPr>
        <w:t xml:space="preserve"> in </w:t>
      </w:r>
      <w:r>
        <w:rPr>
          <w:rFonts w:hint="eastAsia" w:eastAsia="宋体"/>
          <w:color w:val="auto"/>
          <w:lang w:eastAsia="zh-CN"/>
        </w:rPr>
        <w:t xml:space="preserve">the </w:t>
      </w:r>
      <w:r>
        <w:rPr>
          <w:color w:val="auto"/>
        </w:rPr>
        <w:t xml:space="preserve">uterus caruncle, which </w:t>
      </w:r>
      <w:r>
        <w:rPr>
          <w:rFonts w:hint="eastAsia" w:eastAsia="宋体"/>
          <w:color w:val="auto"/>
          <w:lang w:eastAsia="zh-CN"/>
        </w:rPr>
        <w:t>aid</w:t>
      </w:r>
      <w:r>
        <w:rPr>
          <w:color w:val="auto"/>
        </w:rPr>
        <w:t xml:space="preserve">s </w:t>
      </w:r>
      <w:r>
        <w:rPr>
          <w:rFonts w:hint="eastAsia" w:eastAsia="宋体"/>
          <w:color w:val="auto"/>
          <w:lang w:eastAsia="zh-CN"/>
        </w:rPr>
        <w:t>in</w:t>
      </w:r>
      <w:r>
        <w:rPr>
          <w:color w:val="auto"/>
        </w:rPr>
        <w:t xml:space="preserve"> understand</w:t>
      </w:r>
      <w:r>
        <w:rPr>
          <w:rFonts w:hint="eastAsia" w:eastAsia="宋体"/>
          <w:color w:val="auto"/>
          <w:lang w:eastAsia="zh-CN"/>
        </w:rPr>
        <w:t>ing</w:t>
      </w:r>
      <w:r>
        <w:rPr>
          <w:color w:val="auto"/>
        </w:rPr>
        <w:t xml:space="preserve"> the molecular genetic mechanism of pregnancy in goat</w:t>
      </w:r>
      <w:r>
        <w:rPr>
          <w:rFonts w:hint="eastAsia" w:eastAsia="宋体"/>
          <w:color w:val="auto"/>
          <w:lang w:eastAsia="zh-CN"/>
        </w:rPr>
        <w:t>s</w:t>
      </w:r>
      <w:r>
        <w:rPr>
          <w:color w:val="auto"/>
        </w:rPr>
        <w:t xml:space="preserve">. </w:t>
      </w:r>
    </w:p>
    <w:p>
      <w:pPr>
        <w:pStyle w:val="53"/>
        <w:rPr>
          <w:color w:val="auto"/>
        </w:rPr>
      </w:pPr>
      <w:r>
        <w:rPr>
          <w:color w:val="auto"/>
        </w:rPr>
        <w:t>2. Materials and Methods</w:t>
      </w:r>
    </w:p>
    <w:p>
      <w:pPr>
        <w:pStyle w:val="54"/>
        <w:rPr>
          <w:color w:val="auto"/>
        </w:rPr>
      </w:pPr>
      <w:r>
        <w:rPr>
          <w:color w:val="auto"/>
        </w:rPr>
        <w:t>2.1. Ethics Statement</w:t>
      </w:r>
    </w:p>
    <w:p>
      <w:pPr>
        <w:pStyle w:val="35"/>
        <w:rPr>
          <w:color w:val="auto"/>
        </w:rPr>
      </w:pPr>
      <w:r>
        <w:rPr>
          <w:color w:val="auto"/>
        </w:rPr>
        <w:t xml:space="preserve">All goat experiments were performed in strict accordance with the recommendations for the Southwest University Institutional Animal Care and Use Committee (2019, No. GB14925-2010). All researches involving animals were conducted according to the approved protocols of the Chongqing Key Laboratory of Herbivore Science, Chongqing, China. </w:t>
      </w:r>
    </w:p>
    <w:p>
      <w:pPr>
        <w:pStyle w:val="35"/>
        <w:rPr>
          <w:color w:val="auto"/>
        </w:rPr>
      </w:pPr>
    </w:p>
    <w:p>
      <w:pPr>
        <w:pStyle w:val="54"/>
        <w:spacing w:before="240"/>
        <w:rPr>
          <w:color w:val="auto"/>
        </w:rPr>
      </w:pPr>
      <w:r>
        <w:rPr>
          <w:color w:val="auto"/>
        </w:rPr>
        <w:t>2.2. Animals and sample harvesting</w:t>
      </w:r>
    </w:p>
    <w:p>
      <w:pPr>
        <w:pStyle w:val="35"/>
        <w:rPr>
          <w:color w:val="auto"/>
        </w:rPr>
      </w:pPr>
      <w:r>
        <w:rPr>
          <w:color w:val="auto"/>
        </w:rPr>
        <w:t xml:space="preserve">The researches involving animals were conducted according to the approved protocols of the Chongqing Key Laboratory of Herbivore Science, Chongqing, China. Animals were from the breeding farm at Southwest University. They were subjected to a standard feeding management regime (DB50/T 510-2013) and housed in free semi-open folds. Sample procedures in this study were supervised and approved by the Institutional Animal Care and Use Committee of Southwest University. With cesarean operation, uterus caruncle samples were collected at </w:t>
      </w:r>
      <w:bookmarkStart w:id="12" w:name="OLE_LINK10"/>
      <w:r>
        <w:rPr>
          <w:rFonts w:hint="eastAsia" w:eastAsia="宋体"/>
          <w:color w:val="auto"/>
          <w:lang w:eastAsia="zh-CN"/>
        </w:rPr>
        <w:t>eight</w:t>
      </w:r>
      <w:r>
        <w:rPr>
          <w:color w:val="auto"/>
        </w:rPr>
        <w:t xml:space="preserve"> different non-pregnant and pregnant stages of Dazu </w:t>
      </w:r>
      <w:r>
        <w:rPr>
          <w:rFonts w:hint="eastAsia" w:eastAsia="宋体"/>
          <w:color w:val="auto"/>
          <w:lang w:eastAsia="zh-CN"/>
        </w:rPr>
        <w:t>B</w:t>
      </w:r>
      <w:r>
        <w:rPr>
          <w:color w:val="auto"/>
        </w:rPr>
        <w:t>lack goats</w:t>
      </w:r>
      <w:bookmarkEnd w:id="12"/>
      <w:r>
        <w:rPr>
          <w:color w:val="auto"/>
        </w:rPr>
        <w:t xml:space="preserve"> (Figure 1a and 1b). </w:t>
      </w:r>
    </w:p>
    <w:p>
      <w:pPr>
        <w:pStyle w:val="48"/>
        <w:ind w:left="2608"/>
        <w:jc w:val="left"/>
        <w:rPr>
          <w:color w:val="auto"/>
        </w:rPr>
      </w:pPr>
      <w:r>
        <w:rPr>
          <w:lang w:eastAsia="zh-CN" w:bidi="ar-SA"/>
        </w:rPr>
        <w:drawing>
          <wp:inline distT="0" distB="0" distL="0" distR="0">
            <wp:extent cx="4847590" cy="3359150"/>
            <wp:effectExtent l="0" t="0" r="0" b="0"/>
            <wp:docPr id="8"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a:picLocks noChangeAspect="1"/>
                    </pic:cNvPicPr>
                  </pic:nvPicPr>
                  <pic:blipFill>
                    <a:blip r:embed="rId11"/>
                    <a:stretch>
                      <a:fillRect/>
                    </a:stretch>
                  </pic:blipFill>
                  <pic:spPr>
                    <a:xfrm>
                      <a:off x="0" y="0"/>
                      <a:ext cx="4859670" cy="3367315"/>
                    </a:xfrm>
                    <a:prstGeom prst="rect">
                      <a:avLst/>
                    </a:prstGeom>
                  </pic:spPr>
                </pic:pic>
              </a:graphicData>
            </a:graphic>
          </wp:inline>
        </w:drawing>
      </w:r>
    </w:p>
    <w:p>
      <w:pPr>
        <w:pStyle w:val="47"/>
      </w:pPr>
      <w:r>
        <w:rPr>
          <w:b/>
        </w:rPr>
        <w:t>Figure1.</w:t>
      </w:r>
      <w:r>
        <w:rPr>
          <w:rFonts w:hint="eastAsia" w:eastAsia="宋体"/>
          <w:b/>
          <w:lang w:eastAsia="zh-CN"/>
        </w:rPr>
        <w:t xml:space="preserve"> </w:t>
      </w:r>
      <w:r>
        <w:rPr>
          <w:rFonts w:hint="eastAsia" w:eastAsia="宋体"/>
          <w:b w:val="0"/>
          <w:bCs/>
          <w:lang w:eastAsia="zh-CN"/>
        </w:rPr>
        <w:t>a) Sampling time points</w:t>
      </w:r>
      <w:r>
        <w:rPr>
          <w:rFonts w:hint="eastAsia" w:eastAsia="宋体"/>
          <w:b w:val="0"/>
          <w:bCs/>
          <w:lang w:val="en-US" w:eastAsia="zh-CN"/>
        </w:rPr>
        <w:t xml:space="preserve"> (15</w:t>
      </w:r>
      <w:r>
        <w:rPr>
          <w:rFonts w:hint="eastAsia" w:eastAsia="宋体"/>
          <w:b/>
          <w:lang w:val="en-US" w:eastAsia="zh-CN"/>
        </w:rPr>
        <w:t xml:space="preserve"> </w:t>
      </w:r>
      <w:r>
        <w:t>Non-</w:t>
      </w:r>
      <w:r>
        <w:rPr>
          <w:szCs w:val="18"/>
        </w:rPr>
        <w:t>pregnantday,</w:t>
      </w:r>
      <w:r>
        <w:rPr>
          <w:rFonts w:hint="eastAsia" w:eastAsia="宋体"/>
          <w:szCs w:val="18"/>
          <w:lang w:eastAsia="zh-CN"/>
        </w:rPr>
        <w:t xml:space="preserve"> </w:t>
      </w:r>
      <w:r>
        <w:rPr>
          <w:szCs w:val="18"/>
        </w:rPr>
        <w:t>15th,</w:t>
      </w:r>
      <w:r>
        <w:rPr>
          <w:rFonts w:hint="eastAsia" w:eastAsia="宋体"/>
          <w:szCs w:val="18"/>
          <w:lang w:eastAsia="zh-CN"/>
        </w:rPr>
        <w:t xml:space="preserve"> </w:t>
      </w:r>
      <w:r>
        <w:rPr>
          <w:szCs w:val="18"/>
        </w:rPr>
        <w:t>20th,</w:t>
      </w:r>
      <w:r>
        <w:rPr>
          <w:rFonts w:hint="eastAsia" w:eastAsia="宋体"/>
          <w:szCs w:val="18"/>
          <w:lang w:eastAsia="zh-CN"/>
        </w:rPr>
        <w:t xml:space="preserve"> </w:t>
      </w:r>
      <w:r>
        <w:rPr>
          <w:szCs w:val="18"/>
        </w:rPr>
        <w:t>30th,</w:t>
      </w:r>
      <w:r>
        <w:rPr>
          <w:rFonts w:hint="eastAsia" w:eastAsia="宋体"/>
          <w:szCs w:val="18"/>
          <w:lang w:eastAsia="zh-CN"/>
        </w:rPr>
        <w:t xml:space="preserve"> </w:t>
      </w:r>
      <w:r>
        <w:rPr>
          <w:szCs w:val="18"/>
        </w:rPr>
        <w:t>45th,</w:t>
      </w:r>
      <w:r>
        <w:rPr>
          <w:rFonts w:hint="eastAsia" w:eastAsia="宋体"/>
          <w:szCs w:val="18"/>
          <w:lang w:eastAsia="zh-CN"/>
        </w:rPr>
        <w:t xml:space="preserve"> </w:t>
      </w:r>
      <w:r>
        <w:rPr>
          <w:szCs w:val="18"/>
        </w:rPr>
        <w:t>60th,</w:t>
      </w:r>
      <w:r>
        <w:rPr>
          <w:rFonts w:hint="eastAsia" w:eastAsia="宋体"/>
          <w:szCs w:val="18"/>
          <w:lang w:eastAsia="zh-CN"/>
        </w:rPr>
        <w:t xml:space="preserve"> </w:t>
      </w:r>
      <w:r>
        <w:rPr>
          <w:szCs w:val="18"/>
        </w:rPr>
        <w:t>90</w:t>
      </w:r>
      <w:r>
        <w:rPr>
          <w:szCs w:val="18"/>
          <w:vertAlign w:val="baseline"/>
        </w:rPr>
        <w:t>th</w:t>
      </w:r>
      <w:r>
        <w:rPr>
          <w:rFonts w:hint="eastAsia" w:eastAsia="宋体"/>
          <w:szCs w:val="18"/>
          <w:lang w:eastAsia="zh-CN"/>
        </w:rPr>
        <w:t xml:space="preserve"> </w:t>
      </w:r>
      <w:r>
        <w:rPr>
          <w:szCs w:val="18"/>
        </w:rPr>
        <w:t>and</w:t>
      </w:r>
      <w:r>
        <w:rPr>
          <w:rFonts w:hint="eastAsia" w:eastAsia="宋体"/>
          <w:szCs w:val="18"/>
          <w:lang w:eastAsia="zh-CN"/>
        </w:rPr>
        <w:t xml:space="preserve"> </w:t>
      </w:r>
      <w:r>
        <w:rPr>
          <w:szCs w:val="18"/>
        </w:rPr>
        <w:t>105</w:t>
      </w:r>
      <w:r>
        <w:rPr>
          <w:szCs w:val="18"/>
          <w:vertAlign w:val="baseline"/>
        </w:rPr>
        <w:t>th</w:t>
      </w:r>
      <w:r>
        <w:rPr>
          <w:rFonts w:hint="eastAsia" w:eastAsia="宋体"/>
          <w:szCs w:val="18"/>
          <w:lang w:eastAsia="zh-CN"/>
        </w:rPr>
        <w:t xml:space="preserve"> </w:t>
      </w:r>
      <w:r>
        <w:rPr>
          <w:szCs w:val="18"/>
        </w:rPr>
        <w:t>of</w:t>
      </w:r>
      <w:r>
        <w:rPr>
          <w:rFonts w:hint="eastAsia" w:eastAsia="宋体"/>
          <w:szCs w:val="18"/>
          <w:lang w:eastAsia="zh-CN"/>
        </w:rPr>
        <w:t xml:space="preserve"> </w:t>
      </w:r>
      <w:r>
        <w:rPr>
          <w:szCs w:val="18"/>
        </w:rPr>
        <w:t>pregnancy</w:t>
      </w:r>
      <w:r>
        <w:rPr>
          <w:rFonts w:hint="eastAsia" w:eastAsia="宋体"/>
          <w:szCs w:val="18"/>
          <w:lang w:val="en-US" w:eastAsia="zh-CN"/>
        </w:rPr>
        <w:t>)</w:t>
      </w:r>
      <w:r>
        <w:rPr>
          <w:szCs w:val="18"/>
        </w:rPr>
        <w:t xml:space="preserve"> </w:t>
      </w:r>
      <w:r>
        <w:t>and</w:t>
      </w:r>
      <w:r>
        <w:rPr>
          <w:rFonts w:hint="eastAsia" w:eastAsia="宋体"/>
          <w:lang w:eastAsia="zh-CN"/>
        </w:rPr>
        <w:t xml:space="preserve"> </w:t>
      </w:r>
      <w:r>
        <w:t>stage</w:t>
      </w:r>
      <w:r>
        <w:rPr>
          <w:rFonts w:hint="eastAsia" w:eastAsia="宋体"/>
          <w:lang w:eastAsia="zh-CN"/>
        </w:rPr>
        <w:t xml:space="preserve"> </w:t>
      </w:r>
      <w:r>
        <w:t>division</w:t>
      </w:r>
      <w:r>
        <w:rPr>
          <w:rFonts w:hint="eastAsia" w:eastAsia="宋体"/>
          <w:lang w:eastAsia="zh-CN"/>
        </w:rPr>
        <w:t xml:space="preserve"> </w:t>
      </w:r>
      <w:r>
        <w:t>(stage1,</w:t>
      </w:r>
      <w:r>
        <w:rPr>
          <w:rFonts w:hint="eastAsia" w:eastAsia="宋体"/>
          <w:lang w:eastAsia="zh-CN"/>
        </w:rPr>
        <w:t xml:space="preserve"> </w:t>
      </w:r>
      <w:r>
        <w:t>stage2</w:t>
      </w:r>
      <w:r>
        <w:rPr>
          <w:rFonts w:hint="eastAsia" w:eastAsia="宋体"/>
          <w:lang w:eastAsia="zh-CN"/>
        </w:rPr>
        <w:t xml:space="preserve"> </w:t>
      </w:r>
      <w:r>
        <w:t>and</w:t>
      </w:r>
      <w:r>
        <w:rPr>
          <w:rFonts w:hint="eastAsia" w:eastAsia="宋体"/>
          <w:lang w:eastAsia="zh-CN"/>
        </w:rPr>
        <w:t xml:space="preserve"> </w:t>
      </w:r>
      <w:r>
        <w:t>stage3)</w:t>
      </w:r>
      <w:r>
        <w:rPr>
          <w:rFonts w:hint="eastAsia" w:eastAsia="宋体"/>
          <w:lang w:eastAsia="zh-CN"/>
        </w:rPr>
        <w:t xml:space="preserve"> </w:t>
      </w:r>
      <w:r>
        <w:t>of</w:t>
      </w:r>
      <w:r>
        <w:rPr>
          <w:rFonts w:hint="eastAsia" w:eastAsia="宋体"/>
          <w:lang w:eastAsia="zh-CN"/>
        </w:rPr>
        <w:t xml:space="preserve"> </w:t>
      </w:r>
      <w:r>
        <w:t>this</w:t>
      </w:r>
      <w:r>
        <w:rPr>
          <w:rFonts w:hint="eastAsia" w:eastAsia="宋体"/>
          <w:lang w:eastAsia="zh-CN"/>
        </w:rPr>
        <w:t xml:space="preserve"> </w:t>
      </w:r>
      <w:r>
        <w:t>experiment.</w:t>
      </w:r>
      <w:r>
        <w:rPr>
          <w:rFonts w:hint="eastAsia" w:eastAsia="宋体"/>
          <w:lang w:eastAsia="zh-CN"/>
        </w:rPr>
        <w:t xml:space="preserve"> </w:t>
      </w:r>
      <w:r>
        <w:t>Blue</w:t>
      </w:r>
      <w:r>
        <w:rPr>
          <w:rFonts w:hint="eastAsia" w:eastAsia="宋体"/>
          <w:lang w:eastAsia="zh-CN"/>
        </w:rPr>
        <w:t xml:space="preserve"> </w:t>
      </w:r>
      <w:r>
        <w:t>rectangle</w:t>
      </w:r>
      <w:r>
        <w:rPr>
          <w:rFonts w:hint="eastAsia" w:eastAsia="宋体"/>
          <w:lang w:eastAsia="zh-CN"/>
        </w:rPr>
        <w:t xml:space="preserve"> </w:t>
      </w:r>
      <w:r>
        <w:t>refers</w:t>
      </w:r>
      <w:r>
        <w:rPr>
          <w:rFonts w:hint="eastAsia" w:eastAsia="宋体"/>
          <w:lang w:eastAsia="zh-CN"/>
        </w:rPr>
        <w:t xml:space="preserve"> </w:t>
      </w:r>
      <w:r>
        <w:t>to</w:t>
      </w:r>
      <w:r>
        <w:rPr>
          <w:rFonts w:hint="eastAsia" w:eastAsia="宋体"/>
          <w:lang w:eastAsia="zh-CN"/>
        </w:rPr>
        <w:t xml:space="preserve"> </w:t>
      </w:r>
      <w:r>
        <w:t>RNA-Seq</w:t>
      </w:r>
      <w:r>
        <w:rPr>
          <w:rFonts w:hint="eastAsia" w:eastAsia="宋体"/>
          <w:lang w:eastAsia="zh-CN"/>
        </w:rPr>
        <w:t xml:space="preserve"> </w:t>
      </w:r>
      <w:r>
        <w:t>performed</w:t>
      </w:r>
      <w:r>
        <w:rPr>
          <w:rFonts w:hint="eastAsia" w:eastAsia="宋体"/>
          <w:lang w:eastAsia="zh-CN"/>
        </w:rPr>
        <w:t xml:space="preserve"> </w:t>
      </w:r>
      <w:r>
        <w:t>at</w:t>
      </w:r>
      <w:r>
        <w:rPr>
          <w:rFonts w:hint="eastAsia" w:eastAsia="宋体"/>
          <w:lang w:eastAsia="zh-CN"/>
        </w:rPr>
        <w:t xml:space="preserve"> </w:t>
      </w:r>
      <w:r>
        <w:t>this</w:t>
      </w:r>
      <w:r>
        <w:rPr>
          <w:rFonts w:hint="eastAsia" w:eastAsia="宋体"/>
          <w:lang w:eastAsia="zh-CN"/>
        </w:rPr>
        <w:t xml:space="preserve"> </w:t>
      </w:r>
      <w:r>
        <w:t>stage,</w:t>
      </w:r>
      <w:r>
        <w:rPr>
          <w:rFonts w:hint="eastAsia" w:eastAsia="宋体"/>
          <w:lang w:eastAsia="zh-CN"/>
        </w:rPr>
        <w:t xml:space="preserve"> </w:t>
      </w:r>
      <w:r>
        <w:t>grey</w:t>
      </w:r>
      <w:r>
        <w:rPr>
          <w:rFonts w:hint="eastAsia" w:eastAsia="宋体"/>
          <w:lang w:eastAsia="zh-CN"/>
        </w:rPr>
        <w:t xml:space="preserve"> </w:t>
      </w:r>
      <w:r>
        <w:t>rectangle</w:t>
      </w:r>
      <w:r>
        <w:rPr>
          <w:rFonts w:hint="eastAsia" w:eastAsia="宋体"/>
          <w:lang w:eastAsia="zh-CN"/>
        </w:rPr>
        <w:t xml:space="preserve"> </w:t>
      </w:r>
      <w:r>
        <w:t>presents</w:t>
      </w:r>
      <w:r>
        <w:rPr>
          <w:rFonts w:hint="eastAsia" w:eastAsia="宋体"/>
          <w:lang w:eastAsia="zh-CN"/>
        </w:rPr>
        <w:t xml:space="preserve"> </w:t>
      </w:r>
      <w:r>
        <w:t>qRT-PCR</w:t>
      </w:r>
      <w:r>
        <w:rPr>
          <w:rFonts w:hint="eastAsia" w:eastAsia="宋体"/>
          <w:lang w:eastAsia="zh-CN"/>
        </w:rPr>
        <w:t xml:space="preserve"> </w:t>
      </w:r>
      <w:r>
        <w:t>performed</w:t>
      </w:r>
      <w:r>
        <w:rPr>
          <w:rFonts w:hint="eastAsia" w:eastAsia="宋体"/>
          <w:lang w:eastAsia="zh-CN"/>
        </w:rPr>
        <w:t xml:space="preserve"> </w:t>
      </w:r>
      <w:r>
        <w:t>at</w:t>
      </w:r>
      <w:r>
        <w:rPr>
          <w:rFonts w:hint="eastAsia" w:eastAsia="宋体"/>
          <w:lang w:eastAsia="zh-CN"/>
        </w:rPr>
        <w:t xml:space="preserve"> </w:t>
      </w:r>
      <w:r>
        <w:t>these</w:t>
      </w:r>
      <w:r>
        <w:rPr>
          <w:rFonts w:hint="eastAsia" w:eastAsia="宋体"/>
          <w:lang w:eastAsia="zh-CN"/>
        </w:rPr>
        <w:t xml:space="preserve"> </w:t>
      </w:r>
      <w:r>
        <w:t>stages.</w:t>
      </w:r>
      <w:r>
        <w:rPr>
          <w:rFonts w:hint="eastAsia" w:eastAsia="宋体"/>
          <w:lang w:eastAsia="zh-CN"/>
        </w:rPr>
        <w:t xml:space="preserve"> </w:t>
      </w:r>
      <w:r>
        <w:t>b)</w:t>
      </w:r>
      <w:r>
        <w:rPr>
          <w:rFonts w:hint="eastAsia" w:eastAsia="宋体"/>
          <w:lang w:eastAsia="zh-CN"/>
        </w:rPr>
        <w:t xml:space="preserve"> </w:t>
      </w:r>
      <w:r>
        <w:t>Representative</w:t>
      </w:r>
      <w:r>
        <w:rPr>
          <w:rFonts w:hint="eastAsia" w:eastAsia="宋体"/>
          <w:lang w:eastAsia="zh-CN"/>
        </w:rPr>
        <w:t xml:space="preserve"> </w:t>
      </w:r>
      <w:r>
        <w:t>images</w:t>
      </w:r>
      <w:r>
        <w:rPr>
          <w:rFonts w:hint="eastAsia" w:eastAsia="宋体"/>
          <w:lang w:eastAsia="zh-CN"/>
        </w:rPr>
        <w:t xml:space="preserve"> </w:t>
      </w:r>
      <w:r>
        <w:t>of</w:t>
      </w:r>
      <w:r>
        <w:rPr>
          <w:rFonts w:hint="eastAsia" w:eastAsia="宋体"/>
          <w:lang w:eastAsia="zh-CN"/>
        </w:rPr>
        <w:t xml:space="preserve"> </w:t>
      </w:r>
      <w:r>
        <w:t>hircine</w:t>
      </w:r>
      <w:r>
        <w:rPr>
          <w:rFonts w:hint="eastAsia" w:eastAsia="宋体"/>
          <w:lang w:eastAsia="zh-CN"/>
        </w:rPr>
        <w:t xml:space="preserve"> </w:t>
      </w:r>
      <w:r>
        <w:t>caruncle</w:t>
      </w:r>
      <w:r>
        <w:rPr>
          <w:rFonts w:hint="eastAsia" w:eastAsia="宋体"/>
          <w:lang w:eastAsia="zh-CN"/>
        </w:rPr>
        <w:t xml:space="preserve"> </w:t>
      </w:r>
      <w:r>
        <w:t>tissues</w:t>
      </w:r>
      <w:r>
        <w:rPr>
          <w:rFonts w:hint="eastAsia" w:eastAsia="宋体"/>
          <w:lang w:eastAsia="zh-CN"/>
        </w:rPr>
        <w:t xml:space="preserve"> </w:t>
      </w:r>
      <w:r>
        <w:t>when</w:t>
      </w:r>
      <w:r>
        <w:rPr>
          <w:rFonts w:hint="eastAsia" w:eastAsia="宋体"/>
          <w:lang w:eastAsia="zh-CN"/>
        </w:rPr>
        <w:t xml:space="preserve"> </w:t>
      </w:r>
      <w:r>
        <w:t>sampling.</w:t>
      </w:r>
    </w:p>
    <w:p>
      <w:pPr>
        <w:pStyle w:val="54"/>
        <w:spacing w:before="240"/>
        <w:rPr>
          <w:color w:val="auto"/>
        </w:rPr>
      </w:pPr>
      <w:r>
        <w:rPr>
          <w:color w:val="auto"/>
        </w:rPr>
        <w:t>2.3. RNA Extraction and cDNA Synthesis</w:t>
      </w:r>
    </w:p>
    <w:p>
      <w:pPr>
        <w:pStyle w:val="35"/>
        <w:rPr>
          <w:color w:val="auto"/>
        </w:rPr>
      </w:pPr>
      <w:r>
        <w:rPr>
          <w:rFonts w:eastAsia="宋体"/>
          <w:color w:val="auto"/>
        </w:rPr>
        <w:t>Total RNA is extracted from uterus caruncle tissues using Trizol</w:t>
      </w:r>
      <w:r>
        <w:rPr>
          <w:rFonts w:eastAsia="宋体"/>
          <w:color w:val="auto"/>
          <w:vertAlign w:val="superscript"/>
        </w:rPr>
        <w:t>®</w:t>
      </w:r>
      <w:r>
        <w:rPr>
          <w:rFonts w:eastAsia="宋体"/>
          <w:color w:val="auto"/>
        </w:rPr>
        <w:t xml:space="preserve"> reagent according to the manufacturer’s instructions (Invitrogen, USA)</w:t>
      </w:r>
      <w:r>
        <w:rPr>
          <w:color w:val="auto"/>
        </w:rPr>
        <w:t>. RNA concentration was measured by NanoDrop 2000 spectrophotometer (Thermo, USA), and the purity of RNA was determined by the ratio of OD260/280. All the ratio of OD260/280 of our RNA samples value 1.8-2.0. Each sample was reverse transcribed using All-In-One 5X RT MasterMix (Abm, Cat#G592) with 2μg t</w:t>
      </w:r>
      <w:bookmarkStart w:id="21" w:name="_GoBack"/>
      <w:bookmarkEnd w:id="21"/>
      <w:r>
        <w:rPr>
          <w:color w:val="auto"/>
        </w:rPr>
        <w:t>otal RNA.</w:t>
      </w:r>
    </w:p>
    <w:p>
      <w:pPr>
        <w:pStyle w:val="54"/>
        <w:spacing w:before="240"/>
        <w:rPr>
          <w:color w:val="auto"/>
        </w:rPr>
      </w:pPr>
      <w:r>
        <w:rPr>
          <w:color w:val="auto"/>
        </w:rPr>
        <w:t>2.4. Selection of candidate reference genes</w:t>
      </w:r>
    </w:p>
    <w:p>
      <w:pPr>
        <w:pStyle w:val="35"/>
        <w:rPr>
          <w:color w:val="auto"/>
        </w:rPr>
      </w:pPr>
      <w:bookmarkStart w:id="13" w:name="OLE_LINK4"/>
      <w:bookmarkStart w:id="14" w:name="OLE_LINK3"/>
      <w:r>
        <w:rPr>
          <w:color w:val="auto"/>
        </w:rPr>
        <w:t>Transcriptome sequencing data</w:t>
      </w:r>
      <w:bookmarkEnd w:id="13"/>
      <w:bookmarkEnd w:id="14"/>
      <w:r>
        <w:rPr>
          <w:color w:val="auto"/>
        </w:rPr>
        <w:t xml:space="preserve"> of 9 Dazu </w:t>
      </w:r>
      <w:r>
        <w:rPr>
          <w:rFonts w:hint="eastAsia" w:eastAsia="宋体"/>
          <w:color w:val="auto"/>
          <w:lang w:eastAsia="zh-CN"/>
        </w:rPr>
        <w:t>B</w:t>
      </w:r>
      <w:r>
        <w:rPr>
          <w:color w:val="auto"/>
        </w:rPr>
        <w:t xml:space="preserve">lack goat uterus caruncle tissues was performed using the paired-end sequencing technology on an Illumina NovaSeq 6000 platform. After assembly and annotation, the gene expression profiles and read counts of unique transcripts were converted into FPKM values on the platform BMKCloud </w:t>
      </w:r>
      <w:r>
        <w:rPr>
          <w:color w:val="auto"/>
          <w:szCs w:val="20"/>
        </w:rPr>
        <w:t>(</w:t>
      </w:r>
      <w:r>
        <w:fldChar w:fldCharType="begin"/>
      </w:r>
      <w:r>
        <w:instrText xml:space="preserve"> HYPERLINK "http://www.biocloud.net" </w:instrText>
      </w:r>
      <w:r>
        <w:fldChar w:fldCharType="separate"/>
      </w:r>
      <w:r>
        <w:rPr>
          <w:rStyle w:val="21"/>
          <w:color w:val="auto"/>
          <w:szCs w:val="20"/>
        </w:rPr>
        <w:t>www.biocloud.net</w:t>
      </w:r>
      <w:r>
        <w:rPr>
          <w:rStyle w:val="21"/>
          <w:color w:val="auto"/>
          <w:szCs w:val="20"/>
        </w:rPr>
        <w:fldChar w:fldCharType="end"/>
      </w:r>
      <w:r>
        <w:rPr>
          <w:color w:val="auto"/>
        </w:rPr>
        <w:t xml:space="preserve">), according to the formula FPKM = cDNA fragments/[mapped fragments (millions) × transcript length (kb)]. Based on the FPKM value, every gene in each transcriptome, the CV and MFC were calculated using Microsoft Excel. The CV is defined as the ratio of the SDFPKM to the mean of the FPKM of all samples for one gene. The MFC, which is defined as the fold change between the largest and smallest FPKM values within 9 RNA-seq were calculated. </w:t>
      </w:r>
      <w:r>
        <w:rPr>
          <w:rFonts w:hint="eastAsia" w:eastAsia="宋体"/>
          <w:color w:val="auto"/>
          <w:lang w:eastAsia="zh-CN"/>
        </w:rPr>
        <w:t>A</w:t>
      </w:r>
      <w:r>
        <w:rPr>
          <w:color w:val="auto"/>
        </w:rPr>
        <w:t xml:space="preserve"> </w:t>
      </w:r>
      <w:r>
        <w:rPr>
          <w:rFonts w:hint="eastAsia" w:eastAsia="宋体"/>
          <w:color w:val="auto"/>
          <w:lang w:eastAsia="zh-CN"/>
        </w:rPr>
        <w:t>potential</w:t>
      </w:r>
      <w:r>
        <w:rPr>
          <w:color w:val="auto"/>
        </w:rPr>
        <w:t xml:space="preserve"> HKG should have a relatively high FPKM value</w:t>
      </w:r>
      <w:r>
        <w:rPr>
          <w:color w:val="auto"/>
        </w:rPr>
        <w:fldChar w:fldCharType="begin">
          <w:fldData xml:space="preserve">PEVuZE5vdGU+PENpdGU+PEF1dGhvcj5Ccm93bjwvQXV0aG9yPjxZZWFyPjIwMTg8L1llYXI+PFJl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</w:fldData>
        </w:fldChar>
      </w:r>
      <w:r>
        <w:rPr>
          <w:color w:val="auto"/>
        </w:rPr>
        <w:instrText xml:space="preserve"> ADDIN EN.CITE </w:instrText>
      </w:r>
      <w:r>
        <w:rPr>
          <w:color w:val="auto"/>
        </w:rPr>
        <w:fldChar w:fldCharType="begin">
          <w:fldData xml:space="preserve">PEVuZE5vdGU+PENpdGU+PEF1dGhvcj5Ccm93bjwvQXV0aG9yPjxZZWFyPjIwMTg8L1llYXI+PFJl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</w:fldData>
        </w:fldChar>
      </w:r>
      <w:r>
        <w:rPr>
          <w:color w:val="auto"/>
        </w:rPr>
        <w:instrText xml:space="preserve"> ADDIN EN.CITE.DATA </w:instrText>
      </w:r>
      <w:r>
        <w:rPr>
          <w:color w:val="auto"/>
        </w:rPr>
        <w:fldChar w:fldCharType="end"/>
      </w:r>
      <w:r>
        <w:rPr>
          <w:color w:val="auto"/>
        </w:rPr>
        <w:fldChar w:fldCharType="separate"/>
      </w:r>
      <w:r>
        <w:rPr>
          <w:color w:val="auto"/>
        </w:rPr>
        <w:t>[18,19]</w:t>
      </w:r>
      <w:r>
        <w:rPr>
          <w:color w:val="auto"/>
        </w:rPr>
        <w:fldChar w:fldCharType="end"/>
      </w:r>
      <w:r>
        <w:rPr>
          <w:color w:val="auto"/>
        </w:rPr>
        <w:t>, low CV and MFC values</w:t>
      </w:r>
      <w:r>
        <w:rPr>
          <w:rFonts w:hint="eastAsia" w:eastAsia="宋体"/>
          <w:color w:val="auto"/>
          <w:lang w:eastAsia="zh-CN"/>
        </w:rPr>
        <w:t xml:space="preserve"> because these are the typical requirements for HKGs, along with a relatively high and low expression variation level. W</w:t>
      </w:r>
      <w:r>
        <w:rPr>
          <w:color w:val="auto"/>
        </w:rPr>
        <w:t xml:space="preserve">e also </w:t>
      </w:r>
      <w:r>
        <w:rPr>
          <w:rFonts w:hint="eastAsia" w:eastAsia="宋体"/>
          <w:color w:val="auto"/>
          <w:lang w:eastAsia="zh-CN"/>
        </w:rPr>
        <w:t>got</w:t>
      </w:r>
      <w:r>
        <w:rPr>
          <w:color w:val="auto"/>
        </w:rPr>
        <w:t xml:space="preserve"> several HKGs from </w:t>
      </w:r>
      <w:r>
        <w:rPr>
          <w:rFonts w:hint="eastAsia" w:eastAsia="宋体"/>
          <w:color w:val="auto"/>
          <w:lang w:eastAsia="zh-CN"/>
        </w:rPr>
        <w:t>prior</w:t>
      </w:r>
      <w:r>
        <w:rPr>
          <w:color w:val="auto"/>
        </w:rPr>
        <w:t xml:space="preserve"> studies</w:t>
      </w:r>
      <w:r>
        <w:rPr>
          <w:color w:val="auto"/>
        </w:rPr>
        <w:fldChar w:fldCharType="begin">
          <w:fldData xml:space="preserve">PEVuZE5vdGU+PENpdGU+PEF1dGhvcj5XaXNuaWVza2k8L0F1dGhvcj48WWVhcj4yMDEzPC9ZZWFy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</w:fldData>
        </w:fldChar>
      </w:r>
      <w:r>
        <w:rPr>
          <w:color w:val="auto"/>
        </w:rPr>
        <w:instrText xml:space="preserve"> ADDIN EN.CITE </w:instrText>
      </w:r>
      <w:r>
        <w:rPr>
          <w:color w:val="auto"/>
        </w:rPr>
        <w:fldChar w:fldCharType="begin">
          <w:fldData xml:space="preserve">PEVuZE5vdGU+PENpdGU+PEF1dGhvcj5XaXNuaWVza2k8L0F1dGhvcj48WWVhcj4yMDEzPC9ZZWFy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</w:fldData>
        </w:fldChar>
      </w:r>
      <w:r>
        <w:rPr>
          <w:color w:val="auto"/>
        </w:rPr>
        <w:instrText xml:space="preserve"> ADDIN EN.CITE.DATA </w:instrText>
      </w:r>
      <w:r>
        <w:rPr>
          <w:color w:val="auto"/>
        </w:rPr>
        <w:fldChar w:fldCharType="end"/>
      </w:r>
      <w:r>
        <w:rPr>
          <w:color w:val="auto"/>
        </w:rPr>
        <w:fldChar w:fldCharType="separate"/>
      </w:r>
      <w:r>
        <w:rPr>
          <w:color w:val="auto"/>
        </w:rPr>
        <w:t>[20-22]</w:t>
      </w:r>
      <w:r>
        <w:rPr>
          <w:color w:val="auto"/>
        </w:rPr>
        <w:fldChar w:fldCharType="end"/>
      </w:r>
      <w:r>
        <w:rPr>
          <w:color w:val="auto"/>
        </w:rPr>
        <w:t xml:space="preserve"> and HKGs of </w:t>
      </w:r>
      <w:r>
        <w:rPr>
          <w:rFonts w:hint="eastAsia" w:eastAsia="宋体"/>
          <w:color w:val="auto"/>
          <w:lang w:eastAsia="zh-CN"/>
        </w:rPr>
        <w:t>frequently</w:t>
      </w:r>
      <w:r>
        <w:rPr>
          <w:color w:val="auto"/>
        </w:rPr>
        <w:t xml:space="preserve"> used</w:t>
      </w:r>
      <w:r>
        <w:rPr>
          <w:rFonts w:hint="eastAsia" w:eastAsia="宋体"/>
          <w:color w:val="auto"/>
          <w:lang w:eastAsia="zh-CN"/>
        </w:rPr>
        <w:t xml:space="preserve"> genes in addition to</w:t>
      </w:r>
      <w:r>
        <w:rPr>
          <w:color w:val="auto"/>
        </w:rPr>
        <w:t xml:space="preserve"> genes </w:t>
      </w:r>
      <w:r>
        <w:rPr>
          <w:rFonts w:hint="eastAsia" w:eastAsia="宋体"/>
          <w:color w:val="auto"/>
          <w:lang w:eastAsia="zh-CN"/>
        </w:rPr>
        <w:t>chosen</w:t>
      </w:r>
      <w:r>
        <w:rPr>
          <w:color w:val="auto"/>
        </w:rPr>
        <w:t xml:space="preserve"> from transcriptome sequencing data with ideal FPKM, CV and MFC values. qRT-PCR </w:t>
      </w:r>
      <w:r>
        <w:rPr>
          <w:rFonts w:hint="eastAsia" w:eastAsia="宋体"/>
          <w:color w:val="auto"/>
          <w:lang w:eastAsia="zh-CN"/>
        </w:rPr>
        <w:t xml:space="preserve">was used to amplify all HKGs </w:t>
      </w:r>
      <w:r>
        <w:rPr>
          <w:color w:val="auto"/>
        </w:rPr>
        <w:t xml:space="preserve">for </w:t>
      </w:r>
      <w:r>
        <w:rPr>
          <w:rFonts w:hint="eastAsia" w:eastAsia="宋体"/>
          <w:color w:val="auto"/>
          <w:lang w:eastAsia="zh-CN"/>
        </w:rPr>
        <w:t>later analysis and confirmation</w:t>
      </w:r>
      <w:r>
        <w:rPr>
          <w:color w:val="auto"/>
        </w:rPr>
        <w:t>.</w:t>
      </w:r>
    </w:p>
    <w:p>
      <w:pPr>
        <w:pStyle w:val="54"/>
        <w:spacing w:before="240"/>
        <w:rPr>
          <w:color w:val="auto"/>
        </w:rPr>
      </w:pPr>
      <w:r>
        <w:rPr>
          <w:color w:val="auto"/>
        </w:rPr>
        <w:t>2.5. Quantitative real-time PCR (qRT-PCR) analysis</w:t>
      </w:r>
    </w:p>
    <w:p>
      <w:pPr>
        <w:pStyle w:val="35"/>
        <w:rPr>
          <w:color w:val="auto"/>
        </w:rPr>
      </w:pPr>
      <w:r>
        <w:rPr>
          <w:color w:val="auto"/>
        </w:rPr>
        <w:t>Specific primers were designed using the Primer-Blast web tool (</w:t>
      </w:r>
      <w:r>
        <w:fldChar w:fldCharType="begin"/>
      </w:r>
      <w:r>
        <w:instrText xml:space="preserve"> HYPERLINK "https://www.ncbi.nlm.nih.gov/tools/primer-blast/" </w:instrText>
      </w:r>
      <w:r>
        <w:fldChar w:fldCharType="separate"/>
      </w:r>
      <w:r>
        <w:rPr>
          <w:rStyle w:val="21"/>
          <w:color w:val="auto"/>
          <w:szCs w:val="20"/>
        </w:rPr>
        <w:t>https://www.ncbi.nlm.nih.gov/tools/primer-blast/</w:t>
      </w:r>
      <w:r>
        <w:rPr>
          <w:rStyle w:val="21"/>
          <w:color w:val="auto"/>
          <w:szCs w:val="20"/>
        </w:rPr>
        <w:fldChar w:fldCharType="end"/>
      </w:r>
      <w:r>
        <w:rPr>
          <w:color w:val="auto"/>
          <w:szCs w:val="20"/>
        </w:rPr>
        <w:t xml:space="preserve">) </w:t>
      </w:r>
      <w:r>
        <w:rPr>
          <w:color w:val="auto"/>
        </w:rPr>
        <w:t>on the basis of the sequences of unigenes. The information of primers was shown in Table S1. The quantity Real-time PCR was carried out in a CFX96 Real-Time System (BIO-RAD) with SsoAdvanced SYBR Green Supermix (BIO-RAD, #1725262). The qRT-PCR reaction system was performed in a 10μL reaction volume with 5μL of 2× qPCR MasterMix (Abm, Cat#G891), 4.5μL cDNA template and 0.25μL each primer. The thermocycling conditions were performed starting with a 3min enzyme activation step at 95</w:t>
      </w:r>
      <w:r>
        <w:rPr>
          <w:rFonts w:ascii="Times New Roman" w:hAnsi="Times New Roman"/>
          <w:color w:val="auto"/>
        </w:rPr>
        <w:t>℃</w:t>
      </w:r>
      <w:r>
        <w:rPr>
          <w:color w:val="auto"/>
        </w:rPr>
        <w:t>, followed by 40 cycles of 15s at 95</w:t>
      </w:r>
      <w:r>
        <w:rPr>
          <w:rFonts w:ascii="Times New Roman" w:hAnsi="Times New Roman"/>
          <w:color w:val="auto"/>
        </w:rPr>
        <w:t>℃</w:t>
      </w:r>
      <w:r>
        <w:rPr>
          <w:color w:val="auto"/>
        </w:rPr>
        <w:t xml:space="preserve"> for denaturation and 1min at 60</w:t>
      </w:r>
      <w:r>
        <w:rPr>
          <w:rFonts w:ascii="Times New Roman" w:hAnsi="Times New Roman"/>
          <w:color w:val="auto"/>
        </w:rPr>
        <w:t>℃</w:t>
      </w:r>
      <w:r>
        <w:rPr>
          <w:color w:val="auto"/>
        </w:rPr>
        <w:t xml:space="preserve"> for annealing</w:t>
      </w:r>
      <w:r>
        <w:rPr>
          <w:rFonts w:hint="eastAsia" w:eastAsia="宋体"/>
          <w:color w:val="auto"/>
          <w:lang w:eastAsia="zh-CN"/>
        </w:rPr>
        <w:t>/extension</w:t>
      </w:r>
      <w:r>
        <w:rPr>
          <w:color w:val="auto"/>
        </w:rPr>
        <w:t>. Melting curve analysis was performed at the end of each PCR program to monitor non-specific product formation.</w:t>
      </w:r>
    </w:p>
    <w:p>
      <w:pPr>
        <w:pStyle w:val="54"/>
        <w:spacing w:before="240"/>
        <w:rPr>
          <w:color w:val="auto"/>
        </w:rPr>
      </w:pPr>
      <w:r>
        <w:rPr>
          <w:color w:val="auto"/>
        </w:rPr>
        <w:t>2.6. Analysis of the Expression Stability for Candidate Reference Genes</w:t>
      </w:r>
    </w:p>
    <w:p>
      <w:pPr>
        <w:pStyle w:val="35"/>
        <w:rPr>
          <w:rFonts w:eastAsiaTheme="minorEastAsia"/>
          <w:color w:val="auto"/>
          <w:lang w:eastAsia="zh-CN"/>
        </w:rPr>
      </w:pPr>
      <w:r>
        <w:rPr>
          <w:color w:val="auto"/>
        </w:rPr>
        <w:t xml:space="preserve">The </w:t>
      </w:r>
      <w:r>
        <w:rPr>
          <w:rFonts w:hint="eastAsia" w:eastAsia="宋体"/>
          <w:color w:val="auto"/>
          <w:lang w:eastAsia="zh-CN"/>
        </w:rPr>
        <w:t xml:space="preserve">qRT-PCR </w:t>
      </w:r>
      <w:r>
        <w:rPr>
          <w:color w:val="auto"/>
        </w:rPr>
        <w:t xml:space="preserve">Ct (Cycle Threshold) </w:t>
      </w:r>
      <w:r>
        <w:rPr>
          <w:rFonts w:hint="eastAsia" w:eastAsia="宋体"/>
          <w:color w:val="auto"/>
          <w:lang w:eastAsia="zh-CN"/>
        </w:rPr>
        <w:t>data has been entered</w:t>
      </w:r>
      <w:r>
        <w:rPr>
          <w:color w:val="auto"/>
        </w:rPr>
        <w:t xml:space="preserve"> into four traditional algorithms</w:t>
      </w:r>
      <w:r>
        <w:rPr>
          <w:rFonts w:hint="eastAsia" w:eastAsia="宋体"/>
          <w:color w:val="auto"/>
          <w:lang w:eastAsia="zh-CN"/>
        </w:rPr>
        <w:t xml:space="preserve">, </w:t>
      </w:r>
      <w:r>
        <w:rPr>
          <w:color w:val="auto"/>
        </w:rPr>
        <w:t>including geNorm</w:t>
      </w:r>
      <w:r>
        <w:rPr>
          <w:color w:val="auto"/>
        </w:rPr>
        <w:fldChar w:fldCharType="begin"/>
      </w:r>
      <w:r>
        <w:rPr>
          <w:color w:val="auto"/>
        </w:rPr>
        <w:instrText xml:space="preserve"> ADDIN EN.CITE &lt;EndNote&gt;&lt;Cite&gt;&lt;Author&gt;Vandesompele&lt;/Author&gt;&lt;Year&gt;2002&lt;/Year&gt;&lt;RecNum&gt;5&lt;/RecNum&gt;&lt;DisplayText&gt;&lt;style size="10"&gt;[7]&lt;/style&gt;&lt;/DisplayText&gt;&lt;record&gt;&lt;rec-number&gt;5&lt;/rec-number&gt;&lt;foreign-keys&gt;&lt;key app="EN" db-id="zspwvtzvtfa5xberewspedv8zv02d5dtx902" timestamp="1684309140" guid="d60a3b05-df8c-41fa-8ce5-c07c83b271eb"&gt;5&lt;/key&gt;&lt;/foreign-keys&gt;&lt;ref-type name="Journal Article"&gt;17&lt;/ref-type&gt;&lt;contributors&gt;&lt;authors&gt;&lt;author&gt;Vandesompele, J.&lt;/author&gt;&lt;author&gt;De Preter, K.&lt;/author&gt;&lt;author&gt;Pattyn, F.&lt;/author&gt;&lt;author&gt;Poppe, B.&lt;/author&gt;&lt;author&gt;Van Roy, N.&lt;/author&gt;&lt;author&gt;De Paepe, A.&lt;/author&gt;&lt;author&gt;Speleman, F.&lt;/author&gt;&lt;/authors&gt;&lt;/contributors&gt;&lt;titles&gt;&lt;title&gt;Accurate normalization of real-time quantitative RT-PCR data by geometric averaging of multiple internal control genes&lt;/title&gt;&lt;secondary-title&gt;Genome Biology&lt;/secondary-title&gt;&lt;/titles&gt;&lt;periodical&gt;&lt;full-title&gt;Genome Biology&lt;/full-title&gt;&lt;/periodical&gt;&lt;volume&gt;3&lt;/volume&gt;&lt;number&gt;7&lt;/number&gt;&lt;dates&gt;&lt;year&gt;2002&lt;/year&gt;&lt;/dates&gt;&lt;isbn&gt;1474-760X&lt;/isbn&gt;&lt;accession-num&gt;WOS:000207581200010&lt;/accession-num&gt;&lt;urls&gt;&lt;related-urls&gt;&lt;url&gt;&amp;lt;Go to ISI&amp;gt;://WOS:000207581200010&lt;/url&gt;&lt;/related-urls&gt;&lt;/urls&gt;&lt;custom7&gt;0034.1&lt;/custom7&gt;&lt;electronic-resource-num&gt;10.1186/gb-2002-3-7-research0034&lt;/electronic-resource-num&gt;&lt;/record&gt;&lt;/Cite&gt;&lt;/EndNote&gt;</w:instrText>
      </w:r>
      <w:r>
        <w:rPr>
          <w:color w:val="auto"/>
        </w:rPr>
        <w:fldChar w:fldCharType="separate"/>
      </w:r>
      <w:r>
        <w:rPr>
          <w:color w:val="auto"/>
        </w:rPr>
        <w:t>[7]</w:t>
      </w:r>
      <w:r>
        <w:rPr>
          <w:color w:val="auto"/>
        </w:rPr>
        <w:fldChar w:fldCharType="end"/>
      </w:r>
      <w:r>
        <w:rPr>
          <w:color w:val="auto"/>
        </w:rPr>
        <w:t>, NormFinder</w:t>
      </w:r>
      <w:r>
        <w:rPr>
          <w:color w:val="auto"/>
        </w:rPr>
        <w:fldChar w:fldCharType="begin"/>
      </w:r>
      <w:r>
        <w:rPr>
          <w:color w:val="auto"/>
        </w:rPr>
        <w:instrText xml:space="preserve"> ADDIN EN.CITE &lt;EndNote&gt;&lt;Cite&gt;&lt;Author&gt;Andersen&lt;/Author&gt;&lt;Year&gt;2004&lt;/Year&gt;&lt;RecNum&gt;228&lt;/RecNum&gt;&lt;DisplayText&gt;&lt;style size="10"&gt;[8]&lt;/style&gt;&lt;/DisplayText&gt;&lt;record&gt;&lt;rec-number&gt;228&lt;/rec-number&gt;&lt;foreign-keys&gt;&lt;key app="EN" db-id="xtrefar26vd5acefa9apfdwu2w9tsfax9pfe" timestamp="1684499559"&gt;228&lt;/key&gt;&lt;/foreign-keys&gt;&lt;ref-type name="Journal Article"&gt;17&lt;/ref-type&gt;&lt;contributors&gt;&lt;authors&gt;&lt;author&gt;Andersen, C. L.&lt;/author&gt;&lt;author&gt;Jensen, J. L.&lt;/author&gt;&lt;author&gt;Orntoft, T. F.&lt;/author&gt;&lt;/authors&gt;&lt;/contributors&gt;&lt;titles&gt;&lt;title&gt;Normalization of real-time quantitative reverse transcription-PCR data: A model-based variance estimation approach to identify genes suited for normalization, applied to bladder and colon cancer data sets&lt;/title&gt;&lt;secondary-title&gt;Cancer Research&lt;/secondary-title&gt;&lt;/titles&gt;&lt;periodical&gt;&lt;full-title&gt;Cancer Research&lt;/full-title&gt;&lt;/periodical&gt;&lt;pages&gt;5245-5250&lt;/pages&gt;&lt;volume&gt;64&lt;/volume&gt;&lt;number&gt;15&lt;/number&gt;&lt;dates&gt;&lt;year&gt;2004&lt;/year&gt;&lt;pub-dates&gt;&lt;date&gt;Aug 1&lt;/date&gt;&lt;/pub-dates&gt;&lt;/dates&gt;&lt;isbn&gt;0008-5472&lt;/isbn&gt;&lt;accession-num&gt;WOS:000223038200033&lt;/accession-num&gt;&lt;work-type&gt;Article&lt;/work-type&gt;&lt;urls&gt;&lt;related-urls&gt;&lt;url&gt;&amp;lt;Go to ISI&amp;gt;://WOS:000223038200033&lt;/url&gt;&lt;/related-urls&gt;&lt;/urls&gt;&lt;electronic-resource-num&gt;10.1158/0008-5472.Can-04-0496&lt;/electronic-resource-num&gt;&lt;/record&gt;&lt;/Cite&gt;&lt;/EndNote&gt;</w:instrText>
      </w:r>
      <w:r>
        <w:rPr>
          <w:color w:val="auto"/>
        </w:rPr>
        <w:fldChar w:fldCharType="separate"/>
      </w:r>
      <w:r>
        <w:rPr>
          <w:color w:val="auto"/>
        </w:rPr>
        <w:t>[8]</w:t>
      </w:r>
      <w:r>
        <w:rPr>
          <w:color w:val="auto"/>
        </w:rPr>
        <w:fldChar w:fldCharType="end"/>
      </w:r>
      <w:r>
        <w:rPr>
          <w:color w:val="auto"/>
        </w:rPr>
        <w:t>, BestKeeper</w:t>
      </w:r>
      <w:r>
        <w:rPr>
          <w:color w:val="auto"/>
        </w:rPr>
        <w:fldChar w:fldCharType="begin"/>
      </w:r>
      <w:r>
        <w:rPr>
          <w:color w:val="auto"/>
        </w:rPr>
        <w:instrText xml:space="preserve"> ADDIN EN.CITE &lt;EndNote&gt;&lt;Cite&gt;&lt;Author&gt;Pfaffl&lt;/Author&gt;&lt;Year&gt;2004&lt;/Year&gt;&lt;RecNum&gt;19&lt;/RecNum&gt;&lt;DisplayText&gt;&lt;style size="10"&gt;[9]&lt;/style&gt;&lt;/DisplayText&gt;&lt;record&gt;&lt;rec-number&gt;19&lt;/rec-number&gt;&lt;foreign-keys&gt;&lt;key app="EN" db-id="xtrefar26vd5acefa9apfdwu2w9tsfax9pfe" timestamp="1626164961"&gt;19&lt;/key&gt;&lt;/foreign-keys&gt;&lt;ref-type name="Journal Article"&gt;17&lt;/ref-type&gt;&lt;contributors&gt;&lt;authors&gt;&lt;author&gt;Pfaffl, M. W.&lt;/author&gt;&lt;author&gt;Tichopad, A.&lt;/author&gt;&lt;author&gt;Prgomet, C.&lt;/author&gt;&lt;author&gt;Neuvians, T. P.&lt;/author&gt;&lt;/authors&gt;&lt;/contributors&gt;&lt;titles&gt;&lt;title&gt;Determination of stable housekeeping genes, differentially regulated target genes and sample integrity: BestKeeper - Excel-based tool using pair-wise correlations&lt;/title&gt;&lt;secondary-title&gt;Biotechnology Letters&lt;/secondary-title&gt;&lt;/titles&gt;&lt;periodical&gt;&lt;full-title&gt;Biotechnology Letters&lt;/full-title&gt;&lt;/periodical&gt;&lt;pages&gt;509-515&lt;/pages&gt;&lt;volume&gt;26&lt;/volume&gt;&lt;number&gt;6&lt;/number&gt;&lt;dates&gt;&lt;year&gt;2004&lt;/year&gt;&lt;pub-dates&gt;&lt;date&gt;Mar&lt;/date&gt;&lt;/pub-dates&gt;&lt;/dates&gt;&lt;isbn&gt;0141-5492&lt;/isbn&gt;&lt;accession-num&gt;WOS:000220217900008&lt;/accession-num&gt;&lt;urls&gt;&lt;related-urls&gt;&lt;url&gt;&amp;lt;Go to ISI&amp;gt;://WOS:000220217900008&lt;/url&gt;&lt;/related-urls&gt;&lt;/urls&gt;&lt;electronic-resource-num&gt;10.1023/b:bile.0000019559.84305.47&lt;/electronic-resource-num&gt;&lt;/record&gt;&lt;/Cite&gt;&lt;/EndNote&gt;</w:instrText>
      </w:r>
      <w:r>
        <w:rPr>
          <w:color w:val="auto"/>
        </w:rPr>
        <w:fldChar w:fldCharType="separate"/>
      </w:r>
      <w:r>
        <w:rPr>
          <w:color w:val="auto"/>
        </w:rPr>
        <w:t>[9]</w:t>
      </w:r>
      <w:r>
        <w:rPr>
          <w:color w:val="auto"/>
        </w:rPr>
        <w:fldChar w:fldCharType="end"/>
      </w:r>
      <w:r>
        <w:rPr>
          <w:color w:val="auto"/>
        </w:rPr>
        <w:t xml:space="preserve"> and the Delta Ct method</w:t>
      </w:r>
      <w:r>
        <w:rPr>
          <w:color w:val="auto"/>
        </w:rPr>
        <w:fldChar w:fldCharType="begin"/>
      </w:r>
      <w:r>
        <w:rPr>
          <w:color w:val="auto"/>
        </w:rPr>
        <w:instrText xml:space="preserve"> ADDIN EN.CITE &lt;EndNote&gt;&lt;Cite&gt;&lt;Author&gt;Silver&lt;/Author&gt;&lt;Year&gt;2006&lt;/Year&gt;&lt;RecNum&gt;129&lt;/RecNum&gt;&lt;DisplayText&gt;&lt;style size="10"&gt;[10]&lt;/style&gt;&lt;/DisplayText&gt;&lt;record&gt;&lt;rec-number&gt;129&lt;/rec-number&gt;&lt;foreign-keys&gt;&lt;key app="EN" db-id="ddxts92v4vwd5bext9kvere3v2ewddwvt9da" timestamp="1621931106"&gt;129&lt;/key&gt;&lt;/foreign-keys&gt;&lt;ref-type name="Journal Article"&gt;17&lt;/ref-type&gt;&lt;contributors&gt;&lt;authors&gt;&lt;author&gt;Silver, N.&lt;/author&gt;&lt;author&gt;Best, S.&lt;/author&gt;&lt;author&gt;Jiang, J.&lt;/author&gt;&lt;author&gt;Thein, S. L.&lt;/author&gt;&lt;/authors&gt;&lt;/contributors&gt;&lt;auth-address&gt;Kings Coll London, Sch Med, Kings Coll Hosp, Div Gene &amp;amp; Cell Based Therapy, London SE5 9PJ, England&lt;/auth-address&gt;&lt;titles&gt;&lt;title&gt;Selection of housekeeping genes for gene expression studies in human reticulocytes using real-time PCR&lt;/title&gt;&lt;secondary-title&gt;Bmc Molecular Biology&lt;/secondary-title&gt;&lt;alt-title&gt;Bmc Mol Biol&lt;/alt-title&gt;&lt;/titles&gt;&lt;periodical&gt;&lt;full-title&gt;Bmc Molecular Biology&lt;/full-title&gt;&lt;abbr-1&gt;Bmc Mol Biol&lt;/abbr-1&gt;&lt;/periodical&gt;&lt;alt-periodical&gt;&lt;full-title&gt;Bmc Molecular Biology&lt;/full-title&gt;&lt;abbr-1&gt;Bmc Mol Biol&lt;/abbr-1&gt;&lt;/alt-periodical&gt;&lt;volume&gt;7&lt;/volume&gt;&lt;keywords&gt;&lt;keyword&gt;messenger-rna&lt;/keyword&gt;&lt;keyword&gt;beta-actin&lt;/keyword&gt;&lt;keyword&gt;internal standards&lt;/keyword&gt;&lt;keyword&gt;rt-pcr&lt;/keyword&gt;&lt;keyword&gt;transcription&lt;/keyword&gt;&lt;keyword&gt;gapdh&lt;/keyword&gt;&lt;keyword&gt;validation&lt;/keyword&gt;&lt;keyword&gt;cells&lt;/keyword&gt;&lt;keyword&gt;colon&lt;/keyword&gt;&lt;/keywords&gt;&lt;dates&gt;&lt;year&gt;2006&lt;/year&gt;&lt;pub-dates&gt;&lt;date&gt;Oct 6&lt;/date&gt;&lt;/pub-dates&gt;&lt;/dates&gt;&lt;isbn&gt;1471-2199&lt;/isbn&gt;&lt;accession-num&gt;WOS:000241377400001&lt;/accession-num&gt;&lt;urls&gt;&lt;related-urls&gt;&lt;url&gt;&amp;lt;Go to ISI&amp;gt;://WOS:000241377400001&lt;/url&gt;&lt;/related-urls&gt;&lt;/urls&gt;&lt;electronic-resource-num&gt;Artn 33&amp;#xD;10.1186/1471-2199-7-33&lt;/electronic-resource-num&gt;&lt;language&gt;English&lt;/language&gt;&lt;/record&gt;&lt;/Cite&gt;&lt;/EndNote&gt;</w:instrText>
      </w:r>
      <w:r>
        <w:rPr>
          <w:color w:val="auto"/>
        </w:rPr>
        <w:fldChar w:fldCharType="separate"/>
      </w:r>
      <w:r>
        <w:rPr>
          <w:color w:val="auto"/>
        </w:rPr>
        <w:t>[10]</w:t>
      </w:r>
      <w:r>
        <w:rPr>
          <w:color w:val="auto"/>
        </w:rPr>
        <w:fldChar w:fldCharType="end"/>
      </w:r>
      <w:r>
        <w:rPr>
          <w:color w:val="auto"/>
        </w:rPr>
        <w:t xml:space="preserve"> to evaluate the stability of HKGs. Moreover, ReFinder</w:t>
      </w:r>
      <w:r>
        <w:rPr>
          <w:color w:val="auto"/>
        </w:rPr>
        <w:fldChar w:fldCharType="begin"/>
      </w:r>
      <w:r>
        <w:rPr>
          <w:color w:val="auto"/>
        </w:rPr>
        <w:instrText xml:space="preserve"> ADDIN EN.CITE &lt;EndNote&gt;&lt;Cite&gt;&lt;Author&gt;Xie&lt;/Author&gt;&lt;Year&gt;2012&lt;/Year&gt;&lt;RecNum&gt;130&lt;/RecNum&gt;&lt;DisplayText&gt;&lt;style size="10"&gt;[11]&lt;/style&gt;&lt;/DisplayText&gt;&lt;record&gt;&lt;rec-number&gt;130&lt;/rec-number&gt;&lt;foreign-keys&gt;&lt;key app="EN" db-id="ddxts92v4vwd5bext9kvere3v2ewddwvt9da" timestamp="1621932084"&gt;130&lt;/key&gt;&lt;/foreign-keys&gt;&lt;ref-type name="Journal Article"&gt;17&lt;/ref-type&gt;&lt;contributors&gt;&lt;authors&gt;&lt;author&gt;Xie, F. L.&lt;/author&gt;&lt;author&gt;Xiao, P.&lt;/author&gt;&lt;author&gt;Chen, D. L.&lt;/author&gt;&lt;author&gt;Xu, L.&lt;/author&gt;&lt;author&gt;Zhang, B. H.&lt;/author&gt;&lt;/authors&gt;&lt;/contributors&gt;&lt;auth-address&gt;E Carolina Univ, Dept Biol, Greenville, NC 27858 USA&amp;#xD;E Carolina Univ, Dept Math, Greenville, NC 27858 USA&lt;/auth-address&gt;&lt;titles&gt;&lt;title&gt;miRDeepFinder: a miRNA analysis tool for deep sequencing of plant small RNAs&lt;/title&gt;&lt;secondary-title&gt;Plant Molecular Biology&lt;/secondary-title&gt;&lt;alt-title&gt;Plant Mol Biol&lt;/alt-title&gt;&lt;/titles&gt;&lt;periodical&gt;&lt;full-title&gt;Plant Molecular Biology&lt;/full-title&gt;&lt;abbr-1&gt;Plant Mol Biol&lt;/abbr-1&gt;&lt;/periodical&gt;&lt;alt-periodical&gt;&lt;full-title&gt;Plant Molecular Biology&lt;/full-title&gt;&lt;abbr-1&gt;Plant Mol Biol&lt;/abbr-1&gt;&lt;/alt-periodical&gt;&lt;pages&gt;75-84&lt;/pages&gt;&lt;volume&gt;80&lt;/volume&gt;&lt;number&gt;1&lt;/number&gt;&lt;keywords&gt;&lt;keyword&gt;microrna&lt;/keyword&gt;&lt;keyword&gt;mirdeepfinder&lt;/keyword&gt;&lt;keyword&gt;deep sequencing&lt;/keyword&gt;&lt;keyword&gt;target&lt;/keyword&gt;&lt;keyword&gt;pathway analysis&lt;/keyword&gt;&lt;keyword&gt;microrna&lt;/keyword&gt;&lt;keyword&gt;identification&lt;/keyword&gt;&lt;keyword&gt;arabidopsis&lt;/keyword&gt;&lt;keyword&gt;biogenesis&lt;/keyword&gt;&lt;keyword&gt;prediction&lt;/keyword&gt;&lt;keyword&gt;targets&lt;/keyword&gt;&lt;keyword&gt;scale&lt;/keyword&gt;&lt;keyword&gt;time&lt;/keyword&gt;&lt;/keywords&gt;&lt;dates&gt;&lt;year&gt;2012&lt;/year&gt;&lt;pub-dates&gt;&lt;date&gt;Sep&lt;/date&gt;&lt;/pub-dates&gt;&lt;/dates&gt;&lt;isbn&gt;0167-4412&lt;/isbn&gt;&lt;accession-num&gt;WOS:000307539800007&lt;/accession-num&gt;&lt;urls&gt;&lt;related-urls&gt;&lt;url&gt;&amp;lt;Go to ISI&amp;gt;://WOS:000307539800007&lt;/url&gt;&lt;/related-urls&gt;&lt;/urls&gt;&lt;electronic-resource-num&gt;10.1007/s11103-012-9885-2&lt;/electronic-resource-num&gt;&lt;language&gt;English&lt;/language&gt;&lt;/record&gt;&lt;/Cite&gt;&lt;/EndNote&gt;</w:instrText>
      </w:r>
      <w:r>
        <w:rPr>
          <w:color w:val="auto"/>
        </w:rPr>
        <w:fldChar w:fldCharType="separate"/>
      </w:r>
      <w:r>
        <w:rPr>
          <w:color w:val="auto"/>
        </w:rPr>
        <w:t>[11]</w:t>
      </w:r>
      <w:r>
        <w:rPr>
          <w:color w:val="auto"/>
        </w:rPr>
        <w:fldChar w:fldCharType="end"/>
      </w:r>
      <w:r>
        <w:rPr>
          <w:color w:val="auto"/>
        </w:rPr>
        <w:t xml:space="preserve"> was used to get a comprehensive ranking of HKGs.</w:t>
      </w:r>
    </w:p>
    <w:p>
      <w:pPr>
        <w:pStyle w:val="54"/>
        <w:spacing w:before="240"/>
        <w:rPr>
          <w:color w:val="auto"/>
        </w:rPr>
      </w:pPr>
      <w:r>
        <w:rPr>
          <w:color w:val="auto"/>
        </w:rPr>
        <w:t>2.7. Validation of HKGs</w:t>
      </w:r>
    </w:p>
    <w:p>
      <w:pPr>
        <w:pStyle w:val="35"/>
        <w:rPr>
          <w:color w:val="auto"/>
        </w:rPr>
      </w:pPr>
      <w:r>
        <w:rPr>
          <w:color w:val="auto"/>
        </w:rPr>
        <w:t xml:space="preserve">For validating the HKGs stability results, the expression profiles of 3 well known goat uterus caruncle genes, viz. </w:t>
      </w:r>
      <w:r>
        <w:rPr>
          <w:i/>
          <w:iCs/>
          <w:color w:val="auto"/>
        </w:rPr>
        <w:t>VEGFA</w:t>
      </w:r>
      <w:r>
        <w:rPr>
          <w:color w:val="auto"/>
        </w:rPr>
        <w:t xml:space="preserve">, </w:t>
      </w:r>
      <w:r>
        <w:rPr>
          <w:i/>
          <w:iCs/>
          <w:color w:val="auto"/>
        </w:rPr>
        <w:t>PAG8</w:t>
      </w:r>
      <w:r>
        <w:rPr>
          <w:color w:val="auto"/>
        </w:rPr>
        <w:t xml:space="preserve">, and </w:t>
      </w:r>
      <w:r>
        <w:rPr>
          <w:i/>
          <w:iCs/>
          <w:color w:val="auto"/>
        </w:rPr>
        <w:t>SPP1</w:t>
      </w:r>
      <w:r>
        <w:rPr>
          <w:color w:val="auto"/>
        </w:rPr>
        <w:t xml:space="preserve"> were investigated by performing qRT-PCR analysis of cDNA samples, in the same way as stated above. The expression levels of target genes were normalized using the 2</w:t>
      </w:r>
      <w:r>
        <w:rPr>
          <w:color w:val="auto"/>
          <w:vertAlign w:val="superscript"/>
        </w:rPr>
        <w:t>−∆∆CT</w:t>
      </w:r>
      <w:r>
        <w:rPr>
          <w:color w:val="auto"/>
        </w:rPr>
        <w:t xml:space="preserve"> method</w:t>
      </w:r>
      <w:r>
        <w:rPr>
          <w:color w:val="auto"/>
        </w:rPr>
        <w:fldChar w:fldCharType="begin"/>
      </w:r>
      <w:r>
        <w:rPr>
          <w:color w:val="auto"/>
        </w:rPr>
        <w:instrText xml:space="preserve"> ADDIN EN.CITE &lt;EndNote&gt;&lt;Cite&gt;&lt;Author&gt;Livak&lt;/Author&gt;&lt;Year&gt;2001&lt;/Year&gt;&lt;RecNum&gt;25&lt;/RecNum&gt;&lt;DisplayText&gt;&lt;style size="10"&gt;[23]&lt;/style&gt;&lt;/DisplayText&gt;&lt;record&gt;&lt;rec-number&gt;25&lt;/rec-number&gt;&lt;foreign-keys&gt;&lt;key app="EN" db-id="xtrefar26vd5acefa9apfdwu2w9tsfax9pfe" timestamp="1626176302"&gt;25&lt;/key&gt;&lt;/foreign-keys&gt;&lt;ref-type name="Journal Article"&gt;17&lt;/ref-type&gt;&lt;contributors&gt;&lt;authors&gt;&lt;author&gt;Livak, K. J.&lt;/author&gt;&lt;author&gt;Schmittgen, T. D.&lt;/author&gt;&lt;/authors&gt;&lt;/contributors&gt;&lt;titles&gt;&lt;title&gt;Analysis of relative gene expression data using real-time quantitative PCR and the 2(T)(-Delta Delta C) method&lt;/title&gt;&lt;secondary-title&gt;Methods&lt;/secondary-title&gt;&lt;/titles&gt;&lt;periodical&gt;&lt;full-title&gt;Methods&lt;/full-title&gt;&lt;/periodical&gt;&lt;pages&gt;402-408&lt;/pages&gt;&lt;volume&gt;25&lt;/volume&gt;&lt;number&gt;4&lt;/number&gt;&lt;dates&gt;&lt;year&gt;2001&lt;/year&gt;&lt;pub-dates&gt;&lt;date&gt;Dec&lt;/date&gt;&lt;/pub-dates&gt;&lt;/dates&gt;&lt;isbn&gt;1046-2023&lt;/isbn&gt;&lt;accession-num&gt;WOS:000173949500003&lt;/accession-num&gt;&lt;urls&gt;&lt;related-urls&gt;&lt;url&gt;&amp;lt;Go to ISI&amp;gt;://WOS:000173949500003&lt;/url&gt;&lt;/related-urls&gt;&lt;/urls&gt;&lt;electronic-resource-num&gt;10.1006/meth.2001.1262&lt;/electronic-resource-num&gt;&lt;/record&gt;&lt;/Cite&gt;&lt;/EndNote&gt;</w:instrText>
      </w:r>
      <w:r>
        <w:rPr>
          <w:color w:val="auto"/>
        </w:rPr>
        <w:fldChar w:fldCharType="separate"/>
      </w:r>
      <w:r>
        <w:rPr>
          <w:color w:val="auto"/>
        </w:rPr>
        <w:t>[23]</w:t>
      </w:r>
      <w:r>
        <w:rPr>
          <w:color w:val="auto"/>
        </w:rPr>
        <w:fldChar w:fldCharType="end"/>
      </w:r>
      <w:r>
        <w:rPr>
          <w:color w:val="auto"/>
        </w:rPr>
        <w:t>. The primer details of these target caruncle genes have been given in the Supplemental Table S1.</w:t>
      </w:r>
    </w:p>
    <w:p>
      <w:pPr>
        <w:pStyle w:val="53"/>
        <w:rPr>
          <w:color w:val="auto"/>
        </w:rPr>
      </w:pPr>
      <w:r>
        <w:rPr>
          <w:color w:val="auto"/>
        </w:rPr>
        <w:t>3. Results</w:t>
      </w:r>
    </w:p>
    <w:p>
      <w:pPr>
        <w:pStyle w:val="54"/>
        <w:rPr>
          <w:color w:val="auto"/>
        </w:rPr>
      </w:pPr>
      <w:r>
        <w:rPr>
          <w:color w:val="auto"/>
        </w:rPr>
        <w:t>3.1. Selection of HKGs Using RNA-Seq Data.</w:t>
      </w:r>
    </w:p>
    <w:p>
      <w:pPr>
        <w:pStyle w:val="35"/>
        <w:rPr>
          <w:color w:val="auto"/>
        </w:rPr>
      </w:pPr>
      <w:r>
        <w:rPr>
          <w:color w:val="auto"/>
        </w:rPr>
        <w:t xml:space="preserve">Based on the FPKM value, the coefficient of variation (CV, %) and the maximum fold change (MFC), a total of 383 HKGs we obtained (Figure 2). KEGG (Kyoto Encyclopedia of Genes and Genomes) enrichment analysis indicated that most HKGs were involved in </w:t>
      </w:r>
      <w:r>
        <w:rPr>
          <w:rFonts w:eastAsia="等线"/>
          <w:color w:val="auto"/>
          <w:lang w:bidi="ar"/>
        </w:rPr>
        <w:t>the ribosome and lysosome pathways</w:t>
      </w:r>
      <w:r>
        <w:rPr>
          <w:color w:val="auto"/>
        </w:rPr>
        <w:t xml:space="preserve"> (Figure S1). F</w:t>
      </w:r>
      <w:r>
        <w:rPr>
          <w:rFonts w:hint="eastAsia" w:eastAsia="宋体"/>
          <w:color w:val="auto"/>
          <w:lang w:val="en-US" w:eastAsia="zh-CN"/>
        </w:rPr>
        <w:t>ive</w:t>
      </w:r>
      <w:r>
        <w:rPr>
          <w:color w:val="auto"/>
        </w:rPr>
        <w:t xml:space="preserve"> HKGs including </w:t>
      </w:r>
      <w:r>
        <w:rPr>
          <w:i/>
          <w:iCs/>
          <w:color w:val="auto"/>
        </w:rPr>
        <w:t>MORF4L1</w:t>
      </w:r>
      <w:r>
        <w:rPr>
          <w:color w:val="auto"/>
        </w:rPr>
        <w:t xml:space="preserve">, </w:t>
      </w:r>
      <w:r>
        <w:rPr>
          <w:i/>
          <w:iCs/>
          <w:color w:val="auto"/>
        </w:rPr>
        <w:t>HNRNPL</w:t>
      </w:r>
      <w:r>
        <w:rPr>
          <w:color w:val="auto"/>
        </w:rPr>
        <w:t xml:space="preserve">, </w:t>
      </w:r>
      <w:r>
        <w:rPr>
          <w:rFonts w:hint="eastAsia" w:eastAsia="宋体"/>
          <w:i/>
          <w:iCs/>
          <w:color w:val="auto"/>
          <w:lang w:val="en-US" w:eastAsia="zh-CN"/>
        </w:rPr>
        <w:t>PTPRA</w:t>
      </w:r>
      <w:r>
        <w:rPr>
          <w:rFonts w:hint="eastAsia" w:eastAsia="宋体"/>
          <w:color w:val="auto"/>
          <w:lang w:val="en-US" w:eastAsia="zh-CN"/>
        </w:rPr>
        <w:t xml:space="preserve">, </w:t>
      </w:r>
      <w:r>
        <w:rPr>
          <w:i/>
          <w:iCs/>
          <w:color w:val="auto"/>
        </w:rPr>
        <w:t>ARF1</w:t>
      </w:r>
      <w:r>
        <w:rPr>
          <w:color w:val="auto"/>
        </w:rPr>
        <w:t xml:space="preserve"> and </w:t>
      </w:r>
      <w:r>
        <w:rPr>
          <w:i/>
          <w:iCs/>
          <w:color w:val="auto"/>
        </w:rPr>
        <w:t>PPIB</w:t>
      </w:r>
      <w:r>
        <w:rPr>
          <w:color w:val="auto"/>
        </w:rPr>
        <w:t xml:space="preserve"> were selected for further validation. </w:t>
      </w:r>
      <w:r>
        <w:rPr>
          <w:rFonts w:hint="eastAsia" w:eastAsia="宋体"/>
          <w:color w:val="auto"/>
          <w:lang w:eastAsia="zh-CN"/>
        </w:rPr>
        <w:t>W</w:t>
      </w:r>
      <w:r>
        <w:rPr>
          <w:color w:val="auto"/>
        </w:rPr>
        <w:t xml:space="preserve">e </w:t>
      </w:r>
      <w:r>
        <w:rPr>
          <w:rFonts w:hint="eastAsia" w:eastAsia="宋体"/>
          <w:color w:val="auto"/>
          <w:lang w:eastAsia="zh-CN"/>
        </w:rPr>
        <w:t>acquired</w:t>
      </w:r>
      <w:r>
        <w:rPr>
          <w:color w:val="auto"/>
        </w:rPr>
        <w:t xml:space="preserve"> several HKGs from </w:t>
      </w:r>
      <w:r>
        <w:rPr>
          <w:rFonts w:hint="eastAsia" w:eastAsia="宋体"/>
          <w:color w:val="auto"/>
          <w:lang w:eastAsia="zh-CN"/>
        </w:rPr>
        <w:t>prior</w:t>
      </w:r>
      <w:r>
        <w:rPr>
          <w:color w:val="auto"/>
        </w:rPr>
        <w:t xml:space="preserve"> studies</w:t>
      </w:r>
      <w:r>
        <w:rPr>
          <w:color w:val="auto"/>
        </w:rPr>
        <w:fldChar w:fldCharType="begin"/>
      </w:r>
      <w:r>
        <w:rPr>
          <w:color w:val="auto"/>
        </w:rPr>
        <w:instrText xml:space="preserve"> ADDIN EN.CITE &lt;EndNote&gt;&lt;Cite&gt;&lt;Author&gt;Bonnet&lt;/Author&gt;&lt;Year&gt;2013&lt;/Year&gt;&lt;RecNum&gt;26&lt;/RecNum&gt;&lt;DisplayText&gt;&lt;style size="10"&gt;[21]&lt;/style&gt;&lt;/DisplayText&gt;&lt;record&gt;&lt;rec-number&gt;26&lt;/rec-number&gt;&lt;foreign-keys&gt;&lt;key app="EN" db-id="xtrefar26vd5acefa9apfdwu2w9tsfax9pfe" timestamp="1677931233"&gt;26&lt;/key&gt;&lt;/foreign-keys&gt;&lt;ref-type name="Journal Article"&gt;17&lt;/ref-type&gt;&lt;contributors&gt;&lt;authors&gt;&lt;author&gt;Bonnet, M.&lt;/author&gt;&lt;author&gt;Bernard, L.&lt;/author&gt;&lt;author&gt;Bes, S.&lt;/author&gt;&lt;author&gt;Leroux, C.&lt;/author&gt;&lt;/authors&gt;&lt;/contributors&gt;&lt;titles&gt;&lt;title&gt;Selection of reference genes for quantitative real-time PCR normalisation in adipose tissue, muscle, liver and mammary gland from ruminants&lt;/title&gt;&lt;secondary-title&gt;Animal&lt;/secondary-title&gt;&lt;/titles&gt;&lt;periodical&gt;&lt;full-title&gt;Animal&lt;/full-title&gt;&lt;/periodical&gt;&lt;pages&gt;1344-1353&lt;/pages&gt;&lt;volume&gt;7&lt;/volume&gt;&lt;number&gt;8&lt;/number&gt;&lt;dates&gt;&lt;year&gt;2013&lt;/year&gt;&lt;pub-dates&gt;&lt;date&gt;Aug&lt;/date&gt;&lt;/pub-dates&gt;&lt;/dates&gt;&lt;isbn&gt;1751-7311&lt;/isbn&gt;&lt;accession-num&gt;WOS:000321220800015&lt;/accession-num&gt;&lt;urls&gt;&lt;related-urls&gt;&lt;url&gt;&amp;lt;Go to ISI&amp;gt;://WOS:000321220800015&lt;/url&gt;&lt;/related-urls&gt;&lt;/urls&gt;&lt;electronic-resource-num&gt;10.1017/s1751731113000475&lt;/electronic-resource-num&gt;&lt;/record&gt;&lt;/Cite&gt;&lt;/EndNote&gt;</w:instrText>
      </w:r>
      <w:r>
        <w:rPr>
          <w:color w:val="auto"/>
        </w:rPr>
        <w:fldChar w:fldCharType="separate"/>
      </w:r>
      <w:r>
        <w:rPr>
          <w:color w:val="auto"/>
        </w:rPr>
        <w:t>[21]</w:t>
      </w:r>
      <w:r>
        <w:rPr>
          <w:color w:val="auto"/>
        </w:rPr>
        <w:fldChar w:fldCharType="end"/>
      </w:r>
      <w:r>
        <w:rPr>
          <w:color w:val="auto"/>
        </w:rPr>
        <w:t xml:space="preserve">and HKGs of </w:t>
      </w:r>
      <w:r>
        <w:rPr>
          <w:rFonts w:hint="eastAsia" w:eastAsia="宋体"/>
          <w:color w:val="auto"/>
          <w:lang w:eastAsia="zh-CN"/>
        </w:rPr>
        <w:t>widely</w:t>
      </w:r>
      <w:r>
        <w:rPr>
          <w:color w:val="auto"/>
        </w:rPr>
        <w:t xml:space="preserve"> used</w:t>
      </w:r>
      <w:r>
        <w:rPr>
          <w:rFonts w:hint="eastAsia" w:eastAsia="宋体"/>
          <w:color w:val="auto"/>
          <w:lang w:eastAsia="zh-CN"/>
        </w:rPr>
        <w:t xml:space="preserve"> genes</w:t>
      </w:r>
      <w:r>
        <w:rPr>
          <w:color w:val="auto"/>
        </w:rPr>
        <w:t xml:space="preserve"> (</w:t>
      </w:r>
      <w:r>
        <w:rPr>
          <w:i/>
          <w:iCs/>
          <w:color w:val="auto"/>
        </w:rPr>
        <w:t>GAPDH</w:t>
      </w:r>
      <w:r>
        <w:rPr>
          <w:color w:val="auto"/>
        </w:rPr>
        <w:t xml:space="preserve">, </w:t>
      </w:r>
      <w:r>
        <w:rPr>
          <w:i/>
          <w:iCs/>
          <w:color w:val="auto"/>
        </w:rPr>
        <w:t>SDHA</w:t>
      </w:r>
      <w:r>
        <w:rPr>
          <w:color w:val="auto"/>
        </w:rPr>
        <w:t xml:space="preserve">, </w:t>
      </w:r>
      <w:r>
        <w:rPr>
          <w:i/>
          <w:iCs/>
          <w:color w:val="auto"/>
        </w:rPr>
        <w:t>ACTB</w:t>
      </w:r>
      <w:r>
        <w:rPr>
          <w:color w:val="auto"/>
        </w:rPr>
        <w:t xml:space="preserve">, </w:t>
      </w:r>
      <w:r>
        <w:rPr>
          <w:i/>
          <w:iCs/>
          <w:color w:val="auto"/>
        </w:rPr>
        <w:t xml:space="preserve">YWHAZ </w:t>
      </w:r>
      <w:r>
        <w:rPr>
          <w:color w:val="auto"/>
        </w:rPr>
        <w:t xml:space="preserve">and </w:t>
      </w:r>
      <w:r>
        <w:rPr>
          <w:i/>
          <w:iCs/>
          <w:color w:val="auto"/>
        </w:rPr>
        <w:t>18S</w:t>
      </w:r>
      <w:r>
        <w:rPr>
          <w:color w:val="auto"/>
        </w:rPr>
        <w:t>)</w:t>
      </w:r>
      <w:r>
        <w:rPr>
          <w:rFonts w:hint="eastAsia" w:eastAsia="宋体"/>
          <w:color w:val="auto"/>
          <w:lang w:eastAsia="zh-CN"/>
        </w:rPr>
        <w:t xml:space="preserve"> in addition to genes chosen from transcriptome sequencing data</w:t>
      </w:r>
      <w:r>
        <w:rPr>
          <w:color w:val="auto"/>
        </w:rPr>
        <w:t>. Table 1</w:t>
      </w:r>
      <w:r>
        <w:rPr>
          <w:rFonts w:hint="eastAsia" w:eastAsia="宋体"/>
          <w:color w:val="auto"/>
          <w:lang w:eastAsia="zh-CN"/>
        </w:rPr>
        <w:t xml:space="preserve"> contains all the details of the HKGs we opted from transcriptome data for our research</w:t>
      </w:r>
      <w:r>
        <w:rPr>
          <w:color w:val="auto"/>
        </w:rPr>
        <w:t>.</w:t>
      </w:r>
    </w:p>
    <w:p>
      <w:pPr>
        <w:pStyle w:val="48"/>
        <w:rPr>
          <w:color w:val="auto"/>
        </w:rPr>
      </w:pPr>
    </w:p>
    <w:p>
      <w:pPr>
        <w:pStyle w:val="48"/>
        <w:ind w:left="2608"/>
        <w:jc w:val="left"/>
        <w:rPr>
          <w:color w:val="auto"/>
        </w:rPr>
      </w:pPr>
      <w:r>
        <w:rPr>
          <w:lang w:eastAsia="zh-CN" w:bidi="ar-SA"/>
        </w:rPr>
        <w:drawing>
          <wp:inline distT="0" distB="0" distL="114300" distR="114300">
            <wp:extent cx="4312920" cy="3573780"/>
            <wp:effectExtent l="0" t="0" r="0" b="762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4312920" cy="3573780"/>
                    </a:xfrm>
                    <a:prstGeom prst="rect">
                      <a:avLst/>
                    </a:prstGeom>
                    <a:noFill/>
                    <a:ln>
                      <a:noFill/>
                    </a:ln>
                  </pic:spPr>
                </pic:pic>
              </a:graphicData>
            </a:graphic>
          </wp:inline>
        </w:drawing>
      </w:r>
    </w:p>
    <w:p>
      <w:pPr>
        <w:pStyle w:val="47"/>
        <w:rPr>
          <w:color w:val="auto"/>
        </w:rPr>
      </w:pPr>
      <w:r>
        <w:rPr>
          <w:b/>
        </w:rPr>
        <w:t xml:space="preserve">Figure 2. </w:t>
      </w:r>
      <w:r>
        <w:t>The Venn diagram analysis of overlap genes in FPKM, MFC and CV. The arrow indicated the candidate reference genes screened by the transcriptome data.</w:t>
      </w:r>
    </w:p>
    <w:p>
      <w:pPr>
        <w:pStyle w:val="54"/>
        <w:spacing w:before="240"/>
        <w:rPr>
          <w:color w:val="auto"/>
        </w:rPr>
      </w:pPr>
      <w:r>
        <w:rPr>
          <w:color w:val="auto"/>
        </w:rPr>
        <w:t>3.2. Amplification Specificity and Efficiency of the HKGs and Target Genes.</w:t>
      </w:r>
    </w:p>
    <w:p>
      <w:pPr>
        <w:pStyle w:val="35"/>
        <w:rPr>
          <w:color w:val="auto"/>
        </w:rPr>
      </w:pPr>
      <w:r>
        <w:rPr>
          <w:color w:val="auto"/>
        </w:rPr>
        <w:t>A total of 25 primer pairs including 22 HKGs and 3 target genes were designed for qRT-PCR experiment. The specificity for each paired primer was validated by the melting curve analysis, which showed a single amplification peak (Figure S2). Each pair of primers had good specificity and amplification efficiency around 100%.</w:t>
      </w:r>
    </w:p>
    <w:p>
      <w:pPr>
        <w:pStyle w:val="54"/>
        <w:spacing w:before="240"/>
        <w:rPr>
          <w:color w:val="auto"/>
        </w:rPr>
      </w:pPr>
      <w:r>
        <w:rPr>
          <w:color w:val="auto"/>
        </w:rPr>
        <w:t xml:space="preserve">3.3. Expression Profiling of the HKGs. </w:t>
      </w:r>
    </w:p>
    <w:p>
      <w:pPr>
        <w:pStyle w:val="35"/>
        <w:rPr>
          <w:color w:val="auto"/>
        </w:rPr>
      </w:pPr>
      <w:r>
        <w:rPr>
          <w:color w:val="auto"/>
        </w:rPr>
        <w:t xml:space="preserve">The expression of 22 HKGs was assayed in sample of caruncle. The distribution of the mean Ct values (the average of 3 technical replicates in the same sample) is displayed in Figure 3a. The mean Ct values range from 19.80 to 32.87. We selected genes with the mean Ct value lower than 28 for our subsequent analysis. In other words, HKGs whose mean Ct value over than 28 including </w:t>
      </w:r>
      <w:r>
        <w:rPr>
          <w:i/>
          <w:iCs/>
          <w:color w:val="auto"/>
        </w:rPr>
        <w:t>POLR2A</w:t>
      </w:r>
      <w:r>
        <w:rPr>
          <w:color w:val="auto"/>
        </w:rPr>
        <w:t xml:space="preserve">, </w:t>
      </w:r>
      <w:r>
        <w:rPr>
          <w:i/>
          <w:iCs/>
          <w:color w:val="auto"/>
        </w:rPr>
        <w:t>TBP</w:t>
      </w:r>
      <w:r>
        <w:rPr>
          <w:color w:val="auto"/>
        </w:rPr>
        <w:t xml:space="preserve">, </w:t>
      </w:r>
      <w:r>
        <w:rPr>
          <w:i/>
          <w:iCs/>
          <w:color w:val="auto"/>
        </w:rPr>
        <w:t>PTPRA</w:t>
      </w:r>
      <w:r>
        <w:rPr>
          <w:color w:val="auto"/>
        </w:rPr>
        <w:t xml:space="preserve">, </w:t>
      </w:r>
      <w:r>
        <w:rPr>
          <w:i/>
          <w:iCs/>
          <w:color w:val="auto"/>
        </w:rPr>
        <w:t>18S</w:t>
      </w:r>
      <w:r>
        <w:rPr>
          <w:color w:val="auto"/>
        </w:rPr>
        <w:t xml:space="preserve"> and </w:t>
      </w:r>
      <w:r>
        <w:rPr>
          <w:i/>
          <w:iCs/>
          <w:color w:val="auto"/>
        </w:rPr>
        <w:t xml:space="preserve">UBC </w:t>
      </w:r>
      <w:r>
        <w:rPr>
          <w:color w:val="auto"/>
        </w:rPr>
        <w:t>were excluded in further analysis. These findings suggest that gene expression varied from approximately 300 folds change compared to the mean gene expression of all 17 genes (Figure 3b).</w:t>
      </w:r>
    </w:p>
    <w:p>
      <w:pPr>
        <w:pStyle w:val="48"/>
        <w:rPr>
          <w:color w:val="auto"/>
        </w:rPr>
      </w:pPr>
      <w:r>
        <w:rPr>
          <w:color w:val="auto"/>
        </w:rPr>
        <w:drawing>
          <wp:inline distT="0" distB="0" distL="0" distR="0">
            <wp:extent cx="6645910" cy="2543810"/>
            <wp:effectExtent l="0" t="0" r="2540" b="8890"/>
            <wp:docPr id="244250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50140" name="图片 1"/>
                    <pic:cNvPicPr>
                      <a:picLocks noChangeAspect="1"/>
                    </pic:cNvPicPr>
                  </pic:nvPicPr>
                  <pic:blipFill>
                    <a:blip r:embed="rId13"/>
                    <a:stretch>
                      <a:fillRect/>
                    </a:stretch>
                  </pic:blipFill>
                  <pic:spPr>
                    <a:xfrm>
                      <a:off x="0" y="0"/>
                      <a:ext cx="6645910" cy="2543810"/>
                    </a:xfrm>
                    <a:prstGeom prst="rect">
                      <a:avLst/>
                    </a:prstGeom>
                  </pic:spPr>
                </pic:pic>
              </a:graphicData>
            </a:graphic>
          </wp:inline>
        </w:drawing>
      </w:r>
    </w:p>
    <w:p>
      <w:pPr>
        <w:pStyle w:val="47"/>
        <w:rPr>
          <w:color w:val="auto"/>
        </w:rPr>
      </w:pPr>
      <w:r>
        <w:rPr>
          <w:b/>
        </w:rPr>
        <w:t xml:space="preserve">Figure 3. </w:t>
      </w:r>
      <w:r>
        <w:t xml:space="preserve">RT-qPCR of Dazu Black goat caruncle samples to analyze 22 candidate genes. a) Ct values are displayed as mean of 3 repeated analyses of control samples. The black line at Ct value= 28 represents the threshold set to include only candidates exhibiting moderate abundance for further analysis. b) Bar chart of relative gene expression of control genes in the caruncle. Means of 3 control samples were normalized to the geometric mean of all gene candidates and the </w:t>
      </w:r>
      <w:r>
        <w:rPr>
          <w:rFonts w:ascii="Cambria Math" w:hAnsi="Cambria Math" w:cs="Cambria Math"/>
        </w:rPr>
        <w:t>△△</w:t>
      </w:r>
      <w:r>
        <w:t>Ct method was used to calculate erelative expression (fold change).</w:t>
      </w:r>
    </w:p>
    <w:p>
      <w:pPr>
        <w:pStyle w:val="54"/>
        <w:spacing w:before="240"/>
      </w:pPr>
      <w:r>
        <w:rPr>
          <w:color w:val="auto"/>
        </w:rPr>
        <w:t>3.4. Stability Analysis of HKGs</w:t>
      </w:r>
      <w:r>
        <w:rPr>
          <w:rFonts w:hint="eastAsia" w:eastAsiaTheme="minorEastAsia"/>
          <w:color w:val="auto"/>
          <w:lang w:eastAsia="zh-CN"/>
        </w:rPr>
        <w:t xml:space="preserve"> by</w:t>
      </w:r>
      <w:r>
        <w:rPr>
          <w:color w:val="auto"/>
        </w:rPr>
        <w:t xml:space="preserve"> Four algorithms.</w:t>
      </w:r>
    </w:p>
    <w:p>
      <w:pPr>
        <w:pStyle w:val="52"/>
        <w:spacing w:before="240"/>
        <w:rPr>
          <w:color w:val="auto"/>
        </w:rPr>
      </w:pPr>
      <w:r>
        <w:rPr>
          <w:color w:val="auto"/>
        </w:rPr>
        <w:t>3.4.1. Expression Stability of the HKGs by Delta Ct Analysis.</w:t>
      </w:r>
    </w:p>
    <w:p>
      <w:pPr>
        <w:pStyle w:val="35"/>
        <w:rPr>
          <w:color w:val="auto"/>
        </w:rPr>
      </w:pPr>
      <w:r>
        <w:rPr>
          <w:rFonts w:hint="eastAsia" w:eastAsiaTheme="minorEastAsia"/>
          <w:color w:val="auto"/>
          <w:lang w:eastAsia="zh-CN"/>
        </w:rPr>
        <w:t>By</w:t>
      </w:r>
      <w:r>
        <w:rPr>
          <w:color w:val="auto"/>
        </w:rPr>
        <w:t xml:space="preserve"> Delta Ct method, </w:t>
      </w:r>
      <w:r>
        <w:rPr>
          <w:rFonts w:hint="eastAsia" w:eastAsiaTheme="minorEastAsia"/>
          <w:color w:val="auto"/>
          <w:lang w:eastAsia="zh-CN"/>
        </w:rPr>
        <w:t xml:space="preserve">the </w:t>
      </w:r>
      <w:r>
        <w:rPr>
          <w:rFonts w:eastAsiaTheme="minorEastAsia"/>
          <w:color w:val="auto"/>
          <w:lang w:eastAsia="zh-CN"/>
        </w:rPr>
        <w:t xml:space="preserve">gene stability was evaluated by </w:t>
      </w:r>
      <w:r>
        <w:rPr>
          <w:color w:val="auto"/>
        </w:rPr>
        <w:t>the std-value</w:t>
      </w:r>
      <w:r>
        <w:rPr>
          <w:rFonts w:eastAsiaTheme="minorEastAsia"/>
          <w:color w:val="auto"/>
          <w:lang w:eastAsia="zh-CN"/>
        </w:rPr>
        <w:t xml:space="preserve"> </w:t>
      </w:r>
      <w:r>
        <w:rPr>
          <w:rFonts w:hint="eastAsia" w:eastAsiaTheme="minorEastAsia"/>
          <w:color w:val="auto"/>
          <w:lang w:eastAsia="zh-CN"/>
        </w:rPr>
        <w:t xml:space="preserve">shown in Table 2. At </w:t>
      </w:r>
      <w:r>
        <w:rPr>
          <w:color w:val="auto"/>
        </w:rPr>
        <w:t xml:space="preserve">stage 1, </w:t>
      </w:r>
      <w:r>
        <w:rPr>
          <w:i/>
          <w:iCs/>
          <w:color w:val="auto"/>
        </w:rPr>
        <w:t>PPIB</w:t>
      </w:r>
      <w:r>
        <w:rPr>
          <w:color w:val="auto"/>
        </w:rPr>
        <w:t xml:space="preserve">, a HKG we selected from RNA-seq data, performed the best stability. However, it failed to be the most stable gene in other stages of all uterus caruncle samples while </w:t>
      </w:r>
      <w:r>
        <w:rPr>
          <w:i/>
          <w:iCs/>
          <w:color w:val="auto"/>
        </w:rPr>
        <w:t xml:space="preserve">EIF3K </w:t>
      </w:r>
      <w:r>
        <w:rPr>
          <w:color w:val="auto"/>
        </w:rPr>
        <w:t xml:space="preserve">to be. Additionally, the other three HKGs selected from RNA-seq data (ie, </w:t>
      </w:r>
      <w:r>
        <w:rPr>
          <w:i/>
          <w:iCs/>
          <w:color w:val="auto"/>
        </w:rPr>
        <w:t>MORF4L1</w:t>
      </w:r>
      <w:r>
        <w:rPr>
          <w:color w:val="auto"/>
        </w:rPr>
        <w:t xml:space="preserve">, </w:t>
      </w:r>
      <w:r>
        <w:rPr>
          <w:i/>
          <w:iCs/>
          <w:color w:val="auto"/>
        </w:rPr>
        <w:t>HNRNPL</w:t>
      </w:r>
      <w:r>
        <w:rPr>
          <w:color w:val="auto"/>
        </w:rPr>
        <w:t xml:space="preserve"> and </w:t>
      </w:r>
      <w:r>
        <w:rPr>
          <w:i/>
          <w:iCs/>
          <w:color w:val="auto"/>
        </w:rPr>
        <w:t>ARF1</w:t>
      </w:r>
      <w:r>
        <w:rPr>
          <w:color w:val="auto"/>
        </w:rPr>
        <w:t xml:space="preserve">) did not perform good stability. </w:t>
      </w:r>
    </w:p>
    <w:p>
      <w:pPr>
        <w:pStyle w:val="35"/>
        <w:jc w:val="center"/>
        <w:rPr>
          <w:color w:val="auto"/>
        </w:rPr>
      </w:pPr>
    </w:p>
    <w:p>
      <w:pPr>
        <w:pStyle w:val="52"/>
        <w:spacing w:before="240"/>
        <w:rPr>
          <w:color w:val="auto"/>
        </w:rPr>
      </w:pPr>
      <w:r>
        <w:rPr>
          <w:color w:val="auto"/>
        </w:rPr>
        <w:t>3.4.2. Expression Stability of the HKGs by BestKeeper Analysis.</w:t>
      </w:r>
    </w:p>
    <w:p>
      <w:pPr>
        <w:pStyle w:val="35"/>
        <w:rPr>
          <w:rFonts w:eastAsia="宋体"/>
          <w:color w:val="auto"/>
          <w:lang w:eastAsia="zh-CN"/>
        </w:rPr>
      </w:pPr>
      <w:r>
        <w:rPr>
          <w:color w:val="auto"/>
        </w:rPr>
        <w:t xml:space="preserve">The BestKeeper algorithm determines the best HKGs based on the principle that the expression of good HKGs is highly correlated and constructs a correlative index out of it, which is then compared with the target genes to reach a conclusion whether or not the reference genes are regulated. </w:t>
      </w:r>
      <w:r>
        <w:rPr>
          <w:i/>
          <w:iCs/>
          <w:color w:val="auto"/>
        </w:rPr>
        <w:t>EIF3K</w:t>
      </w:r>
      <w:r>
        <w:rPr>
          <w:color w:val="auto"/>
        </w:rPr>
        <w:t xml:space="preserve"> was predicted to be </w:t>
      </w:r>
      <w:r>
        <w:rPr>
          <w:rFonts w:hint="eastAsia" w:eastAsia="宋体"/>
          <w:color w:val="auto"/>
          <w:lang w:eastAsia="zh-CN"/>
        </w:rPr>
        <w:t xml:space="preserve">the </w:t>
      </w:r>
      <w:r>
        <w:rPr>
          <w:color w:val="auto"/>
        </w:rPr>
        <w:t xml:space="preserve">most stable among stage 2, stage 3 and overall samples by the BestKeeper algorithm with the stability value (standard deviation) of 0.46, 0.36 and 0.46, respectively (Table 3). The </w:t>
      </w:r>
      <w:bookmarkStart w:id="15" w:name="OLE_LINK1"/>
      <w:r>
        <w:rPr>
          <w:color w:val="auto"/>
        </w:rPr>
        <w:t>cut-off value</w:t>
      </w:r>
      <w:bookmarkEnd w:id="15"/>
      <w:r>
        <w:rPr>
          <w:color w:val="auto"/>
        </w:rPr>
        <w:t xml:space="preserve"> for this stability measure is 1, below which all the genes are deemed to be stably expressed</w:t>
      </w:r>
      <w:r>
        <w:rPr>
          <w:color w:val="auto"/>
        </w:rPr>
        <w:fldChar w:fldCharType="begin"/>
      </w:r>
      <w:r>
        <w:rPr>
          <w:color w:val="auto"/>
        </w:rPr>
        <w:instrText xml:space="preserve"> ADDIN EN.CITE &lt;EndNote&gt;&lt;Cite&gt;&lt;Author&gt;Pfaffl&lt;/Author&gt;&lt;Year&gt;2004&lt;/Year&gt;&lt;RecNum&gt;19&lt;/RecNum&gt;&lt;DisplayText&gt;&lt;style size="10"&gt;[9]&lt;/style&gt;&lt;/DisplayText&gt;&lt;record&gt;&lt;rec-number&gt;19&lt;/rec-number&gt;&lt;foreign-keys&gt;&lt;key app="EN" db-id="xtrefar26vd5acefa9apfdwu2w9tsfax9pfe" timestamp="1626164961"&gt;19&lt;/key&gt;&lt;/foreign-keys&gt;&lt;ref-type name="Journal Article"&gt;17&lt;/ref-type&gt;&lt;contributors&gt;&lt;authors&gt;&lt;author&gt;Pfaffl, M. W.&lt;/author&gt;&lt;author&gt;Tichopad, A.&lt;/author&gt;&lt;author&gt;Prgomet, C.&lt;/author&gt;&lt;author&gt;Neuvians, T. P.&lt;/author&gt;&lt;/authors&gt;&lt;/contributors&gt;&lt;titles&gt;&lt;title&gt;Determination of stable housekeeping genes, differentially regulated target genes and sample integrity: BestKeeper - Excel-based tool using pair-wise correlations&lt;/title&gt;&lt;secondary-title&gt;Biotechnology Letters&lt;/secondary-title&gt;&lt;/titles&gt;&lt;periodical&gt;&lt;full-title&gt;Biotechnology Letters&lt;/full-title&gt;&lt;/periodical&gt;&lt;pages&gt;509-515&lt;/pages&gt;&lt;volume&gt;26&lt;/volume&gt;&lt;number&gt;6&lt;/number&gt;&lt;dates&gt;&lt;year&gt;2004&lt;/year&gt;&lt;pub-dates&gt;&lt;date&gt;Mar&lt;/date&gt;&lt;/pub-dates&gt;&lt;/dates&gt;&lt;isbn&gt;0141-5492&lt;/isbn&gt;&lt;accession-num&gt;WOS:000220217900008&lt;/accession-num&gt;&lt;urls&gt;&lt;related-urls&gt;&lt;url&gt;&amp;lt;Go to ISI&amp;gt;://WOS:000220217900008&lt;/url&gt;&lt;/related-urls&gt;&lt;/urls&gt;&lt;electronic-resource-num&gt;10.1023/b:bile.0000019559.84305.47&lt;/electronic-resource-num&gt;&lt;/record&gt;&lt;/Cite&gt;&lt;/EndNote&gt;</w:instrText>
      </w:r>
      <w:r>
        <w:rPr>
          <w:color w:val="auto"/>
        </w:rPr>
        <w:fldChar w:fldCharType="separate"/>
      </w:r>
      <w:r>
        <w:rPr>
          <w:color w:val="auto"/>
        </w:rPr>
        <w:t>[9]</w:t>
      </w:r>
      <w:r>
        <w:rPr>
          <w:color w:val="auto"/>
        </w:rPr>
        <w:fldChar w:fldCharType="end"/>
      </w:r>
      <w:r>
        <w:rPr>
          <w:color w:val="auto"/>
        </w:rPr>
        <w:t xml:space="preserve">; this was the case for all the genes investigated in stage 1 of our study. However, 4 and 3 </w:t>
      </w:r>
      <w:r>
        <w:rPr>
          <w:rFonts w:hint="eastAsia" w:eastAsia="宋体"/>
          <w:color w:val="auto"/>
          <w:lang w:eastAsia="zh-CN"/>
        </w:rPr>
        <w:t xml:space="preserve">out </w:t>
      </w:r>
      <w:r>
        <w:rPr>
          <w:color w:val="auto"/>
        </w:rPr>
        <w:t xml:space="preserve">of </w:t>
      </w:r>
      <w:r>
        <w:rPr>
          <w:rFonts w:hint="eastAsia" w:eastAsia="宋体"/>
          <w:color w:val="auto"/>
          <w:lang w:eastAsia="zh-CN"/>
        </w:rPr>
        <w:t>the total of</w:t>
      </w:r>
      <w:r>
        <w:rPr>
          <w:color w:val="auto"/>
        </w:rPr>
        <w:t xml:space="preserve"> 17 HKGs </w:t>
      </w:r>
      <w:r>
        <w:rPr>
          <w:rFonts w:hint="eastAsia" w:eastAsia="宋体"/>
          <w:color w:val="auto"/>
          <w:lang w:eastAsia="zh-CN"/>
        </w:rPr>
        <w:t>displayed</w:t>
      </w:r>
      <w:r>
        <w:rPr>
          <w:color w:val="auto"/>
        </w:rPr>
        <w:t xml:space="preserve"> </w:t>
      </w:r>
      <w:r>
        <w:rPr>
          <w:rFonts w:hint="eastAsia" w:eastAsia="宋体"/>
          <w:color w:val="auto"/>
          <w:lang w:eastAsia="zh-CN"/>
        </w:rPr>
        <w:t>instability</w:t>
      </w:r>
      <w:r>
        <w:rPr>
          <w:color w:val="auto"/>
        </w:rPr>
        <w:t xml:space="preserve"> in stage 2 and stage 3</w:t>
      </w:r>
      <w:r>
        <w:rPr>
          <w:rFonts w:hint="eastAsia" w:eastAsia="宋体"/>
          <w:color w:val="auto"/>
          <w:lang w:eastAsia="zh-CN"/>
        </w:rPr>
        <w:t>, respectively, with</w:t>
      </w:r>
      <w:r>
        <w:rPr>
          <w:color w:val="auto"/>
        </w:rPr>
        <w:t xml:space="preserve"> stability values </w:t>
      </w:r>
      <w:r>
        <w:rPr>
          <w:rFonts w:hint="eastAsia" w:eastAsia="宋体"/>
          <w:color w:val="auto"/>
          <w:lang w:eastAsia="zh-CN"/>
        </w:rPr>
        <w:t>greater</w:t>
      </w:r>
      <w:r>
        <w:rPr>
          <w:color w:val="auto"/>
        </w:rPr>
        <w:t xml:space="preserve"> than 1. </w:t>
      </w:r>
      <w:r>
        <w:rPr>
          <w:rFonts w:hint="eastAsia" w:eastAsia="宋体"/>
          <w:color w:val="auto"/>
          <w:lang w:eastAsia="zh-CN"/>
        </w:rPr>
        <w:t>Furthermore</w:t>
      </w:r>
      <w:r>
        <w:rPr>
          <w:color w:val="auto"/>
        </w:rPr>
        <w:t xml:space="preserve">, when </w:t>
      </w:r>
      <w:r>
        <w:rPr>
          <w:rFonts w:hint="eastAsia" w:eastAsia="宋体"/>
          <w:color w:val="auto"/>
          <w:lang w:eastAsia="zh-CN"/>
        </w:rPr>
        <w:t>every phase was taken</w:t>
      </w:r>
      <w:r>
        <w:rPr>
          <w:color w:val="auto"/>
        </w:rPr>
        <w:t xml:space="preserve"> into </w:t>
      </w:r>
      <w:r>
        <w:rPr>
          <w:rFonts w:hint="eastAsia" w:eastAsia="宋体"/>
          <w:color w:val="auto"/>
          <w:lang w:eastAsia="zh-CN"/>
        </w:rPr>
        <w:t xml:space="preserve">account, </w:t>
      </w:r>
      <w:r>
        <w:rPr>
          <w:color w:val="auto"/>
        </w:rPr>
        <w:t>6 HKGs were unstable</w:t>
      </w:r>
      <w:r>
        <w:rPr>
          <w:rFonts w:hint="eastAsia" w:eastAsia="宋体"/>
          <w:color w:val="auto"/>
          <w:lang w:eastAsia="zh-CN"/>
        </w:rPr>
        <w:t>.</w:t>
      </w:r>
    </w:p>
    <w:p>
      <w:pPr>
        <w:pStyle w:val="35"/>
        <w:rPr>
          <w:color w:val="auto"/>
        </w:rPr>
      </w:pPr>
    </w:p>
    <w:p>
      <w:pPr>
        <w:pStyle w:val="52"/>
        <w:spacing w:before="240"/>
        <w:rPr>
          <w:color w:val="auto"/>
        </w:rPr>
      </w:pPr>
      <w:r>
        <w:rPr>
          <w:color w:val="auto"/>
        </w:rPr>
        <w:t>3.4.3. Expression Stability of the HKGs by NormFinder Analysis.</w:t>
      </w:r>
    </w:p>
    <w:p>
      <w:pPr>
        <w:pStyle w:val="35"/>
        <w:rPr>
          <w:color w:val="auto"/>
        </w:rPr>
      </w:pPr>
      <w:r>
        <w:rPr>
          <w:color w:val="auto"/>
        </w:rPr>
        <w:t xml:space="preserve">Expression stability values which determined by NormFinder algorithm, are shown in Table 4. In stage 1, </w:t>
      </w:r>
      <w:r>
        <w:rPr>
          <w:i/>
          <w:iCs/>
          <w:color w:val="auto"/>
        </w:rPr>
        <w:t>PPIB</w:t>
      </w:r>
      <w:r>
        <w:rPr>
          <w:color w:val="auto"/>
        </w:rPr>
        <w:t xml:space="preserve"> selected from RNA-seq data performed the best stability again, which is the same as the result presented in the Delta Ct method. In stage2 and stage 3, </w:t>
      </w:r>
      <w:r>
        <w:rPr>
          <w:i/>
          <w:iCs/>
          <w:color w:val="auto"/>
        </w:rPr>
        <w:t>EIF3K</w:t>
      </w:r>
      <w:r>
        <w:rPr>
          <w:color w:val="auto"/>
        </w:rPr>
        <w:t xml:space="preserve"> was the most stable one while </w:t>
      </w:r>
      <w:r>
        <w:rPr>
          <w:i/>
          <w:iCs/>
          <w:color w:val="auto"/>
        </w:rPr>
        <w:t>ARF1</w:t>
      </w:r>
      <w:r>
        <w:rPr>
          <w:color w:val="auto"/>
        </w:rPr>
        <w:t xml:space="preserve"> and </w:t>
      </w:r>
      <w:r>
        <w:rPr>
          <w:i/>
          <w:iCs/>
          <w:color w:val="auto"/>
        </w:rPr>
        <w:t>RPLPO</w:t>
      </w:r>
      <w:r>
        <w:rPr>
          <w:color w:val="auto"/>
        </w:rPr>
        <w:t xml:space="preserve"> were the least stable genes respectively. In all samples, </w:t>
      </w:r>
      <w:r>
        <w:rPr>
          <w:i/>
          <w:iCs/>
          <w:color w:val="auto"/>
        </w:rPr>
        <w:t>EIF3K</w:t>
      </w:r>
      <w:r>
        <w:rPr>
          <w:color w:val="auto"/>
        </w:rPr>
        <w:t xml:space="preserve">, </w:t>
      </w:r>
      <w:r>
        <w:rPr>
          <w:i/>
          <w:iCs/>
          <w:color w:val="auto"/>
        </w:rPr>
        <w:t>POP4</w:t>
      </w:r>
      <w:r>
        <w:rPr>
          <w:color w:val="auto"/>
        </w:rPr>
        <w:t xml:space="preserve">, </w:t>
      </w:r>
      <w:r>
        <w:rPr>
          <w:i/>
          <w:iCs/>
          <w:color w:val="auto"/>
        </w:rPr>
        <w:t>SDHA</w:t>
      </w:r>
      <w:r>
        <w:rPr>
          <w:color w:val="auto"/>
        </w:rPr>
        <w:t xml:space="preserve"> and </w:t>
      </w:r>
      <w:r>
        <w:rPr>
          <w:i/>
          <w:iCs/>
          <w:color w:val="auto"/>
        </w:rPr>
        <w:t xml:space="preserve">PPIA </w:t>
      </w:r>
      <w:r>
        <w:rPr>
          <w:color w:val="auto"/>
        </w:rPr>
        <w:t xml:space="preserve">were the most stable, while </w:t>
      </w:r>
      <w:r>
        <w:rPr>
          <w:i/>
          <w:iCs/>
          <w:color w:val="auto"/>
        </w:rPr>
        <w:t>ARF1</w:t>
      </w:r>
      <w:r>
        <w:rPr>
          <w:color w:val="auto"/>
        </w:rPr>
        <w:t xml:space="preserve">, </w:t>
      </w:r>
      <w:r>
        <w:rPr>
          <w:i/>
          <w:iCs/>
          <w:color w:val="auto"/>
        </w:rPr>
        <w:t>ACTB</w:t>
      </w:r>
      <w:r>
        <w:rPr>
          <w:color w:val="auto"/>
        </w:rPr>
        <w:t xml:space="preserve">, </w:t>
      </w:r>
      <w:r>
        <w:rPr>
          <w:i/>
          <w:iCs/>
          <w:color w:val="auto"/>
        </w:rPr>
        <w:t>B2M</w:t>
      </w:r>
      <w:r>
        <w:rPr>
          <w:color w:val="auto"/>
        </w:rPr>
        <w:t xml:space="preserve"> and </w:t>
      </w:r>
      <w:r>
        <w:rPr>
          <w:i/>
          <w:iCs/>
          <w:color w:val="auto"/>
        </w:rPr>
        <w:t>RPLPO</w:t>
      </w:r>
      <w:r>
        <w:rPr>
          <w:color w:val="auto"/>
        </w:rPr>
        <w:t xml:space="preserve"> were the least.</w:t>
      </w:r>
    </w:p>
    <w:p>
      <w:pPr>
        <w:pStyle w:val="35"/>
        <w:rPr>
          <w:color w:val="auto"/>
        </w:rPr>
      </w:pPr>
    </w:p>
    <w:p>
      <w:pPr>
        <w:pStyle w:val="52"/>
        <w:spacing w:before="240"/>
        <w:rPr>
          <w:color w:val="auto"/>
        </w:rPr>
      </w:pPr>
      <w:r>
        <w:rPr>
          <w:color w:val="auto"/>
        </w:rPr>
        <w:t>3.4.4. Expression Stability of the HKGs by geNorm Analysis.</w:t>
      </w:r>
    </w:p>
    <w:p>
      <w:pPr>
        <w:pStyle w:val="35"/>
        <w:rPr>
          <w:color w:val="auto"/>
        </w:rPr>
      </w:pPr>
      <w:r>
        <w:rPr>
          <w:rFonts w:hint="eastAsia" w:eastAsia="宋体"/>
          <w:color w:val="auto"/>
          <w:lang w:eastAsia="zh-CN"/>
        </w:rPr>
        <w:t xml:space="preserve">The </w:t>
      </w:r>
      <w:r>
        <w:rPr>
          <w:color w:val="auto"/>
        </w:rPr>
        <w:t>geNorm algorithm calculated the M Value to determine the gene stability. The genes with least M value have the most stable expression and stepwise exclusion of genes with highest M-values will result in a combination of two genes with highest stability</w:t>
      </w:r>
      <w:r>
        <w:rPr>
          <w:color w:val="auto"/>
        </w:rPr>
        <w:fldChar w:fldCharType="begin"/>
      </w:r>
      <w:r>
        <w:rPr>
          <w:color w:val="auto"/>
        </w:rPr>
        <w:instrText xml:space="preserve"> ADDIN EN.CITE &lt;EndNote&gt;&lt;Cite&gt;&lt;Author&gt;Vandesompele&lt;/Author&gt;&lt;Year&gt;2002&lt;/Year&gt;&lt;RecNum&gt;5&lt;/RecNum&gt;&lt;DisplayText&gt;&lt;style size="10"&gt;[7]&lt;/style&gt;&lt;/DisplayText&gt;&lt;record&gt;&lt;rec-number&gt;5&lt;/rec-number&gt;&lt;foreign-keys&gt;&lt;key app="EN" db-id="zspwvtzvtfa5xberewspedv8zv02d5dtx902" timestamp="1684309140" guid="d60a3b05-df8c-41fa-8ce5-c07c83b271eb"&gt;5&lt;/key&gt;&lt;/foreign-keys&gt;&lt;ref-type name="Journal Article"&gt;17&lt;/ref-type&gt;&lt;contributors&gt;&lt;authors&gt;&lt;author&gt;Vandesompele, J.&lt;/author&gt;&lt;author&gt;De Preter, K.&lt;/author&gt;&lt;author&gt;Pattyn, F.&lt;/author&gt;&lt;author&gt;Poppe, B.&lt;/author&gt;&lt;author&gt;Van Roy, N.&lt;/author&gt;&lt;author&gt;De Paepe, A.&lt;/author&gt;&lt;author&gt;Speleman, F.&lt;/author&gt;&lt;/authors&gt;&lt;/contributors&gt;&lt;titles&gt;&lt;title&gt;Accurate normalization of real-time quantitative RT-PCR data by geometric averaging of multiple internal control genes&lt;/title&gt;&lt;secondary-title&gt;Genome Biology&lt;/secondary-title&gt;&lt;/titles&gt;&lt;periodical&gt;&lt;full-title&gt;Genome Biology&lt;/full-title&gt;&lt;/periodical&gt;&lt;volume&gt;3&lt;/volume&gt;&lt;number&gt;7&lt;/number&gt;&lt;dates&gt;&lt;year&gt;2002&lt;/year&gt;&lt;/dates&gt;&lt;isbn&gt;1474-760X&lt;/isbn&gt;&lt;accession-num&gt;WOS:000207581200010&lt;/accession-num&gt;&lt;urls&gt;&lt;related-urls&gt;&lt;url&gt;&amp;lt;Go to ISI&amp;gt;://WOS:000207581200010&lt;/url&gt;&lt;/related-urls&gt;&lt;/urls&gt;&lt;custom7&gt;0034.1&lt;/custom7&gt;&lt;electronic-resource-num&gt;10.1186/gb-2002-3-7-research0034&lt;/electronic-resource-num&gt;&lt;/record&gt;&lt;/Cite&gt;&lt;/EndNote&gt;</w:instrText>
      </w:r>
      <w:r>
        <w:rPr>
          <w:color w:val="auto"/>
        </w:rPr>
        <w:fldChar w:fldCharType="separate"/>
      </w:r>
      <w:r>
        <w:rPr>
          <w:color w:val="auto"/>
        </w:rPr>
        <w:t>[7]</w:t>
      </w:r>
      <w:r>
        <w:rPr>
          <w:color w:val="auto"/>
        </w:rPr>
        <w:fldChar w:fldCharType="end"/>
      </w:r>
      <w:r>
        <w:rPr>
          <w:color w:val="auto"/>
        </w:rPr>
        <w:t xml:space="preserve">. The M value of each gene in every stage and all samples were shown in Table 5. In all samples, </w:t>
      </w:r>
      <w:r>
        <w:rPr>
          <w:i/>
          <w:iCs/>
          <w:color w:val="auto"/>
        </w:rPr>
        <w:t>EIF3K</w:t>
      </w:r>
      <w:r>
        <w:rPr>
          <w:color w:val="auto"/>
        </w:rPr>
        <w:t xml:space="preserve"> and </w:t>
      </w:r>
      <w:r>
        <w:rPr>
          <w:i/>
          <w:iCs/>
          <w:color w:val="auto"/>
        </w:rPr>
        <w:t xml:space="preserve">SDHA </w:t>
      </w:r>
      <w:r>
        <w:rPr>
          <w:color w:val="auto"/>
        </w:rPr>
        <w:t xml:space="preserve">with the M-values of 0.940 were predicted to be the most stable genes while </w:t>
      </w:r>
      <w:r>
        <w:rPr>
          <w:i/>
          <w:iCs/>
          <w:color w:val="auto"/>
        </w:rPr>
        <w:t xml:space="preserve">B2M </w:t>
      </w:r>
      <w:r>
        <w:rPr>
          <w:color w:val="auto"/>
        </w:rPr>
        <w:t xml:space="preserve">and </w:t>
      </w:r>
      <w:r>
        <w:rPr>
          <w:i/>
          <w:iCs/>
          <w:color w:val="auto"/>
        </w:rPr>
        <w:t>RPLPO</w:t>
      </w:r>
      <w:r>
        <w:rPr>
          <w:color w:val="auto"/>
        </w:rPr>
        <w:t xml:space="preserve"> were found to be least stable with the M-values of 1.758 and 1.893.</w:t>
      </w:r>
    </w:p>
    <w:p>
      <w:pPr>
        <w:pStyle w:val="35"/>
        <w:rPr>
          <w:color w:val="auto"/>
        </w:rPr>
      </w:pPr>
    </w:p>
    <w:p>
      <w:pPr>
        <w:pStyle w:val="54"/>
        <w:spacing w:before="240"/>
        <w:rPr>
          <w:color w:val="auto"/>
        </w:rPr>
      </w:pPr>
      <w:r>
        <w:rPr>
          <w:color w:val="auto"/>
        </w:rPr>
        <w:t>3.5. A Comprehensive Ranking of Four Methods.</w:t>
      </w:r>
    </w:p>
    <w:p>
      <w:pPr>
        <w:pStyle w:val="35"/>
        <w:rPr>
          <w:color w:val="auto"/>
        </w:rPr>
      </w:pPr>
      <w:r>
        <w:rPr>
          <w:color w:val="auto"/>
        </w:rPr>
        <w:t xml:space="preserve">ReFinder was used to get an overall ranking of all </w:t>
      </w:r>
      <w:r>
        <w:rPr>
          <w:rFonts w:hint="eastAsia" w:eastAsia="宋体"/>
          <w:color w:val="auto"/>
          <w:lang w:eastAsia="zh-CN"/>
        </w:rPr>
        <w:t xml:space="preserve">the </w:t>
      </w:r>
      <w:r>
        <w:rPr>
          <w:color w:val="auto"/>
        </w:rPr>
        <w:t xml:space="preserve">selected 17 HKGs among four methods. The result of ReFinder algorithm was shown in Table 6. </w:t>
      </w:r>
      <w:r>
        <w:rPr>
          <w:i/>
          <w:iCs/>
          <w:color w:val="auto"/>
        </w:rPr>
        <w:t>EIF3K</w:t>
      </w:r>
      <w:r>
        <w:rPr>
          <w:color w:val="auto"/>
        </w:rPr>
        <w:t xml:space="preserve">, </w:t>
      </w:r>
      <w:r>
        <w:rPr>
          <w:i/>
          <w:iCs/>
          <w:color w:val="auto"/>
        </w:rPr>
        <w:t>SDHA</w:t>
      </w:r>
      <w:r>
        <w:rPr>
          <w:color w:val="auto"/>
        </w:rPr>
        <w:t xml:space="preserve">, </w:t>
      </w:r>
      <w:r>
        <w:rPr>
          <w:i/>
          <w:iCs/>
          <w:color w:val="auto"/>
        </w:rPr>
        <w:t>POP4</w:t>
      </w:r>
      <w:r>
        <w:rPr>
          <w:color w:val="auto"/>
        </w:rPr>
        <w:t xml:space="preserve"> and </w:t>
      </w:r>
      <w:r>
        <w:rPr>
          <w:i/>
          <w:iCs/>
          <w:color w:val="auto"/>
        </w:rPr>
        <w:t>PPIA</w:t>
      </w:r>
      <w:r>
        <w:rPr>
          <w:color w:val="auto"/>
        </w:rPr>
        <w:t xml:space="preserve"> were four most stable genes while </w:t>
      </w:r>
      <w:r>
        <w:rPr>
          <w:i/>
          <w:iCs/>
          <w:color w:val="auto"/>
        </w:rPr>
        <w:t>ARF1</w:t>
      </w:r>
      <w:r>
        <w:rPr>
          <w:color w:val="auto"/>
        </w:rPr>
        <w:t xml:space="preserve">, </w:t>
      </w:r>
      <w:r>
        <w:rPr>
          <w:i/>
          <w:iCs/>
          <w:color w:val="auto"/>
        </w:rPr>
        <w:t>MORF4L1</w:t>
      </w:r>
      <w:r>
        <w:rPr>
          <w:color w:val="auto"/>
        </w:rPr>
        <w:t xml:space="preserve">, </w:t>
      </w:r>
      <w:r>
        <w:rPr>
          <w:i/>
          <w:iCs/>
          <w:color w:val="auto"/>
        </w:rPr>
        <w:t>HPRT1</w:t>
      </w:r>
      <w:r>
        <w:rPr>
          <w:color w:val="auto"/>
        </w:rPr>
        <w:t xml:space="preserve"> and </w:t>
      </w:r>
      <w:r>
        <w:rPr>
          <w:i/>
          <w:iCs/>
          <w:color w:val="auto"/>
        </w:rPr>
        <w:t>YWHAZ</w:t>
      </w:r>
      <w:r>
        <w:rPr>
          <w:color w:val="auto"/>
        </w:rPr>
        <w:t xml:space="preserve"> were four least stable genes of all samples. </w:t>
      </w:r>
    </w:p>
    <w:p>
      <w:pPr>
        <w:pStyle w:val="35"/>
        <w:rPr>
          <w:color w:val="auto"/>
        </w:rPr>
      </w:pPr>
    </w:p>
    <w:p>
      <w:pPr>
        <w:pStyle w:val="54"/>
        <w:spacing w:before="240"/>
        <w:rPr>
          <w:color w:val="auto"/>
        </w:rPr>
      </w:pPr>
      <w:r>
        <w:rPr>
          <w:color w:val="auto"/>
        </w:rPr>
        <w:t>3.6. Validation the Stability of HKGs with Target Genes.</w:t>
      </w:r>
    </w:p>
    <w:p>
      <w:pPr>
        <w:pStyle w:val="35"/>
        <w:rPr>
          <w:color w:val="auto"/>
        </w:rPr>
      </w:pPr>
      <w:r>
        <w:rPr>
          <w:color w:val="auto"/>
        </w:rPr>
        <w:t>To validate the HKGs stability results, the most four stable genes (</w:t>
      </w:r>
      <w:bookmarkStart w:id="16" w:name="OLE_LINK5"/>
      <w:bookmarkStart w:id="17" w:name="OLE_LINK6"/>
      <w:r>
        <w:rPr>
          <w:i/>
          <w:iCs/>
          <w:color w:val="auto"/>
        </w:rPr>
        <w:t>EIF3K</w:t>
      </w:r>
      <w:r>
        <w:rPr>
          <w:color w:val="auto"/>
        </w:rPr>
        <w:t xml:space="preserve">, </w:t>
      </w:r>
      <w:r>
        <w:rPr>
          <w:i/>
          <w:iCs/>
          <w:color w:val="auto"/>
        </w:rPr>
        <w:t>POP4</w:t>
      </w:r>
      <w:r>
        <w:rPr>
          <w:color w:val="auto"/>
        </w:rPr>
        <w:t xml:space="preserve">, </w:t>
      </w:r>
      <w:r>
        <w:rPr>
          <w:i/>
          <w:iCs/>
          <w:color w:val="auto"/>
        </w:rPr>
        <w:t>PPIA</w:t>
      </w:r>
      <w:r>
        <w:rPr>
          <w:color w:val="auto"/>
        </w:rPr>
        <w:t xml:space="preserve"> and </w:t>
      </w:r>
      <w:r>
        <w:rPr>
          <w:i/>
          <w:iCs/>
          <w:color w:val="auto"/>
        </w:rPr>
        <w:t>SDHA</w:t>
      </w:r>
      <w:bookmarkEnd w:id="16"/>
      <w:bookmarkEnd w:id="17"/>
      <w:r>
        <w:rPr>
          <w:color w:val="auto"/>
        </w:rPr>
        <w:t>) and the least four stable genes (</w:t>
      </w:r>
      <w:r>
        <w:rPr>
          <w:i/>
          <w:iCs/>
          <w:color w:val="auto"/>
        </w:rPr>
        <w:t>ACTB</w:t>
      </w:r>
      <w:r>
        <w:rPr>
          <w:color w:val="auto"/>
        </w:rPr>
        <w:t xml:space="preserve">, </w:t>
      </w:r>
      <w:r>
        <w:rPr>
          <w:i/>
          <w:iCs/>
          <w:color w:val="auto"/>
        </w:rPr>
        <w:t>B2M</w:t>
      </w:r>
      <w:r>
        <w:rPr>
          <w:color w:val="auto"/>
        </w:rPr>
        <w:t xml:space="preserve">, </w:t>
      </w:r>
      <w:r>
        <w:rPr>
          <w:i/>
          <w:iCs/>
          <w:color w:val="auto"/>
        </w:rPr>
        <w:t>RPLPO</w:t>
      </w:r>
      <w:r>
        <w:rPr>
          <w:color w:val="auto"/>
        </w:rPr>
        <w:t xml:space="preserve"> and </w:t>
      </w:r>
      <w:r>
        <w:rPr>
          <w:i/>
          <w:iCs/>
          <w:color w:val="auto"/>
        </w:rPr>
        <w:t>ARF1</w:t>
      </w:r>
      <w:r>
        <w:rPr>
          <w:color w:val="auto"/>
        </w:rPr>
        <w:t xml:space="preserve">) were used to normalize the same target gene. When using the most four stable genes for normalization, the results showed that </w:t>
      </w:r>
      <w:r>
        <w:rPr>
          <w:i/>
          <w:iCs/>
          <w:color w:val="auto"/>
        </w:rPr>
        <w:t>PAG8</w:t>
      </w:r>
      <w:r>
        <w:rPr>
          <w:color w:val="auto"/>
        </w:rPr>
        <w:t xml:space="preserve"> and </w:t>
      </w:r>
      <w:r>
        <w:rPr>
          <w:i/>
          <w:iCs/>
          <w:color w:val="auto"/>
        </w:rPr>
        <w:t>VEGFA</w:t>
      </w:r>
      <w:r>
        <w:rPr>
          <w:color w:val="auto"/>
        </w:rPr>
        <w:t xml:space="preserve"> were expressed in uterus caruncle tissue with the lowest level at stage 1, and increased in stage2, further significantly increased in stage 3</w:t>
      </w:r>
      <w:r>
        <w:rPr>
          <w:rFonts w:hint="eastAsia" w:eastAsia="宋体"/>
          <w:color w:val="auto"/>
          <w:lang w:eastAsia="zh-CN"/>
        </w:rPr>
        <w:t xml:space="preserve"> </w:t>
      </w:r>
      <w:r>
        <w:rPr>
          <w:color w:val="auto"/>
        </w:rPr>
        <w:t>(</w:t>
      </w:r>
      <w:r>
        <w:rPr>
          <w:i/>
          <w:iCs/>
          <w:color w:val="auto"/>
        </w:rPr>
        <w:t>p</w:t>
      </w:r>
      <w:r>
        <w:rPr>
          <w:color w:val="auto"/>
        </w:rPr>
        <w:t xml:space="preserve">&lt;0.01) and reached the highest level (Figure 4a, 4c). </w:t>
      </w:r>
      <w:r>
        <w:rPr>
          <w:i/>
          <w:iCs/>
          <w:color w:val="auto"/>
        </w:rPr>
        <w:t xml:space="preserve"> SPP1</w:t>
      </w:r>
      <w:r>
        <w:rPr>
          <w:color w:val="auto"/>
        </w:rPr>
        <w:t xml:space="preserve"> whose expression reached the highest level in stage 2, expressed the least in stage 1 and the middle in stage 3 (Figure 4e). When it comes to the four least stable genes, there were hardly significant difference between stages (Figure 4b, 4d, and 4f). What’s worse, different expression trend appeared among </w:t>
      </w:r>
      <w:r>
        <w:rPr>
          <w:i/>
          <w:iCs/>
          <w:color w:val="auto"/>
        </w:rPr>
        <w:t>VEGFA</w:t>
      </w:r>
      <w:r>
        <w:rPr>
          <w:color w:val="auto"/>
        </w:rPr>
        <w:t xml:space="preserve"> and </w:t>
      </w:r>
      <w:r>
        <w:rPr>
          <w:i/>
          <w:iCs/>
          <w:color w:val="auto"/>
        </w:rPr>
        <w:t>SPP1</w:t>
      </w:r>
      <w:r>
        <w:rPr>
          <w:color w:val="auto"/>
        </w:rPr>
        <w:t xml:space="preserve"> when normalized to </w:t>
      </w:r>
      <w:r>
        <w:rPr>
          <w:i/>
          <w:iCs/>
          <w:color w:val="auto"/>
        </w:rPr>
        <w:t>ACTB</w:t>
      </w:r>
      <w:r>
        <w:rPr>
          <w:color w:val="auto"/>
        </w:rPr>
        <w:t xml:space="preserve"> and </w:t>
      </w:r>
      <w:r>
        <w:rPr>
          <w:i/>
          <w:iCs/>
          <w:color w:val="auto"/>
        </w:rPr>
        <w:t>B2M</w:t>
      </w:r>
      <w:r>
        <w:rPr>
          <w:color w:val="auto"/>
        </w:rPr>
        <w:t xml:space="preserve"> respectively (Figure 4d, 4f).</w:t>
      </w:r>
    </w:p>
    <w:p>
      <w:pPr>
        <w:pStyle w:val="35"/>
        <w:rPr>
          <w:color w:val="auto"/>
        </w:rPr>
      </w:pPr>
      <w:r>
        <w:rPr>
          <w:color w:val="auto"/>
        </w:rPr>
        <w:t xml:space="preserve">A correlation analysis on relative expression data of four most and least stable candidate reference genes normalized to </w:t>
      </w:r>
      <w:r>
        <w:rPr>
          <w:rFonts w:hint="eastAsia" w:eastAsia="宋体"/>
          <w:color w:val="auto"/>
          <w:lang w:eastAsia="zh-CN"/>
        </w:rPr>
        <w:t>three</w:t>
      </w:r>
      <w:r>
        <w:rPr>
          <w:color w:val="auto"/>
        </w:rPr>
        <w:t xml:space="preserve"> target genes w</w:t>
      </w:r>
      <w:r>
        <w:rPr>
          <w:rFonts w:hint="eastAsia" w:eastAsia="宋体"/>
          <w:color w:val="auto"/>
          <w:lang w:eastAsia="zh-CN"/>
        </w:rPr>
        <w:t>ere</w:t>
      </w:r>
      <w:r>
        <w:rPr>
          <w:color w:val="auto"/>
        </w:rPr>
        <w:t xml:space="preserve"> performed. As shown in Figure 5, </w:t>
      </w:r>
      <w:r>
        <w:rPr>
          <w:i/>
          <w:iCs/>
          <w:color w:val="auto"/>
        </w:rPr>
        <w:t xml:space="preserve">POP4 </w:t>
      </w:r>
      <w:r>
        <w:rPr>
          <w:color w:val="auto"/>
        </w:rPr>
        <w:t xml:space="preserve">and </w:t>
      </w:r>
      <w:r>
        <w:rPr>
          <w:i/>
          <w:iCs/>
          <w:color w:val="auto"/>
        </w:rPr>
        <w:t xml:space="preserve">PPIA </w:t>
      </w:r>
      <w:r>
        <w:rPr>
          <w:color w:val="auto"/>
        </w:rPr>
        <w:t>had a high correlation coefficient which R values 0.97. It suggest</w:t>
      </w:r>
      <w:r>
        <w:rPr>
          <w:rFonts w:hint="eastAsia" w:eastAsia="宋体"/>
          <w:color w:val="auto"/>
          <w:lang w:eastAsia="zh-CN"/>
        </w:rPr>
        <w:t>ed</w:t>
      </w:r>
      <w:r>
        <w:rPr>
          <w:color w:val="auto"/>
        </w:rPr>
        <w:t xml:space="preserve"> that they have extremely similar normalization capabilities. However, the R value of </w:t>
      </w:r>
      <w:r>
        <w:rPr>
          <w:i/>
          <w:iCs/>
          <w:color w:val="auto"/>
        </w:rPr>
        <w:t>ACTB</w:t>
      </w:r>
      <w:r>
        <w:rPr>
          <w:color w:val="auto"/>
        </w:rPr>
        <w:t xml:space="preserve"> and </w:t>
      </w:r>
      <w:r>
        <w:rPr>
          <w:i/>
          <w:iCs/>
          <w:color w:val="auto"/>
        </w:rPr>
        <w:t>RPLPO</w:t>
      </w:r>
      <w:r>
        <w:rPr>
          <w:color w:val="auto"/>
        </w:rPr>
        <w:t xml:space="preserve"> is pretty low </w:t>
      </w:r>
      <w:r>
        <w:rPr>
          <w:rFonts w:hint="eastAsia" w:eastAsia="宋体"/>
          <w:color w:val="auto"/>
          <w:lang w:eastAsia="zh-CN"/>
        </w:rPr>
        <w:t>i.e.,</w:t>
      </w:r>
      <w:r>
        <w:rPr>
          <w:color w:val="auto"/>
        </w:rPr>
        <w:t xml:space="preserve"> 0.11</w:t>
      </w:r>
      <w:r>
        <w:rPr>
          <w:rFonts w:hint="eastAsia" w:eastAsia="宋体"/>
          <w:color w:val="auto"/>
          <w:lang w:eastAsia="zh-CN"/>
        </w:rPr>
        <w:t xml:space="preserve"> and i</w:t>
      </w:r>
      <w:r>
        <w:rPr>
          <w:color w:val="auto"/>
        </w:rPr>
        <w:t>t demonstrates that they have hardly normalization capabilities.</w:t>
      </w:r>
    </w:p>
    <w:p>
      <w:pPr>
        <w:pStyle w:val="48"/>
        <w:rPr>
          <w:color w:val="auto"/>
        </w:rPr>
      </w:pPr>
      <w:r>
        <w:rPr>
          <w:color w:val="auto"/>
        </w:rPr>
        <w:drawing>
          <wp:inline distT="0" distB="0" distL="0" distR="0">
            <wp:extent cx="6645910" cy="3159760"/>
            <wp:effectExtent l="0" t="0" r="2540" b="2540"/>
            <wp:docPr id="7914786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78620" name="图片 1"/>
                    <pic:cNvPicPr>
                      <a:picLocks noChangeAspect="1"/>
                    </pic:cNvPicPr>
                  </pic:nvPicPr>
                  <pic:blipFill>
                    <a:blip r:embed="rId14"/>
                    <a:stretch>
                      <a:fillRect/>
                    </a:stretch>
                  </pic:blipFill>
                  <pic:spPr>
                    <a:xfrm>
                      <a:off x="0" y="0"/>
                      <a:ext cx="6645910" cy="3159760"/>
                    </a:xfrm>
                    <a:prstGeom prst="rect">
                      <a:avLst/>
                    </a:prstGeom>
                  </pic:spPr>
                </pic:pic>
              </a:graphicData>
            </a:graphic>
          </wp:inline>
        </w:drawing>
      </w:r>
    </w:p>
    <w:p>
      <w:pPr>
        <w:pStyle w:val="91"/>
      </w:pPr>
    </w:p>
    <w:p>
      <w:pPr>
        <w:pStyle w:val="47"/>
      </w:pPr>
      <w:r>
        <w:rPr>
          <w:b/>
        </w:rPr>
        <w:t xml:space="preserve">Figure </w:t>
      </w:r>
      <w:r>
        <w:rPr>
          <w:rFonts w:hint="eastAsia" w:eastAsia="宋体"/>
          <w:b/>
          <w:lang w:eastAsia="zh-CN"/>
        </w:rPr>
        <w:t>4</w:t>
      </w:r>
      <w:r>
        <w:rPr>
          <w:b/>
        </w:rPr>
        <w:t xml:space="preserve">. </w:t>
      </w:r>
      <w:r>
        <w:t>Relative expression of target genes (</w:t>
      </w:r>
      <w:r>
        <w:rPr>
          <w:i/>
          <w:iCs/>
        </w:rPr>
        <w:t>PAG8</w:t>
      </w:r>
      <w:r>
        <w:t xml:space="preserve">, </w:t>
      </w:r>
      <w:r>
        <w:rPr>
          <w:i/>
          <w:iCs/>
        </w:rPr>
        <w:t xml:space="preserve">VEGFA </w:t>
      </w:r>
      <w:r>
        <w:t xml:space="preserve">and </w:t>
      </w:r>
      <w:r>
        <w:rPr>
          <w:i/>
          <w:iCs/>
        </w:rPr>
        <w:t>SPP1</w:t>
      </w:r>
      <w:r>
        <w:t xml:space="preserve">) normalized to the different reference genes across three stages. a) Relative expression of </w:t>
      </w:r>
      <w:r>
        <w:rPr>
          <w:i/>
          <w:iCs/>
        </w:rPr>
        <w:t xml:space="preserve">PAG8 </w:t>
      </w:r>
      <w:r>
        <w:t>by the most stable genes (</w:t>
      </w:r>
      <w:r>
        <w:rPr>
          <w:i/>
          <w:iCs/>
        </w:rPr>
        <w:t>EIF3K</w:t>
      </w:r>
      <w:r>
        <w:t xml:space="preserve">, </w:t>
      </w:r>
      <w:r>
        <w:rPr>
          <w:i/>
          <w:iCs/>
        </w:rPr>
        <w:t>POP4</w:t>
      </w:r>
      <w:r>
        <w:t xml:space="preserve">, </w:t>
      </w:r>
      <w:r>
        <w:rPr>
          <w:i/>
          <w:iCs/>
        </w:rPr>
        <w:t>PPIA</w:t>
      </w:r>
      <w:r>
        <w:t xml:space="preserve">, and </w:t>
      </w:r>
      <w:r>
        <w:rPr>
          <w:i/>
          <w:iCs/>
        </w:rPr>
        <w:t>SDHA</w:t>
      </w:r>
      <w:r>
        <w:t xml:space="preserve">) .b) Relative expression of </w:t>
      </w:r>
      <w:r>
        <w:rPr>
          <w:i/>
          <w:iCs/>
        </w:rPr>
        <w:t xml:space="preserve">PAG8 </w:t>
      </w:r>
      <w:r>
        <w:t>by the least stable genes (</w:t>
      </w:r>
      <w:r>
        <w:rPr>
          <w:i/>
          <w:iCs/>
        </w:rPr>
        <w:t>ACTB</w:t>
      </w:r>
      <w:r>
        <w:t xml:space="preserve">, </w:t>
      </w:r>
      <w:r>
        <w:rPr>
          <w:i/>
          <w:iCs/>
        </w:rPr>
        <w:t>B2M</w:t>
      </w:r>
      <w:r>
        <w:t xml:space="preserve">, </w:t>
      </w:r>
      <w:r>
        <w:rPr>
          <w:i/>
          <w:iCs/>
        </w:rPr>
        <w:t>RPLPO</w:t>
      </w:r>
      <w:r>
        <w:t xml:space="preserve">, and </w:t>
      </w:r>
      <w:r>
        <w:rPr>
          <w:i/>
          <w:iCs/>
        </w:rPr>
        <w:t>ARF1</w:t>
      </w:r>
      <w:r>
        <w:t xml:space="preserve">). c) Relative expression of </w:t>
      </w:r>
      <w:r>
        <w:rPr>
          <w:i/>
          <w:iCs/>
        </w:rPr>
        <w:t xml:space="preserve">VEGFA </w:t>
      </w:r>
      <w:r>
        <w:t>by the most stable genes (</w:t>
      </w:r>
      <w:r>
        <w:rPr>
          <w:i/>
          <w:iCs/>
        </w:rPr>
        <w:t>EIF3K</w:t>
      </w:r>
      <w:r>
        <w:t xml:space="preserve">, </w:t>
      </w:r>
      <w:r>
        <w:rPr>
          <w:i/>
          <w:iCs/>
        </w:rPr>
        <w:t>POP4</w:t>
      </w:r>
      <w:r>
        <w:t xml:space="preserve">, </w:t>
      </w:r>
      <w:r>
        <w:rPr>
          <w:i/>
          <w:iCs/>
        </w:rPr>
        <w:t>PPIA</w:t>
      </w:r>
      <w:r>
        <w:t xml:space="preserve">, and </w:t>
      </w:r>
      <w:r>
        <w:rPr>
          <w:i/>
          <w:iCs/>
        </w:rPr>
        <w:t>SDHA</w:t>
      </w:r>
      <w:r>
        <w:t xml:space="preserve">). d) Relative expression of </w:t>
      </w:r>
      <w:r>
        <w:rPr>
          <w:i/>
          <w:iCs/>
        </w:rPr>
        <w:t xml:space="preserve">VEGFA </w:t>
      </w:r>
      <w:r>
        <w:t>by the least stable genes (</w:t>
      </w:r>
      <w:r>
        <w:rPr>
          <w:i/>
          <w:iCs/>
        </w:rPr>
        <w:t>ACTB</w:t>
      </w:r>
      <w:r>
        <w:t xml:space="preserve">, </w:t>
      </w:r>
      <w:r>
        <w:rPr>
          <w:i/>
          <w:iCs/>
        </w:rPr>
        <w:t>B2M</w:t>
      </w:r>
      <w:r>
        <w:t xml:space="preserve">, </w:t>
      </w:r>
      <w:r>
        <w:rPr>
          <w:i/>
          <w:iCs/>
        </w:rPr>
        <w:t>RPLPO</w:t>
      </w:r>
      <w:r>
        <w:t>, and</w:t>
      </w:r>
      <w:r>
        <w:rPr>
          <w:i/>
          <w:iCs/>
        </w:rPr>
        <w:t>ARF1</w:t>
      </w:r>
      <w:r>
        <w:t xml:space="preserve">). e) Relative expression of </w:t>
      </w:r>
      <w:r>
        <w:rPr>
          <w:i/>
          <w:iCs/>
        </w:rPr>
        <w:t xml:space="preserve">SPP1 </w:t>
      </w:r>
      <w:r>
        <w:t>by the most stable genes (</w:t>
      </w:r>
      <w:r>
        <w:rPr>
          <w:i/>
          <w:iCs/>
        </w:rPr>
        <w:t>EIF3K</w:t>
      </w:r>
      <w:r>
        <w:t xml:space="preserve">, </w:t>
      </w:r>
      <w:r>
        <w:rPr>
          <w:i/>
          <w:iCs/>
        </w:rPr>
        <w:t>POP4</w:t>
      </w:r>
      <w:r>
        <w:t xml:space="preserve">, </w:t>
      </w:r>
      <w:r>
        <w:rPr>
          <w:i/>
          <w:iCs/>
        </w:rPr>
        <w:t>PPIA</w:t>
      </w:r>
      <w:r>
        <w:t xml:space="preserve">, and </w:t>
      </w:r>
      <w:r>
        <w:rPr>
          <w:i/>
          <w:iCs/>
        </w:rPr>
        <w:t>SDHA</w:t>
      </w:r>
      <w:r>
        <w:t xml:space="preserve">). f) Relative expression of </w:t>
      </w:r>
      <w:r>
        <w:rPr>
          <w:i/>
          <w:iCs/>
        </w:rPr>
        <w:t xml:space="preserve">SPP1 </w:t>
      </w:r>
      <w:r>
        <w:t>by the least stable genes (</w:t>
      </w:r>
      <w:r>
        <w:rPr>
          <w:i/>
          <w:iCs/>
        </w:rPr>
        <w:t>ACTB</w:t>
      </w:r>
      <w:r>
        <w:t xml:space="preserve">, </w:t>
      </w:r>
      <w:r>
        <w:rPr>
          <w:i/>
          <w:iCs/>
        </w:rPr>
        <w:t>B2M</w:t>
      </w:r>
      <w:r>
        <w:t xml:space="preserve">, </w:t>
      </w:r>
      <w:r>
        <w:rPr>
          <w:i/>
          <w:iCs/>
        </w:rPr>
        <w:t>RPLPO</w:t>
      </w:r>
      <w:r>
        <w:t xml:space="preserve">, and </w:t>
      </w:r>
      <w:r>
        <w:rPr>
          <w:i/>
          <w:iCs/>
        </w:rPr>
        <w:t>ARF1</w:t>
      </w:r>
      <w:r>
        <w:t>).</w:t>
      </w:r>
    </w:p>
    <w:p>
      <w:pPr>
        <w:pStyle w:val="53"/>
        <w:rPr>
          <w:color w:val="auto"/>
        </w:rPr>
      </w:pPr>
      <w:r>
        <w:rPr>
          <w:color w:val="auto"/>
        </w:rPr>
        <w:t>4. Discussion</w:t>
      </w:r>
    </w:p>
    <w:p>
      <w:pPr>
        <w:pStyle w:val="35"/>
        <w:rPr>
          <w:color w:val="auto"/>
        </w:rPr>
      </w:pPr>
      <w:r>
        <w:rPr>
          <w:color w:val="auto"/>
        </w:rPr>
        <w:t xml:space="preserve">The uterus is an important organ in the reproductive system of most female mammals and accommodates the embryonic and fetal development of one or more embryos until birth. With the mammal pregnancy, the maternal endometrium maintains a decidua reaction including endometrial thickening, blood vessels increasing, hypersecretion of uterine glands and stromal cell hypertrophy. These changes of morphology and composition from maternal uterus suggest a genetic regulation arises from transcriptional expression. However, the HKGs that normalize the expression of target genes have not been identified during pregnancy, especially in domestic animals. Thus, it is essential to explore the suitable housekeeping genes. In this study, we refer to RNA-seq data to select novel candidate HKGs of goat uterus caruncle tissue, and qRT-PCR data were used for software analysis to obtain the most suitable HKGs. Our results showed that </w:t>
      </w:r>
      <w:bookmarkStart w:id="18" w:name="OLE_LINK8"/>
      <w:r>
        <w:rPr>
          <w:i/>
          <w:iCs/>
          <w:color w:val="auto"/>
        </w:rPr>
        <w:t>EIF3K</w:t>
      </w:r>
      <w:r>
        <w:rPr>
          <w:color w:val="auto"/>
        </w:rPr>
        <w:t xml:space="preserve">, </w:t>
      </w:r>
      <w:r>
        <w:rPr>
          <w:i/>
          <w:iCs/>
          <w:color w:val="auto"/>
        </w:rPr>
        <w:t>POP4</w:t>
      </w:r>
      <w:r>
        <w:rPr>
          <w:color w:val="auto"/>
        </w:rPr>
        <w:t xml:space="preserve">, </w:t>
      </w:r>
      <w:r>
        <w:rPr>
          <w:i/>
          <w:iCs/>
          <w:color w:val="auto"/>
        </w:rPr>
        <w:t>PPIA</w:t>
      </w:r>
      <w:r>
        <w:rPr>
          <w:color w:val="auto"/>
        </w:rPr>
        <w:t xml:space="preserve"> and </w:t>
      </w:r>
      <w:r>
        <w:rPr>
          <w:i/>
          <w:iCs/>
          <w:color w:val="auto"/>
        </w:rPr>
        <w:t>SDHA</w:t>
      </w:r>
      <w:r>
        <w:rPr>
          <w:color w:val="auto"/>
        </w:rPr>
        <w:t xml:space="preserve"> </w:t>
      </w:r>
      <w:bookmarkEnd w:id="18"/>
      <w:r>
        <w:rPr>
          <w:color w:val="auto"/>
        </w:rPr>
        <w:t>were the most stable HKGs in the uterus regardless of pregnant or nonpregnant state.</w:t>
      </w:r>
    </w:p>
    <w:p>
      <w:pPr>
        <w:pStyle w:val="35"/>
        <w:rPr>
          <w:color w:val="auto"/>
        </w:rPr>
      </w:pPr>
      <w:r>
        <w:t xml:space="preserve"> </w:t>
      </w:r>
      <w:r>
        <w:rPr>
          <w:color w:val="auto"/>
        </w:rPr>
        <w:t>In order to obtain the stable HKGs from RNA-seq and qRT-PCR data, we set three parameters, four methods to rigorously screen HKGs in uterine tissues. Refer to previous studies</w:t>
      </w:r>
      <w:r>
        <w:rPr>
          <w:color w:val="auto"/>
        </w:rPr>
        <w:fldChar w:fldCharType="begin">
          <w:fldData xml:space="preserve">PEVuZE5vdGU+PENpdGU+PEF1dGhvcj5aaGFuZzwvQXV0aG9yPjxZZWFyPjIwMjA8L1llYXI+PFJl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</w:fldData>
        </w:fldChar>
      </w:r>
      <w:r>
        <w:rPr>
          <w:color w:val="auto"/>
        </w:rPr>
        <w:instrText xml:space="preserve"> ADDIN EN.CITE </w:instrText>
      </w:r>
      <w:r>
        <w:rPr>
          <w:color w:val="auto"/>
        </w:rPr>
        <w:fldChar w:fldCharType="begin">
          <w:fldData xml:space="preserve">PEVuZE5vdGU+PENpdGU+PEF1dGhvcj5aaGFuZzwvQXV0aG9yPjxZZWFyPjIwMjA8L1llYXI+PFJl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</w:fldData>
        </w:fldChar>
      </w:r>
      <w:r>
        <w:rPr>
          <w:color w:val="auto"/>
        </w:rPr>
        <w:instrText xml:space="preserve"> ADDIN EN.CITE.DATA </w:instrText>
      </w:r>
      <w:r>
        <w:rPr>
          <w:color w:val="auto"/>
        </w:rPr>
        <w:fldChar w:fldCharType="end"/>
      </w:r>
      <w:r>
        <w:rPr>
          <w:color w:val="auto"/>
        </w:rPr>
        <w:fldChar w:fldCharType="separate"/>
      </w:r>
      <w:r>
        <w:rPr>
          <w:color w:val="auto"/>
        </w:rPr>
        <w:t>[18-20]</w:t>
      </w:r>
      <w:r>
        <w:rPr>
          <w:color w:val="auto"/>
        </w:rPr>
        <w:fldChar w:fldCharType="end"/>
      </w:r>
      <w:r>
        <w:rPr>
          <w:color w:val="auto"/>
        </w:rPr>
        <w:t xml:space="preserve">, the FPKM value, the coefficient of variation and the maximum fold change were considered to measure the HKGs in the RNA-seq data. Meanwhile, geNorm, NormFinder, Bestkeeper and Delta Ct methods were used to evaluate the stability of HKGs in qRT-PCR data. Specially, </w:t>
      </w:r>
      <w:r>
        <w:rPr>
          <w:rFonts w:hint="eastAsia" w:eastAsia="宋体"/>
          <w:color w:val="auto"/>
          <w:lang w:eastAsia="zh-CN"/>
        </w:rPr>
        <w:t xml:space="preserve">a </w:t>
      </w:r>
      <w:r>
        <w:rPr>
          <w:color w:val="auto"/>
        </w:rPr>
        <w:t xml:space="preserve">total </w:t>
      </w:r>
      <w:r>
        <w:rPr>
          <w:rFonts w:hint="eastAsia" w:eastAsia="宋体"/>
          <w:color w:val="auto"/>
          <w:lang w:eastAsia="zh-CN"/>
        </w:rPr>
        <w:t xml:space="preserve">of </w:t>
      </w:r>
      <w:r>
        <w:rPr>
          <w:color w:val="auto"/>
        </w:rPr>
        <w:t>22 HKGs for qRT-PCR analysis. However, only 17 HKGs were used for further study. The reason why we eliminate the 5 HKGs is based on the notion that a Ct of less than 29 is indicative for abundant gene expression</w:t>
      </w:r>
      <w:r>
        <w:rPr>
          <w:color w:val="auto"/>
        </w:rPr>
        <w:fldChar w:fldCharType="begin"/>
      </w:r>
      <w:r>
        <w:rPr>
          <w:color w:val="auto"/>
        </w:rPr>
        <w:instrText xml:space="preserve"> ADDIN EN.CITE &lt;EndNote&gt;&lt;Cite&gt;&lt;Author&gt;Mylvaganam&lt;/Author&gt;&lt;Year&gt;2010&lt;/Year&gt;&lt;RecNum&gt;5&lt;/RecNum&gt;&lt;DisplayText&gt;&lt;style size="10"&gt;[24]&lt;/style&gt;&lt;/DisplayText&gt;&lt;record&gt;&lt;rec-number&gt;5&lt;/rec-number&gt;&lt;foreign-keys&gt;&lt;key app="EN" db-id="xtrefar26vd5acefa9apfdwu2w9tsfax9pfe" timestamp="1625453675"&gt;5&lt;/key&gt;&lt;/foreign-keys&gt;&lt;ref-type name="Journal Article"&gt;17&lt;/ref-type&gt;&lt;contributors&gt;&lt;authors&gt;&lt;author&gt;Mylvaganam, S.&lt;/author&gt;&lt;author&gt;Zhang, L.&lt;/author&gt;&lt;author&gt;Wu, C. P.&lt;/author&gt;&lt;author&gt;Zhang, Z. J.&lt;/author&gt;&lt;author&gt;Samoilova, M.&lt;/author&gt;&lt;author&gt;Eubanks, J.&lt;/author&gt;&lt;author&gt;Carlen, P. L.&lt;/author&gt;&lt;author&gt;Poulter, M. O.&lt;/author&gt;&lt;/authors&gt;&lt;/contributors&gt;&lt;titles&gt;&lt;title&gt;Hippocampal seizures alter the expression of the pannexin and connexin transcriptome&lt;/title&gt;&lt;secondary-title&gt;Journal of Neurochemistry&lt;/secondary-title&gt;&lt;/titles&gt;&lt;periodical&gt;&lt;full-title&gt;Journal of Neurochemistry&lt;/full-title&gt;&lt;/periodical&gt;&lt;pages&gt;92-102&lt;/pages&gt;&lt;volume&gt;112&lt;/volume&gt;&lt;number&gt;1&lt;/number&gt;&lt;dates&gt;&lt;year&gt;2010&lt;/year&gt;&lt;pub-dates&gt;&lt;date&gt;Jan&lt;/date&gt;&lt;/pub-dates&gt;&lt;/dates&gt;&lt;isbn&gt;0022-3042&lt;/isbn&gt;&lt;accession-num&gt;WOS:000272997000009&lt;/accession-num&gt;&lt;urls&gt;&lt;related-urls&gt;&lt;url&gt;&amp;lt;Go to ISI&amp;gt;://WOS:000272997000009&lt;/url&gt;&lt;/related-urls&gt;&lt;/urls&gt;&lt;electronic-resource-num&gt;10.1111/j.1471-4159.2009.06431.x&lt;/electronic-resource-num&gt;&lt;/record&gt;&lt;/Cite&gt;&lt;/EndNote&gt;</w:instrText>
      </w:r>
      <w:r>
        <w:rPr>
          <w:color w:val="auto"/>
        </w:rPr>
        <w:fldChar w:fldCharType="separate"/>
      </w:r>
      <w:r>
        <w:rPr>
          <w:color w:val="auto"/>
        </w:rPr>
        <w:t>[24]</w:t>
      </w:r>
      <w:r>
        <w:rPr>
          <w:color w:val="auto"/>
        </w:rPr>
        <w:fldChar w:fldCharType="end"/>
      </w:r>
      <w:r>
        <w:rPr>
          <w:color w:val="auto"/>
        </w:rPr>
        <w:t>, which is desirable for qRT-PCR analysis. Considering the accuracy and validity of experiment, we set up a stricter Ct value line, viz. 28.</w:t>
      </w:r>
    </w:p>
    <w:p>
      <w:pPr>
        <w:pStyle w:val="35"/>
        <w:rPr>
          <w:color w:val="auto"/>
        </w:rPr>
      </w:pPr>
      <w:r>
        <w:rPr>
          <w:color w:val="auto"/>
        </w:rPr>
        <w:t xml:space="preserve">In our results, </w:t>
      </w:r>
      <w:r>
        <w:rPr>
          <w:i/>
          <w:iCs/>
          <w:color w:val="auto"/>
        </w:rPr>
        <w:t>PPIB</w:t>
      </w:r>
      <w:r>
        <w:rPr>
          <w:color w:val="auto"/>
        </w:rPr>
        <w:t xml:space="preserve">, a HKG we selected from RNA-seq data, showed good stability in stage 1 referring to nonpregnant period. </w:t>
      </w:r>
      <w:r>
        <w:rPr>
          <w:i/>
          <w:iCs/>
          <w:color w:val="auto"/>
        </w:rPr>
        <w:t>PPIB</w:t>
      </w:r>
      <w:r>
        <w:rPr>
          <w:color w:val="auto"/>
        </w:rPr>
        <w:t xml:space="preserve"> is a kind of protein coding gene associated with secretory pathway. The reason why </w:t>
      </w:r>
      <w:r>
        <w:rPr>
          <w:i/>
          <w:iCs/>
          <w:color w:val="auto"/>
        </w:rPr>
        <w:t>PPIB</w:t>
      </w:r>
      <w:r>
        <w:rPr>
          <w:color w:val="auto"/>
        </w:rPr>
        <w:t xml:space="preserve"> performed better stability than the other 16 HKGs in uterus caruncle may be connected with the tissue structure of endometrium. The uterus caruncle is the pitting structure of endometrium, which contains abundant of epithelial cells. We predict that epithelial cells probably contribute to the secretory process. Previous study</w:t>
      </w:r>
      <w:r>
        <w:rPr>
          <w:color w:val="auto"/>
        </w:rPr>
        <w:fldChar w:fldCharType="begin"/>
      </w:r>
      <w:r>
        <w:rPr>
          <w:color w:val="auto"/>
        </w:rPr>
        <w:instrText xml:space="preserve"> ADDIN EN.CITE &lt;EndNote&gt;&lt;Cite&gt;&lt;Author&gt;Cao&lt;/Author&gt;&lt;Year&gt;2012&lt;/Year&gt;&lt;RecNum&gt;2&lt;/RecNum&gt;&lt;DisplayText&gt;&lt;style size="10"&gt;[25]&lt;/style&gt;&lt;/DisplayText&gt;&lt;record&gt;&lt;rec-number&gt;2&lt;/rec-number&gt;&lt;foreign-keys&gt;&lt;key app="EN" db-id="xtrefar26vd5acefa9apfdwu2w9tsfax9pfe" timestamp="1625396616"&gt;2&lt;/key&gt;&lt;/foreign-keys&gt;&lt;ref-type name="Journal Article"&gt;17&lt;/ref-type&gt;&lt;contributors&gt;&lt;authors&gt;&lt;author&gt;Cao, X. M.&lt;/author&gt;&lt;author&gt;Luo, X. G.&lt;/author&gt;&lt;author&gt;Liang, J. H.&lt;/author&gt;&lt;author&gt;Zhang, C.&lt;/author&gt;&lt;author&gt;Meng, X. P.&lt;/author&gt;&lt;author&gt;Guo, D. W.&lt;/author&gt;&lt;/authors&gt;&lt;/contributors&gt;&lt;titles&gt;&lt;secondary-title&gt;Biochemical and Biophysical Research Communications&lt;/secondary-title&gt;&lt;/titles&gt;&lt;periodical&gt;&lt;full-title&gt;Biochemical and Biophysical Research Communications&lt;/full-title&gt;&lt;/periodical&gt;&lt;pages&gt;366-372&lt;/pages&gt;&lt;volume&gt;427&lt;/volume&gt;&lt;number&gt;2&lt;/number&gt;&lt;dates&gt;&lt;year&gt;2012&lt;/year&gt;&lt;pub-dates&gt;&lt;date&gt;Oct&lt;/date&gt;&lt;/pub-dates&gt;&lt;/dates&gt;&lt;isbn&gt;0006-291X&lt;/isbn&gt;&lt;accession-num&gt;WOS:000310651400025&lt;/accession-num&gt;&lt;urls&gt;&lt;related-urls&gt;&lt;url&gt;&lt;style face="underline" font="default" size="100%"&gt;&amp;lt;Go to ISI&amp;gt;://WOS:000310651400025&lt;/style&gt;&lt;/url&gt;&lt;/related-urls&gt;&lt;/urls&gt;&lt;electronic-resource-num&gt;10.1016/j.bbrc.2012.09.066&lt;/electronic-resource-num&gt;&lt;/record&gt;&lt;/Cite&gt;&lt;/EndNote&gt;</w:instrText>
      </w:r>
      <w:r>
        <w:rPr>
          <w:color w:val="auto"/>
        </w:rPr>
        <w:fldChar w:fldCharType="separate"/>
      </w:r>
      <w:r>
        <w:rPr>
          <w:color w:val="auto"/>
        </w:rPr>
        <w:t>[25]</w:t>
      </w:r>
      <w:r>
        <w:rPr>
          <w:color w:val="auto"/>
        </w:rPr>
        <w:fldChar w:fldCharType="end"/>
      </w:r>
      <w:r>
        <w:rPr>
          <w:color w:val="auto"/>
        </w:rPr>
        <w:t xml:space="preserve"> has also shown that </w:t>
      </w:r>
      <w:r>
        <w:rPr>
          <w:i/>
          <w:iCs/>
          <w:color w:val="auto"/>
        </w:rPr>
        <w:t>PPIB</w:t>
      </w:r>
      <w:r>
        <w:rPr>
          <w:color w:val="auto"/>
        </w:rPr>
        <w:t xml:space="preserve"> performed the best stability in LPS-stimulated and non-stimulated THP-1 and K562, which partly verified the foregoing prediction. Among </w:t>
      </w:r>
      <w:r>
        <w:rPr>
          <w:rFonts w:hint="eastAsia" w:eastAsia="宋体"/>
          <w:color w:val="auto"/>
          <w:lang w:eastAsia="zh-CN"/>
        </w:rPr>
        <w:t xml:space="preserve">the </w:t>
      </w:r>
      <w:r>
        <w:rPr>
          <w:color w:val="auto"/>
        </w:rPr>
        <w:t xml:space="preserve">studies that HKGs </w:t>
      </w:r>
      <w:r>
        <w:rPr>
          <w:rFonts w:hint="eastAsia" w:eastAsia="宋体"/>
          <w:color w:val="auto"/>
          <w:lang w:eastAsia="zh-CN"/>
        </w:rPr>
        <w:t>performed</w:t>
      </w:r>
      <w:r>
        <w:rPr>
          <w:color w:val="auto"/>
        </w:rPr>
        <w:t xml:space="preserve"> on goats, we find a study</w:t>
      </w:r>
      <w:r>
        <w:rPr>
          <w:color w:val="auto"/>
        </w:rPr>
        <w:fldChar w:fldCharType="begin"/>
      </w:r>
      <w:r>
        <w:rPr>
          <w:color w:val="auto"/>
        </w:rPr>
        <w:instrText xml:space="preserve"> ADDIN EN.CITE &lt;EndNote&gt;&lt;Cite&gt;&lt;Author&gt;Zhu&lt;/Author&gt;&lt;Year&gt;2015&lt;/Year&gt;&lt;RecNum&gt;4&lt;/RecNum&gt;&lt;DisplayText&gt;&lt;style size="10"&gt;[17]&lt;/style&gt;&lt;/DisplayText&gt;&lt;record&gt;&lt;rec-number&gt;4&lt;/rec-number&gt;&lt;foreign-keys&gt;&lt;key app="EN" db-id="xtrefar26vd5acefa9apfdwu2w9tsfax9pfe" timestamp="1625404117"&gt;4&lt;/key&gt;&lt;/foreign-keys&gt;&lt;ref-type name="Journal Article"&gt;17&lt;/ref-type&gt;&lt;contributors&gt;&lt;authors&gt;&lt;author&gt;Zhu, W. Z.&lt;/author&gt;&lt;author&gt;Lin, Y. Q.&lt;/author&gt;&lt;author&gt;Liao, H. H.&lt;/author&gt;&lt;author&gt;Wang, Y.&lt;/author&gt;&lt;/authors&gt;&lt;/contributors&gt;&lt;titles&gt;&lt;title&gt;Selection of Reference Genes for Gene Expression Studies Related to Intramuscular Fat Deposition in Capra hircus Skeletal Muscle&lt;/title&gt;&lt;secondary-title&gt;Plos One&lt;/secondary-title&gt;&lt;/titles&gt;&lt;periodical&gt;&lt;full-title&gt;Plos One&lt;/full-title&gt;&lt;/periodical&gt;&lt;volume&gt;10&lt;/volume&gt;&lt;number&gt;3&lt;/number&gt;&lt;dates&gt;&lt;year&gt;2015&lt;/year&gt;&lt;pub-dates&gt;&lt;date&gt;Mar&lt;/date&gt;&lt;/pub-dates&gt;&lt;/dates&gt;&lt;isbn&gt;1932-6203&lt;/isbn&gt;&lt;accession-num&gt;WOS:000352083900119&lt;/accession-num&gt;&lt;urls&gt;&lt;related-urls&gt;&lt;url&gt;&amp;lt;Go to ISI&amp;gt;://WOS:000352083900119&lt;/url&gt;&lt;/related-urls&gt;&lt;/urls&gt;&lt;custom7&gt;e0121280&lt;/custom7&gt;&lt;electronic-resource-num&gt;10.1371/journal.pone.0121280&lt;/electronic-resource-num&gt;&lt;/record&gt;&lt;/Cite&gt;&lt;/EndNote&gt;</w:instrText>
      </w:r>
      <w:r>
        <w:rPr>
          <w:color w:val="auto"/>
        </w:rPr>
        <w:fldChar w:fldCharType="separate"/>
      </w:r>
      <w:r>
        <w:rPr>
          <w:color w:val="auto"/>
        </w:rPr>
        <w:t>[17]</w:t>
      </w:r>
      <w:r>
        <w:rPr>
          <w:color w:val="auto"/>
        </w:rPr>
        <w:fldChar w:fldCharType="end"/>
      </w:r>
      <w:r>
        <w:rPr>
          <w:color w:val="auto"/>
        </w:rPr>
        <w:t xml:space="preserve"> on Jianyang big-eared goats </w:t>
      </w:r>
      <w:r>
        <w:rPr>
          <w:rFonts w:hint="eastAsia" w:eastAsia="宋体"/>
          <w:color w:val="auto"/>
          <w:lang w:eastAsia="zh-CN"/>
        </w:rPr>
        <w:t xml:space="preserve">that showed </w:t>
      </w:r>
      <w:r>
        <w:rPr>
          <w:i/>
          <w:iCs/>
          <w:color w:val="auto"/>
        </w:rPr>
        <w:t>PPIB</w:t>
      </w:r>
      <w:r>
        <w:rPr>
          <w:color w:val="auto"/>
        </w:rPr>
        <w:t xml:space="preserve"> was the most stable gene. However, </w:t>
      </w:r>
      <w:r>
        <w:rPr>
          <w:i/>
          <w:iCs/>
          <w:color w:val="auto"/>
        </w:rPr>
        <w:t>PPIB</w:t>
      </w:r>
      <w:r>
        <w:rPr>
          <w:color w:val="auto"/>
        </w:rPr>
        <w:t xml:space="preserve"> failed to show the best stability in </w:t>
      </w:r>
      <w:r>
        <w:rPr>
          <w:rFonts w:hint="eastAsia" w:eastAsia="宋体"/>
          <w:color w:val="auto"/>
          <w:lang w:eastAsia="zh-CN"/>
        </w:rPr>
        <w:t xml:space="preserve">the </w:t>
      </w:r>
      <w:r>
        <w:rPr>
          <w:color w:val="auto"/>
        </w:rPr>
        <w:t xml:space="preserve">following stages. In stage 2 and stage 3, </w:t>
      </w:r>
      <w:r>
        <w:rPr>
          <w:rFonts w:hint="eastAsia" w:eastAsia="宋体"/>
          <w:color w:val="auto"/>
          <w:lang w:eastAsia="zh-CN"/>
        </w:rPr>
        <w:t xml:space="preserve">the </w:t>
      </w:r>
      <w:r>
        <w:rPr>
          <w:color w:val="auto"/>
        </w:rPr>
        <w:t>fertili</w:t>
      </w:r>
      <w:r>
        <w:rPr>
          <w:rFonts w:hint="eastAsia" w:eastAsia="宋体"/>
          <w:color w:val="auto"/>
          <w:lang w:eastAsia="zh-CN"/>
        </w:rPr>
        <w:t>s</w:t>
      </w:r>
      <w:r>
        <w:rPr>
          <w:color w:val="auto"/>
        </w:rPr>
        <w:t xml:space="preserve">ed ovum </w:t>
      </w:r>
      <w:r>
        <w:rPr>
          <w:rFonts w:hint="eastAsia" w:eastAsia="宋体"/>
          <w:color w:val="auto"/>
          <w:lang w:eastAsia="zh-CN"/>
        </w:rPr>
        <w:t>lodges</w:t>
      </w:r>
      <w:r>
        <w:rPr>
          <w:color w:val="auto"/>
        </w:rPr>
        <w:t xml:space="preserve"> in the uterus, establish</w:t>
      </w:r>
      <w:r>
        <w:rPr>
          <w:rFonts w:hint="eastAsia" w:eastAsia="宋体"/>
          <w:color w:val="auto"/>
          <w:lang w:eastAsia="zh-CN"/>
        </w:rPr>
        <w:t>ing</w:t>
      </w:r>
      <w:r>
        <w:rPr>
          <w:color w:val="auto"/>
        </w:rPr>
        <w:t xml:space="preserve"> and maintain</w:t>
      </w:r>
      <w:r>
        <w:rPr>
          <w:rFonts w:hint="eastAsia" w:eastAsia="宋体"/>
          <w:color w:val="auto"/>
          <w:lang w:eastAsia="zh-CN"/>
        </w:rPr>
        <w:t>ing pregnancy</w:t>
      </w:r>
      <w:r>
        <w:rPr>
          <w:color w:val="auto"/>
        </w:rPr>
        <w:t xml:space="preserve">. A series of the </w:t>
      </w:r>
      <w:r>
        <w:rPr>
          <w:rFonts w:hint="eastAsia" w:eastAsia="宋体"/>
          <w:color w:val="auto"/>
          <w:lang w:eastAsia="zh-CN"/>
        </w:rPr>
        <w:t>aforementioned events might</w:t>
      </w:r>
      <w:r>
        <w:rPr>
          <w:color w:val="auto"/>
        </w:rPr>
        <w:t xml:space="preserve"> be more </w:t>
      </w:r>
      <w:r>
        <w:rPr>
          <w:rFonts w:hint="eastAsia" w:eastAsia="宋体"/>
          <w:color w:val="auto"/>
          <w:lang w:eastAsia="zh-CN"/>
        </w:rPr>
        <w:t>connected</w:t>
      </w:r>
      <w:r>
        <w:rPr>
          <w:color w:val="auto"/>
        </w:rPr>
        <w:t xml:space="preserve"> to genes </w:t>
      </w:r>
      <w:r>
        <w:rPr>
          <w:rFonts w:hint="eastAsia" w:eastAsia="宋体"/>
          <w:color w:val="auto"/>
          <w:lang w:eastAsia="zh-CN"/>
        </w:rPr>
        <w:t>that pertain to</w:t>
      </w:r>
      <w:r>
        <w:rPr>
          <w:color w:val="auto"/>
        </w:rPr>
        <w:t xml:space="preserve"> angiogenesis.</w:t>
      </w:r>
    </w:p>
    <w:p>
      <w:pPr>
        <w:pStyle w:val="35"/>
        <w:rPr>
          <w:rFonts w:eastAsia="宋体"/>
          <w:color w:val="auto"/>
          <w:lang w:eastAsia="zh-CN"/>
        </w:rPr>
      </w:pPr>
      <w:r>
        <w:rPr>
          <w:rFonts w:hint="eastAsia" w:eastAsia="宋体"/>
          <w:color w:val="auto"/>
          <w:lang w:eastAsia="zh-CN"/>
        </w:rPr>
        <w:t xml:space="preserve">When it comes to samples in total stages, including stage 1, stage 2 and stage 3, </w:t>
      </w:r>
      <w:r>
        <w:rPr>
          <w:rFonts w:eastAsia="宋体"/>
          <w:i/>
          <w:iCs/>
          <w:color w:val="auto"/>
          <w:lang w:eastAsia="zh-CN"/>
        </w:rPr>
        <w:t>EIF3K</w:t>
      </w:r>
      <w:r>
        <w:rPr>
          <w:rFonts w:hint="eastAsia" w:eastAsia="宋体"/>
          <w:color w:val="auto"/>
          <w:lang w:eastAsia="zh-CN"/>
        </w:rPr>
        <w:t xml:space="preserve"> performed the best stability. </w:t>
      </w:r>
      <w:r>
        <w:rPr>
          <w:rFonts w:eastAsia="宋体"/>
          <w:i/>
          <w:iCs/>
          <w:color w:val="auto"/>
          <w:lang w:eastAsia="zh-CN"/>
        </w:rPr>
        <w:t>EIF3K</w:t>
      </w:r>
      <w:r>
        <w:rPr>
          <w:rFonts w:hint="eastAsia" w:eastAsia="宋体"/>
          <w:color w:val="auto"/>
          <w:lang w:eastAsia="zh-CN"/>
        </w:rPr>
        <w:t xml:space="preserve"> (Eukaryotic translation initiation factor 3) has been suggested as one of the most stably expressed HKGs in bovine </w:t>
      </w:r>
      <w:bookmarkStart w:id="19" w:name="OLE_LINK16"/>
      <w:r>
        <w:rPr>
          <w:rFonts w:hint="eastAsia" w:eastAsia="宋体"/>
          <w:color w:val="auto"/>
          <w:lang w:eastAsia="zh-CN"/>
        </w:rPr>
        <w:t>endometrium</w:t>
      </w:r>
      <w:bookmarkEnd w:id="19"/>
      <w:r>
        <w:rPr>
          <w:rFonts w:eastAsia="宋体"/>
          <w:color w:val="auto"/>
          <w:lang w:eastAsia="zh-CN"/>
        </w:rPr>
        <w:fldChar w:fldCharType="begin"/>
      </w:r>
      <w:r>
        <w:rPr>
          <w:rFonts w:eastAsia="宋体"/>
          <w:color w:val="auto"/>
          <w:lang w:eastAsia="zh-CN"/>
        </w:rPr>
        <w:instrText xml:space="preserve"> ADDIN EN.CITE &lt;EndNote&gt;&lt;Cite&gt;&lt;Author&gt;Wang&lt;/Author&gt;&lt;Year&gt;2022&lt;/Year&gt;&lt;RecNum&gt;221&lt;/RecNum&gt;&lt;DisplayText&gt;&lt;style size="10"&gt;[26]&lt;/style&gt;&lt;/DisplayText&gt;&lt;record&gt;&lt;rec-number&gt;221&lt;/rec-number&gt;&lt;foreign-keys&gt;&lt;key app="EN" db-id="xtrefar26vd5acefa9apfdwu2w9tsfax9pfe" timestamp="1684498038"&gt;221&lt;/key&gt;&lt;/foreign-keys&gt;&lt;ref-type name="Journal Article"&gt;17&lt;/ref-type&gt;&lt;contributors&gt;&lt;authors&gt;&lt;author&gt;Wang, Guo-Hua&lt;/author&gt;&lt;author&gt;Wang, Si-Hu&lt;/author&gt;&lt;author&gt;Zhang, Wen-Zhen&lt;/author&gt;&lt;author&gt;Liang, Cheng-Cheng&lt;/author&gt;&lt;author&gt;Cheng, Gong&lt;/author&gt;&lt;author&gt;Wang, Xiao-Yu&lt;/author&gt;&lt;author&gt;Zhang, Yu&lt;/author&gt;&lt;author&gt;Zan, Lin-Sen&lt;/author&gt;&lt;/authors&gt;&lt;/contributors&gt;&lt;titles&gt;&lt;title&gt;Analysis of stability of reference genes for qPCR in bovine preadipocytes during proliferation and differentiation in vitro&lt;/title&gt;&lt;secondary-title&gt;Gene&lt;/secondary-title&gt;&lt;/titles&gt;&lt;periodical&gt;&lt;full-title&gt;Gene&lt;/full-title&gt;&lt;/periodical&gt;&lt;volume&gt;830&lt;/volume&gt;&lt;dates&gt;&lt;year&gt;2022&lt;/year&gt;&lt;pub-dates&gt;&lt;date&gt;Jul 1&lt;/date&gt;&lt;/pub-dates&gt;&lt;/dates&gt;&lt;isbn&gt;0378-1119&lt;/isbn&gt;&lt;accession-num&gt;WOS:000800387000003&lt;/accession-num&gt;&lt;work-type&gt;Article&lt;/work-type&gt;&lt;urls&gt;&lt;related-urls&gt;&lt;url&gt;&amp;lt;Go to ISI&amp;gt;://WOS:000800387000003&lt;/url&gt;&lt;/related-urls&gt;&lt;/urls&gt;&lt;custom7&gt;146502&lt;/custom7&gt;&lt;electronic-resource-num&gt;10.1016/j.gene.2022.146502&lt;/electronic-resource-num&gt;&lt;/record&gt;&lt;/Cite&gt;&lt;/EndNote&gt;</w:instrText>
      </w:r>
      <w:r>
        <w:rPr>
          <w:rFonts w:eastAsia="宋体"/>
          <w:color w:val="auto"/>
          <w:lang w:eastAsia="zh-CN"/>
        </w:rPr>
        <w:fldChar w:fldCharType="separate"/>
      </w:r>
      <w:r>
        <w:rPr>
          <w:rFonts w:eastAsia="宋体"/>
          <w:color w:val="auto"/>
          <w:lang w:eastAsia="zh-CN"/>
        </w:rPr>
        <w:t>[26]</w:t>
      </w:r>
      <w:r>
        <w:rPr>
          <w:rFonts w:eastAsia="宋体"/>
          <w:color w:val="auto"/>
          <w:lang w:eastAsia="zh-CN"/>
        </w:rPr>
        <w:fldChar w:fldCharType="end"/>
      </w:r>
      <w:r>
        <w:rPr>
          <w:rFonts w:hint="eastAsia" w:eastAsia="宋体"/>
          <w:color w:val="auto"/>
          <w:lang w:eastAsia="zh-CN"/>
        </w:rPr>
        <w:t xml:space="preserve">. </w:t>
      </w:r>
      <w:r>
        <w:rPr>
          <w:color w:val="auto"/>
        </w:rPr>
        <w:t>The uterus caruncle is the pitting structure of endometrium</w:t>
      </w:r>
      <w:r>
        <w:rPr>
          <w:rFonts w:hint="eastAsia" w:eastAsia="宋体"/>
          <w:color w:val="auto"/>
          <w:lang w:eastAsia="zh-CN"/>
        </w:rPr>
        <w:t>, so our results may partly validate previous research. In addition, it has been suggested that </w:t>
      </w:r>
      <w:r>
        <w:rPr>
          <w:rFonts w:eastAsia="宋体"/>
          <w:i/>
          <w:iCs/>
          <w:color w:val="auto"/>
          <w:lang w:eastAsia="zh-CN"/>
        </w:rPr>
        <w:t>EIF3K</w:t>
      </w:r>
      <w:r>
        <w:rPr>
          <w:rFonts w:hint="eastAsia" w:eastAsia="宋体"/>
          <w:color w:val="auto"/>
          <w:lang w:eastAsia="zh-CN"/>
        </w:rPr>
        <w:t xml:space="preserve"> is one of the most stably expressed HKGs in bovine endometrium, </w:t>
      </w:r>
      <w:r>
        <w:rPr>
          <w:rFonts w:eastAsia="宋体"/>
          <w:color w:val="auto"/>
          <w:lang w:eastAsia="zh-CN"/>
        </w:rPr>
        <w:t>and is also stably expressed</w:t>
      </w:r>
      <w:r>
        <w:rPr>
          <w:rFonts w:hint="eastAsia" w:eastAsia="宋体"/>
          <w:color w:val="auto"/>
          <w:lang w:eastAsia="zh-CN"/>
        </w:rPr>
        <w:t xml:space="preserve"> in bovine adipose tissue, mammary gland, muscle and liver, and goat adipose tissue</w:t>
      </w:r>
      <w:r>
        <w:rPr>
          <w:rFonts w:eastAsia="宋体"/>
          <w:color w:val="auto"/>
          <w:lang w:eastAsia="zh-CN"/>
        </w:rPr>
        <w:fldChar w:fldCharType="begin">
          <w:fldData xml:space="preserve">PEVuZE5vdGU+PENpdGU+PEF1dGhvcj5TYXJlbWk8L0F1dGhvcj48WWVhcj4yMDEyPC9ZZWFyPjxS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</w:fldData>
        </w:fldChar>
      </w:r>
      <w:r>
        <w:rPr>
          <w:rFonts w:eastAsia="宋体"/>
          <w:color w:val="auto"/>
          <w:lang w:eastAsia="zh-CN"/>
        </w:rPr>
        <w:instrText xml:space="preserve"> ADDIN EN.CITE </w:instrText>
      </w:r>
      <w:r>
        <w:rPr>
          <w:rFonts w:eastAsia="宋体"/>
          <w:color w:val="auto"/>
          <w:lang w:eastAsia="zh-CN"/>
        </w:rPr>
        <w:fldChar w:fldCharType="begin">
          <w:fldData xml:space="preserve">PEVuZE5vdGU+PENpdGU+PEF1dGhvcj5TYXJlbWk8L0F1dGhvcj48WWVhcj4yMDEyPC9ZZWFyPjxS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</w:fldData>
        </w:fldChar>
      </w:r>
      <w:r>
        <w:rPr>
          <w:rFonts w:eastAsia="宋体"/>
          <w:color w:val="auto"/>
          <w:lang w:eastAsia="zh-CN"/>
        </w:rPr>
        <w:instrText xml:space="preserve"> ADDIN EN.CITE.DATA </w:instrText>
      </w:r>
      <w:r>
        <w:rPr>
          <w:rFonts w:eastAsia="宋体"/>
          <w:color w:val="auto"/>
          <w:lang w:eastAsia="zh-CN"/>
        </w:rPr>
        <w:fldChar w:fldCharType="end"/>
      </w:r>
      <w:r>
        <w:rPr>
          <w:rFonts w:eastAsia="宋体"/>
          <w:color w:val="auto"/>
          <w:lang w:eastAsia="zh-CN"/>
        </w:rPr>
        <w:fldChar w:fldCharType="separate"/>
      </w:r>
      <w:r>
        <w:rPr>
          <w:rFonts w:eastAsia="宋体"/>
          <w:color w:val="auto"/>
          <w:lang w:eastAsia="zh-CN"/>
        </w:rPr>
        <w:t>[21,27]</w:t>
      </w:r>
      <w:r>
        <w:rPr>
          <w:rFonts w:eastAsia="宋体"/>
          <w:color w:val="auto"/>
          <w:lang w:eastAsia="zh-CN"/>
        </w:rPr>
        <w:fldChar w:fldCharType="end"/>
      </w:r>
      <w:r>
        <w:rPr>
          <w:rFonts w:hint="eastAsia" w:eastAsia="宋体"/>
          <w:color w:val="auto"/>
          <w:lang w:eastAsia="zh-CN"/>
        </w:rPr>
        <w:t>. To date, no publications were found on </w:t>
      </w:r>
      <w:r>
        <w:rPr>
          <w:rFonts w:eastAsia="宋体"/>
          <w:i/>
          <w:iCs/>
          <w:color w:val="auto"/>
          <w:lang w:eastAsia="zh-CN"/>
        </w:rPr>
        <w:t>EIF3K</w:t>
      </w:r>
      <w:r>
        <w:rPr>
          <w:rFonts w:hint="eastAsia" w:eastAsia="宋体"/>
          <w:color w:val="auto"/>
          <w:lang w:eastAsia="zh-CN"/>
        </w:rPr>
        <w:t> as an unstable HKG. This may indicate the potential of </w:t>
      </w:r>
      <w:r>
        <w:rPr>
          <w:rFonts w:eastAsia="宋体"/>
          <w:i/>
          <w:iCs/>
          <w:color w:val="auto"/>
          <w:lang w:eastAsia="zh-CN"/>
        </w:rPr>
        <w:t>EIF3K</w:t>
      </w:r>
      <w:r>
        <w:rPr>
          <w:rFonts w:hint="eastAsia" w:eastAsia="宋体"/>
          <w:color w:val="auto"/>
          <w:lang w:eastAsia="zh-CN"/>
        </w:rPr>
        <w:t> to serve as a stable HKG in goat uterus tissue.</w:t>
      </w:r>
    </w:p>
    <w:p>
      <w:pPr>
        <w:pStyle w:val="35"/>
        <w:rPr>
          <w:color w:val="auto"/>
        </w:rPr>
      </w:pPr>
      <w:r>
        <w:rPr>
          <w:rFonts w:hint="eastAsia" w:eastAsia="宋体"/>
          <w:color w:val="auto"/>
          <w:lang w:eastAsia="zh-CN"/>
        </w:rPr>
        <w:t>It is interesting that</w:t>
      </w:r>
      <w:r>
        <w:rPr>
          <w:color w:val="auto"/>
        </w:rPr>
        <w:t xml:space="preserve"> </w:t>
      </w:r>
      <w:r>
        <w:rPr>
          <w:rFonts w:hint="eastAsia" w:eastAsia="宋体"/>
          <w:color w:val="auto"/>
          <w:lang w:eastAsia="zh-CN"/>
        </w:rPr>
        <w:t>traditional</w:t>
      </w:r>
      <w:r>
        <w:rPr>
          <w:color w:val="auto"/>
        </w:rPr>
        <w:t xml:space="preserve"> HKGs</w:t>
      </w:r>
      <w:r>
        <w:rPr>
          <w:rFonts w:hint="eastAsia" w:eastAsia="宋体"/>
          <w:color w:val="auto"/>
          <w:lang w:eastAsia="zh-CN"/>
        </w:rPr>
        <w:t xml:space="preserve"> like</w:t>
      </w:r>
      <w:r>
        <w:rPr>
          <w:color w:val="auto"/>
        </w:rPr>
        <w:t xml:space="preserve"> </w:t>
      </w:r>
      <w:r>
        <w:rPr>
          <w:i/>
          <w:iCs/>
          <w:color w:val="auto"/>
        </w:rPr>
        <w:t xml:space="preserve">ACTB </w:t>
      </w:r>
      <w:r>
        <w:rPr>
          <w:color w:val="auto"/>
        </w:rPr>
        <w:t xml:space="preserve">and </w:t>
      </w:r>
      <w:r>
        <w:rPr>
          <w:i/>
          <w:iCs/>
          <w:color w:val="auto"/>
        </w:rPr>
        <w:t>GAPDH</w:t>
      </w:r>
      <w:r>
        <w:rPr>
          <w:rFonts w:hint="eastAsia" w:eastAsiaTheme="minorEastAsia"/>
          <w:i/>
          <w:iCs/>
          <w:color w:val="auto"/>
          <w:lang w:eastAsia="zh-CN"/>
        </w:rPr>
        <w:t xml:space="preserve"> </w:t>
      </w:r>
      <w:r>
        <w:rPr>
          <w:rFonts w:hint="eastAsia" w:eastAsia="宋体"/>
          <w:color w:val="auto"/>
          <w:lang w:eastAsia="zh-CN"/>
        </w:rPr>
        <w:t>were not</w:t>
      </w:r>
      <w:r>
        <w:rPr>
          <w:color w:val="auto"/>
        </w:rPr>
        <w:t xml:space="preserve"> perform</w:t>
      </w:r>
      <w:r>
        <w:rPr>
          <w:rFonts w:hint="eastAsia" w:eastAsia="宋体"/>
          <w:color w:val="auto"/>
          <w:lang w:eastAsia="zh-CN"/>
        </w:rPr>
        <w:t>ed</w:t>
      </w:r>
      <w:r>
        <w:rPr>
          <w:color w:val="auto"/>
        </w:rPr>
        <w:t xml:space="preserve"> well in our </w:t>
      </w:r>
      <w:r>
        <w:rPr>
          <w:rFonts w:hint="eastAsia" w:eastAsia="宋体"/>
          <w:color w:val="auto"/>
          <w:lang w:eastAsia="zh-CN"/>
        </w:rPr>
        <w:t>research</w:t>
      </w:r>
      <w:r>
        <w:rPr>
          <w:color w:val="auto"/>
        </w:rPr>
        <w:t xml:space="preserve">. What’s worse, </w:t>
      </w:r>
      <w:r>
        <w:rPr>
          <w:i/>
          <w:iCs/>
          <w:color w:val="auto"/>
        </w:rPr>
        <w:t>ACTB</w:t>
      </w:r>
      <w:r>
        <w:rPr>
          <w:color w:val="auto"/>
        </w:rPr>
        <w:t xml:space="preserve"> was one of the least four stable genes while </w:t>
      </w:r>
      <w:r>
        <w:rPr>
          <w:i/>
          <w:iCs/>
          <w:color w:val="auto"/>
        </w:rPr>
        <w:t xml:space="preserve">GAPDH </w:t>
      </w:r>
      <w:r>
        <w:rPr>
          <w:color w:val="auto"/>
        </w:rPr>
        <w:t>showed the medium stability on the whole. It seems to be a common conclusion that classical reference genes did not have good stability in the studies of HKGs</w:t>
      </w:r>
      <w:r>
        <w:rPr>
          <w:color w:val="auto"/>
        </w:rPr>
        <w:fldChar w:fldCharType="begin">
          <w:fldData xml:space="preserve">PEVuZE5vdGU+PENpdGU+PEF1dGhvcj5DYW88L0F1dGhvcj48WWVhcj4yMDEyPC9ZZWFyPjxSZWNO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</w:fldData>
        </w:fldChar>
      </w:r>
      <w:r>
        <w:rPr>
          <w:color w:val="auto"/>
        </w:rPr>
        <w:instrText xml:space="preserve"> ADDIN EN.CITE </w:instrText>
      </w:r>
      <w:r>
        <w:rPr>
          <w:color w:val="auto"/>
        </w:rPr>
        <w:fldChar w:fldCharType="begin">
          <w:fldData xml:space="preserve">PEVuZE5vdGU+PENpdGU+PEF1dGhvcj5DYW88L0F1dGhvcj48WWVhcj4yMDEyPC9ZZWFyPjxSZWNO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</w:fldData>
        </w:fldChar>
      </w:r>
      <w:r>
        <w:rPr>
          <w:color w:val="auto"/>
        </w:rPr>
        <w:instrText xml:space="preserve"> ADDIN EN.CITE.DATA </w:instrText>
      </w:r>
      <w:r>
        <w:rPr>
          <w:color w:val="auto"/>
        </w:rPr>
        <w:fldChar w:fldCharType="end"/>
      </w:r>
      <w:r>
        <w:rPr>
          <w:color w:val="auto"/>
        </w:rPr>
        <w:fldChar w:fldCharType="separate"/>
      </w:r>
      <w:r>
        <w:rPr>
          <w:color w:val="auto"/>
        </w:rPr>
        <w:t>[25,28-31]</w:t>
      </w:r>
      <w:r>
        <w:rPr>
          <w:color w:val="auto"/>
        </w:rPr>
        <w:fldChar w:fldCharType="end"/>
      </w:r>
      <w:r>
        <w:rPr>
          <w:color w:val="auto"/>
        </w:rPr>
        <w:t>. This finding reminds us that the need to accurately validate candidate internal control genes in the study before use in gene expression studies using qRT-PCR.</w:t>
      </w:r>
    </w:p>
    <w:p>
      <w:pPr>
        <w:pStyle w:val="35"/>
        <w:rPr>
          <w:color w:val="auto"/>
        </w:rPr>
      </w:pPr>
      <w:r>
        <w:rPr>
          <w:color w:val="auto"/>
        </w:rPr>
        <w:t>When it comes to methodology in this study, we combine RNA-seq data with referring to references to select HKGs, following use qRT-PCR experiment to validate the selected HKGs, then target genes of uterus caruncle tissue were used for further validation. We used four algorithms that we kn</w:t>
      </w:r>
      <w:r>
        <w:rPr>
          <w:rFonts w:hint="eastAsia" w:eastAsia="宋体"/>
          <w:color w:val="auto"/>
          <w:lang w:eastAsia="zh-CN"/>
        </w:rPr>
        <w:t>e</w:t>
      </w:r>
      <w:r>
        <w:rPr>
          <w:color w:val="auto"/>
        </w:rPr>
        <w:t xml:space="preserve">w so far viz. geNorm, Delta Ct, NormFinder and BestKeeper, to calculate the stability of HKGs. And ReFinder was applied to evaluate the comprehensive stability of HKGs. In general, we synthesized all the latest methods referring to screen HKGs, which leads us to get a relatively reliable result. </w:t>
      </w:r>
    </w:p>
    <w:p>
      <w:pPr>
        <w:pStyle w:val="35"/>
        <w:rPr>
          <w:color w:val="auto"/>
        </w:rPr>
      </w:pPr>
      <w:r>
        <w:rPr>
          <w:color w:val="auto"/>
        </w:rPr>
        <w:t xml:space="preserve">As for the number of HKGs for normalization, we only choose single gene instead of gene combinations. That </w:t>
      </w:r>
      <w:r>
        <w:rPr>
          <w:rFonts w:hint="eastAsia" w:eastAsia="宋体"/>
          <w:color w:val="auto"/>
          <w:lang w:eastAsia="zh-CN"/>
        </w:rPr>
        <w:t>was</w:t>
      </w:r>
      <w:r>
        <w:rPr>
          <w:color w:val="auto"/>
        </w:rPr>
        <w:t xml:space="preserve"> determined by geNorm on the basis of the average pairwise variation (V</w:t>
      </w:r>
      <w:r>
        <w:rPr>
          <w:color w:val="auto"/>
          <w:vertAlign w:val="subscript"/>
        </w:rPr>
        <w:t>n</w:t>
      </w:r>
      <w:r>
        <w:rPr>
          <w:color w:val="auto"/>
        </w:rPr>
        <w:t>/V</w:t>
      </w:r>
      <w:r>
        <w:rPr>
          <w:color w:val="auto"/>
          <w:vertAlign w:val="subscript"/>
        </w:rPr>
        <w:t>n+1</w:t>
      </w:r>
      <w:r>
        <w:rPr>
          <w:color w:val="auto"/>
        </w:rPr>
        <w:t>) value. As a routine, 0.15 was proposed as the cut-off value for V value</w:t>
      </w:r>
      <w:r>
        <w:rPr>
          <w:color w:val="auto"/>
        </w:rPr>
        <w:fldChar w:fldCharType="begin"/>
      </w:r>
      <w:r>
        <w:rPr>
          <w:color w:val="auto"/>
        </w:rPr>
        <w:instrText xml:space="preserve"> ADDIN EN.CITE &lt;EndNote&gt;&lt;Cite&gt;&lt;Author&gt;Vandesompele&lt;/Author&gt;&lt;Year&gt;2002&lt;/Year&gt;&lt;RecNum&gt;5&lt;/RecNum&gt;&lt;DisplayText&gt;&lt;style size="10"&gt;[7]&lt;/style&gt;&lt;/DisplayText&gt;&lt;record&gt;&lt;rec-number&gt;5&lt;/rec-number&gt;&lt;foreign-keys&gt;&lt;key app="EN" db-id="zspwvtzvtfa5xberewspedv8zv02d5dtx902" timestamp="1684309140" guid="d60a3b05-df8c-41fa-8ce5-c07c83b271eb"&gt;5&lt;/key&gt;&lt;/foreign-keys&gt;&lt;ref-type name="Journal Article"&gt;17&lt;/ref-type&gt;&lt;contributors&gt;&lt;authors&gt;&lt;author&gt;Vandesompele, J.&lt;/author&gt;&lt;author&gt;De Preter, K.&lt;/author&gt;&lt;author&gt;Pattyn, F.&lt;/author&gt;&lt;author&gt;Poppe, B.&lt;/author&gt;&lt;author&gt;Van Roy, N.&lt;/author&gt;&lt;author&gt;De Paepe, A.&lt;/author&gt;&lt;author&gt;Speleman, F.&lt;/author&gt;&lt;/authors&gt;&lt;/contributors&gt;&lt;titles&gt;&lt;title&gt;Accurate normalization of real-time quantitative RT-PCR data by geometric averaging of multiple internal control genes&lt;/title&gt;&lt;secondary-title&gt;Genome Biology&lt;/secondary-title&gt;&lt;/titles&gt;&lt;periodical&gt;&lt;full-title&gt;Genome Biology&lt;/full-title&gt;&lt;/periodical&gt;&lt;volume&gt;3&lt;/volume&gt;&lt;number&gt;7&lt;/number&gt;&lt;dates&gt;&lt;year&gt;2002&lt;/year&gt;&lt;/dates&gt;&lt;isbn&gt;1474-760X&lt;/isbn&gt;&lt;accession-num&gt;WOS:000207581200010&lt;/accession-num&gt;&lt;urls&gt;&lt;related-urls&gt;&lt;url&gt;&amp;lt;Go to ISI&amp;gt;://WOS:000207581200010&lt;/url&gt;&lt;/related-urls&gt;&lt;/urls&gt;&lt;custom7&gt;0034.1&lt;/custom7&gt;&lt;electronic-resource-num&gt;10.1186/gb-2002-3-7-research0034&lt;/electronic-resource-num&gt;&lt;/record&gt;&lt;/Cite&gt;&lt;/EndNote&gt;</w:instrText>
      </w:r>
      <w:r>
        <w:rPr>
          <w:color w:val="auto"/>
        </w:rPr>
        <w:fldChar w:fldCharType="separate"/>
      </w:r>
      <w:r>
        <w:rPr>
          <w:color w:val="auto"/>
        </w:rPr>
        <w:t>[7]</w:t>
      </w:r>
      <w:r>
        <w:rPr>
          <w:color w:val="auto"/>
        </w:rPr>
        <w:fldChar w:fldCharType="end"/>
      </w:r>
      <w:r>
        <w:rPr>
          <w:color w:val="auto"/>
        </w:rPr>
        <w:t xml:space="preserve">, below which the inclusion of an additional control gene </w:t>
      </w:r>
      <w:r>
        <w:rPr>
          <w:rFonts w:hint="eastAsia" w:eastAsia="宋体"/>
          <w:color w:val="auto"/>
          <w:lang w:eastAsia="zh-CN"/>
        </w:rPr>
        <w:t>was</w:t>
      </w:r>
      <w:r>
        <w:rPr>
          <w:color w:val="auto"/>
        </w:rPr>
        <w:t xml:space="preserve"> not required. However, all of the V</w:t>
      </w:r>
      <w:r>
        <w:rPr>
          <w:color w:val="auto"/>
          <w:vertAlign w:val="subscript"/>
        </w:rPr>
        <w:t>n</w:t>
      </w:r>
      <w:r>
        <w:rPr>
          <w:color w:val="auto"/>
        </w:rPr>
        <w:t>/</w:t>
      </w:r>
      <w:r>
        <w:rPr>
          <w:color w:val="auto"/>
          <w:vertAlign w:val="subscript"/>
        </w:rPr>
        <w:t>n+1</w:t>
      </w:r>
      <w:r>
        <w:rPr>
          <w:color w:val="auto"/>
        </w:rPr>
        <w:t xml:space="preserve"> values in our study were less than 0.15 (Table S2), indicating increasing number of genes d</w:t>
      </w:r>
      <w:r>
        <w:rPr>
          <w:rFonts w:hint="eastAsia" w:eastAsia="宋体"/>
          <w:color w:val="auto"/>
          <w:lang w:eastAsia="zh-CN"/>
        </w:rPr>
        <w:t>id</w:t>
      </w:r>
      <w:r>
        <w:rPr>
          <w:color w:val="auto"/>
        </w:rPr>
        <w:t xml:space="preserve"> not significantly change the value of the normalization analyses. Therefore, single top stable HKG might be a good choice for qRT-PCR assay in our study. </w:t>
      </w:r>
    </w:p>
    <w:p>
      <w:pPr>
        <w:pStyle w:val="35"/>
        <w:rPr>
          <w:color w:val="auto"/>
        </w:rPr>
      </w:pPr>
      <w:r>
        <w:rPr>
          <w:color w:val="auto"/>
        </w:rPr>
        <w:t xml:space="preserve">Previous studies have shown that </w:t>
      </w:r>
      <w:bookmarkStart w:id="20" w:name="OLE_LINK7"/>
      <w:r>
        <w:rPr>
          <w:i/>
          <w:iCs/>
          <w:color w:val="auto"/>
        </w:rPr>
        <w:t>SPP1</w:t>
      </w:r>
      <w:r>
        <w:rPr>
          <w:color w:val="auto"/>
        </w:rPr>
        <w:t xml:space="preserve">, </w:t>
      </w:r>
      <w:r>
        <w:rPr>
          <w:i/>
          <w:iCs/>
          <w:color w:val="auto"/>
        </w:rPr>
        <w:t>VEGFA</w:t>
      </w:r>
      <w:r>
        <w:rPr>
          <w:color w:val="auto"/>
        </w:rPr>
        <w:t xml:space="preserve">, and </w:t>
      </w:r>
      <w:r>
        <w:rPr>
          <w:i/>
          <w:iCs/>
          <w:color w:val="auto"/>
        </w:rPr>
        <w:t>PAG8</w:t>
      </w:r>
      <w:bookmarkEnd w:id="20"/>
      <w:r>
        <w:rPr>
          <w:color w:val="auto"/>
        </w:rPr>
        <w:t xml:space="preserve"> </w:t>
      </w:r>
      <w:r>
        <w:rPr>
          <w:color w:val="auto"/>
        </w:rPr>
        <w:fldChar w:fldCharType="begin">
          <w:fldData xml:space="preserve">PEVuZE5vdGU+PENpdGU+PEF1dGhvcj5LcmFtZXI8L0F1dGhvcj48WWVhcj4yMDIxPC9ZZWFyPjxS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</w:fldData>
        </w:fldChar>
      </w:r>
      <w:r>
        <w:rPr>
          <w:color w:val="auto"/>
        </w:rPr>
        <w:instrText xml:space="preserve"> ADDIN EN.CITE </w:instrText>
      </w:r>
      <w:r>
        <w:rPr>
          <w:color w:val="auto"/>
        </w:rPr>
        <w:fldChar w:fldCharType="begin">
          <w:fldData xml:space="preserve">PEVuZE5vdGU+PENpdGU+PEF1dGhvcj5LcmFtZXI8L0F1dGhvcj48WWVhcj4yMDIxPC9ZZWFyPjxS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</w:fldData>
        </w:fldChar>
      </w:r>
      <w:r>
        <w:rPr>
          <w:color w:val="auto"/>
        </w:rPr>
        <w:instrText xml:space="preserve"> ADDIN EN.CITE.DATA </w:instrText>
      </w:r>
      <w:r>
        <w:rPr>
          <w:color w:val="auto"/>
        </w:rPr>
        <w:fldChar w:fldCharType="end"/>
      </w:r>
      <w:r>
        <w:rPr>
          <w:color w:val="auto"/>
        </w:rPr>
        <w:fldChar w:fldCharType="separate"/>
      </w:r>
      <w:r>
        <w:rPr>
          <w:color w:val="auto"/>
        </w:rPr>
        <w:t>[32-34]</w:t>
      </w:r>
      <w:r>
        <w:rPr>
          <w:color w:val="auto"/>
        </w:rPr>
        <w:fldChar w:fldCharType="end"/>
      </w:r>
      <w:r>
        <w:rPr>
          <w:color w:val="auto"/>
        </w:rPr>
        <w:t xml:space="preserve"> genes </w:t>
      </w:r>
      <w:r>
        <w:rPr>
          <w:rFonts w:hint="eastAsia" w:eastAsia="宋体"/>
          <w:color w:val="auto"/>
          <w:lang w:eastAsia="zh-CN"/>
        </w:rPr>
        <w:t>were</w:t>
      </w:r>
      <w:r>
        <w:rPr>
          <w:color w:val="auto"/>
        </w:rPr>
        <w:t xml:space="preserve"> the marker genes for uterus and placenta tissues. In addition, they were differentially expressed in our RNA-seq data (data </w:t>
      </w:r>
      <w:r>
        <w:rPr>
          <w:rFonts w:hint="eastAsia" w:eastAsia="宋体"/>
          <w:color w:val="auto"/>
          <w:lang w:eastAsia="zh-CN"/>
        </w:rPr>
        <w:t xml:space="preserve">was </w:t>
      </w:r>
      <w:r>
        <w:rPr>
          <w:color w:val="auto"/>
        </w:rPr>
        <w:t xml:space="preserve">not shown) in the uterus caruncle tissues. Therefore, </w:t>
      </w:r>
      <w:r>
        <w:rPr>
          <w:i/>
          <w:iCs/>
          <w:color w:val="auto"/>
        </w:rPr>
        <w:t>SPP1</w:t>
      </w:r>
      <w:r>
        <w:rPr>
          <w:color w:val="auto"/>
        </w:rPr>
        <w:t xml:space="preserve">, </w:t>
      </w:r>
      <w:r>
        <w:rPr>
          <w:i/>
          <w:iCs/>
          <w:color w:val="auto"/>
        </w:rPr>
        <w:t>VEGFA</w:t>
      </w:r>
      <w:r>
        <w:rPr>
          <w:color w:val="auto"/>
        </w:rPr>
        <w:t xml:space="preserve">, and </w:t>
      </w:r>
      <w:r>
        <w:rPr>
          <w:i/>
          <w:iCs/>
          <w:color w:val="auto"/>
        </w:rPr>
        <w:t>PAG8</w:t>
      </w:r>
      <w:r>
        <w:rPr>
          <w:color w:val="auto"/>
        </w:rPr>
        <w:t xml:space="preserve"> genes were selected as target genes for normalization. </w:t>
      </w:r>
      <w:r>
        <w:rPr>
          <w:i/>
          <w:iCs/>
          <w:color w:val="auto"/>
        </w:rPr>
        <w:t>SPP1</w:t>
      </w:r>
      <w:r>
        <w:rPr>
          <w:color w:val="auto"/>
        </w:rPr>
        <w:t xml:space="preserve"> plays an important role in the regulation of maternal-fetus angiogenesis and calcium balance after implant</w:t>
      </w:r>
      <w:r>
        <w:rPr>
          <w:rFonts w:eastAsiaTheme="minorEastAsia"/>
          <w:color w:val="auto"/>
          <w:lang w:eastAsia="zh-CN"/>
        </w:rPr>
        <w:t>at</w:t>
      </w:r>
      <w:r>
        <w:rPr>
          <w:color w:val="auto"/>
        </w:rPr>
        <w:t>ion</w:t>
      </w:r>
      <w:r>
        <w:rPr>
          <w:color w:val="auto"/>
        </w:rPr>
        <w:fldChar w:fldCharType="begin">
          <w:fldData xml:space="preserve">PEVuZE5vdGU+PENpdGU+PEF1dGhvcj5XYXRlcmhvdXNlPC9BdXRob3I+PFllYXI+MTk5MjwvWWVh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</w:fldData>
        </w:fldChar>
      </w:r>
      <w:r>
        <w:rPr>
          <w:color w:val="auto"/>
        </w:rPr>
        <w:instrText xml:space="preserve"> ADDIN EN.CITE </w:instrText>
      </w:r>
      <w:r>
        <w:rPr>
          <w:color w:val="auto"/>
        </w:rPr>
        <w:fldChar w:fldCharType="begin">
          <w:fldData xml:space="preserve">PEVuZE5vdGU+PENpdGU+PEF1dGhvcj5XYXRlcmhvdXNlPC9BdXRob3I+PFllYXI+MTk5MjwvWWVh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</w:fldData>
        </w:fldChar>
      </w:r>
      <w:r>
        <w:rPr>
          <w:color w:val="auto"/>
        </w:rPr>
        <w:instrText xml:space="preserve"> ADDIN EN.CITE.DATA </w:instrText>
      </w:r>
      <w:r>
        <w:rPr>
          <w:color w:val="auto"/>
        </w:rPr>
        <w:fldChar w:fldCharType="end"/>
      </w:r>
      <w:r>
        <w:rPr>
          <w:color w:val="auto"/>
        </w:rPr>
        <w:fldChar w:fldCharType="separate"/>
      </w:r>
      <w:r>
        <w:rPr>
          <w:color w:val="auto"/>
        </w:rPr>
        <w:t>[35,36]</w:t>
      </w:r>
      <w:r>
        <w:rPr>
          <w:color w:val="auto"/>
        </w:rPr>
        <w:fldChar w:fldCharType="end"/>
      </w:r>
      <w:r>
        <w:rPr>
          <w:color w:val="auto"/>
        </w:rPr>
        <w:t xml:space="preserve">. </w:t>
      </w:r>
      <w:r>
        <w:rPr>
          <w:i/>
          <w:iCs/>
          <w:color w:val="auto"/>
        </w:rPr>
        <w:t xml:space="preserve">VEGFA </w:t>
      </w:r>
      <w:r>
        <w:rPr>
          <w:color w:val="auto"/>
        </w:rPr>
        <w:t>(vascular endothelial growth factor A) has strong pro-angiogenic effect on embryonic vasculogenesis</w:t>
      </w:r>
      <w:r>
        <w:rPr>
          <w:color w:val="auto"/>
        </w:rPr>
        <w:fldChar w:fldCharType="begin"/>
      </w:r>
      <w:r>
        <w:rPr>
          <w:color w:val="auto"/>
        </w:rPr>
        <w:instrText xml:space="preserve"> ADDIN EN.CITE &lt;EndNote&gt;&lt;Cite&gt;&lt;Author&gt;Melincovici&lt;/Author&gt;&lt;Year&gt;2018&lt;/Year&gt;&lt;RecNum&gt;17&lt;/RecNum&gt;&lt;DisplayText&gt;&lt;style size="10"&gt;[37]&lt;/style&gt;&lt;/DisplayText&gt;&lt;record&gt;&lt;rec-number&gt;17&lt;/rec-number&gt;&lt;foreign-keys&gt;&lt;key app="EN" db-id="xtrefar26vd5acefa9apfdwu2w9tsfax9pfe" timestamp="1626005806"&gt;17&lt;/key&gt;&lt;/foreign-keys&gt;&lt;ref-type name="Journal Article"&gt;17&lt;/ref-type&gt;&lt;contributors&gt;&lt;authors&gt;&lt;author&gt;Melincovici, C. S.&lt;/author&gt;&lt;author&gt;Bosca, A. B.&lt;/author&gt;&lt;author&gt;Susman, S.&lt;/author&gt;&lt;author&gt;Marginean, M.&lt;/author&gt;&lt;author&gt;Mihu, C.&lt;/author&gt;&lt;author&gt;Istrate, M.&lt;/author&gt;&lt;author&gt;Moldovan, I. M.&lt;/author&gt;&lt;author&gt;Roman, A. L.&lt;/author&gt;&lt;author&gt;Mihu, C. M.&lt;/author&gt;&lt;/authors&gt;&lt;/contributors&gt;&lt;titles&gt;&lt;title&gt;Vascular endothelial growth factor (VEGF) - key factor in normal and pathological angiogenesis&lt;/title&gt;&lt;secondary-title&gt;Romanian Journal of Morphology and Embryology&lt;/secondary-title&gt;&lt;/titles&gt;&lt;periodical&gt;&lt;full-title&gt;Romanian Journal of Morphology and Embryology&lt;/full-title&gt;&lt;/periodical&gt;&lt;pages&gt;455-467&lt;/pages&gt;&lt;volume&gt;59&lt;/volume&gt;&lt;number&gt;2&lt;/number&gt;&lt;dates&gt;&lt;year&gt;2018&lt;/year&gt;&lt;/dates&gt;&lt;isbn&gt;1220-0522&lt;/isbn&gt;&lt;accession-num&gt;WOS:000444860300004&lt;/accession-num&gt;&lt;urls&gt;&lt;related-urls&gt;&lt;url&gt;&amp;lt;Go to ISI&amp;gt;://WOS:000444860300004&lt;/url&gt;&lt;/related-urls&gt;&lt;/urls&gt;&lt;/record&gt;&lt;/Cite&gt;&lt;/EndNote&gt;</w:instrText>
      </w:r>
      <w:r>
        <w:rPr>
          <w:color w:val="auto"/>
        </w:rPr>
        <w:fldChar w:fldCharType="separate"/>
      </w:r>
      <w:r>
        <w:rPr>
          <w:color w:val="auto"/>
        </w:rPr>
        <w:t>[37]</w:t>
      </w:r>
      <w:r>
        <w:rPr>
          <w:color w:val="auto"/>
        </w:rPr>
        <w:fldChar w:fldCharType="end"/>
      </w:r>
      <w:r>
        <w:rPr>
          <w:color w:val="auto"/>
        </w:rPr>
        <w:t xml:space="preserve">. Early expression of </w:t>
      </w:r>
      <w:r>
        <w:rPr>
          <w:i/>
          <w:iCs/>
          <w:color w:val="auto"/>
        </w:rPr>
        <w:t>PAG</w:t>
      </w:r>
      <w:r>
        <w:rPr>
          <w:color w:val="auto"/>
        </w:rPr>
        <w:t xml:space="preserve"> genes including </w:t>
      </w:r>
      <w:r>
        <w:rPr>
          <w:i/>
          <w:iCs/>
          <w:color w:val="auto"/>
        </w:rPr>
        <w:t>PAG8</w:t>
      </w:r>
      <w:r>
        <w:rPr>
          <w:color w:val="auto"/>
        </w:rPr>
        <w:t xml:space="preserve"> in the conceptus may contribute to successful development of early pregnancy and possibly alter mechanisms related with embryo survival such as prostaglandin synthesis</w:t>
      </w:r>
      <w:r>
        <w:rPr>
          <w:color w:val="auto"/>
        </w:rPr>
        <w:fldChar w:fldCharType="begin"/>
      </w:r>
      <w:r>
        <w:rPr>
          <w:color w:val="auto"/>
        </w:rPr>
        <w:instrText xml:space="preserve"> ADDIN EN.CITE &lt;EndNote&gt;&lt;Cite&gt;&lt;Author&gt;Thompson&lt;/Author&gt;&lt;Year&gt;2012&lt;/Year&gt;&lt;RecNum&gt;14&lt;/RecNum&gt;&lt;DisplayText&gt;&lt;style size="10"&gt;[34]&lt;/style&gt;&lt;/DisplayText&gt;&lt;record&gt;&lt;rec-number&gt;14&lt;/rec-number&gt;&lt;foreign-keys&gt;&lt;key app="EN" db-id="xtrefar26vd5acefa9apfdwu2w9tsfax9pfe" timestamp="1625993614"&gt;14&lt;/key&gt;&lt;/foreign-keys&gt;&lt;ref-type name="Journal Article"&gt;17&lt;/ref-type&gt;&lt;contributors&gt;&lt;authors&gt;&lt;author&gt;Thompson, I. M.&lt;/author&gt;&lt;author&gt;Cerri, R. L. A.&lt;/author&gt;&lt;author&gt;Kim, I. H.&lt;/author&gt;&lt;author&gt;Ealy, A. D.&lt;/author&gt;&lt;author&gt;Hansen, P. J.&lt;/author&gt;&lt;author&gt;Staples, C. R.&lt;/author&gt;&lt;author&gt;Thatcher, W. W.&lt;/author&gt;&lt;/authors&gt;&lt;/contributors&gt;&lt;titles&gt;&lt;title&gt;Effects of lactation and pregnancy on metabolic and hormonal responses and expression of selected conceptus and endometrial genes of Holstein dairy cattle&lt;/title&gt;&lt;secondary-title&gt;Journal of Dairy Science&lt;/secondary-title&gt;&lt;/titles&gt;&lt;periodical&gt;&lt;full-title&gt;Journal of Dairy Science&lt;/full-title&gt;&lt;/periodical&gt;&lt;pages&gt;5645-5656&lt;/pages&gt;&lt;volume&gt;95&lt;/volume&gt;&lt;number&gt;10&lt;/number&gt;&lt;dates&gt;&lt;year&gt;2012&lt;/year&gt;&lt;pub-dates&gt;&lt;date&gt;Oct&lt;/date&gt;&lt;/pub-dates&gt;&lt;/dates&gt;&lt;isbn&gt;0022-0302&lt;/isbn&gt;&lt;accession-num&gt;WOS:000309084600020&lt;/accession-num&gt;&lt;urls&gt;&lt;related-urls&gt;&lt;url&gt;&amp;lt;Go to ISI&amp;gt;://WOS:000309084600020&lt;/url&gt;&lt;/related-urls&gt;&lt;/urls&gt;&lt;electronic-resource-num&gt;10.3168/jds.2011-5113&lt;/electronic-resource-num&gt;&lt;/record&gt;&lt;/Cite&gt;&lt;/EndNote&gt;</w:instrText>
      </w:r>
      <w:r>
        <w:rPr>
          <w:color w:val="auto"/>
        </w:rPr>
        <w:fldChar w:fldCharType="separate"/>
      </w:r>
      <w:r>
        <w:rPr>
          <w:color w:val="auto"/>
        </w:rPr>
        <w:t>[34]</w:t>
      </w:r>
      <w:r>
        <w:rPr>
          <w:color w:val="auto"/>
        </w:rPr>
        <w:fldChar w:fldCharType="end"/>
      </w:r>
      <w:r>
        <w:rPr>
          <w:color w:val="auto"/>
        </w:rPr>
        <w:t>. In our study,</w:t>
      </w:r>
      <w:r>
        <w:rPr>
          <w:rFonts w:ascii="Times New Roman" w:hAnsi="Times New Roman"/>
          <w:color w:val="auto"/>
        </w:rPr>
        <w:t xml:space="preserve"> </w:t>
      </w:r>
      <w:r>
        <w:rPr>
          <w:color w:val="auto"/>
        </w:rPr>
        <w:t>the</w:t>
      </w:r>
      <w:r>
        <w:rPr>
          <w:rFonts w:ascii="宋体" w:hAnsi="宋体" w:eastAsia="宋体" w:cs="宋体"/>
          <w:color w:val="auto"/>
          <w:lang w:eastAsia="zh-CN"/>
        </w:rPr>
        <w:t xml:space="preserve"> </w:t>
      </w:r>
      <w:r>
        <w:rPr>
          <w:color w:val="auto"/>
        </w:rPr>
        <w:t xml:space="preserve">extremely upregulated of </w:t>
      </w:r>
      <w:r>
        <w:rPr>
          <w:i/>
          <w:iCs/>
          <w:color w:val="auto"/>
        </w:rPr>
        <w:t xml:space="preserve">PAG8 </w:t>
      </w:r>
      <w:r>
        <w:rPr>
          <w:color w:val="auto"/>
        </w:rPr>
        <w:t xml:space="preserve">and </w:t>
      </w:r>
      <w:r>
        <w:rPr>
          <w:i/>
          <w:iCs/>
          <w:color w:val="auto"/>
        </w:rPr>
        <w:t xml:space="preserve">VEGFA </w:t>
      </w:r>
      <w:r>
        <w:rPr>
          <w:color w:val="auto"/>
        </w:rPr>
        <w:t>genes during pregnancy were significantly showed by normalized to the most stable HKGs (</w:t>
      </w:r>
      <w:r>
        <w:rPr>
          <w:i/>
          <w:iCs/>
          <w:color w:val="auto"/>
        </w:rPr>
        <w:t>EIF3K</w:t>
      </w:r>
      <w:r>
        <w:rPr>
          <w:color w:val="auto"/>
        </w:rPr>
        <w:t xml:space="preserve">, </w:t>
      </w:r>
      <w:r>
        <w:rPr>
          <w:i/>
          <w:iCs/>
          <w:color w:val="auto"/>
        </w:rPr>
        <w:t>POP4</w:t>
      </w:r>
      <w:r>
        <w:rPr>
          <w:color w:val="auto"/>
        </w:rPr>
        <w:t xml:space="preserve">, </w:t>
      </w:r>
      <w:r>
        <w:rPr>
          <w:i/>
          <w:iCs/>
          <w:color w:val="auto"/>
        </w:rPr>
        <w:t>PPIA</w:t>
      </w:r>
      <w:r>
        <w:rPr>
          <w:color w:val="auto"/>
        </w:rPr>
        <w:t xml:space="preserve"> and </w:t>
      </w:r>
      <w:r>
        <w:rPr>
          <w:i/>
          <w:iCs/>
          <w:color w:val="auto"/>
        </w:rPr>
        <w:t>SDHA</w:t>
      </w:r>
      <w:r>
        <w:rPr>
          <w:color w:val="auto"/>
        </w:rPr>
        <w:t>). However, hardly any significance and even sever variance appeared when they were normalized to the four least stability HKGs (</w:t>
      </w:r>
      <w:r>
        <w:rPr>
          <w:i/>
          <w:iCs/>
          <w:color w:val="auto"/>
        </w:rPr>
        <w:t>ACTB</w:t>
      </w:r>
      <w:r>
        <w:rPr>
          <w:color w:val="auto"/>
        </w:rPr>
        <w:t xml:space="preserve">, </w:t>
      </w:r>
      <w:r>
        <w:rPr>
          <w:i/>
          <w:iCs/>
          <w:color w:val="auto"/>
        </w:rPr>
        <w:t>B2M</w:t>
      </w:r>
      <w:r>
        <w:rPr>
          <w:color w:val="auto"/>
        </w:rPr>
        <w:t xml:space="preserve">, </w:t>
      </w:r>
      <w:r>
        <w:rPr>
          <w:i/>
          <w:iCs/>
          <w:color w:val="auto"/>
        </w:rPr>
        <w:t>RPLPO</w:t>
      </w:r>
      <w:r>
        <w:rPr>
          <w:color w:val="auto"/>
        </w:rPr>
        <w:t xml:space="preserve">, and </w:t>
      </w:r>
      <w:r>
        <w:rPr>
          <w:i/>
          <w:iCs/>
          <w:color w:val="auto"/>
        </w:rPr>
        <w:t>ARF1</w:t>
      </w:r>
      <w:r>
        <w:rPr>
          <w:color w:val="auto"/>
        </w:rPr>
        <w:t xml:space="preserve">). And the expression of </w:t>
      </w:r>
      <w:r>
        <w:rPr>
          <w:i/>
          <w:iCs/>
          <w:color w:val="auto"/>
        </w:rPr>
        <w:t>SPP1</w:t>
      </w:r>
      <w:r>
        <w:rPr>
          <w:color w:val="auto"/>
        </w:rPr>
        <w:t xml:space="preserve"> performed some variation between referenced to the most stable and unstable HKGs. The suitable HKGs should be carefully chosen, taking into account the precision of qRT-PCR, as unstable reference genes will result in incorrect interpretation of expression data.</w:t>
      </w:r>
    </w:p>
    <w:p>
      <w:pPr>
        <w:pStyle w:val="53"/>
        <w:rPr>
          <w:color w:val="auto"/>
        </w:rPr>
      </w:pPr>
      <w:r>
        <w:rPr>
          <w:color w:val="auto"/>
        </w:rPr>
        <w:t>5. Conclusions</w:t>
      </w:r>
    </w:p>
    <w:p>
      <w:pPr>
        <w:pStyle w:val="35"/>
        <w:rPr>
          <w:rFonts w:eastAsia="宋体"/>
          <w:color w:val="auto"/>
        </w:rPr>
      </w:pPr>
      <w:r>
        <w:rPr>
          <w:rFonts w:eastAsia="宋体"/>
          <w:color w:val="auto"/>
        </w:rPr>
        <w:t xml:space="preserve">In our study, four different algorithms and </w:t>
      </w:r>
      <w:r>
        <w:rPr>
          <w:color w:val="auto"/>
        </w:rPr>
        <w:t>one comprehensive index</w:t>
      </w:r>
      <w:r>
        <w:rPr>
          <w:rFonts w:eastAsia="宋体"/>
          <w:color w:val="auto"/>
        </w:rPr>
        <w:t xml:space="preserve"> were used to analyze a panel of HKGs. All four algorithms gave consistent results. </w:t>
      </w:r>
      <w:r>
        <w:rPr>
          <w:rFonts w:eastAsia="宋体"/>
          <w:i/>
          <w:iCs/>
          <w:color w:val="auto"/>
        </w:rPr>
        <w:t>PPIB</w:t>
      </w:r>
      <w:r>
        <w:rPr>
          <w:rFonts w:eastAsia="宋体"/>
          <w:color w:val="auto"/>
        </w:rPr>
        <w:t xml:space="preserve"> and </w:t>
      </w:r>
      <w:r>
        <w:rPr>
          <w:rFonts w:eastAsia="宋体"/>
          <w:i/>
          <w:iCs/>
          <w:color w:val="auto"/>
        </w:rPr>
        <w:t>EIF3K</w:t>
      </w:r>
      <w:r>
        <w:rPr>
          <w:rFonts w:eastAsia="宋体"/>
          <w:color w:val="auto"/>
        </w:rPr>
        <w:t xml:space="preserve"> proved to be the most suitable HKGs in non-pregnant stage and both non-pregnant and pregnancy stages respectively. </w:t>
      </w:r>
      <w:r>
        <w:rPr>
          <w:rFonts w:eastAsia="宋体"/>
          <w:i/>
          <w:iCs/>
          <w:color w:val="auto"/>
        </w:rPr>
        <w:t>ACTB</w:t>
      </w:r>
      <w:r>
        <w:rPr>
          <w:rFonts w:eastAsia="宋体"/>
          <w:color w:val="auto"/>
        </w:rPr>
        <w:t xml:space="preserve">, </w:t>
      </w:r>
      <w:r>
        <w:rPr>
          <w:rFonts w:eastAsia="宋体"/>
          <w:i/>
          <w:iCs/>
          <w:color w:val="auto"/>
        </w:rPr>
        <w:t>B2M</w:t>
      </w:r>
      <w:r>
        <w:rPr>
          <w:rFonts w:eastAsia="宋体"/>
          <w:color w:val="auto"/>
        </w:rPr>
        <w:t xml:space="preserve">, </w:t>
      </w:r>
      <w:r>
        <w:rPr>
          <w:rFonts w:eastAsia="宋体"/>
          <w:i/>
          <w:iCs/>
          <w:color w:val="auto"/>
        </w:rPr>
        <w:t>RPLPO</w:t>
      </w:r>
      <w:r>
        <w:rPr>
          <w:rFonts w:eastAsia="宋体"/>
          <w:color w:val="auto"/>
        </w:rPr>
        <w:t xml:space="preserve"> and </w:t>
      </w:r>
      <w:r>
        <w:rPr>
          <w:rFonts w:eastAsia="宋体"/>
          <w:i/>
          <w:iCs/>
          <w:color w:val="auto"/>
        </w:rPr>
        <w:t>ARF1</w:t>
      </w:r>
      <w:r>
        <w:rPr>
          <w:rFonts w:eastAsia="宋体"/>
          <w:color w:val="auto"/>
        </w:rPr>
        <w:t xml:space="preserve"> were the least four stable HKGs, suggesting they are not suitable for expression data normalization in studies of goat uterus caruncle tissue. </w:t>
      </w:r>
    </w:p>
    <w:p>
      <w:pPr>
        <w:pStyle w:val="62"/>
        <w:spacing w:before="240"/>
        <w:rPr>
          <w:rFonts w:cs="宋体"/>
          <w:color w:val="auto"/>
          <w:sz w:val="20"/>
        </w:rPr>
      </w:pPr>
      <w:r>
        <w:rPr>
          <w:b/>
          <w:bCs/>
          <w:color w:val="auto"/>
        </w:rPr>
        <w:t>Acknowledgments</w:t>
      </w:r>
      <w:r>
        <w:rPr>
          <w:rFonts w:cs="宋体"/>
          <w:b/>
          <w:color w:val="auto"/>
        </w:rPr>
        <w:t>:</w:t>
      </w:r>
      <w:r>
        <w:rPr>
          <w:rFonts w:cs="宋体"/>
          <w:color w:val="auto"/>
        </w:rPr>
        <w:t xml:space="preserve"> </w:t>
      </w:r>
      <w:r>
        <w:rPr>
          <w:color w:val="auto"/>
        </w:rPr>
        <w:t>This work was supported by grants from the National Natural Science Foundation of China (No. 31772564) and Research and Innovation Project of Chongqing Graduate Students (No: CYB17073).</w:t>
      </w:r>
    </w:p>
    <w:p>
      <w:pPr>
        <w:pStyle w:val="62"/>
        <w:rPr>
          <w:b/>
          <w:bCs/>
          <w:color w:val="auto"/>
        </w:rPr>
      </w:pPr>
      <w:r>
        <w:rPr>
          <w:b/>
          <w:bCs/>
          <w:color w:val="auto"/>
        </w:rPr>
        <w:t xml:space="preserve">Author Contributions: </w:t>
      </w:r>
      <w:r>
        <w:rPr>
          <w:color w:val="auto"/>
        </w:rPr>
        <w:t xml:space="preserve">Y.Zhao. </w:t>
      </w:r>
      <w:r>
        <w:rPr>
          <w:rFonts w:hint="eastAsia" w:eastAsia="宋体"/>
          <w:color w:val="auto"/>
          <w:lang w:eastAsia="zh-CN"/>
        </w:rPr>
        <w:t xml:space="preserve">and </w:t>
      </w:r>
      <w:r>
        <w:rPr>
          <w:color w:val="auto"/>
        </w:rPr>
        <w:t>N.L</w:t>
      </w:r>
      <w:r>
        <w:rPr>
          <w:rFonts w:hint="eastAsia" w:eastAsia="宋体"/>
          <w:color w:val="auto"/>
          <w:lang w:eastAsia="zh-CN"/>
        </w:rPr>
        <w:t xml:space="preserve">. </w:t>
      </w:r>
      <w:r>
        <w:rPr>
          <w:color w:val="auto"/>
        </w:rPr>
        <w:t>conceived the project, Y.Z</w:t>
      </w:r>
      <w:r>
        <w:rPr>
          <w:rFonts w:hint="eastAsia" w:eastAsiaTheme="minorEastAsia"/>
          <w:color w:val="auto"/>
          <w:lang w:eastAsia="zh-CN"/>
        </w:rPr>
        <w:t>hou</w:t>
      </w:r>
      <w:r>
        <w:rPr>
          <w:color w:val="auto"/>
        </w:rPr>
        <w:t>. designed the experiments and prepared the manuscript. Y.Z</w:t>
      </w:r>
      <w:r>
        <w:rPr>
          <w:rFonts w:hint="eastAsia" w:eastAsiaTheme="minorEastAsia"/>
          <w:color w:val="auto"/>
          <w:lang w:eastAsia="zh-CN"/>
        </w:rPr>
        <w:t>hou</w:t>
      </w:r>
      <w:r>
        <w:rPr>
          <w:color w:val="auto"/>
        </w:rPr>
        <w:t xml:space="preserve">. </w:t>
      </w:r>
      <w:r>
        <w:rPr>
          <w:rFonts w:hint="eastAsia" w:eastAsia="宋体"/>
          <w:color w:val="auto"/>
          <w:lang w:eastAsia="zh-CN"/>
        </w:rPr>
        <w:t>, X.L.</w:t>
      </w:r>
      <w:r>
        <w:rPr>
          <w:color w:val="auto"/>
        </w:rPr>
        <w:t xml:space="preserve"> X.Z. </w:t>
      </w:r>
      <w:r>
        <w:rPr>
          <w:rFonts w:hint="eastAsia" w:eastAsia="宋体"/>
          <w:color w:val="auto"/>
          <w:lang w:eastAsia="zh-CN"/>
        </w:rPr>
        <w:t xml:space="preserve">and M.L. </w:t>
      </w:r>
      <w:r>
        <w:rPr>
          <w:color w:val="auto"/>
        </w:rPr>
        <w:t>performed the experiments and analyzed the data.</w:t>
      </w:r>
    </w:p>
    <w:p>
      <w:pPr>
        <w:pStyle w:val="62"/>
        <w:rPr>
          <w:b/>
          <w:bCs/>
          <w:color w:val="auto"/>
        </w:rPr>
      </w:pPr>
      <w:r>
        <w:rPr>
          <w:b/>
          <w:bCs/>
          <w:color w:val="auto"/>
        </w:rPr>
        <w:t xml:space="preserve">Conflicts of Interest: </w:t>
      </w:r>
      <w:r>
        <w:rPr>
          <w:color w:val="auto"/>
        </w:rPr>
        <w:t>The authors declare that they have no competing interests.</w:t>
      </w:r>
    </w:p>
    <w:p>
      <w:pPr>
        <w:pStyle w:val="53"/>
        <w:ind w:left="0"/>
        <w:rPr>
          <w:color w:val="auto"/>
        </w:rPr>
      </w:pPr>
      <w:r>
        <w:rPr>
          <w:color w:val="auto"/>
        </w:rPr>
        <w:t>Reference:</w:t>
      </w:r>
    </w:p>
    <w:p>
      <w:pPr>
        <w:pStyle w:val="89"/>
        <w:ind w:left="720" w:hanging="720"/>
      </w:pPr>
      <w:r>
        <w:rPr>
          <w:b/>
          <w:bCs/>
          <w:szCs w:val="24"/>
          <w:lang w:eastAsia="de-DE" w:bidi="en-US"/>
        </w:rPr>
        <w:fldChar w:fldCharType="begin"/>
      </w:r>
      <w:r>
        <w:rPr>
          <w:b/>
          <w:bCs/>
          <w:szCs w:val="24"/>
        </w:rPr>
        <w:instrText xml:space="preserve"> ADDIN EN.REFLIST </w:instrText>
      </w:r>
      <w:r>
        <w:rPr>
          <w:b/>
          <w:bCs/>
          <w:szCs w:val="24"/>
          <w:lang w:eastAsia="de-DE" w:bidi="en-US"/>
        </w:rPr>
        <w:fldChar w:fldCharType="separate"/>
      </w:r>
      <w:r>
        <w:t>1.</w:t>
      </w:r>
      <w:r>
        <w:tab/>
      </w:r>
      <w:r>
        <w:t xml:space="preserve">Pere, M.C. MATERNAL AND FETAL BLOOD-LEVELS OF GLUCOSE, LACTATE, FRUCTOSE, AND INSULIN IN THE CONSCIOUS PIG. </w:t>
      </w:r>
      <w:r>
        <w:rPr>
          <w:i/>
        </w:rPr>
        <w:t xml:space="preserve">Journal of Animal Science </w:t>
      </w:r>
      <w:r>
        <w:rPr>
          <w:b/>
        </w:rPr>
        <w:t>1995</w:t>
      </w:r>
      <w:r>
        <w:t xml:space="preserve">, </w:t>
      </w:r>
      <w:r>
        <w:rPr>
          <w:i/>
        </w:rPr>
        <w:t>73</w:t>
      </w:r>
      <w:r>
        <w:t>, 2994-2999.</w:t>
      </w:r>
    </w:p>
    <w:p>
      <w:pPr>
        <w:pStyle w:val="89"/>
        <w:ind w:left="720" w:hanging="720"/>
      </w:pPr>
      <w:r>
        <w:t>2.</w:t>
      </w:r>
      <w:r>
        <w:tab/>
      </w:r>
      <w:r>
        <w:t xml:space="preserve">Talpur, F.N.; Bhanger, M.I.; Sherazi, S.T. Intramuscular fatty acid profile of longissimus dorsi and semitendinosus muscle from Pateri goats fed under traditional feeding system of Sindh, Pakistan. </w:t>
      </w:r>
      <w:r>
        <w:rPr>
          <w:i/>
        </w:rPr>
        <w:t xml:space="preserve">Meat Sci </w:t>
      </w:r>
      <w:r>
        <w:rPr>
          <w:b/>
        </w:rPr>
        <w:t>2008</w:t>
      </w:r>
      <w:r>
        <w:t xml:space="preserve">, </w:t>
      </w:r>
      <w:r>
        <w:rPr>
          <w:i/>
        </w:rPr>
        <w:t>80</w:t>
      </w:r>
      <w:r>
        <w:t>, 819-822, doi:10.1016/j.meatsci.2008.03.028.</w:t>
      </w:r>
    </w:p>
    <w:p>
      <w:pPr>
        <w:pStyle w:val="89"/>
        <w:ind w:left="720" w:hanging="720"/>
      </w:pPr>
      <w:r>
        <w:t>3.</w:t>
      </w:r>
      <w:r>
        <w:tab/>
      </w:r>
      <w:r>
        <w:t xml:space="preserve">Reynolds, L.P.; Redmer, D.A. Angiogenesis in the placenta. </w:t>
      </w:r>
      <w:r>
        <w:rPr>
          <w:i/>
        </w:rPr>
        <w:t xml:space="preserve">Biology of Reproduction </w:t>
      </w:r>
      <w:r>
        <w:rPr>
          <w:b/>
        </w:rPr>
        <w:t>2001</w:t>
      </w:r>
      <w:r>
        <w:t xml:space="preserve">, </w:t>
      </w:r>
      <w:r>
        <w:rPr>
          <w:i/>
        </w:rPr>
        <w:t>64</w:t>
      </w:r>
      <w:r>
        <w:t>, 1033-1040, doi:10.1095/biolreprod64.4.1033.</w:t>
      </w:r>
    </w:p>
    <w:p>
      <w:pPr>
        <w:pStyle w:val="89"/>
        <w:ind w:left="720" w:hanging="720"/>
      </w:pPr>
      <w:r>
        <w:t>4.</w:t>
      </w:r>
      <w:r>
        <w:tab/>
      </w:r>
      <w:r>
        <w:t xml:space="preserve">Miri, K.; Varmuza, S. Imprinting And Extraembryonic Tissues-Mom Takes Control. </w:t>
      </w:r>
      <w:r>
        <w:rPr>
          <w:i/>
        </w:rPr>
        <w:t xml:space="preserve">International Review Of Cell And Molecular Biology, Vol 276 </w:t>
      </w:r>
      <w:r>
        <w:rPr>
          <w:b/>
        </w:rPr>
        <w:t>2009</w:t>
      </w:r>
      <w:r>
        <w:t xml:space="preserve">, </w:t>
      </w:r>
      <w:r>
        <w:rPr>
          <w:i/>
        </w:rPr>
        <w:t>276</w:t>
      </w:r>
      <w:r>
        <w:t>, 215-262, doi:10.1016/S1937-6448(09)76005-8.</w:t>
      </w:r>
    </w:p>
    <w:p>
      <w:pPr>
        <w:pStyle w:val="89"/>
        <w:ind w:left="720" w:hanging="720"/>
      </w:pPr>
      <w:r>
        <w:t>5.</w:t>
      </w:r>
      <w:r>
        <w:tab/>
      </w:r>
      <w:r>
        <w:t xml:space="preserve">Zheng, C.Y.; Zou, X.; Zhao, B.C.; Zhang, M.L.; Lin, H.J.; Luo, C.H.; Xu, Z.M.; Shao, L.Y.; Fu, S.X. miRNA-185 regulates retained fetal membranes of cattle by targeting STIM1. </w:t>
      </w:r>
      <w:r>
        <w:rPr>
          <w:i/>
        </w:rPr>
        <w:t xml:space="preserve">Theriogenology </w:t>
      </w:r>
      <w:r>
        <w:rPr>
          <w:b/>
        </w:rPr>
        <w:t>2019</w:t>
      </w:r>
      <w:r>
        <w:t xml:space="preserve">, </w:t>
      </w:r>
      <w:r>
        <w:rPr>
          <w:i/>
        </w:rPr>
        <w:t>126</w:t>
      </w:r>
      <w:r>
        <w:t>, 166-171, doi:10.1016/j.theriogenology.2018.11.030.</w:t>
      </w:r>
    </w:p>
    <w:p>
      <w:pPr>
        <w:pStyle w:val="89"/>
        <w:ind w:left="720" w:hanging="720"/>
      </w:pPr>
      <w:r>
        <w:t>6.</w:t>
      </w:r>
      <w:r>
        <w:tab/>
      </w:r>
      <w:r>
        <w:t xml:space="preserve">McNaughton, A.P.; Murray, R.D. Structure and function of the bovine fetomaternal unit in relation to the causes of retained fetal membranes. </w:t>
      </w:r>
      <w:r>
        <w:rPr>
          <w:i/>
        </w:rPr>
        <w:t xml:space="preserve">Veterinary Record </w:t>
      </w:r>
      <w:r>
        <w:rPr>
          <w:b/>
        </w:rPr>
        <w:t>2009</w:t>
      </w:r>
      <w:r>
        <w:t xml:space="preserve">, </w:t>
      </w:r>
      <w:r>
        <w:rPr>
          <w:i/>
        </w:rPr>
        <w:t>165</w:t>
      </w:r>
      <w:r>
        <w:t>, 615-622, doi:10.1136/vr.165.21.615.</w:t>
      </w:r>
    </w:p>
    <w:p>
      <w:pPr>
        <w:pStyle w:val="89"/>
        <w:ind w:left="720" w:hanging="720"/>
      </w:pPr>
      <w:r>
        <w:t>7.</w:t>
      </w:r>
      <w:r>
        <w:tab/>
      </w:r>
      <w:r>
        <w:t xml:space="preserve">Vandesompele, J.; De Preter, K.; Pattyn, F.; Poppe, B.; Van Roy, N.; De Paepe, A.; Speleman, F. Accurate normalization of real-time quantitative RT-PCR data by geometric averaging of multiple internal control genes. </w:t>
      </w:r>
      <w:r>
        <w:rPr>
          <w:i/>
        </w:rPr>
        <w:t xml:space="preserve">Genome Biology </w:t>
      </w:r>
      <w:r>
        <w:rPr>
          <w:b/>
        </w:rPr>
        <w:t>2002</w:t>
      </w:r>
      <w:r>
        <w:t xml:space="preserve">, </w:t>
      </w:r>
      <w:r>
        <w:rPr>
          <w:i/>
        </w:rPr>
        <w:t>3</w:t>
      </w:r>
      <w:r>
        <w:t>, doi:10.1186/gb-2002-3-7-research0034.</w:t>
      </w:r>
    </w:p>
    <w:p>
      <w:pPr>
        <w:pStyle w:val="89"/>
        <w:ind w:left="720" w:hanging="720"/>
      </w:pPr>
      <w:r>
        <w:t>8.</w:t>
      </w:r>
      <w:r>
        <w:tab/>
      </w:r>
      <w:r>
        <w:t xml:space="preserve">Andersen, C.L.; Jensen, J.L.; Orntoft, T.F. Normalization of real-time quantitative reverse transcription-PCR data: A model-based variance estimation approach to identify genes suited for normalization, applied to bladder and colon cancer data sets. </w:t>
      </w:r>
      <w:r>
        <w:rPr>
          <w:i/>
        </w:rPr>
        <w:t xml:space="preserve">Cancer Research </w:t>
      </w:r>
      <w:r>
        <w:rPr>
          <w:b/>
        </w:rPr>
        <w:t>2004</w:t>
      </w:r>
      <w:r>
        <w:t xml:space="preserve">, </w:t>
      </w:r>
      <w:r>
        <w:rPr>
          <w:i/>
        </w:rPr>
        <w:t>64</w:t>
      </w:r>
      <w:r>
        <w:t>, 5245-5250, doi:10.1158/0008-5472.Can-04-0496.</w:t>
      </w:r>
    </w:p>
    <w:p>
      <w:pPr>
        <w:pStyle w:val="89"/>
        <w:ind w:left="720" w:hanging="720"/>
      </w:pPr>
      <w:r>
        <w:t>9.</w:t>
      </w:r>
      <w:r>
        <w:tab/>
      </w:r>
      <w:r>
        <w:t xml:space="preserve">Pfaffl, M.W.; Tichopad, A.; Prgomet, C.; Neuvians, T.P. Determination of stable housekeeping genes, differentially regulated target genes and sample integrity: BestKeeper - Excel-based tool using pair-wise correlations. </w:t>
      </w:r>
      <w:r>
        <w:rPr>
          <w:i/>
        </w:rPr>
        <w:t xml:space="preserve">Biotechnology Letters </w:t>
      </w:r>
      <w:r>
        <w:rPr>
          <w:b/>
        </w:rPr>
        <w:t>2004</w:t>
      </w:r>
      <w:r>
        <w:t xml:space="preserve">, </w:t>
      </w:r>
      <w:r>
        <w:rPr>
          <w:i/>
        </w:rPr>
        <w:t>26</w:t>
      </w:r>
      <w:r>
        <w:t>, 509-515, doi:10.1023/b:bile.0000019559.84305.47.</w:t>
      </w:r>
    </w:p>
    <w:p>
      <w:pPr>
        <w:pStyle w:val="89"/>
        <w:ind w:left="720" w:hanging="720"/>
      </w:pPr>
      <w:r>
        <w:t>10.</w:t>
      </w:r>
      <w:r>
        <w:tab/>
      </w:r>
      <w:r>
        <w:t xml:space="preserve">Silver, N.; Best, S.; Jiang, J.; Thein, S.L. Selection of housekeeping genes for gene expression studies in human reticulocytes using real-time PCR. </w:t>
      </w:r>
      <w:r>
        <w:rPr>
          <w:i/>
        </w:rPr>
        <w:t xml:space="preserve">Bmc Mol Biol </w:t>
      </w:r>
      <w:r>
        <w:rPr>
          <w:b/>
        </w:rPr>
        <w:t>2006</w:t>
      </w:r>
      <w:r>
        <w:t xml:space="preserve">, </w:t>
      </w:r>
      <w:r>
        <w:rPr>
          <w:i/>
        </w:rPr>
        <w:t>7</w:t>
      </w:r>
      <w:r>
        <w:t>, doi:Artn 33</w:t>
      </w:r>
    </w:p>
    <w:p>
      <w:pPr>
        <w:pStyle w:val="89"/>
        <w:ind w:left="720" w:hanging="720"/>
      </w:pPr>
      <w:r>
        <w:t>10.1186/1471-2199-7-33.</w:t>
      </w:r>
    </w:p>
    <w:p>
      <w:pPr>
        <w:pStyle w:val="89"/>
        <w:ind w:left="720" w:hanging="720"/>
      </w:pPr>
      <w:r>
        <w:t>11.</w:t>
      </w:r>
      <w:r>
        <w:tab/>
      </w:r>
      <w:r>
        <w:t xml:space="preserve">Xie, F.L.; Xiao, P.; Chen, D.L.; Xu, L.; Zhang, B.H. miRDeepFinder: a miRNA analysis tool for deep sequencing of plant small RNAs. </w:t>
      </w:r>
      <w:r>
        <w:rPr>
          <w:i/>
        </w:rPr>
        <w:t xml:space="preserve">Plant Mol Biol </w:t>
      </w:r>
      <w:r>
        <w:rPr>
          <w:b/>
        </w:rPr>
        <w:t>2012</w:t>
      </w:r>
      <w:r>
        <w:t xml:space="preserve">, </w:t>
      </w:r>
      <w:r>
        <w:rPr>
          <w:i/>
        </w:rPr>
        <w:t>80</w:t>
      </w:r>
      <w:r>
        <w:t>, 75-84, doi:10.1007/s11103-012-9885-2.</w:t>
      </w:r>
    </w:p>
    <w:p>
      <w:pPr>
        <w:pStyle w:val="89"/>
        <w:ind w:left="720" w:hanging="720"/>
      </w:pPr>
      <w:r>
        <w:t>12.</w:t>
      </w:r>
      <w:r>
        <w:tab/>
      </w:r>
      <w:r>
        <w:t xml:space="preserve">Zhang, J.P.; Deng, C.C.; Li, J.L.; Zhao, Y.J. Transcriptome-based selection and validation of optimal house-keeping genes for skin research in goats (Capra hircus). </w:t>
      </w:r>
      <w:r>
        <w:rPr>
          <w:i/>
        </w:rPr>
        <w:t xml:space="preserve">Bmc Genomics </w:t>
      </w:r>
      <w:r>
        <w:rPr>
          <w:b/>
        </w:rPr>
        <w:t>2020</w:t>
      </w:r>
      <w:r>
        <w:t xml:space="preserve">, </w:t>
      </w:r>
      <w:r>
        <w:rPr>
          <w:i/>
        </w:rPr>
        <w:t>21</w:t>
      </w:r>
      <w:r>
        <w:t>, doi:ARTN 493</w:t>
      </w:r>
    </w:p>
    <w:p>
      <w:pPr>
        <w:pStyle w:val="89"/>
        <w:ind w:left="720" w:hanging="720"/>
      </w:pPr>
      <w:r>
        <w:t>10.1186/s12864-020-06912-4.</w:t>
      </w:r>
    </w:p>
    <w:p>
      <w:pPr>
        <w:pStyle w:val="89"/>
        <w:ind w:left="720" w:hanging="720"/>
      </w:pPr>
      <w:r>
        <w:t>13.</w:t>
      </w:r>
      <w:r>
        <w:tab/>
      </w:r>
      <w:r>
        <w:t xml:space="preserve">Wang, L.J.; Chen, X.Y.; Song, T.Z.; Zhang, X.J.; Zhan, S.Y.; Cao, J.X.; Zhong, T.; Guo, J.Z.; Li, L.; Zhang, H.P.; et al. Using RNA-Seq to Identify Reference Genes of the Transition from Brown to White Adipose Tissue in Goats. </w:t>
      </w:r>
      <w:r>
        <w:rPr>
          <w:i/>
        </w:rPr>
        <w:t xml:space="preserve">Animals-Basel </w:t>
      </w:r>
      <w:r>
        <w:rPr>
          <w:b/>
        </w:rPr>
        <w:t>2020</w:t>
      </w:r>
      <w:r>
        <w:t xml:space="preserve">, </w:t>
      </w:r>
      <w:r>
        <w:rPr>
          <w:i/>
        </w:rPr>
        <w:t>10</w:t>
      </w:r>
      <w:r>
        <w:t>, doi:ARTN 1626</w:t>
      </w:r>
    </w:p>
    <w:p>
      <w:pPr>
        <w:pStyle w:val="89"/>
        <w:ind w:left="720" w:hanging="720"/>
      </w:pPr>
      <w:r>
        <w:t>10.3390/ani10091626.</w:t>
      </w:r>
    </w:p>
    <w:p>
      <w:pPr>
        <w:pStyle w:val="89"/>
        <w:ind w:left="720" w:hanging="720"/>
      </w:pPr>
      <w:r>
        <w:t>14.</w:t>
      </w:r>
      <w:r>
        <w:tab/>
      </w:r>
      <w:r>
        <w:t xml:space="preserve">Sahu, A.R.; Wani, S.A.; Saxena, S.; Rajak, K.K.; Chaudhary, D.; Sahoo, A.P.; Khanduri, A.; Pandey, A.; Mondal, P.; Malla, W.A.; et al. Selection and validation of suitable reference genes for qPCR gene expression analysis in goats and sheep under Peste des petits ruminants virus (PPRV), lineage IV infection. </w:t>
      </w:r>
      <w:r>
        <w:rPr>
          <w:i/>
        </w:rPr>
        <w:t xml:space="preserve">Sci Rep-Uk </w:t>
      </w:r>
      <w:r>
        <w:rPr>
          <w:b/>
        </w:rPr>
        <w:t>2018</w:t>
      </w:r>
      <w:r>
        <w:t xml:space="preserve">, </w:t>
      </w:r>
      <w:r>
        <w:rPr>
          <w:i/>
        </w:rPr>
        <w:t>8</w:t>
      </w:r>
      <w:r>
        <w:t>, doi:ARTN 15969</w:t>
      </w:r>
    </w:p>
    <w:p>
      <w:pPr>
        <w:pStyle w:val="89"/>
        <w:ind w:left="720" w:hanging="720"/>
      </w:pPr>
      <w:r>
        <w:t>10.1038/s41598-018-34236-7.</w:t>
      </w:r>
    </w:p>
    <w:p>
      <w:pPr>
        <w:pStyle w:val="89"/>
        <w:ind w:left="720" w:hanging="720"/>
      </w:pPr>
      <w:r>
        <w:t>15.</w:t>
      </w:r>
      <w:r>
        <w:tab/>
      </w:r>
      <w:r>
        <w:t xml:space="preserve">Hassanpour, H.; Aghajani, Z.; Bahadoran, S.; Farhadi, N.; Nazari, H.; Kaewduangta, W. Identification of reliable reference genes for quantitative real-time PCR in ovary and uterus of laying hens under heat stress. </w:t>
      </w:r>
      <w:r>
        <w:rPr>
          <w:i/>
        </w:rPr>
        <w:t xml:space="preserve">Stress-the International Journal on the Biology of Stress </w:t>
      </w:r>
      <w:r>
        <w:rPr>
          <w:b/>
        </w:rPr>
        <w:t>2019</w:t>
      </w:r>
      <w:r>
        <w:t xml:space="preserve">, </w:t>
      </w:r>
      <w:r>
        <w:rPr>
          <w:i/>
        </w:rPr>
        <w:t>22</w:t>
      </w:r>
      <w:r>
        <w:t>, 387-394, doi:10.1080/10253890.2019.1574294.</w:t>
      </w:r>
    </w:p>
    <w:p>
      <w:pPr>
        <w:pStyle w:val="89"/>
        <w:ind w:left="720" w:hanging="720"/>
      </w:pPr>
      <w:r>
        <w:t>16.</w:t>
      </w:r>
      <w:r>
        <w:tab/>
      </w:r>
      <w:r>
        <w:t xml:space="preserve">Du, M.; Wang, X.; Yue, Y.W.; Zhou, P.Y.; Yao, W.; Li, X.; Ding, X.B.; Liu, X.F.; Guo, H.; Ma, W.Z. Selection of reference genes in canine uterine tissues. </w:t>
      </w:r>
      <w:r>
        <w:rPr>
          <w:i/>
        </w:rPr>
        <w:t xml:space="preserve">Genetics and Molecular Research </w:t>
      </w:r>
      <w:r>
        <w:rPr>
          <w:b/>
        </w:rPr>
        <w:t>2016</w:t>
      </w:r>
      <w:r>
        <w:t xml:space="preserve">, </w:t>
      </w:r>
      <w:r>
        <w:rPr>
          <w:i/>
        </w:rPr>
        <w:t>15</w:t>
      </w:r>
      <w:r>
        <w:t>, doi:10.4238/gmr.15028138.</w:t>
      </w:r>
    </w:p>
    <w:p>
      <w:pPr>
        <w:pStyle w:val="89"/>
        <w:ind w:left="720" w:hanging="720"/>
      </w:pPr>
      <w:r>
        <w:t>17.</w:t>
      </w:r>
      <w:r>
        <w:tab/>
      </w:r>
      <w:r>
        <w:t xml:space="preserve">Zhu, W.Z.; Lin, Y.Q.; Liao, H.H.; Wang, Y. Selection of Reference Genes for Gene Expression Studies Related to Intramuscular Fat Deposition in Capra hircus Skeletal Muscle. </w:t>
      </w:r>
      <w:r>
        <w:rPr>
          <w:i/>
        </w:rPr>
        <w:t xml:space="preserve">Plos One </w:t>
      </w:r>
      <w:r>
        <w:rPr>
          <w:b/>
        </w:rPr>
        <w:t>2015</w:t>
      </w:r>
      <w:r>
        <w:t xml:space="preserve">, </w:t>
      </w:r>
      <w:r>
        <w:rPr>
          <w:i/>
        </w:rPr>
        <w:t>10</w:t>
      </w:r>
      <w:r>
        <w:t>, doi:10.1371/journal.pone.0121280.</w:t>
      </w:r>
    </w:p>
    <w:p>
      <w:pPr>
        <w:pStyle w:val="89"/>
        <w:ind w:left="720" w:hanging="720"/>
      </w:pPr>
      <w:r>
        <w:t>18.</w:t>
      </w:r>
      <w:r>
        <w:tab/>
      </w:r>
      <w:r>
        <w:t xml:space="preserve">Brown, A.J.; Gibson, S.; Hatton, D.; James, D.C. Transcriptome-Based Identification of the Optimal Reference CHO Genes for Normalisation of qPCR Data. </w:t>
      </w:r>
      <w:r>
        <w:rPr>
          <w:i/>
        </w:rPr>
        <w:t xml:space="preserve">Biotechnology Journal </w:t>
      </w:r>
      <w:r>
        <w:rPr>
          <w:b/>
        </w:rPr>
        <w:t>2018</w:t>
      </w:r>
      <w:r>
        <w:t xml:space="preserve">, </w:t>
      </w:r>
      <w:r>
        <w:rPr>
          <w:i/>
        </w:rPr>
        <w:t>13</w:t>
      </w:r>
      <w:r>
        <w:t>, doi:10.1002/biot.201700259.</w:t>
      </w:r>
    </w:p>
    <w:p>
      <w:pPr>
        <w:pStyle w:val="89"/>
        <w:ind w:left="720" w:hanging="720"/>
      </w:pPr>
      <w:r>
        <w:t>19.</w:t>
      </w:r>
      <w:r>
        <w:tab/>
      </w:r>
      <w:r>
        <w:t xml:space="preserve">Zhang, J.; Deng, C.; Li, J.; Zhao, Y. Transcriptome-based selection and validation of optimal house-keeping genes for skin research in goats (Capra hircus). </w:t>
      </w:r>
      <w:r>
        <w:rPr>
          <w:i/>
        </w:rPr>
        <w:t xml:space="preserve">Bmc Genomics </w:t>
      </w:r>
      <w:r>
        <w:rPr>
          <w:b/>
        </w:rPr>
        <w:t>2020</w:t>
      </w:r>
      <w:r>
        <w:t xml:space="preserve">, </w:t>
      </w:r>
      <w:r>
        <w:rPr>
          <w:i/>
        </w:rPr>
        <w:t>21</w:t>
      </w:r>
      <w:r>
        <w:t>, doi:10.1186/s12864-020-06912-4.</w:t>
      </w:r>
    </w:p>
    <w:p>
      <w:pPr>
        <w:pStyle w:val="89"/>
        <w:ind w:left="720" w:hanging="720"/>
      </w:pPr>
      <w:r>
        <w:t>20.</w:t>
      </w:r>
      <w:r>
        <w:tab/>
      </w:r>
      <w:r>
        <w:t xml:space="preserve">Wisnieski, F.; Calcagno, D.Q.; Leal, M.F.; dos Santos, L.C.; Gigek, C.D.; Chen, E.S.; Pontes, T.B.; Assumpcao, P.P.; de Assumpcao, M.B.; Demachki, S.; et al. Reference genes for quantitative RT-PCR data in gastric tissues and cell lines. </w:t>
      </w:r>
      <w:r>
        <w:rPr>
          <w:i/>
        </w:rPr>
        <w:t xml:space="preserve">World Journal of Gastroenterology </w:t>
      </w:r>
      <w:r>
        <w:rPr>
          <w:b/>
        </w:rPr>
        <w:t>2013</w:t>
      </w:r>
      <w:r>
        <w:t xml:space="preserve">, </w:t>
      </w:r>
      <w:r>
        <w:rPr>
          <w:i/>
        </w:rPr>
        <w:t>19</w:t>
      </w:r>
      <w:r>
        <w:t>, 7121-7128, doi:10.3748/wjg.v19.i41.7121.</w:t>
      </w:r>
    </w:p>
    <w:p>
      <w:pPr>
        <w:pStyle w:val="89"/>
        <w:ind w:left="720" w:hanging="720"/>
      </w:pPr>
      <w:r>
        <w:t>21.</w:t>
      </w:r>
      <w:r>
        <w:tab/>
      </w:r>
      <w:r>
        <w:t xml:space="preserve">Bonnet, M.; Bernard, L.; Bes, S.; Leroux, C. Selection of reference genes for quantitative real-time PCR normalisation in adipose tissue, muscle, liver and mammary gland from ruminants. </w:t>
      </w:r>
      <w:r>
        <w:rPr>
          <w:i/>
        </w:rPr>
        <w:t xml:space="preserve">Animal </w:t>
      </w:r>
      <w:r>
        <w:rPr>
          <w:b/>
        </w:rPr>
        <w:t>2013</w:t>
      </w:r>
      <w:r>
        <w:t xml:space="preserve">, </w:t>
      </w:r>
      <w:r>
        <w:rPr>
          <w:i/>
        </w:rPr>
        <w:t>7</w:t>
      </w:r>
      <w:r>
        <w:t>, 1344-1353, doi:10.1017/s1751731113000475.</w:t>
      </w:r>
    </w:p>
    <w:p>
      <w:pPr>
        <w:pStyle w:val="89"/>
        <w:ind w:left="720" w:hanging="720"/>
      </w:pPr>
      <w:r>
        <w:t>22.</w:t>
      </w:r>
      <w:r>
        <w:tab/>
      </w:r>
      <w:r>
        <w:t xml:space="preserve">Zhao, L.; Yang, H.L.; Li, X.C.; Zhou, Y.M.; Liu, T.L.; Zhao, Y.J. Transcriptome-based selection and validation of optimal reference genes in perirenal adipose developing of goat (Capra hircus). </w:t>
      </w:r>
      <w:r>
        <w:rPr>
          <w:i/>
        </w:rPr>
        <w:t xml:space="preserve">Frontiers in Veterinary Science </w:t>
      </w:r>
      <w:r>
        <w:rPr>
          <w:b/>
        </w:rPr>
        <w:t>2022</w:t>
      </w:r>
      <w:r>
        <w:t xml:space="preserve">, </w:t>
      </w:r>
      <w:r>
        <w:rPr>
          <w:i/>
        </w:rPr>
        <w:t>9</w:t>
      </w:r>
      <w:r>
        <w:t>, doi:10.3389/fvets.2022.1055866.</w:t>
      </w:r>
    </w:p>
    <w:p>
      <w:pPr>
        <w:pStyle w:val="89"/>
        <w:ind w:left="720" w:hanging="720"/>
      </w:pPr>
      <w:r>
        <w:t>23.</w:t>
      </w:r>
      <w:r>
        <w:tab/>
      </w:r>
      <w:r>
        <w:t xml:space="preserve">Livak, K.J.; Schmittgen, T.D. Analysis of relative gene expression data using real-time quantitative PCR and the 2(T)(-Delta Delta C) method. </w:t>
      </w:r>
      <w:r>
        <w:rPr>
          <w:i/>
        </w:rPr>
        <w:t xml:space="preserve">Methods </w:t>
      </w:r>
      <w:r>
        <w:rPr>
          <w:b/>
        </w:rPr>
        <w:t>2001</w:t>
      </w:r>
      <w:r>
        <w:t xml:space="preserve">, </w:t>
      </w:r>
      <w:r>
        <w:rPr>
          <w:i/>
        </w:rPr>
        <w:t>25</w:t>
      </w:r>
      <w:r>
        <w:t>, 402-408, doi:10.1006/meth.2001.1262.</w:t>
      </w:r>
    </w:p>
    <w:p>
      <w:pPr>
        <w:pStyle w:val="89"/>
        <w:ind w:left="720" w:hanging="720"/>
      </w:pPr>
      <w:r>
        <w:t>24.</w:t>
      </w:r>
      <w:r>
        <w:tab/>
      </w:r>
      <w:r>
        <w:t xml:space="preserve">Mylvaganam, S.; Zhang, L.; Wu, C.P.; Zhang, Z.J.; Samoilova, M.; Eubanks, J.; Carlen, P.L.; Poulter, M.O. Hippocampal seizures alter the expression of the pannexin and connexin transcriptome. </w:t>
      </w:r>
      <w:r>
        <w:rPr>
          <w:i/>
        </w:rPr>
        <w:t xml:space="preserve">Journal of Neurochemistry </w:t>
      </w:r>
      <w:r>
        <w:rPr>
          <w:b/>
        </w:rPr>
        <w:t>2010</w:t>
      </w:r>
      <w:r>
        <w:t xml:space="preserve">, </w:t>
      </w:r>
      <w:r>
        <w:rPr>
          <w:i/>
        </w:rPr>
        <w:t>112</w:t>
      </w:r>
      <w:r>
        <w:t>, 92-102, doi:10.1111/j.1471-4159.2009.06431.x.</w:t>
      </w:r>
    </w:p>
    <w:p>
      <w:pPr>
        <w:pStyle w:val="89"/>
        <w:ind w:left="720" w:hanging="720"/>
      </w:pPr>
      <w:r>
        <w:t>25.</w:t>
      </w:r>
      <w:r>
        <w:tab/>
      </w:r>
      <w:r>
        <w:t xml:space="preserve">Cao, X.M.; Luo, X.G.; Liang, J.H.; Zhang, C.; Meng, X.P.; Guo, D.W. </w:t>
      </w:r>
      <w:r>
        <w:rPr>
          <w:i/>
        </w:rPr>
        <w:t xml:space="preserve">Biochemical and Biophysical Research Communications </w:t>
      </w:r>
      <w:r>
        <w:rPr>
          <w:b/>
        </w:rPr>
        <w:t>2012</w:t>
      </w:r>
      <w:r>
        <w:t xml:space="preserve">, </w:t>
      </w:r>
      <w:r>
        <w:rPr>
          <w:i/>
        </w:rPr>
        <w:t>427</w:t>
      </w:r>
      <w:r>
        <w:t>, 366-372, doi:10.1016/j.bbrc.2012.09.066.</w:t>
      </w:r>
    </w:p>
    <w:p>
      <w:pPr>
        <w:pStyle w:val="89"/>
        <w:ind w:left="720" w:hanging="720"/>
      </w:pPr>
      <w:r>
        <w:t>26.</w:t>
      </w:r>
      <w:r>
        <w:tab/>
      </w:r>
      <w:r>
        <w:t xml:space="preserve">Wang, G.-H.; Wang, S.-H.; Zhang, W.-Z.; Liang, C.-C.; Cheng, G.; Wang, X.-Y.; Zhang, Y.; Zan, L.-S. Analysis of stability of reference genes for qPCR in bovine preadipocytes during proliferation and differentiation in vitro. </w:t>
      </w:r>
      <w:r>
        <w:rPr>
          <w:i/>
        </w:rPr>
        <w:t xml:space="preserve">Gene </w:t>
      </w:r>
      <w:r>
        <w:rPr>
          <w:b/>
        </w:rPr>
        <w:t>2022</w:t>
      </w:r>
      <w:r>
        <w:t xml:space="preserve">, </w:t>
      </w:r>
      <w:r>
        <w:rPr>
          <w:i/>
        </w:rPr>
        <w:t>830</w:t>
      </w:r>
      <w:r>
        <w:t>, doi:10.1016/j.gene.2022.146502.</w:t>
      </w:r>
    </w:p>
    <w:p>
      <w:pPr>
        <w:pStyle w:val="89"/>
        <w:ind w:left="720" w:hanging="720"/>
      </w:pPr>
      <w:r>
        <w:t>27.</w:t>
      </w:r>
      <w:r>
        <w:tab/>
      </w:r>
      <w:r>
        <w:t xml:space="preserve">Saremi, B.; Sauerwein, H.; Daenicke, S.; Mielenz, M. Technical note: Identification of reference genes for gene expression studies in different bovine tissues focusing on different fat depots. </w:t>
      </w:r>
      <w:r>
        <w:rPr>
          <w:i/>
        </w:rPr>
        <w:t xml:space="preserve">Journal of Dairy Science </w:t>
      </w:r>
      <w:r>
        <w:rPr>
          <w:b/>
        </w:rPr>
        <w:t>2012</w:t>
      </w:r>
      <w:r>
        <w:t xml:space="preserve">, </w:t>
      </w:r>
      <w:r>
        <w:rPr>
          <w:i/>
        </w:rPr>
        <w:t>95</w:t>
      </w:r>
      <w:r>
        <w:t>, 3131-3138, doi:10.3168/jds.2011-4803.</w:t>
      </w:r>
    </w:p>
    <w:p>
      <w:pPr>
        <w:pStyle w:val="89"/>
        <w:ind w:left="720" w:hanging="720"/>
      </w:pPr>
      <w:r>
        <w:t>28.</w:t>
      </w:r>
      <w:r>
        <w:tab/>
      </w:r>
      <w:r>
        <w:t xml:space="preserve">Solano, M.E.; Thiele, K.; Kowal, M.K.; Arck, P.C. Identification of suitable reference genes in the mouse placenta. </w:t>
      </w:r>
      <w:r>
        <w:rPr>
          <w:i/>
        </w:rPr>
        <w:t xml:space="preserve">Placenta </w:t>
      </w:r>
      <w:r>
        <w:rPr>
          <w:b/>
        </w:rPr>
        <w:t>2016</w:t>
      </w:r>
      <w:r>
        <w:t xml:space="preserve">, </w:t>
      </w:r>
      <w:r>
        <w:rPr>
          <w:i/>
        </w:rPr>
        <w:t>39</w:t>
      </w:r>
      <w:r>
        <w:t>, 7-15, doi:10.1016/j.placenta.2015.12.017.</w:t>
      </w:r>
    </w:p>
    <w:p>
      <w:pPr>
        <w:pStyle w:val="89"/>
        <w:ind w:left="720" w:hanging="720"/>
      </w:pPr>
      <w:r>
        <w:t>29.</w:t>
      </w:r>
      <w:r>
        <w:tab/>
      </w:r>
      <w:r>
        <w:t xml:space="preserve">Nazari, F.; Parham, A.; Maleki, A.F. GAPDH, beta-actin and beta 2-microglobulin, as three common reference genes, are not reliable for gene expression studies in equine adipose- and marrow-derived mesenchymal stem cells. </w:t>
      </w:r>
      <w:r>
        <w:rPr>
          <w:i/>
        </w:rPr>
        <w:t xml:space="preserve">Journal of Animal Science and Technology </w:t>
      </w:r>
      <w:r>
        <w:rPr>
          <w:b/>
        </w:rPr>
        <w:t>2015</w:t>
      </w:r>
      <w:r>
        <w:t xml:space="preserve">, </w:t>
      </w:r>
      <w:r>
        <w:rPr>
          <w:i/>
        </w:rPr>
        <w:t>57</w:t>
      </w:r>
      <w:r>
        <w:t>, 18, doi:10.1186/s40781-015-0050-8.</w:t>
      </w:r>
    </w:p>
    <w:p>
      <w:pPr>
        <w:pStyle w:val="89"/>
        <w:ind w:left="720" w:hanging="720"/>
      </w:pPr>
      <w:r>
        <w:t>30.</w:t>
      </w:r>
      <w:r>
        <w:tab/>
      </w:r>
      <w:r>
        <w:t xml:space="preserve">Almeida-Oliveira, F.; Leandro, J.G.B.; Ausina, P.; Sola-Penna, M.; Majerowicz, D. Reference genes for quantitative PCR in the adipose tissue of mice with metabolic disease. </w:t>
      </w:r>
      <w:r>
        <w:rPr>
          <w:i/>
        </w:rPr>
        <w:t xml:space="preserve">Biomedicine &amp; Pharmacotherapy </w:t>
      </w:r>
      <w:r>
        <w:rPr>
          <w:b/>
        </w:rPr>
        <w:t>2017</w:t>
      </w:r>
      <w:r>
        <w:t xml:space="preserve">, </w:t>
      </w:r>
      <w:r>
        <w:rPr>
          <w:i/>
        </w:rPr>
        <w:t>88</w:t>
      </w:r>
      <w:r>
        <w:t>, 948-955, doi:10.1016/j.biopha.2017.01.091.</w:t>
      </w:r>
    </w:p>
    <w:p>
      <w:pPr>
        <w:pStyle w:val="89"/>
        <w:ind w:left="720" w:hanging="720"/>
      </w:pPr>
      <w:r>
        <w:t>31.</w:t>
      </w:r>
      <w:r>
        <w:tab/>
      </w:r>
      <w:r>
        <w:t xml:space="preserve">Arsenijevic, T.; Gregoire, F.; Delforge, V.; Delporte, C.; Perret, J. Murine 3T3-L1 Adipocyte Cell Differentiation Model: Validated Reference Genes for qPCR Gene Expression Analysis. </w:t>
      </w:r>
      <w:r>
        <w:rPr>
          <w:i/>
        </w:rPr>
        <w:t xml:space="preserve">Plos One </w:t>
      </w:r>
      <w:r>
        <w:rPr>
          <w:b/>
        </w:rPr>
        <w:t>2012</w:t>
      </w:r>
      <w:r>
        <w:t xml:space="preserve">, </w:t>
      </w:r>
      <w:r>
        <w:rPr>
          <w:i/>
        </w:rPr>
        <w:t>7</w:t>
      </w:r>
      <w:r>
        <w:t>, doi:10.1371/journal.pone.0037517.</w:t>
      </w:r>
    </w:p>
    <w:p>
      <w:pPr>
        <w:pStyle w:val="89"/>
        <w:ind w:left="720" w:hanging="720"/>
      </w:pPr>
      <w:r>
        <w:t>32.</w:t>
      </w:r>
      <w:r>
        <w:tab/>
      </w:r>
      <w:r>
        <w:t xml:space="preserve">Kramer, A.C.; Erikson, D.W.; McLendon, B.A.; Seo, H.; Hyashi, K.; Spencer, T.E.; Bazer, F.W.; Burghardt, R.C.; Johnson, G.A. SPP1 expression in the mouse uterus and placenta: Implications for implantation. </w:t>
      </w:r>
      <w:r>
        <w:rPr>
          <w:i/>
        </w:rPr>
        <w:t xml:space="preserve">Biology of reproduction </w:t>
      </w:r>
      <w:r>
        <w:rPr>
          <w:b/>
        </w:rPr>
        <w:t>2021</w:t>
      </w:r>
      <w:r>
        <w:t>, doi:10.1093/biolre/ioab125.</w:t>
      </w:r>
    </w:p>
    <w:p>
      <w:pPr>
        <w:pStyle w:val="89"/>
        <w:ind w:left="720" w:hanging="720"/>
      </w:pPr>
      <w:r>
        <w:t>33.</w:t>
      </w:r>
      <w:r>
        <w:tab/>
      </w:r>
      <w:r>
        <w:t xml:space="preserve">Lupicka, M.; Korzekwa, A. Vascular endothelial growth factor A (VEGFA) and its receptors expression in bovine uterus during adenomyosis. </w:t>
      </w:r>
      <w:r>
        <w:rPr>
          <w:i/>
        </w:rPr>
        <w:t xml:space="preserve">Reproduction in Domestic Animals </w:t>
      </w:r>
      <w:r>
        <w:rPr>
          <w:b/>
        </w:rPr>
        <w:t>2016</w:t>
      </w:r>
      <w:r>
        <w:t xml:space="preserve">, </w:t>
      </w:r>
      <w:r>
        <w:rPr>
          <w:i/>
        </w:rPr>
        <w:t>51</w:t>
      </w:r>
      <w:r>
        <w:t>, 111-111.</w:t>
      </w:r>
    </w:p>
    <w:p>
      <w:pPr>
        <w:pStyle w:val="89"/>
        <w:ind w:left="720" w:hanging="720"/>
      </w:pPr>
      <w:r>
        <w:t>34.</w:t>
      </w:r>
      <w:r>
        <w:tab/>
      </w:r>
      <w:r>
        <w:t xml:space="preserve">Thompson, I.M.; Cerri, R.L.A.; Kim, I.H.; Ealy, A.D.; Hansen, P.J.; Staples, C.R.; Thatcher, W.W. Effects of lactation and pregnancy on metabolic and hormonal responses and expression of selected conceptus and endometrial genes of Holstein dairy cattle. </w:t>
      </w:r>
      <w:r>
        <w:rPr>
          <w:i/>
        </w:rPr>
        <w:t xml:space="preserve">Journal of Dairy Science </w:t>
      </w:r>
      <w:r>
        <w:rPr>
          <w:b/>
        </w:rPr>
        <w:t>2012</w:t>
      </w:r>
      <w:r>
        <w:t xml:space="preserve">, </w:t>
      </w:r>
      <w:r>
        <w:rPr>
          <w:i/>
        </w:rPr>
        <w:t>95</w:t>
      </w:r>
      <w:r>
        <w:t>, 5645-5656, doi:10.3168/jds.2011-5113.</w:t>
      </w:r>
    </w:p>
    <w:p>
      <w:pPr>
        <w:pStyle w:val="89"/>
        <w:ind w:left="720" w:hanging="720"/>
      </w:pPr>
      <w:r>
        <w:t>35.</w:t>
      </w:r>
      <w:r>
        <w:tab/>
      </w:r>
      <w:r>
        <w:t xml:space="preserve">Waterhouse, P.; Parhar, R.S.; Guo, X.J.; Lala, P.K.; Denhardt, D.T. REGULATED TEMPORAL AND SPATIAL EXPRESSION OF THE CALCIUM-BINDING PROTEINS CALCYCLIN AND OPN (OSTEOPONTIN) IN MOUSE-TISSUES DURING PREGNANCY. </w:t>
      </w:r>
      <w:r>
        <w:rPr>
          <w:i/>
        </w:rPr>
        <w:t xml:space="preserve">Molecular Reproduction and Development </w:t>
      </w:r>
      <w:r>
        <w:rPr>
          <w:b/>
        </w:rPr>
        <w:t>1992</w:t>
      </w:r>
      <w:r>
        <w:t xml:space="preserve">, </w:t>
      </w:r>
      <w:r>
        <w:rPr>
          <w:i/>
        </w:rPr>
        <w:t>32</w:t>
      </w:r>
      <w:r>
        <w:t>, 315-323, doi:10.1002/mrd.1080320403.</w:t>
      </w:r>
    </w:p>
    <w:p>
      <w:pPr>
        <w:pStyle w:val="89"/>
        <w:ind w:left="720" w:hanging="720"/>
      </w:pPr>
      <w:r>
        <w:t>36.</w:t>
      </w:r>
      <w:r>
        <w:tab/>
      </w:r>
      <w:r>
        <w:t xml:space="preserve">Bayless, K.J.; Erikson, D.W.; Frank, J.W.; Joyce, M.M.; Burghardt, R.C.; Bazer, F.W.; Johnson, G.A. Recruitment and Modulation of Porcine Endothelial Progenitor Cells by Secreted Phosphoprotein 1 (SPP1, Osteopontin). </w:t>
      </w:r>
      <w:r>
        <w:rPr>
          <w:i/>
        </w:rPr>
        <w:t xml:space="preserve">Biology of Reproduction </w:t>
      </w:r>
      <w:r>
        <w:rPr>
          <w:b/>
        </w:rPr>
        <w:t>2010</w:t>
      </w:r>
      <w:r>
        <w:t>, 71-71.</w:t>
      </w:r>
    </w:p>
    <w:p>
      <w:pPr>
        <w:pStyle w:val="89"/>
        <w:ind w:left="720" w:hanging="720"/>
      </w:pPr>
      <w:r>
        <w:t>37.</w:t>
      </w:r>
      <w:r>
        <w:tab/>
      </w:r>
      <w:r>
        <w:t xml:space="preserve">Melincovici, C.S.; Bosca, A.B.; Susman, S.; Marginean, M.; Mihu, C.; Istrate, M.; Moldovan, I.M.; Roman, A.L.; Mihu, C.M. Vascular endothelial growth factor (VEGF) - key factor in normal and pathological angiogenesis. </w:t>
      </w:r>
      <w:r>
        <w:rPr>
          <w:i/>
        </w:rPr>
        <w:t xml:space="preserve">Romanian Journal of Morphology and Embryology </w:t>
      </w:r>
      <w:r>
        <w:rPr>
          <w:b/>
        </w:rPr>
        <w:t>2018</w:t>
      </w:r>
      <w:r>
        <w:t xml:space="preserve">, </w:t>
      </w:r>
      <w:r>
        <w:rPr>
          <w:i/>
        </w:rPr>
        <w:t>59</w:t>
      </w:r>
      <w:r>
        <w:t>, 455-467.</w:t>
      </w:r>
    </w:p>
    <w:p>
      <w:pPr>
        <w:adjustRightInd w:val="0"/>
        <w:snapToGrid w:val="0"/>
        <w:spacing w:line="228" w:lineRule="auto"/>
        <w:rPr>
          <w:b/>
          <w:bCs/>
          <w:color w:val="auto"/>
          <w:sz w:val="18"/>
          <w:szCs w:val="24"/>
        </w:rPr>
      </w:pPr>
      <w:r>
        <w:rPr>
          <w:b/>
          <w:bCs/>
          <w:color w:val="auto"/>
          <w:sz w:val="18"/>
          <w:szCs w:val="24"/>
        </w:rPr>
        <w:fldChar w:fldCharType="end"/>
      </w:r>
    </w:p>
    <w:sectPr>
      <w:headerReference r:id="rId7" w:type="first"/>
      <w:footerReference r:id="rId8" w:type="first"/>
      <w:headerReference r:id="rId5" w:type="default"/>
      <w:headerReference r:id="rId6" w:type="even"/>
      <w:type w:val="continuous"/>
      <w:pgSz w:w="11906" w:h="16838"/>
      <w:pgMar w:top="1417" w:right="720" w:bottom="1077" w:left="720" w:header="1020" w:footer="340" w:gutter="0"/>
      <w:lnNumType w:countBy="1" w:distance="255" w:restart="continuous"/>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Tahoma">
    <w:panose1 w:val="020B0604030504040204"/>
    <w:charset w:val="00"/>
    <w:family w:val="swiss"/>
    <w:pitch w:val="default"/>
    <w:sig w:usb0="E1002EFF" w:usb1="C000605B" w:usb2="00000029" w:usb3="00000000" w:csb0="200101FF" w:csb1="20280000"/>
  </w:font>
  <w:font w:name="Cordia New">
    <w:altName w:val="Microsoft Sans Serif"/>
    <w:panose1 w:val="020B0304020202020204"/>
    <w:charset w:val="DE"/>
    <w:family w:val="swiss"/>
    <w:pitch w:val="default"/>
    <w:sig w:usb0="00000000" w:usb1="00000000" w:usb2="00000000" w:usb3="00000000" w:csb0="00010001"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Bdr>
        <w:top w:val="single" w:color="000000" w:sz="4" w:space="0"/>
      </w:pBdr>
      <w:adjustRightInd w:val="0"/>
      <w:snapToGrid w:val="0"/>
      <w:spacing w:before="480" w:line="100" w:lineRule="exact"/>
      <w:rPr>
        <w:i/>
      </w:rPr>
    </w:pPr>
  </w:p>
  <w:p>
    <w:pPr>
      <w:pStyle w:val="51"/>
      <w:tabs>
        <w:tab w:val="right" w:pos="10466"/>
        <w:tab w:val="clear" w:pos="8845"/>
      </w:tabs>
      <w:spacing w:line="240" w:lineRule="auto"/>
      <w:jc w:val="both"/>
      <w:rPr>
        <w:lang w:val="fr-CH"/>
      </w:rPr>
    </w:pPr>
    <w:r>
      <w:rPr>
        <w:i/>
      </w:rPr>
      <w:t>Animals</w:t>
    </w:r>
    <w:r>
      <w:t xml:space="preserve"> </w:t>
    </w:r>
    <w:r>
      <w:rPr>
        <w:b/>
      </w:rPr>
      <w:t>2023</w:t>
    </w:r>
    <w:r>
      <w:t>,</w:t>
    </w:r>
    <w:r>
      <w:rPr>
        <w:i/>
      </w:rPr>
      <w:t xml:space="preserve"> 13</w:t>
    </w:r>
    <w:r>
      <w:t>, x. https://doi.org/10.3390/xxxxx</w:t>
    </w:r>
    <w:r>
      <w:rPr>
        <w:lang w:val="fr-CH"/>
      </w:rPr>
      <w:tab/>
    </w:r>
    <w:r>
      <w:rPr>
        <w:lang w:val="fr-CH"/>
      </w:rPr>
      <w:t>www.mdpi.com/journal/</w:t>
    </w:r>
    <w:r>
      <w:t>animals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10466"/>
      </w:tabs>
      <w:adjustRightInd w:val="0"/>
      <w:snapToGrid w:val="0"/>
      <w:spacing w:line="240" w:lineRule="auto"/>
      <w:rPr>
        <w:sz w:val="16"/>
      </w:rPr>
    </w:pPr>
    <w:r>
      <w:rPr>
        <w:i/>
        <w:sz w:val="16"/>
      </w:rPr>
      <w:t xml:space="preserve">Animals </w:t>
    </w:r>
    <w:r>
      <w:rPr>
        <w:b/>
        <w:sz w:val="16"/>
      </w:rPr>
      <w:t>2023</w:t>
    </w:r>
    <w:r>
      <w:rPr>
        <w:sz w:val="16"/>
      </w:rPr>
      <w:t>,</w:t>
    </w:r>
    <w:r>
      <w:rPr>
        <w:i/>
        <w:sz w:val="16"/>
      </w:rPr>
      <w:t xml:space="preserve"> 13</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10</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18</w:t>
    </w:r>
    <w:r>
      <w:rPr>
        <w:sz w:val="16"/>
      </w:rPr>
      <w:fldChar w:fldCharType="end"/>
    </w:r>
  </w:p>
  <w:p>
    <w:pPr>
      <w:pBdr>
        <w:bottom w:val="single" w:color="000000" w:sz="4" w:space="1"/>
      </w:pBdr>
      <w:tabs>
        <w:tab w:val="right" w:pos="8844"/>
      </w:tabs>
      <w:adjustRightInd w:val="0"/>
      <w:snapToGrid w:val="0"/>
      <w:spacing w:after="480" w:line="100" w:lineRule="exact"/>
      <w:jc w:val="left"/>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10487" w:type="dxa"/>
      <w:tblInd w:w="0" w:type="dxa"/>
      <w:tblLayout w:type="autofit"/>
      <w:tblCellMar>
        <w:top w:w="0" w:type="dxa"/>
        <w:left w:w="0" w:type="dxa"/>
        <w:bottom w:w="0" w:type="dxa"/>
        <w:right w:w="0" w:type="dxa"/>
      </w:tblCellMar>
    </w:tblPr>
    <w:tblGrid>
      <w:gridCol w:w="3679"/>
      <w:gridCol w:w="4535"/>
      <w:gridCol w:w="2273"/>
    </w:tblGrid>
    <w:tr>
      <w:tblPrEx>
        <w:tblCellMar>
          <w:top w:w="0" w:type="dxa"/>
          <w:left w:w="0" w:type="dxa"/>
          <w:bottom w:w="0" w:type="dxa"/>
          <w:right w:w="0" w:type="dxa"/>
        </w:tblCellMar>
      </w:tblPrEx>
      <w:trPr>
        <w:trHeight w:val="686" w:hRule="atLeast"/>
      </w:trPr>
      <w:tc>
        <w:tcPr>
          <w:tcW w:w="3679" w:type="dxa"/>
          <w:shd w:val="clear" w:color="auto" w:fill="auto"/>
          <w:vAlign w:val="center"/>
        </w:tcPr>
        <w:p>
          <w:pPr>
            <w:pStyle w:val="7"/>
            <w:pBdr>
              <w:bottom w:val="none" w:color="auto" w:sz="0" w:space="0"/>
            </w:pBdr>
            <w:jc w:val="left"/>
            <w:rPr>
              <w:rFonts w:eastAsia="等线"/>
              <w:b/>
              <w:bCs/>
            </w:rPr>
          </w:pPr>
          <w:r>
            <w:rPr>
              <w:rFonts w:eastAsia="等线"/>
              <w:b/>
              <w:bCs/>
              <w:i/>
            </w:rPr>
            <w:drawing>
              <wp:inline distT="0" distB="0" distL="0" distR="0">
                <wp:extent cx="1628140" cy="429260"/>
                <wp:effectExtent l="0" t="0" r="0" b="0"/>
                <wp:docPr id="1" name="Picture 3" descr="C:\Users\home\Desktop\logos\animal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home\Desktop\logos\animal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28140" cy="429260"/>
                        </a:xfrm>
                        <a:prstGeom prst="rect">
                          <a:avLst/>
                        </a:prstGeom>
                        <a:noFill/>
                        <a:ln>
                          <a:noFill/>
                        </a:ln>
                      </pic:spPr>
                    </pic:pic>
                  </a:graphicData>
                </a:graphic>
              </wp:inline>
            </w:drawing>
          </w:r>
        </w:p>
      </w:tc>
      <w:tc>
        <w:tcPr>
          <w:tcW w:w="4535" w:type="dxa"/>
          <w:shd w:val="clear" w:color="auto" w:fill="auto"/>
          <w:vAlign w:val="center"/>
        </w:tcPr>
        <w:p>
          <w:pPr>
            <w:pStyle w:val="7"/>
            <w:pBdr>
              <w:bottom w:val="none" w:color="auto" w:sz="0" w:space="0"/>
            </w:pBdr>
            <w:rPr>
              <w:rFonts w:eastAsia="等线"/>
              <w:b/>
              <w:bCs/>
            </w:rPr>
          </w:pPr>
        </w:p>
      </w:tc>
      <w:tc>
        <w:tcPr>
          <w:tcW w:w="2273" w:type="dxa"/>
          <w:shd w:val="clear" w:color="auto" w:fill="auto"/>
          <w:vAlign w:val="center"/>
        </w:tcPr>
        <w:p>
          <w:pPr>
            <w:pStyle w:val="7"/>
            <w:pBdr>
              <w:bottom w:val="none" w:color="auto" w:sz="0" w:space="0"/>
            </w:pBdr>
            <w:jc w:val="right"/>
            <w:rPr>
              <w:rFonts w:eastAsia="等线"/>
              <w:b/>
              <w:bCs/>
            </w:rPr>
          </w:pPr>
          <w:r>
            <w:rPr>
              <w:rFonts w:eastAsia="等线"/>
              <w:b/>
              <w:bCs/>
            </w:rPr>
            <w:drawing>
              <wp:inline distT="0" distB="0" distL="0" distR="0">
                <wp:extent cx="539750" cy="35941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pPr>
      <w:pBdr>
        <w:bottom w:val="single" w:color="000000" w:sz="4" w:space="1"/>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468F5"/>
    <w:multiLevelType w:val="multilevel"/>
    <w:tmpl w:val="18B468F5"/>
    <w:lvl w:ilvl="0" w:tentative="0">
      <w:start w:val="1"/>
      <w:numFmt w:val="decimal"/>
      <w:pStyle w:val="40"/>
      <w:lvlText w:val="%1."/>
      <w:lvlJc w:val="left"/>
      <w:pPr>
        <w:ind w:left="3033"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E0C6F5D"/>
    <w:multiLevelType w:val="multilevel"/>
    <w:tmpl w:val="1E0C6F5D"/>
    <w:lvl w:ilvl="0" w:tentative="0">
      <w:start w:val="1"/>
      <w:numFmt w:val="decimal"/>
      <w:pStyle w:val="87"/>
      <w:lvlText w:val="%1."/>
      <w:lvlJc w:val="left"/>
      <w:pPr>
        <w:ind w:left="425" w:hanging="425"/>
      </w:pPr>
      <w:rPr>
        <w:rFonts w:hint="default"/>
        <w:vertAlign w:val="superscript"/>
      </w:rPr>
    </w:lvl>
    <w:lvl w:ilvl="1" w:tentative="0">
      <w:start w:val="1"/>
      <w:numFmt w:val="bullet"/>
      <w:lvlText w:val="o"/>
      <w:lvlJc w:val="left"/>
      <w:pPr>
        <w:ind w:left="4048" w:hanging="360"/>
      </w:pPr>
      <w:rPr>
        <w:rFonts w:hint="default" w:ascii="Courier New" w:hAnsi="Courier New" w:cs="Courier New"/>
      </w:rPr>
    </w:lvl>
    <w:lvl w:ilvl="2" w:tentative="0">
      <w:start w:val="1"/>
      <w:numFmt w:val="bullet"/>
      <w:lvlText w:val=""/>
      <w:lvlJc w:val="left"/>
      <w:pPr>
        <w:ind w:left="4768" w:hanging="360"/>
      </w:pPr>
      <w:rPr>
        <w:rFonts w:hint="default" w:ascii="Wingdings" w:hAnsi="Wingdings"/>
      </w:rPr>
    </w:lvl>
    <w:lvl w:ilvl="3" w:tentative="0">
      <w:start w:val="1"/>
      <w:numFmt w:val="bullet"/>
      <w:lvlText w:val=""/>
      <w:lvlJc w:val="left"/>
      <w:pPr>
        <w:ind w:left="5488" w:hanging="360"/>
      </w:pPr>
      <w:rPr>
        <w:rFonts w:hint="default" w:ascii="Symbol" w:hAnsi="Symbol"/>
      </w:rPr>
    </w:lvl>
    <w:lvl w:ilvl="4" w:tentative="0">
      <w:start w:val="1"/>
      <w:numFmt w:val="bullet"/>
      <w:lvlText w:val="o"/>
      <w:lvlJc w:val="left"/>
      <w:pPr>
        <w:ind w:left="6208" w:hanging="360"/>
      </w:pPr>
      <w:rPr>
        <w:rFonts w:hint="default" w:ascii="Courier New" w:hAnsi="Courier New" w:cs="Courier New"/>
      </w:rPr>
    </w:lvl>
    <w:lvl w:ilvl="5" w:tentative="0">
      <w:start w:val="1"/>
      <w:numFmt w:val="bullet"/>
      <w:lvlText w:val=""/>
      <w:lvlJc w:val="left"/>
      <w:pPr>
        <w:ind w:left="6928" w:hanging="360"/>
      </w:pPr>
      <w:rPr>
        <w:rFonts w:hint="default" w:ascii="Wingdings" w:hAnsi="Wingdings"/>
      </w:rPr>
    </w:lvl>
    <w:lvl w:ilvl="6" w:tentative="0">
      <w:start w:val="1"/>
      <w:numFmt w:val="bullet"/>
      <w:lvlText w:val=""/>
      <w:lvlJc w:val="left"/>
      <w:pPr>
        <w:ind w:left="7648" w:hanging="360"/>
      </w:pPr>
      <w:rPr>
        <w:rFonts w:hint="default" w:ascii="Symbol" w:hAnsi="Symbol"/>
      </w:rPr>
    </w:lvl>
    <w:lvl w:ilvl="7" w:tentative="0">
      <w:start w:val="1"/>
      <w:numFmt w:val="bullet"/>
      <w:lvlText w:val="o"/>
      <w:lvlJc w:val="left"/>
      <w:pPr>
        <w:ind w:left="8368" w:hanging="360"/>
      </w:pPr>
      <w:rPr>
        <w:rFonts w:hint="default" w:ascii="Courier New" w:hAnsi="Courier New" w:cs="Courier New"/>
      </w:rPr>
    </w:lvl>
    <w:lvl w:ilvl="8" w:tentative="0">
      <w:start w:val="1"/>
      <w:numFmt w:val="bullet"/>
      <w:lvlText w:val=""/>
      <w:lvlJc w:val="left"/>
      <w:pPr>
        <w:ind w:left="9088" w:hanging="360"/>
      </w:pPr>
      <w:rPr>
        <w:rFonts w:hint="default" w:ascii="Wingdings" w:hAnsi="Wingdings"/>
      </w:rPr>
    </w:lvl>
  </w:abstractNum>
  <w:abstractNum w:abstractNumId="2">
    <w:nsid w:val="20B278C7"/>
    <w:multiLevelType w:val="multilevel"/>
    <w:tmpl w:val="20B278C7"/>
    <w:lvl w:ilvl="0" w:tentative="0">
      <w:start w:val="1"/>
      <w:numFmt w:val="bullet"/>
      <w:pStyle w:val="41"/>
      <w:lvlText w:val=""/>
      <w:lvlJc w:val="left"/>
      <w:pPr>
        <w:ind w:left="3033" w:hanging="425"/>
      </w:pPr>
      <w:rPr>
        <w:rFonts w:hint="default" w:ascii="Symbol" w:hAnsi="Symbol"/>
        <w:b w:val="0"/>
        <w:i w:val="0"/>
        <w:sz w:val="20"/>
        <w:vertAlign w:val="baseline"/>
      </w:rPr>
    </w:lvl>
    <w:lvl w:ilvl="1" w:tentative="0">
      <w:start w:val="1"/>
      <w:numFmt w:val="bullet"/>
      <w:lvlText w:val="o"/>
      <w:lvlJc w:val="left"/>
      <w:pPr>
        <w:ind w:left="4048" w:hanging="360"/>
      </w:pPr>
      <w:rPr>
        <w:rFonts w:hint="default" w:ascii="Courier New" w:hAnsi="Courier New" w:cs="Courier New"/>
      </w:rPr>
    </w:lvl>
    <w:lvl w:ilvl="2" w:tentative="0">
      <w:start w:val="1"/>
      <w:numFmt w:val="bullet"/>
      <w:lvlText w:val=""/>
      <w:lvlJc w:val="left"/>
      <w:pPr>
        <w:ind w:left="4768" w:hanging="360"/>
      </w:pPr>
      <w:rPr>
        <w:rFonts w:hint="default" w:ascii="Wingdings" w:hAnsi="Wingdings"/>
      </w:rPr>
    </w:lvl>
    <w:lvl w:ilvl="3" w:tentative="0">
      <w:start w:val="1"/>
      <w:numFmt w:val="bullet"/>
      <w:lvlText w:val=""/>
      <w:lvlJc w:val="left"/>
      <w:pPr>
        <w:ind w:left="5488" w:hanging="360"/>
      </w:pPr>
      <w:rPr>
        <w:rFonts w:hint="default" w:ascii="Symbol" w:hAnsi="Symbol"/>
      </w:rPr>
    </w:lvl>
    <w:lvl w:ilvl="4" w:tentative="0">
      <w:start w:val="1"/>
      <w:numFmt w:val="bullet"/>
      <w:lvlText w:val="o"/>
      <w:lvlJc w:val="left"/>
      <w:pPr>
        <w:ind w:left="6208" w:hanging="360"/>
      </w:pPr>
      <w:rPr>
        <w:rFonts w:hint="default" w:ascii="Courier New" w:hAnsi="Courier New" w:cs="Courier New"/>
      </w:rPr>
    </w:lvl>
    <w:lvl w:ilvl="5" w:tentative="0">
      <w:start w:val="1"/>
      <w:numFmt w:val="bullet"/>
      <w:lvlText w:val=""/>
      <w:lvlJc w:val="left"/>
      <w:pPr>
        <w:ind w:left="6928" w:hanging="360"/>
      </w:pPr>
      <w:rPr>
        <w:rFonts w:hint="default" w:ascii="Wingdings" w:hAnsi="Wingdings"/>
      </w:rPr>
    </w:lvl>
    <w:lvl w:ilvl="6" w:tentative="0">
      <w:start w:val="1"/>
      <w:numFmt w:val="bullet"/>
      <w:lvlText w:val=""/>
      <w:lvlJc w:val="left"/>
      <w:pPr>
        <w:ind w:left="7648" w:hanging="360"/>
      </w:pPr>
      <w:rPr>
        <w:rFonts w:hint="default" w:ascii="Symbol" w:hAnsi="Symbol"/>
      </w:rPr>
    </w:lvl>
    <w:lvl w:ilvl="7" w:tentative="0">
      <w:start w:val="1"/>
      <w:numFmt w:val="bullet"/>
      <w:lvlText w:val="o"/>
      <w:lvlJc w:val="left"/>
      <w:pPr>
        <w:ind w:left="8368" w:hanging="360"/>
      </w:pPr>
      <w:rPr>
        <w:rFonts w:hint="default" w:ascii="Courier New" w:hAnsi="Courier New" w:cs="Courier New"/>
      </w:rPr>
    </w:lvl>
    <w:lvl w:ilvl="8" w:tentative="0">
      <w:start w:val="1"/>
      <w:numFmt w:val="bullet"/>
      <w:lvlText w:val=""/>
      <w:lvlJc w:val="left"/>
      <w:pPr>
        <w:ind w:left="9088" w:hanging="360"/>
      </w:pPr>
      <w:rPr>
        <w:rFonts w:hint="default" w:ascii="Wingdings" w:hAnsi="Wingdings"/>
      </w:rPr>
    </w:lvl>
  </w:abstractNum>
  <w:abstractNum w:abstractNumId="3">
    <w:nsid w:val="3F0D2060"/>
    <w:multiLevelType w:val="multilevel"/>
    <w:tmpl w:val="3F0D2060"/>
    <w:lvl w:ilvl="0" w:tentative="0">
      <w:start w:val="1"/>
      <w:numFmt w:val="decimal"/>
      <w:pStyle w:val="55"/>
      <w:lvlText w:val="%1."/>
      <w:lvlJc w:val="left"/>
      <w:pPr>
        <w:ind w:left="425" w:hanging="425"/>
      </w:pPr>
      <w:rPr>
        <w:b w:val="0"/>
        <w:i w:val="0"/>
        <w:sz w:val="18"/>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attachedTemplate r:id="rId1"/>
  <w:trackRevisions w:val="1"/>
  <w:documentProtection w:enforcement="0"/>
  <w:defaultTabStop w:val="510"/>
  <w:autoHyphenation/>
  <w:drawingGridHorizontalSpacing w:val="10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JjOTc1NTBkNWIxZWE1OTYwZTc2ZTU3NTU4ZWE0ZWEifQ=="/>
    <w:docVar w:name="EN.InstantFormat" w:val="&lt;ENInstantFormat&gt;&lt;Enabled&gt;1&lt;/Enabled&gt;&lt;ScanUnformatted&gt;1&lt;/ScanUnformatted&gt;&lt;ScanChanges&gt;1&lt;/ScanChanges&gt;&lt;Suspended&gt;0&lt;/Suspended&gt;&lt;/ENInstantFormat&gt;"/>
    <w:docVar w:name="EN.Layout" w:val="&lt;ENLayout&gt;&lt;Style&gt;MDPI Copy&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refar26vd5acefa9apfdwu2w9tsfax9pfe&quot;&gt;qPCR EndNote Library Copy-Yumei Zhou&lt;record-ids&gt;&lt;item&gt;2&lt;/item&gt;&lt;item&gt;4&lt;/item&gt;&lt;item&gt;5&lt;/item&gt;&lt;item&gt;7&lt;/item&gt;&lt;item&gt;8&lt;/item&gt;&lt;item&gt;9&lt;/item&gt;&lt;item&gt;10&lt;/item&gt;&lt;item&gt;11&lt;/item&gt;&lt;item&gt;12&lt;/item&gt;&lt;item&gt;13&lt;/item&gt;&lt;item&gt;14&lt;/item&gt;&lt;item&gt;15&lt;/item&gt;&lt;item&gt;16&lt;/item&gt;&lt;item&gt;17&lt;/item&gt;&lt;item&gt;19&lt;/item&gt;&lt;item&gt;20&lt;/item&gt;&lt;item&gt;21&lt;/item&gt;&lt;item&gt;22&lt;/item&gt;&lt;item&gt;23&lt;/item&gt;&lt;item&gt;25&lt;/item&gt;&lt;item&gt;26&lt;/item&gt;&lt;item&gt;27&lt;/item&gt;&lt;item&gt;28&lt;/item&gt;&lt;item&gt;219&lt;/item&gt;&lt;item&gt;220&lt;/item&gt;&lt;item&gt;221&lt;/item&gt;&lt;item&gt;222&lt;/item&gt;&lt;item&gt;225&lt;/item&gt;&lt;item&gt;228&lt;/item&gt;&lt;/record-ids&gt;&lt;/item&gt;&lt;/Libraries&gt;"/>
  </w:docVars>
  <w:rsids>
    <w:rsidRoot w:val="00953EDE"/>
    <w:rsid w:val="0000273F"/>
    <w:rsid w:val="00023BD4"/>
    <w:rsid w:val="00031CB1"/>
    <w:rsid w:val="00035404"/>
    <w:rsid w:val="00036A2F"/>
    <w:rsid w:val="00040818"/>
    <w:rsid w:val="00041C55"/>
    <w:rsid w:val="00044296"/>
    <w:rsid w:val="00052190"/>
    <w:rsid w:val="00053AE1"/>
    <w:rsid w:val="00056632"/>
    <w:rsid w:val="00062BCE"/>
    <w:rsid w:val="0006334F"/>
    <w:rsid w:val="00065C2F"/>
    <w:rsid w:val="000745B3"/>
    <w:rsid w:val="000A63DD"/>
    <w:rsid w:val="000B571A"/>
    <w:rsid w:val="000D52D7"/>
    <w:rsid w:val="000F2CCB"/>
    <w:rsid w:val="000F5B55"/>
    <w:rsid w:val="000F625B"/>
    <w:rsid w:val="000F65F0"/>
    <w:rsid w:val="000F698B"/>
    <w:rsid w:val="00101399"/>
    <w:rsid w:val="00116A52"/>
    <w:rsid w:val="001304A5"/>
    <w:rsid w:val="00131944"/>
    <w:rsid w:val="00146287"/>
    <w:rsid w:val="00147DCF"/>
    <w:rsid w:val="00196C80"/>
    <w:rsid w:val="001A09C8"/>
    <w:rsid w:val="001A1D17"/>
    <w:rsid w:val="001B2624"/>
    <w:rsid w:val="001B27CF"/>
    <w:rsid w:val="001C6B9C"/>
    <w:rsid w:val="001E0D28"/>
    <w:rsid w:val="001E2AEB"/>
    <w:rsid w:val="001E67F4"/>
    <w:rsid w:val="001F17E3"/>
    <w:rsid w:val="001F6532"/>
    <w:rsid w:val="00217244"/>
    <w:rsid w:val="00224ADC"/>
    <w:rsid w:val="002370EE"/>
    <w:rsid w:val="002375B5"/>
    <w:rsid w:val="00246AE8"/>
    <w:rsid w:val="00246DBD"/>
    <w:rsid w:val="00253DFD"/>
    <w:rsid w:val="00267A9B"/>
    <w:rsid w:val="00271268"/>
    <w:rsid w:val="002722BC"/>
    <w:rsid w:val="002A533A"/>
    <w:rsid w:val="002A64D3"/>
    <w:rsid w:val="002B194D"/>
    <w:rsid w:val="002C57A6"/>
    <w:rsid w:val="002E1054"/>
    <w:rsid w:val="002E2932"/>
    <w:rsid w:val="002F5F85"/>
    <w:rsid w:val="003046F8"/>
    <w:rsid w:val="00313025"/>
    <w:rsid w:val="0032135F"/>
    <w:rsid w:val="00326141"/>
    <w:rsid w:val="0033455E"/>
    <w:rsid w:val="0035782F"/>
    <w:rsid w:val="00392DF1"/>
    <w:rsid w:val="0039675F"/>
    <w:rsid w:val="0039792D"/>
    <w:rsid w:val="003A3608"/>
    <w:rsid w:val="003B1C74"/>
    <w:rsid w:val="003C4747"/>
    <w:rsid w:val="003D267B"/>
    <w:rsid w:val="003D5378"/>
    <w:rsid w:val="003E1A5A"/>
    <w:rsid w:val="003E21F1"/>
    <w:rsid w:val="003E46DF"/>
    <w:rsid w:val="00401D30"/>
    <w:rsid w:val="00404F2F"/>
    <w:rsid w:val="00406229"/>
    <w:rsid w:val="00413713"/>
    <w:rsid w:val="00421840"/>
    <w:rsid w:val="004256E5"/>
    <w:rsid w:val="00432E85"/>
    <w:rsid w:val="004413F2"/>
    <w:rsid w:val="00443785"/>
    <w:rsid w:val="004458CC"/>
    <w:rsid w:val="00457BBC"/>
    <w:rsid w:val="0046403B"/>
    <w:rsid w:val="00464FA9"/>
    <w:rsid w:val="0047132B"/>
    <w:rsid w:val="00472C35"/>
    <w:rsid w:val="00474BBB"/>
    <w:rsid w:val="00486C88"/>
    <w:rsid w:val="00496979"/>
    <w:rsid w:val="004C0827"/>
    <w:rsid w:val="004C1073"/>
    <w:rsid w:val="004D0127"/>
    <w:rsid w:val="004E5595"/>
    <w:rsid w:val="00510859"/>
    <w:rsid w:val="0051330D"/>
    <w:rsid w:val="00515729"/>
    <w:rsid w:val="00516AED"/>
    <w:rsid w:val="00521100"/>
    <w:rsid w:val="00544941"/>
    <w:rsid w:val="00546E79"/>
    <w:rsid w:val="00572FBF"/>
    <w:rsid w:val="005833A1"/>
    <w:rsid w:val="00594DC6"/>
    <w:rsid w:val="005B3260"/>
    <w:rsid w:val="005B3CA8"/>
    <w:rsid w:val="005C64A5"/>
    <w:rsid w:val="005D0338"/>
    <w:rsid w:val="005D351C"/>
    <w:rsid w:val="005E0472"/>
    <w:rsid w:val="005E7BA8"/>
    <w:rsid w:val="005F341A"/>
    <w:rsid w:val="006005C9"/>
    <w:rsid w:val="00607376"/>
    <w:rsid w:val="00607802"/>
    <w:rsid w:val="0061246A"/>
    <w:rsid w:val="00620191"/>
    <w:rsid w:val="00620C3D"/>
    <w:rsid w:val="00627C23"/>
    <w:rsid w:val="00640B28"/>
    <w:rsid w:val="006451E4"/>
    <w:rsid w:val="006679F1"/>
    <w:rsid w:val="00671937"/>
    <w:rsid w:val="006738FD"/>
    <w:rsid w:val="00690510"/>
    <w:rsid w:val="00692393"/>
    <w:rsid w:val="006A20B3"/>
    <w:rsid w:val="006B00C9"/>
    <w:rsid w:val="006B16E9"/>
    <w:rsid w:val="006B1E9F"/>
    <w:rsid w:val="006B4382"/>
    <w:rsid w:val="006D0FE4"/>
    <w:rsid w:val="007241C1"/>
    <w:rsid w:val="00732F1F"/>
    <w:rsid w:val="00735CDA"/>
    <w:rsid w:val="00740036"/>
    <w:rsid w:val="00742D9A"/>
    <w:rsid w:val="00764557"/>
    <w:rsid w:val="00765008"/>
    <w:rsid w:val="00775C36"/>
    <w:rsid w:val="00785931"/>
    <w:rsid w:val="007A4795"/>
    <w:rsid w:val="007B14DC"/>
    <w:rsid w:val="007B7BB1"/>
    <w:rsid w:val="007C5C76"/>
    <w:rsid w:val="007D06A2"/>
    <w:rsid w:val="007D2BE3"/>
    <w:rsid w:val="007D737C"/>
    <w:rsid w:val="007D768B"/>
    <w:rsid w:val="007E1525"/>
    <w:rsid w:val="007E1C66"/>
    <w:rsid w:val="007E30D1"/>
    <w:rsid w:val="007E3C46"/>
    <w:rsid w:val="007F2445"/>
    <w:rsid w:val="007F47E0"/>
    <w:rsid w:val="007F5016"/>
    <w:rsid w:val="007F78A4"/>
    <w:rsid w:val="007F78F0"/>
    <w:rsid w:val="00801ECF"/>
    <w:rsid w:val="00804D77"/>
    <w:rsid w:val="00805A7C"/>
    <w:rsid w:val="0081123D"/>
    <w:rsid w:val="00812BF0"/>
    <w:rsid w:val="00820D6E"/>
    <w:rsid w:val="00825E17"/>
    <w:rsid w:val="00837C8E"/>
    <w:rsid w:val="00846673"/>
    <w:rsid w:val="00847126"/>
    <w:rsid w:val="00864C22"/>
    <w:rsid w:val="008671AC"/>
    <w:rsid w:val="00867E5A"/>
    <w:rsid w:val="00873A00"/>
    <w:rsid w:val="00891E99"/>
    <w:rsid w:val="0089270F"/>
    <w:rsid w:val="008928EA"/>
    <w:rsid w:val="00892928"/>
    <w:rsid w:val="00897EB1"/>
    <w:rsid w:val="008B7414"/>
    <w:rsid w:val="008C1C8D"/>
    <w:rsid w:val="008D4759"/>
    <w:rsid w:val="008E44B9"/>
    <w:rsid w:val="008F35E8"/>
    <w:rsid w:val="009010E1"/>
    <w:rsid w:val="009067DF"/>
    <w:rsid w:val="00913D80"/>
    <w:rsid w:val="00914EC7"/>
    <w:rsid w:val="00922524"/>
    <w:rsid w:val="00926CC1"/>
    <w:rsid w:val="00936690"/>
    <w:rsid w:val="00953EDE"/>
    <w:rsid w:val="0097159B"/>
    <w:rsid w:val="0097465F"/>
    <w:rsid w:val="00975D46"/>
    <w:rsid w:val="00980AB5"/>
    <w:rsid w:val="00994B4F"/>
    <w:rsid w:val="009A135D"/>
    <w:rsid w:val="009B1ED7"/>
    <w:rsid w:val="009B4B56"/>
    <w:rsid w:val="009D2AAC"/>
    <w:rsid w:val="009E0B08"/>
    <w:rsid w:val="009F0AB9"/>
    <w:rsid w:val="009F50CF"/>
    <w:rsid w:val="009F687E"/>
    <w:rsid w:val="009F70E6"/>
    <w:rsid w:val="00A00D55"/>
    <w:rsid w:val="00A03837"/>
    <w:rsid w:val="00A10BF0"/>
    <w:rsid w:val="00A15929"/>
    <w:rsid w:val="00A218D9"/>
    <w:rsid w:val="00A35AD4"/>
    <w:rsid w:val="00A408DD"/>
    <w:rsid w:val="00A514BE"/>
    <w:rsid w:val="00A6270D"/>
    <w:rsid w:val="00A63340"/>
    <w:rsid w:val="00A636E1"/>
    <w:rsid w:val="00A70494"/>
    <w:rsid w:val="00AA2C69"/>
    <w:rsid w:val="00AA6034"/>
    <w:rsid w:val="00AC48B2"/>
    <w:rsid w:val="00AC6D5B"/>
    <w:rsid w:val="00AD1E24"/>
    <w:rsid w:val="00AD71DD"/>
    <w:rsid w:val="00AE11CB"/>
    <w:rsid w:val="00AE3F19"/>
    <w:rsid w:val="00AF1E37"/>
    <w:rsid w:val="00AF3BED"/>
    <w:rsid w:val="00AF6CBF"/>
    <w:rsid w:val="00B11A4C"/>
    <w:rsid w:val="00B31EF8"/>
    <w:rsid w:val="00B33EC2"/>
    <w:rsid w:val="00B47050"/>
    <w:rsid w:val="00B56087"/>
    <w:rsid w:val="00B60894"/>
    <w:rsid w:val="00B7229E"/>
    <w:rsid w:val="00BA1032"/>
    <w:rsid w:val="00BA37A3"/>
    <w:rsid w:val="00BB21DC"/>
    <w:rsid w:val="00BC1C06"/>
    <w:rsid w:val="00BC1EAE"/>
    <w:rsid w:val="00BC41FF"/>
    <w:rsid w:val="00BD0417"/>
    <w:rsid w:val="00BD1688"/>
    <w:rsid w:val="00BD2EDC"/>
    <w:rsid w:val="00BE24FC"/>
    <w:rsid w:val="00BF3531"/>
    <w:rsid w:val="00BF5140"/>
    <w:rsid w:val="00C02EB8"/>
    <w:rsid w:val="00C22386"/>
    <w:rsid w:val="00C40821"/>
    <w:rsid w:val="00C41CDF"/>
    <w:rsid w:val="00C5095A"/>
    <w:rsid w:val="00C5255C"/>
    <w:rsid w:val="00C53F13"/>
    <w:rsid w:val="00C62ACE"/>
    <w:rsid w:val="00C903CE"/>
    <w:rsid w:val="00CA5FAE"/>
    <w:rsid w:val="00CA735C"/>
    <w:rsid w:val="00CF0714"/>
    <w:rsid w:val="00D035E9"/>
    <w:rsid w:val="00D20C10"/>
    <w:rsid w:val="00D21FB9"/>
    <w:rsid w:val="00D342EF"/>
    <w:rsid w:val="00D3540D"/>
    <w:rsid w:val="00D4154C"/>
    <w:rsid w:val="00D516E5"/>
    <w:rsid w:val="00D569D9"/>
    <w:rsid w:val="00D64EE3"/>
    <w:rsid w:val="00D65525"/>
    <w:rsid w:val="00D66656"/>
    <w:rsid w:val="00D67C29"/>
    <w:rsid w:val="00D835E5"/>
    <w:rsid w:val="00D85A80"/>
    <w:rsid w:val="00DA2E28"/>
    <w:rsid w:val="00DC7740"/>
    <w:rsid w:val="00DD784B"/>
    <w:rsid w:val="00DE27C7"/>
    <w:rsid w:val="00DE318C"/>
    <w:rsid w:val="00DF2F59"/>
    <w:rsid w:val="00E005EA"/>
    <w:rsid w:val="00E026A9"/>
    <w:rsid w:val="00E037CB"/>
    <w:rsid w:val="00E206EC"/>
    <w:rsid w:val="00E258EE"/>
    <w:rsid w:val="00E36F23"/>
    <w:rsid w:val="00E372D0"/>
    <w:rsid w:val="00E431B5"/>
    <w:rsid w:val="00E4392F"/>
    <w:rsid w:val="00E51FF9"/>
    <w:rsid w:val="00E534AA"/>
    <w:rsid w:val="00E579E5"/>
    <w:rsid w:val="00E73965"/>
    <w:rsid w:val="00E74130"/>
    <w:rsid w:val="00E92783"/>
    <w:rsid w:val="00EA56B2"/>
    <w:rsid w:val="00EB622D"/>
    <w:rsid w:val="00EB634E"/>
    <w:rsid w:val="00ED08CC"/>
    <w:rsid w:val="00ED2CB9"/>
    <w:rsid w:val="00ED5C06"/>
    <w:rsid w:val="00EE479F"/>
    <w:rsid w:val="00EF1300"/>
    <w:rsid w:val="00F01440"/>
    <w:rsid w:val="00F11475"/>
    <w:rsid w:val="00F13D09"/>
    <w:rsid w:val="00F24E50"/>
    <w:rsid w:val="00F36017"/>
    <w:rsid w:val="00F70808"/>
    <w:rsid w:val="00FA754D"/>
    <w:rsid w:val="00FB4885"/>
    <w:rsid w:val="00FB5BEA"/>
    <w:rsid w:val="00FC1EE9"/>
    <w:rsid w:val="00FC7D63"/>
    <w:rsid w:val="00FD545F"/>
    <w:rsid w:val="00FE2650"/>
    <w:rsid w:val="00FE4A70"/>
    <w:rsid w:val="00FF50F8"/>
    <w:rsid w:val="056B77C2"/>
    <w:rsid w:val="0B9A2BAF"/>
    <w:rsid w:val="126A7E55"/>
    <w:rsid w:val="158B2078"/>
    <w:rsid w:val="17526F90"/>
    <w:rsid w:val="177C631C"/>
    <w:rsid w:val="1D3034EE"/>
    <w:rsid w:val="1F466C5E"/>
    <w:rsid w:val="22FB5EFC"/>
    <w:rsid w:val="2F723377"/>
    <w:rsid w:val="3CA31014"/>
    <w:rsid w:val="40B42F2E"/>
    <w:rsid w:val="42BA17C9"/>
    <w:rsid w:val="47B17AE2"/>
    <w:rsid w:val="55BB6F76"/>
    <w:rsid w:val="60743673"/>
    <w:rsid w:val="60DF7FBD"/>
    <w:rsid w:val="62FC3DEC"/>
    <w:rsid w:val="63DC70F3"/>
    <w:rsid w:val="644A1BF1"/>
    <w:rsid w:val="69992C6D"/>
    <w:rsid w:val="6BB320C4"/>
    <w:rsid w:val="75175B20"/>
    <w:rsid w:val="75750243"/>
    <w:rsid w:val="79D50CBF"/>
    <w:rsid w:val="7D1D3E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60" w:lineRule="atLeast"/>
      <w:jc w:val="both"/>
    </w:pPr>
    <w:rPr>
      <w:rFonts w:ascii="Palatino Linotype" w:hAnsi="Palatino Linotype" w:eastAsia="宋体" w:cs="Times New Roman"/>
      <w:color w:val="000000"/>
      <w:lang w:val="en-US" w:eastAsia="zh-CN" w:bidi="ar-SA"/>
    </w:rPr>
  </w:style>
  <w:style w:type="character" w:default="1" w:styleId="14">
    <w:name w:val="Default Paragraph Font"/>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81"/>
    <w:qFormat/>
    <w:uiPriority w:val="0"/>
  </w:style>
  <w:style w:type="paragraph" w:styleId="3">
    <w:name w:val="Body Text"/>
    <w:link w:val="80"/>
    <w:qFormat/>
    <w:uiPriority w:val="0"/>
    <w:pPr>
      <w:spacing w:after="120" w:line="340" w:lineRule="atLeast"/>
      <w:jc w:val="both"/>
    </w:pPr>
    <w:rPr>
      <w:rFonts w:ascii="Palatino Linotype" w:hAnsi="Palatino Linotype" w:eastAsia="宋体" w:cs="Times New Roman"/>
      <w:color w:val="000000"/>
      <w:sz w:val="24"/>
      <w:lang w:val="en-US" w:eastAsia="de-DE" w:bidi="ar-SA"/>
    </w:rPr>
  </w:style>
  <w:style w:type="paragraph" w:styleId="4">
    <w:name w:val="endnote text"/>
    <w:basedOn w:val="1"/>
    <w:link w:val="83"/>
    <w:semiHidden/>
    <w:unhideWhenUsed/>
    <w:qFormat/>
    <w:uiPriority w:val="0"/>
    <w:pPr>
      <w:spacing w:line="240" w:lineRule="auto"/>
    </w:pPr>
  </w:style>
  <w:style w:type="paragraph" w:styleId="5">
    <w:name w:val="Balloon Text"/>
    <w:basedOn w:val="1"/>
    <w:link w:val="56"/>
    <w:qFormat/>
    <w:uiPriority w:val="99"/>
    <w:rPr>
      <w:rFonts w:cs="Tahoma"/>
      <w:szCs w:val="18"/>
    </w:rPr>
  </w:style>
  <w:style w:type="paragraph" w:styleId="6">
    <w:name w:val="footer"/>
    <w:basedOn w:val="1"/>
    <w:link w:val="59"/>
    <w:qFormat/>
    <w:uiPriority w:val="99"/>
    <w:pPr>
      <w:tabs>
        <w:tab w:val="center" w:pos="4153"/>
        <w:tab w:val="right" w:pos="8306"/>
      </w:tabs>
      <w:snapToGrid w:val="0"/>
      <w:spacing w:line="240" w:lineRule="atLeast"/>
    </w:pPr>
    <w:rPr>
      <w:szCs w:val="18"/>
    </w:rPr>
  </w:style>
  <w:style w:type="paragraph" w:styleId="7">
    <w:name w:val="header"/>
    <w:basedOn w:val="1"/>
    <w:link w:val="32"/>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8">
    <w:name w:val="footnote text"/>
    <w:basedOn w:val="1"/>
    <w:link w:val="84"/>
    <w:semiHidden/>
    <w:unhideWhenUsed/>
    <w:qFormat/>
    <w:uiPriority w:val="0"/>
    <w:pPr>
      <w:spacing w:line="240" w:lineRule="auto"/>
    </w:pPr>
  </w:style>
  <w:style w:type="paragraph" w:styleId="9">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10">
    <w:name w:val="Normal (Web)"/>
    <w:basedOn w:val="1"/>
    <w:qFormat/>
    <w:uiPriority w:val="99"/>
    <w:rPr>
      <w:szCs w:val="24"/>
    </w:rPr>
  </w:style>
  <w:style w:type="paragraph" w:styleId="11">
    <w:name w:val="annotation subject"/>
    <w:basedOn w:val="2"/>
    <w:next w:val="2"/>
    <w:link w:val="82"/>
    <w:qFormat/>
    <w:uiPriority w:val="0"/>
    <w:rPr>
      <w:b/>
      <w:bCs/>
    </w:rPr>
  </w:style>
  <w:style w:type="table" w:styleId="13">
    <w:name w:val="Table Grid"/>
    <w:basedOn w:val="12"/>
    <w:qFormat/>
    <w:uiPriority w:val="5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character" w:styleId="16">
    <w:name w:val="endnote reference"/>
    <w:qFormat/>
    <w:uiPriority w:val="0"/>
    <w:rPr>
      <w:vertAlign w:val="superscript"/>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Emphasis"/>
    <w:basedOn w:val="14"/>
    <w:qFormat/>
    <w:uiPriority w:val="20"/>
    <w:rPr>
      <w:i/>
    </w:rPr>
  </w:style>
  <w:style w:type="character" w:styleId="20">
    <w:name w:val="line number"/>
    <w:qFormat/>
    <w:uiPriority w:val="99"/>
    <w:rPr>
      <w:rFonts w:ascii="Palatino Linotype" w:hAnsi="Palatino Linotype"/>
      <w:sz w:val="16"/>
    </w:rPr>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paragraph" w:customStyle="1" w:styleId="23">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4">
    <w:name w:val="MDPI_1.2_title"/>
    <w:next w:val="1"/>
    <w:link w:val="94"/>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5">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6">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7">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8">
    <w:name w:val="MDPI_1.7_abstract"/>
    <w:next w:val="1"/>
    <w:qFormat/>
    <w:uiPriority w:val="0"/>
    <w:pPr>
      <w:adjustRightInd w:val="0"/>
      <w:snapToGrid w:val="0"/>
      <w:spacing w:before="240" w:line="260" w:lineRule="atLeast"/>
      <w:ind w:left="2608"/>
      <w:jc w:val="both"/>
    </w:pPr>
    <w:rPr>
      <w:rFonts w:ascii="Palatino Linotype" w:hAnsi="Palatino Linotype" w:eastAsia="Times New Roman" w:cs="Times New Roman"/>
      <w:color w:val="000000"/>
      <w:sz w:val="18"/>
      <w:szCs w:val="22"/>
      <w:lang w:val="en-US" w:eastAsia="de-DE" w:bidi="en-US"/>
    </w:rPr>
  </w:style>
  <w:style w:type="paragraph" w:customStyle="1" w:styleId="29">
    <w:name w:val="MDPI_1.8_keywords"/>
    <w:next w:val="1"/>
    <w:qFormat/>
    <w:uiPriority w:val="0"/>
    <w:pPr>
      <w:adjustRightInd w:val="0"/>
      <w:snapToGrid w:val="0"/>
      <w:spacing w:before="240" w:line="260" w:lineRule="atLeast"/>
      <w:ind w:left="2608"/>
      <w:jc w:val="both"/>
    </w:pPr>
    <w:rPr>
      <w:rFonts w:ascii="Palatino Linotype" w:hAnsi="Palatino Linotype" w:eastAsia="Times New Roman" w:cs="Times New Roman"/>
      <w:snapToGrid w:val="0"/>
      <w:color w:val="000000"/>
      <w:sz w:val="18"/>
      <w:szCs w:val="22"/>
      <w:lang w:val="en-US" w:eastAsia="de-DE" w:bidi="en-US"/>
    </w:rPr>
  </w:style>
  <w:style w:type="paragraph" w:customStyle="1" w:styleId="30">
    <w:name w:val="MDPI_1.9_line"/>
    <w:qFormat/>
    <w:uiPriority w:val="0"/>
    <w:pPr>
      <w:pBdr>
        <w:bottom w:val="single" w:color="auto" w:sz="4"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table" w:customStyle="1" w:styleId="31">
    <w:name w:val="M_deck_5_table_body_three_lines"/>
    <w:basedOn w:val="12"/>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2">
    <w:name w:val="页眉 字符"/>
    <w:link w:val="7"/>
    <w:qFormat/>
    <w:uiPriority w:val="99"/>
    <w:rPr>
      <w:rFonts w:ascii="Palatino Linotype" w:hAnsi="Palatino Linotype"/>
      <w:color w:val="000000"/>
      <w:szCs w:val="18"/>
    </w:rPr>
  </w:style>
  <w:style w:type="paragraph" w:customStyle="1" w:styleId="33">
    <w:name w:val="MDPI_header_journal_logo"/>
    <w:qFormat/>
    <w:uiPriority w:val="0"/>
    <w:pPr>
      <w:adjustRightInd w:val="0"/>
      <w:snapToGrid w:val="0"/>
      <w:spacing w:line="260" w:lineRule="atLeast"/>
      <w:jc w:val="both"/>
    </w:pPr>
    <w:rPr>
      <w:rFonts w:ascii="Palatino Linotype" w:hAnsi="Palatino Linotype" w:eastAsia="Times New Roman" w:cs="Times New Roman"/>
      <w:i/>
      <w:color w:val="000000"/>
      <w:sz w:val="24"/>
      <w:szCs w:val="22"/>
      <w:lang w:val="en-US" w:eastAsia="de-CH" w:bidi="ar-SA"/>
    </w:rPr>
  </w:style>
  <w:style w:type="paragraph" w:customStyle="1" w:styleId="34">
    <w:name w:val="MDPI_3.2_text_no_indent"/>
    <w:basedOn w:val="35"/>
    <w:qFormat/>
    <w:uiPriority w:val="0"/>
    <w:pPr>
      <w:ind w:firstLine="0"/>
    </w:pPr>
  </w:style>
  <w:style w:type="paragraph" w:customStyle="1" w:styleId="35">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3_text_space_after"/>
    <w:qFormat/>
    <w:uiPriority w:val="0"/>
    <w:pPr>
      <w:adjustRightInd w:val="0"/>
      <w:snapToGrid w:val="0"/>
      <w:spacing w:after="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4_text_space_before"/>
    <w:qFormat/>
    <w:uiPriority w:val="0"/>
    <w:pPr>
      <w:adjustRightInd w:val="0"/>
      <w:snapToGrid w:val="0"/>
      <w:spacing w:before="24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5_text_before_lis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9">
    <w:name w:val="MDPI_3.6_text_after_list"/>
    <w:qFormat/>
    <w:uiPriority w:val="0"/>
    <w:pPr>
      <w:adjustRightInd w:val="0"/>
      <w:snapToGrid w:val="0"/>
      <w:spacing w:before="120"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40">
    <w:name w:val="MDPI_3.7_itemize"/>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41">
    <w:name w:val="MDPI_3.8_bullet"/>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Cs w:val="22"/>
      <w:lang w:val="en-US" w:eastAsia="de-DE" w:bidi="en-US"/>
    </w:rPr>
  </w:style>
  <w:style w:type="paragraph" w:customStyle="1" w:styleId="42">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3">
    <w:name w:val="MDPI_3.a_equation_number"/>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44">
    <w:name w:val="MDPI_4.1_table_caption"/>
    <w:qFormat/>
    <w:uiPriority w:val="0"/>
    <w:pPr>
      <w:adjustRightInd w:val="0"/>
      <w:snapToGrid w:val="0"/>
      <w:spacing w:before="240" w:after="120" w:line="228" w:lineRule="auto"/>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6">
    <w:name w:val="MDPI_4.3_table_footer"/>
    <w:next w:val="35"/>
    <w:qFormat/>
    <w:uiPriority w:val="0"/>
    <w:pPr>
      <w:adjustRightInd w:val="0"/>
      <w:snapToGrid w:val="0"/>
      <w:spacing w:line="228" w:lineRule="auto"/>
      <w:ind w:left="2608"/>
      <w:jc w:val="both"/>
    </w:pPr>
    <w:rPr>
      <w:rFonts w:ascii="Palatino Linotype" w:hAnsi="Palatino Linotype" w:eastAsia="Times New Roman" w:cs="Cordia New"/>
      <w:color w:val="000000"/>
      <w:sz w:val="18"/>
      <w:szCs w:val="22"/>
      <w:lang w:val="en-US" w:eastAsia="de-DE" w:bidi="en-US"/>
    </w:rPr>
  </w:style>
  <w:style w:type="paragraph" w:customStyle="1" w:styleId="47">
    <w:name w:val="MDPI_5.1_figure_caption"/>
    <w:qFormat/>
    <w:uiPriority w:val="0"/>
    <w:pPr>
      <w:adjustRightInd w:val="0"/>
      <w:snapToGrid w:val="0"/>
      <w:spacing w:before="120" w:after="240" w:line="228" w:lineRule="auto"/>
      <w:ind w:left="2608"/>
      <w:jc w:val="both"/>
    </w:pPr>
    <w:rPr>
      <w:rFonts w:ascii="Palatino Linotype" w:hAnsi="Palatino Linotype" w:eastAsia="Times New Roman" w:cs="Times New Roman"/>
      <w:color w:val="000000"/>
      <w:sz w:val="18"/>
      <w:lang w:val="en-US" w:eastAsia="de-DE" w:bidi="en-US"/>
    </w:rPr>
  </w:style>
  <w:style w:type="paragraph" w:customStyle="1" w:styleId="48">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9">
    <w:name w:val="MDPI_8.1_theorem"/>
    <w:qFormat/>
    <w:uiPriority w:val="0"/>
    <w:pPr>
      <w:adjustRightInd w:val="0"/>
      <w:snapToGrid w:val="0"/>
      <w:spacing w:line="228" w:lineRule="auto"/>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0">
    <w:name w:val="MDPI_8.2_proof"/>
    <w:qFormat/>
    <w:uiPriority w:val="0"/>
    <w:pPr>
      <w:adjustRightInd w:val="0"/>
      <w:snapToGrid w:val="0"/>
      <w:spacing w:line="228" w:lineRule="auto"/>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1">
    <w:name w:val="MDPI_footer_firstpage"/>
    <w:qFormat/>
    <w:uiPriority w:val="0"/>
    <w:pPr>
      <w:tabs>
        <w:tab w:val="right" w:pos="8845"/>
      </w:tabs>
      <w:spacing w:line="160" w:lineRule="exact"/>
    </w:pPr>
    <w:rPr>
      <w:rFonts w:ascii="Palatino Linotype" w:hAnsi="Palatino Linotype" w:eastAsia="Times New Roman" w:cs="Times New Roman"/>
      <w:color w:val="000000"/>
      <w:sz w:val="16"/>
      <w:lang w:val="en-US" w:eastAsia="de-DE" w:bidi="ar-SA"/>
    </w:rPr>
  </w:style>
  <w:style w:type="paragraph" w:customStyle="1" w:styleId="52">
    <w:name w:val="MDPI_2.3_heading3"/>
    <w:qFormat/>
    <w:uiPriority w:val="0"/>
    <w:pPr>
      <w:adjustRightInd w:val="0"/>
      <w:snapToGrid w:val="0"/>
      <w:spacing w:before="60" w:after="60" w:line="228" w:lineRule="auto"/>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53">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54">
    <w:name w:val="MDPI_2.2_heading2"/>
    <w:qFormat/>
    <w:uiPriority w:val="0"/>
    <w:pPr>
      <w:adjustRightInd w:val="0"/>
      <w:snapToGrid w:val="0"/>
      <w:spacing w:before="60" w:after="60" w:line="228" w:lineRule="auto"/>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5">
    <w:name w:val="MDPI_7.1_References"/>
    <w:qFormat/>
    <w:uiPriority w:val="0"/>
    <w:pPr>
      <w:numPr>
        <w:ilvl w:val="0"/>
        <w:numId w:val="3"/>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character" w:customStyle="1" w:styleId="56">
    <w:name w:val="批注框文本 字符"/>
    <w:link w:val="5"/>
    <w:qFormat/>
    <w:uiPriority w:val="99"/>
    <w:rPr>
      <w:rFonts w:ascii="Palatino Linotype" w:hAnsi="Palatino Linotype" w:cs="Tahoma"/>
      <w:color w:val="000000"/>
      <w:szCs w:val="18"/>
    </w:rPr>
  </w:style>
  <w:style w:type="table" w:customStyle="1" w:styleId="57">
    <w:name w:val="MDPI_4.1_three_line_table"/>
    <w:basedOn w:val="12"/>
    <w:qFormat/>
    <w:uiPriority w:val="99"/>
    <w:pPr>
      <w:adjustRightInd w:val="0"/>
      <w:snapToGrid w:val="0"/>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8">
    <w:name w:val="未处理的提及1"/>
    <w:semiHidden/>
    <w:unhideWhenUsed/>
    <w:qFormat/>
    <w:uiPriority w:val="99"/>
    <w:rPr>
      <w:color w:val="605E5C"/>
      <w:shd w:val="clear" w:color="auto" w:fill="E1DFDD"/>
    </w:rPr>
  </w:style>
  <w:style w:type="character" w:customStyle="1" w:styleId="59">
    <w:name w:val="页脚 字符"/>
    <w:link w:val="6"/>
    <w:qFormat/>
    <w:uiPriority w:val="99"/>
    <w:rPr>
      <w:rFonts w:ascii="Palatino Linotype" w:hAnsi="Palatino Linotype"/>
      <w:color w:val="000000"/>
      <w:szCs w:val="18"/>
    </w:rPr>
  </w:style>
  <w:style w:type="table" w:customStyle="1" w:styleId="60">
    <w:name w:val="无格式表格 41"/>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61">
    <w:name w:val="MDPI_6.1_Citation"/>
    <w:qFormat/>
    <w:uiPriority w:val="0"/>
    <w:pPr>
      <w:adjustRightInd w:val="0"/>
      <w:snapToGrid w:val="0"/>
      <w:spacing w:line="240" w:lineRule="atLeast"/>
      <w:ind w:right="113"/>
    </w:pPr>
    <w:rPr>
      <w:rFonts w:ascii="Palatino Linotype" w:hAnsi="Palatino Linotype" w:eastAsia="宋体" w:cs="Cordia New"/>
      <w:sz w:val="14"/>
      <w:szCs w:val="22"/>
      <w:lang w:val="en-US" w:eastAsia="zh-CN" w:bidi="ar-SA"/>
    </w:rPr>
  </w:style>
  <w:style w:type="paragraph" w:customStyle="1" w:styleId="62">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3">
    <w:name w:val="MDPI_6.3_Notes"/>
    <w:qFormat/>
    <w:uiPriority w:val="0"/>
    <w:pPr>
      <w:adjustRightInd w:val="0"/>
      <w:snapToGrid w:val="0"/>
      <w:spacing w:before="240" w:line="228" w:lineRule="auto"/>
      <w:jc w:val="both"/>
    </w:pPr>
    <w:rPr>
      <w:rFonts w:ascii="Palatino Linotype" w:hAnsi="Palatino Linotype" w:eastAsia="宋体" w:cs="Times New Roman"/>
      <w:snapToGrid w:val="0"/>
      <w:color w:val="000000"/>
      <w:sz w:val="18"/>
      <w:lang w:val="en-US" w:eastAsia="en-US" w:bidi="en-US"/>
    </w:rPr>
  </w:style>
  <w:style w:type="paragraph" w:customStyle="1" w:styleId="64">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5">
    <w:name w:val="MDPI_1.9_classification"/>
    <w:qFormat/>
    <w:uiPriority w:val="0"/>
    <w:pPr>
      <w:spacing w:before="240" w:line="260" w:lineRule="atLeast"/>
      <w:ind w:left="113"/>
      <w:jc w:val="both"/>
    </w:pPr>
    <w:rPr>
      <w:rFonts w:ascii="Palatino Linotype" w:hAnsi="Palatino Linotype" w:eastAsia="Times New Roman" w:cs="Times New Roman"/>
      <w:b/>
      <w:color w:val="000000"/>
      <w:szCs w:val="22"/>
      <w:lang w:val="en-US" w:eastAsia="de-DE" w:bidi="en-US"/>
    </w:rPr>
  </w:style>
  <w:style w:type="paragraph" w:customStyle="1" w:styleId="66">
    <w:name w:val="MDPI_4.1.1_one_table_caption"/>
    <w:qFormat/>
    <w:uiPriority w:val="0"/>
    <w:pPr>
      <w:adjustRightInd w:val="0"/>
      <w:snapToGrid w:val="0"/>
      <w:spacing w:before="240" w:after="120" w:line="260" w:lineRule="atLeast"/>
      <w:jc w:val="center"/>
    </w:pPr>
    <w:rPr>
      <w:rFonts w:ascii="Palatino Linotype" w:hAnsi="Palatino Linotype" w:eastAsia="宋体" w:cs="Cordia New"/>
      <w:color w:val="000000"/>
      <w:sz w:val="18"/>
      <w:szCs w:val="22"/>
      <w:lang w:val="en-US" w:eastAsia="zh-CN" w:bidi="en-US"/>
    </w:rPr>
  </w:style>
  <w:style w:type="paragraph" w:customStyle="1" w:styleId="67">
    <w:name w:val="MDPI_5.1.1_one_figure_caption"/>
    <w:qFormat/>
    <w:uiPriority w:val="0"/>
    <w:pPr>
      <w:adjustRightInd w:val="0"/>
      <w:snapToGrid w:val="0"/>
      <w:spacing w:before="240" w:after="120" w:line="260" w:lineRule="atLeast"/>
      <w:jc w:val="center"/>
    </w:pPr>
    <w:rPr>
      <w:rFonts w:ascii="Palatino Linotype" w:hAnsi="Palatino Linotype" w:eastAsia="宋体" w:cs="Times New Roman"/>
      <w:color w:val="000000"/>
      <w:sz w:val="18"/>
      <w:lang w:val="en-US" w:eastAsia="zh-CN" w:bidi="en-US"/>
    </w:rPr>
  </w:style>
  <w:style w:type="paragraph" w:customStyle="1" w:styleId="68">
    <w:name w:val="MDPI_7.2_Copyright"/>
    <w:qFormat/>
    <w:uiPriority w:val="0"/>
    <w:pPr>
      <w:adjustRightInd w:val="0"/>
      <w:snapToGrid w:val="0"/>
      <w:spacing w:before="60" w:line="240" w:lineRule="atLeast"/>
      <w:ind w:right="113"/>
      <w:jc w:val="both"/>
    </w:pPr>
    <w:rPr>
      <w:rFonts w:ascii="Palatino Linotype" w:hAnsi="Palatino Linotype" w:eastAsia="Times New Roman" w:cs="Times New Roman"/>
      <w:snapToGrid w:val="0"/>
      <w:color w:val="000000"/>
      <w:sz w:val="14"/>
      <w:lang w:val="en-GB" w:eastAsia="en-GB" w:bidi="ar-SA"/>
    </w:rPr>
  </w:style>
  <w:style w:type="paragraph" w:customStyle="1" w:styleId="69">
    <w:name w:val="MDPI_7.3_CopyrightImage"/>
    <w:qFormat/>
    <w:uiPriority w:val="0"/>
    <w:pPr>
      <w:adjustRightInd w:val="0"/>
      <w:snapToGrid w:val="0"/>
      <w:spacing w:after="100" w:line="260" w:lineRule="atLeast"/>
      <w:jc w:val="right"/>
    </w:pPr>
    <w:rPr>
      <w:rFonts w:ascii="Palatino Linotype" w:hAnsi="Palatino Linotype" w:eastAsia="Times New Roman" w:cs="Times New Roman"/>
      <w:color w:val="000000"/>
      <w:lang w:val="en-US" w:eastAsia="de-CH" w:bidi="ar-SA"/>
    </w:rPr>
  </w:style>
  <w:style w:type="paragraph" w:customStyle="1" w:styleId="70">
    <w:name w:val="MDPI_equationFram"/>
    <w:qFormat/>
    <w:uiPriority w:val="0"/>
    <w:pPr>
      <w:adjustRightInd w:val="0"/>
      <w:snapToGrid w:val="0"/>
      <w:spacing w:before="120" w:after="120"/>
      <w:jc w:val="center"/>
    </w:pPr>
    <w:rPr>
      <w:rFonts w:ascii="Palatino Linotype" w:hAnsi="Palatino Linotype" w:eastAsia="Times New Roman" w:cs="Times New Roman"/>
      <w:snapToGrid w:val="0"/>
      <w:color w:val="000000"/>
      <w:szCs w:val="22"/>
      <w:lang w:val="en-US" w:eastAsia="de-DE" w:bidi="en-US"/>
    </w:rPr>
  </w:style>
  <w:style w:type="paragraph" w:customStyle="1" w:styleId="71">
    <w:name w:val="MDPI_footer"/>
    <w:qFormat/>
    <w:uiPriority w:val="0"/>
    <w:pPr>
      <w:adjustRightInd w:val="0"/>
      <w:snapToGrid w:val="0"/>
      <w:spacing w:before="120" w:line="260" w:lineRule="atLeast"/>
      <w:jc w:val="center"/>
    </w:pPr>
    <w:rPr>
      <w:rFonts w:ascii="Palatino Linotype" w:hAnsi="Palatino Linotype" w:eastAsia="Times New Roman" w:cs="Times New Roman"/>
      <w:color w:val="000000"/>
      <w:lang w:val="en-US" w:eastAsia="de-DE" w:bidi="ar-SA"/>
    </w:rPr>
  </w:style>
  <w:style w:type="paragraph" w:customStyle="1" w:styleId="72">
    <w:name w:val="MDPI_header"/>
    <w:qFormat/>
    <w:uiPriority w:val="0"/>
    <w:pPr>
      <w:adjustRightInd w:val="0"/>
      <w:snapToGrid w:val="0"/>
      <w:spacing w:after="240" w:line="260" w:lineRule="atLeast"/>
      <w:jc w:val="both"/>
    </w:pPr>
    <w:rPr>
      <w:rFonts w:ascii="Palatino Linotype" w:hAnsi="Palatino Linotype" w:eastAsia="Times New Roman" w:cs="Times New Roman"/>
      <w:iCs/>
      <w:color w:val="000000"/>
      <w:sz w:val="16"/>
      <w:lang w:val="en-US" w:eastAsia="de-DE" w:bidi="ar-SA"/>
    </w:rPr>
  </w:style>
  <w:style w:type="paragraph" w:customStyle="1" w:styleId="73">
    <w:name w:val="MDPI_header_citation"/>
    <w:qFormat/>
    <w:uiPriority w:val="0"/>
    <w:pPr>
      <w:spacing w:after="240"/>
    </w:pPr>
    <w:rPr>
      <w:rFonts w:ascii="Palatino Linotype" w:hAnsi="Palatino Linotype" w:eastAsia="Times New Roman" w:cs="Times New Roman"/>
      <w:snapToGrid w:val="0"/>
      <w:color w:val="000000"/>
      <w:sz w:val="18"/>
      <w:lang w:val="en-US" w:eastAsia="de-DE" w:bidi="en-US"/>
    </w:rPr>
  </w:style>
  <w:style w:type="paragraph" w:customStyle="1" w:styleId="74">
    <w:name w:val="MDPI_header_mdpi_logo"/>
    <w:qFormat/>
    <w:uiPriority w:val="0"/>
    <w:pPr>
      <w:adjustRightInd w:val="0"/>
      <w:snapToGrid w:val="0"/>
      <w:spacing w:line="260" w:lineRule="atLeast"/>
      <w:jc w:val="right"/>
    </w:pPr>
    <w:rPr>
      <w:rFonts w:ascii="Palatino Linotype" w:hAnsi="Palatino Linotype" w:eastAsia="Times New Roman" w:cs="Times New Roman"/>
      <w:color w:val="000000"/>
      <w:sz w:val="24"/>
      <w:szCs w:val="22"/>
      <w:lang w:val="en-US" w:eastAsia="de-CH" w:bidi="ar-SA"/>
    </w:rPr>
  </w:style>
  <w:style w:type="table" w:customStyle="1" w:styleId="75">
    <w:name w:val="MDPI_Table"/>
    <w:basedOn w:val="12"/>
    <w:qFormat/>
    <w:uiPriority w:val="99"/>
    <w:rPr>
      <w:rFonts w:ascii="Palatino Linotype" w:hAnsi="Palatino Linotype"/>
      <w:color w:val="000000"/>
      <w:lang w:val="en-CA" w:eastAsia="en-US"/>
    </w:rPr>
    <w:tblPr>
      <w:tblCellMar>
        <w:left w:w="0" w:type="dxa"/>
        <w:right w:w="0" w:type="dxa"/>
      </w:tblCellMar>
    </w:tblPr>
  </w:style>
  <w:style w:type="paragraph" w:customStyle="1" w:styleId="76">
    <w:name w:val="MDPI_text"/>
    <w:qFormat/>
    <w:uiPriority w:val="0"/>
    <w:pPr>
      <w:spacing w:line="260" w:lineRule="atLeast"/>
      <w:ind w:left="425" w:right="425" w:firstLine="284"/>
      <w:jc w:val="both"/>
    </w:pPr>
    <w:rPr>
      <w:rFonts w:ascii="Times New Roman" w:hAnsi="Times New Roman" w:eastAsia="Times New Roman" w:cs="Times New Roman"/>
      <w:snapToGrid w:val="0"/>
      <w:color w:val="000000"/>
      <w:sz w:val="22"/>
      <w:szCs w:val="22"/>
      <w:lang w:val="en-US" w:eastAsia="de-DE" w:bidi="en-US"/>
    </w:rPr>
  </w:style>
  <w:style w:type="paragraph" w:customStyle="1" w:styleId="77">
    <w:name w:val="MDPI_title"/>
    <w:qFormat/>
    <w:uiPriority w:val="0"/>
    <w:pPr>
      <w:adjustRightInd w:val="0"/>
      <w:snapToGrid w:val="0"/>
      <w:spacing w:after="240" w:line="260" w:lineRule="atLeast"/>
      <w:jc w:val="both"/>
    </w:pPr>
    <w:rPr>
      <w:rFonts w:ascii="Palatino Linotype" w:hAnsi="Palatino Linotype" w:eastAsia="Times New Roman" w:cs="Times New Roman"/>
      <w:b/>
      <w:snapToGrid w:val="0"/>
      <w:color w:val="000000"/>
      <w:sz w:val="36"/>
      <w:lang w:val="en-US" w:eastAsia="de-DE" w:bidi="en-US"/>
    </w:rPr>
  </w:style>
  <w:style w:type="character" w:customStyle="1" w:styleId="78">
    <w:name w:val="apple-converted-space"/>
    <w:qFormat/>
    <w:uiPriority w:val="0"/>
  </w:style>
  <w:style w:type="paragraph" w:customStyle="1" w:styleId="79">
    <w:name w:val="书目1"/>
    <w:basedOn w:val="1"/>
    <w:next w:val="1"/>
    <w:semiHidden/>
    <w:unhideWhenUsed/>
    <w:qFormat/>
    <w:uiPriority w:val="37"/>
  </w:style>
  <w:style w:type="character" w:customStyle="1" w:styleId="80">
    <w:name w:val="正文文本 字符"/>
    <w:link w:val="3"/>
    <w:qFormat/>
    <w:uiPriority w:val="0"/>
    <w:rPr>
      <w:rFonts w:ascii="Palatino Linotype" w:hAnsi="Palatino Linotype"/>
      <w:color w:val="000000"/>
      <w:sz w:val="24"/>
      <w:lang w:eastAsia="de-DE"/>
    </w:rPr>
  </w:style>
  <w:style w:type="character" w:customStyle="1" w:styleId="81">
    <w:name w:val="批注文字 字符"/>
    <w:link w:val="2"/>
    <w:qFormat/>
    <w:uiPriority w:val="0"/>
    <w:rPr>
      <w:rFonts w:ascii="Palatino Linotype" w:hAnsi="Palatino Linotype"/>
      <w:color w:val="000000"/>
    </w:rPr>
  </w:style>
  <w:style w:type="character" w:customStyle="1" w:styleId="82">
    <w:name w:val="批注主题 字符"/>
    <w:link w:val="11"/>
    <w:qFormat/>
    <w:uiPriority w:val="0"/>
    <w:rPr>
      <w:rFonts w:ascii="Palatino Linotype" w:hAnsi="Palatino Linotype"/>
      <w:b/>
      <w:bCs/>
      <w:color w:val="000000"/>
    </w:rPr>
  </w:style>
  <w:style w:type="character" w:customStyle="1" w:styleId="83">
    <w:name w:val="尾注文本 字符"/>
    <w:link w:val="4"/>
    <w:semiHidden/>
    <w:qFormat/>
    <w:uiPriority w:val="0"/>
    <w:rPr>
      <w:rFonts w:ascii="Palatino Linotype" w:hAnsi="Palatino Linotype"/>
      <w:color w:val="000000"/>
    </w:rPr>
  </w:style>
  <w:style w:type="character" w:customStyle="1" w:styleId="84">
    <w:name w:val="脚注文本 字符"/>
    <w:link w:val="8"/>
    <w:semiHidden/>
    <w:qFormat/>
    <w:uiPriority w:val="0"/>
    <w:rPr>
      <w:rFonts w:ascii="Palatino Linotype" w:hAnsi="Palatino Linotype"/>
      <w:color w:val="000000"/>
    </w:rPr>
  </w:style>
  <w:style w:type="paragraph" w:customStyle="1" w:styleId="85">
    <w:name w:val="MsoFootnoteText"/>
    <w:basedOn w:val="10"/>
    <w:qFormat/>
    <w:uiPriority w:val="0"/>
    <w:rPr>
      <w:rFonts w:ascii="Times New Roman" w:hAnsi="Times New Roman"/>
    </w:rPr>
  </w:style>
  <w:style w:type="character" w:styleId="86">
    <w:name w:val="Placeholder Text"/>
    <w:semiHidden/>
    <w:qFormat/>
    <w:uiPriority w:val="99"/>
    <w:rPr>
      <w:color w:val="808080"/>
    </w:rPr>
  </w:style>
  <w:style w:type="paragraph" w:customStyle="1" w:styleId="87">
    <w:name w:val="MDPI_7.1_FootNotes"/>
    <w:qFormat/>
    <w:uiPriority w:val="0"/>
    <w:pPr>
      <w:numPr>
        <w:ilvl w:val="0"/>
        <w:numId w:val="4"/>
      </w:numPr>
      <w:adjustRightInd w:val="0"/>
      <w:snapToGrid w:val="0"/>
      <w:spacing w:line="228" w:lineRule="auto"/>
    </w:pPr>
    <w:rPr>
      <w:rFonts w:ascii="Palatino Linotype" w:hAnsi="Palatino Linotype" w:cs="Times New Roman" w:eastAsiaTheme="minorEastAsia"/>
      <w:color w:val="000000"/>
      <w:sz w:val="18"/>
      <w:lang w:val="en-US" w:eastAsia="zh-CN" w:bidi="ar-SA"/>
    </w:rPr>
  </w:style>
  <w:style w:type="paragraph" w:styleId="88">
    <w:name w:val="List Paragraph"/>
    <w:basedOn w:val="1"/>
    <w:qFormat/>
    <w:uiPriority w:val="34"/>
    <w:pPr>
      <w:widowControl w:val="0"/>
      <w:spacing w:line="240" w:lineRule="auto"/>
      <w:ind w:firstLine="420" w:firstLineChars="200"/>
    </w:pPr>
    <w:rPr>
      <w:rFonts w:asciiTheme="minorHAnsi" w:hAnsiTheme="minorHAnsi" w:eastAsiaTheme="minorEastAsia" w:cstheme="minorBidi"/>
      <w:color w:val="auto"/>
      <w:kern w:val="2"/>
      <w:sz w:val="21"/>
      <w:szCs w:val="21"/>
    </w:rPr>
  </w:style>
  <w:style w:type="paragraph" w:customStyle="1" w:styleId="89">
    <w:name w:val="EndNote Bibliography"/>
    <w:basedOn w:val="1"/>
    <w:link w:val="90"/>
    <w:qFormat/>
    <w:uiPriority w:val="0"/>
    <w:pPr>
      <w:widowControl w:val="0"/>
      <w:spacing w:line="240" w:lineRule="auto"/>
      <w:jc w:val="left"/>
    </w:pPr>
    <w:rPr>
      <w:rFonts w:eastAsia="等线" w:cstheme="minorBidi"/>
      <w:color w:val="auto"/>
      <w:kern w:val="2"/>
      <w:sz w:val="18"/>
      <w:szCs w:val="21"/>
    </w:rPr>
  </w:style>
  <w:style w:type="character" w:customStyle="1" w:styleId="90">
    <w:name w:val="EndNote Bibliography 字符"/>
    <w:basedOn w:val="14"/>
    <w:link w:val="89"/>
    <w:qFormat/>
    <w:uiPriority w:val="0"/>
    <w:rPr>
      <w:rFonts w:ascii="Palatino Linotype" w:hAnsi="Palatino Linotype" w:eastAsia="等线" w:cstheme="minorBidi"/>
      <w:kern w:val="2"/>
      <w:sz w:val="18"/>
      <w:szCs w:val="21"/>
    </w:rPr>
  </w:style>
  <w:style w:type="paragraph" w:customStyle="1" w:styleId="91">
    <w:name w:val="Default"/>
    <w:qFormat/>
    <w:uiPriority w:val="0"/>
    <w:pPr>
      <w:autoSpaceDE w:val="0"/>
      <w:autoSpaceDN w:val="0"/>
      <w:adjustRightInd w:val="0"/>
    </w:pPr>
    <w:rPr>
      <w:rFonts w:ascii="Times New Roman" w:hAnsi="Times New Roman" w:eastAsia="宋体" w:cs="Times New Roman"/>
      <w:color w:val="000000"/>
      <w:sz w:val="24"/>
      <w:szCs w:val="24"/>
      <w:lang w:val="en-GB" w:eastAsia="zh-CN" w:bidi="ar-SA"/>
    </w:rPr>
  </w:style>
  <w:style w:type="paragraph" w:customStyle="1" w:styleId="92">
    <w:name w:val="修订1"/>
    <w:hidden/>
    <w:semiHidden/>
    <w:qFormat/>
    <w:uiPriority w:val="99"/>
    <w:rPr>
      <w:rFonts w:ascii="Palatino Linotype" w:hAnsi="Palatino Linotype" w:eastAsia="宋体" w:cs="Times New Roman"/>
      <w:color w:val="000000"/>
      <w:lang w:val="en-US" w:eastAsia="zh-CN" w:bidi="ar-SA"/>
    </w:rPr>
  </w:style>
  <w:style w:type="paragraph" w:customStyle="1" w:styleId="93">
    <w:name w:val="EndNote Bibliography Title"/>
    <w:basedOn w:val="1"/>
    <w:link w:val="95"/>
    <w:qFormat/>
    <w:uiPriority w:val="0"/>
    <w:pPr>
      <w:jc w:val="center"/>
    </w:pPr>
    <w:rPr>
      <w:sz w:val="18"/>
    </w:rPr>
  </w:style>
  <w:style w:type="character" w:customStyle="1" w:styleId="94">
    <w:name w:val="MDPI_1.2_title 字符"/>
    <w:basedOn w:val="14"/>
    <w:link w:val="24"/>
    <w:qFormat/>
    <w:uiPriority w:val="0"/>
    <w:rPr>
      <w:rFonts w:ascii="Palatino Linotype" w:hAnsi="Palatino Linotype" w:eastAsia="Times New Roman"/>
      <w:b/>
      <w:snapToGrid w:val="0"/>
      <w:color w:val="000000"/>
      <w:sz w:val="36"/>
      <w:lang w:eastAsia="de-DE" w:bidi="en-US"/>
    </w:rPr>
  </w:style>
  <w:style w:type="character" w:customStyle="1" w:styleId="95">
    <w:name w:val="EndNote Bibliography Title 字符"/>
    <w:basedOn w:val="94"/>
    <w:link w:val="93"/>
    <w:qFormat/>
    <w:uiPriority w:val="0"/>
    <w:rPr>
      <w:rFonts w:ascii="Palatino Linotype" w:hAnsi="Palatino Linotype" w:eastAsia="Times New Roman"/>
      <w:b w:val="0"/>
      <w:snapToGrid/>
      <w:color w:val="000000"/>
      <w:sz w:val="18"/>
      <w:lang w:eastAsia="de-DE" w:bidi="en-US"/>
    </w:rPr>
  </w:style>
  <w:style w:type="paragraph" w:customStyle="1" w:styleId="96">
    <w:name w:val="修订2"/>
    <w:hidden/>
    <w:semiHidden/>
    <w:qFormat/>
    <w:uiPriority w:val="99"/>
    <w:rPr>
      <w:rFonts w:ascii="Palatino Linotype" w:hAnsi="Palatino Linotype" w:eastAsia="宋体" w:cs="Times New Roman"/>
      <w:color w:val="000000"/>
      <w:lang w:val="en-US" w:eastAsia="zh-CN" w:bidi="ar-SA"/>
    </w:rPr>
  </w:style>
  <w:style w:type="paragraph" w:customStyle="1" w:styleId="97">
    <w:name w:val="修订3"/>
    <w:hidden/>
    <w:semiHidden/>
    <w:qFormat/>
    <w:uiPriority w:val="99"/>
    <w:rPr>
      <w:rFonts w:ascii="Palatino Linotype" w:hAnsi="Palatino Linotype" w:eastAsia="宋体" w:cs="Times New Roman"/>
      <w:color w:val="000000"/>
      <w:lang w:val="en-US" w:eastAsia="zh-CN" w:bidi="ar-SA"/>
    </w:rPr>
  </w:style>
  <w:style w:type="paragraph" w:customStyle="1" w:styleId="98">
    <w:name w:val="修订4"/>
    <w:hidden/>
    <w:semiHidden/>
    <w:qFormat/>
    <w:uiPriority w:val="99"/>
    <w:rPr>
      <w:rFonts w:ascii="Palatino Linotype" w:hAnsi="Palatino Linotype" w:eastAsia="宋体" w:cs="Times New Roman"/>
      <w:color w:val="000000"/>
      <w:lang w:val="en-US" w:eastAsia="zh-CN" w:bidi="ar-SA"/>
    </w:rPr>
  </w:style>
  <w:style w:type="paragraph" w:customStyle="1" w:styleId="99">
    <w:name w:val="Revision"/>
    <w:hidden/>
    <w:semiHidden/>
    <w:qFormat/>
    <w:uiPriority w:val="99"/>
    <w:rPr>
      <w:rFonts w:ascii="Palatino Linotype" w:hAnsi="Palatino Linotype" w:eastAsia="宋体" w:cs="Times New Roman"/>
      <w:color w:val="000000"/>
      <w:lang w:val="en-US" w:eastAsia="zh-CN" w:bidi="ar-SA"/>
    </w:rPr>
  </w:style>
  <w:style w:type="character" w:customStyle="1" w:styleId="100">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elia%20Boza\OneDrive%20-%20MDPI%20AG\Desktop\Word%20templates\animal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60FE8-F2DD-4539-8E31-A147DB39072C}">
  <ds:schemaRefs/>
</ds:datastoreItem>
</file>

<file path=docProps/app.xml><?xml version="1.0" encoding="utf-8"?>
<Properties xmlns="http://schemas.openxmlformats.org/officeDocument/2006/extended-properties" xmlns:vt="http://schemas.openxmlformats.org/officeDocument/2006/docPropsVTypes">
  <Template>animals-template</Template>
  <Pages>12</Pages>
  <Words>5509</Words>
  <Characters>31386</Characters>
  <Lines>540</Lines>
  <Paragraphs>152</Paragraphs>
  <TotalTime>48</TotalTime>
  <ScaleCrop>false</ScaleCrop>
  <LinksUpToDate>false</LinksUpToDate>
  <CharactersWithSpaces>36790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2023-05-23T17:56:00Z</dcterms:created>
  <dc:creator>Camelia Boza</dc:creator>
  <cp:lastModifiedBy>Messi</cp:lastModifiedBy>
  <cp:lastPrinted>2023-03-06T13:32:00Z</cp:lastPrinted>
  <dcterms:modified xsi:type="dcterms:W3CDTF">2023-05-23T18:49:47Z</dcterms:modified>
  <dc:title>Type of the Paper (Article</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e1574355-3b44-468c-871b-e8b5401bcab1</vt:lpwstr>
  </property>
  <property fmtid="{D5CDD505-2E9C-101B-9397-08002B2CF9AE}" pid="3" name="KSOProductBuildVer">
    <vt:lpwstr>2052-11.1.0.14309</vt:lpwstr>
  </property>
  <property fmtid="{D5CDD505-2E9C-101B-9397-08002B2CF9AE}" pid="4" name="ICV">
    <vt:lpwstr>1D43E13D7BF04D0DBF27A1738A595CDE_13</vt:lpwstr>
  </property>
</Properties>
</file>