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Dear reviewer,</w:t>
      </w:r>
    </w:p>
    <w:p/>
    <w:p>
      <w:r>
        <w:rPr>
          <w:rFonts w:hint="eastAsia"/>
        </w:rPr>
        <w:t>Thank you very much for your comments and professional advice. The opinions help to improve our article. We have studied the comments carefully. According to the reviewers</w:t>
      </w:r>
      <w:r>
        <w:t>’</w:t>
      </w:r>
      <w:r>
        <w:rPr>
          <w:rFonts w:hint="eastAsia"/>
        </w:rPr>
        <w:t xml:space="preserve"> detailed suggestions, we have made a careful revision on the manuscript. The main corrections are in the manuscript and the responds to the reviewers</w:t>
      </w:r>
      <w:r>
        <w:t>’</w:t>
      </w:r>
      <w:r>
        <w:rPr>
          <w:rFonts w:hint="eastAsia"/>
        </w:rPr>
        <w:t xml:space="preserve"> comments are as follows (the replies are highlighted in blue).</w:t>
      </w:r>
    </w:p>
    <w:p/>
    <w:p>
      <w:r>
        <w:rPr>
          <w:rFonts w:hint="eastAsia"/>
        </w:rPr>
        <w:t>Reviewer 1:</w:t>
      </w:r>
    </w:p>
    <w:p/>
    <w:p>
      <w:pPr>
        <w:widowControl/>
        <w:shd w:val="clear" w:color="auto" w:fill="FEFEFE"/>
        <w:spacing w:after="120" w:line="19" w:lineRule="atLeast"/>
        <w:jc w:val="left"/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</w:pPr>
      <w:r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  <w:t>1. The references for research status need to be updated.</w:t>
      </w:r>
    </w:p>
    <w:p>
      <w:pPr>
        <w:widowControl/>
        <w:shd w:val="clear" w:color="auto" w:fill="FEFEFE"/>
        <w:spacing w:after="120" w:line="19" w:lineRule="atLeast"/>
        <w:jc w:val="left"/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</w:pPr>
    </w:p>
    <w:p>
      <w:pPr>
        <w:rPr>
          <w:color w:val="0000FF"/>
        </w:rPr>
      </w:pPr>
      <w:r>
        <w:rPr>
          <w:rFonts w:hint="eastAsia"/>
          <w:color w:val="0000FF"/>
        </w:rPr>
        <w:t>Response: We appreciate the suggestion and have updated the citations in the manuscript in section 1 (line 62-63, 67-68).</w:t>
      </w:r>
    </w:p>
    <w:p>
      <w:pPr>
        <w:widowControl/>
        <w:shd w:val="clear" w:color="auto" w:fill="FEFEFE"/>
        <w:spacing w:after="120" w:line="19" w:lineRule="atLeast"/>
        <w:jc w:val="left"/>
        <w:rPr>
          <w:rFonts w:ascii="Arial" w:hAnsi="Arial" w:cs="Arial"/>
          <w:color w:val="0000FF"/>
          <w:kern w:val="0"/>
          <w:sz w:val="24"/>
          <w:shd w:val="clear" w:color="auto" w:fill="FFFFFF"/>
          <w:lang w:bidi="ar"/>
        </w:rPr>
      </w:pPr>
    </w:p>
    <w:p>
      <w:pPr>
        <w:widowControl/>
        <w:shd w:val="clear" w:color="auto" w:fill="FEFEFE"/>
        <w:spacing w:after="120" w:line="19" w:lineRule="atLeast"/>
        <w:jc w:val="left"/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</w:pPr>
      <w:r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  <w:t>2. I suggest that the authors include a discussion on relevant papers including Nanophotonics, 2022, 11(3): 603–611, Journal of Physical Chemistry C, 2022, 126, 17141−17151, Nanomaterials, 2022, 12, 1242: 1–25, Materials, 2021,14, 2230.</w:t>
      </w:r>
    </w:p>
    <w:p>
      <w:pPr>
        <w:widowControl/>
        <w:shd w:val="clear" w:color="auto" w:fill="FEFEFE"/>
        <w:spacing w:after="120" w:line="19" w:lineRule="atLeast"/>
        <w:jc w:val="left"/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</w:pPr>
    </w:p>
    <w:p>
      <w:pPr>
        <w:rPr>
          <w:color w:val="0000FF"/>
        </w:rPr>
      </w:pPr>
      <w:r>
        <w:rPr>
          <w:rFonts w:hint="eastAsia"/>
          <w:color w:val="0000FF"/>
        </w:rPr>
        <w:t xml:space="preserve">Response: </w:t>
      </w:r>
      <w:bookmarkStart w:id="0" w:name="OLE_LINK1"/>
      <w:r>
        <w:rPr>
          <w:rFonts w:hint="eastAsia"/>
          <w:color w:val="0000FF"/>
        </w:rPr>
        <w:t>We have read the recommended papers carefully and have updated the citations in the manuscript (line 62-63, 67-68). We have added more discussion in section 1 (line 62-63) as follows.</w:t>
      </w:r>
      <w:bookmarkEnd w:id="0"/>
    </w:p>
    <w:p>
      <w:pPr>
        <w:rPr>
          <w:color w:val="0000FF"/>
        </w:rPr>
      </w:pPr>
      <w:r>
        <w:rPr>
          <w:color w:val="0000FF"/>
        </w:rPr>
        <w:t>“</w:t>
      </w:r>
      <w:r>
        <w:rPr>
          <w:rFonts w:hint="eastAsia"/>
          <w:color w:val="0000FF"/>
        </w:rPr>
        <w:t>The interaction between SPPs and exciton has been studied both in weak coupling and strong coupling [26].</w:t>
      </w:r>
      <w:r>
        <w:rPr>
          <w:color w:val="0000FF"/>
        </w:rPr>
        <w:t>”</w:t>
      </w:r>
    </w:p>
    <w:p>
      <w:pPr>
        <w:widowControl/>
        <w:shd w:val="clear" w:color="auto" w:fill="FEFEFE"/>
        <w:spacing w:after="120" w:line="19" w:lineRule="atLeast"/>
        <w:jc w:val="left"/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</w:pPr>
    </w:p>
    <w:p>
      <w:pPr>
        <w:widowControl/>
        <w:shd w:val="clear" w:color="auto" w:fill="FEFEFE"/>
        <w:spacing w:after="120" w:line="19" w:lineRule="atLeast"/>
        <w:jc w:val="left"/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</w:pPr>
      <w:r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  <w:t>3. Whether the coupling of photonic and plasmonic modes for double nanowire cavities has</w:t>
      </w:r>
      <w:r>
        <w:rPr>
          <w:rFonts w:ascii="Arial" w:hAnsi="Arial" w:cs="Arial"/>
          <w:color w:val="003AFF"/>
          <w:kern w:val="0"/>
          <w:sz w:val="24"/>
          <w:shd w:val="clear" w:color="auto" w:fill="FFFFFF"/>
          <w:lang w:bidi="ar"/>
        </w:rPr>
        <w:t xml:space="preserve"> </w:t>
      </w:r>
      <w:r>
        <w:rPr>
          <w:rFonts w:ascii="Arial" w:hAnsi="Arial" w:cs="Arial"/>
          <w:color w:val="000000" w:themeColor="text1"/>
          <w:kern w:val="0"/>
          <w:sz w:val="24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universality</w:t>
      </w:r>
      <w:r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  <w:t>, otherwise it is recommended to add “perovskite” to the title.</w:t>
      </w:r>
    </w:p>
    <w:p>
      <w:pPr>
        <w:widowControl/>
        <w:shd w:val="clear" w:color="auto" w:fill="FEFEFE"/>
        <w:spacing w:after="120" w:line="19" w:lineRule="atLeast"/>
        <w:jc w:val="left"/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</w:pPr>
    </w:p>
    <w:p>
      <w:pPr>
        <w:rPr>
          <w:color w:val="0000FF"/>
        </w:rPr>
      </w:pPr>
      <w:r>
        <w:rPr>
          <w:rFonts w:hint="eastAsia"/>
          <w:color w:val="0000FF"/>
        </w:rPr>
        <w:t xml:space="preserve">Response: We thank the reviewer for pointing this out. </w:t>
      </w:r>
      <w:r>
        <w:rPr>
          <w:rFonts w:hint="eastAsia"/>
          <w:color w:val="0000FF"/>
          <w:lang w:val="en-US" w:eastAsia="zh-CN"/>
        </w:rPr>
        <w:t xml:space="preserve">The material of the nanowires is chosen based on previous studies, but the main conclusions have universality. </w:t>
      </w:r>
      <w:r>
        <w:rPr>
          <w:rFonts w:hint="eastAsia"/>
          <w:color w:val="0000FF"/>
        </w:rPr>
        <w:t>We have added more explanation in the discussion section (line 26</w:t>
      </w:r>
      <w:r>
        <w:rPr>
          <w:rFonts w:hint="eastAsia"/>
          <w:color w:val="0000FF"/>
          <w:lang w:val="en-US" w:eastAsia="zh-CN"/>
        </w:rPr>
        <w:t>2</w:t>
      </w:r>
      <w:r>
        <w:rPr>
          <w:rFonts w:hint="eastAsia"/>
          <w:color w:val="0000FF"/>
        </w:rPr>
        <w:t>-2</w:t>
      </w:r>
      <w:r>
        <w:rPr>
          <w:rFonts w:hint="eastAsia"/>
          <w:color w:val="0000FF"/>
          <w:lang w:val="en-US" w:eastAsia="zh-CN"/>
        </w:rPr>
        <w:t>68</w:t>
      </w:r>
      <w:r>
        <w:rPr>
          <w:rFonts w:hint="eastAsia"/>
          <w:color w:val="0000FF"/>
        </w:rPr>
        <w:t>) as follows.</w:t>
      </w:r>
    </w:p>
    <w:p>
      <w:pPr>
        <w:rPr>
          <w:color w:val="0000FF"/>
        </w:rPr>
      </w:pPr>
      <w:r>
        <w:rPr>
          <w:color w:val="0000FF"/>
        </w:rPr>
        <w:t>“</w:t>
      </w:r>
      <w:r>
        <w:rPr>
          <w:rFonts w:hint="eastAsia"/>
          <w:color w:val="0000FF"/>
        </w:rPr>
        <w:t>Hybrid perovskite (CH</w:t>
      </w:r>
      <w:r>
        <w:rPr>
          <w:rFonts w:hint="eastAsia"/>
          <w:color w:val="0000FF"/>
          <w:vertAlign w:val="subscript"/>
        </w:rPr>
        <w:t>3</w:t>
      </w:r>
      <w:r>
        <w:rPr>
          <w:rFonts w:hint="eastAsia"/>
          <w:color w:val="0000FF"/>
        </w:rPr>
        <w:t>NH</w:t>
      </w:r>
      <w:r>
        <w:rPr>
          <w:rFonts w:hint="eastAsia"/>
          <w:color w:val="0000FF"/>
          <w:vertAlign w:val="subscript"/>
        </w:rPr>
        <w:t>3</w:t>
      </w:r>
      <w:r>
        <w:rPr>
          <w:rFonts w:hint="eastAsia"/>
          <w:color w:val="0000FF"/>
        </w:rPr>
        <w:t>PbI</w:t>
      </w:r>
      <w:r>
        <w:rPr>
          <w:rFonts w:hint="eastAsia"/>
          <w:color w:val="0000FF"/>
          <w:vertAlign w:val="subscript"/>
        </w:rPr>
        <w:t>3</w:t>
      </w:r>
      <w:r>
        <w:rPr>
          <w:rFonts w:hint="eastAsia"/>
          <w:color w:val="0000FF"/>
        </w:rPr>
        <w:t>) is chosen as the material of the nanowires in the present study based on previous reports [41,42]. In experiments, the synthesizing of high-quality single-crystal perovskite can be achieved by a surface-initialed solution growth strategy [42]. The as-grown perovskite nanowires can be subsequently transferred on to the substrate to fabricate plasmonic lasers [33]. It is worth noting that the main conclusions of our results are not limited to the specific hybrid perovskite, and still hold qualitatively for nanowire cavities of other dielectric materials</w:t>
      </w:r>
      <w:r>
        <w:rPr>
          <w:color w:val="0000FF"/>
        </w:rPr>
        <w:t>”</w:t>
      </w:r>
    </w:p>
    <w:p>
      <w:pPr>
        <w:widowControl/>
        <w:shd w:val="clear" w:color="auto" w:fill="FEFEFE"/>
        <w:spacing w:after="120" w:line="19" w:lineRule="atLeast"/>
        <w:jc w:val="left"/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</w:pPr>
    </w:p>
    <w:p>
      <w:pPr>
        <w:widowControl/>
        <w:shd w:val="clear" w:color="auto" w:fill="FEFEFE"/>
        <w:spacing w:after="120" w:line="19" w:lineRule="atLeast"/>
        <w:jc w:val="left"/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</w:pPr>
      <w:r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  <w:t>4. As a contrast, the size of coupled photonic DNC and coupled plasmonic DNC should be consistent? Please explain.</w:t>
      </w:r>
    </w:p>
    <w:p>
      <w:pPr>
        <w:widowControl/>
        <w:shd w:val="clear" w:color="auto" w:fill="FEFEFE"/>
        <w:spacing w:after="120" w:line="19" w:lineRule="atLeast"/>
        <w:jc w:val="left"/>
        <w:rPr>
          <w:rFonts w:ascii="Arial" w:hAnsi="Arial" w:cs="Arial"/>
          <w:color w:val="000000"/>
          <w:kern w:val="0"/>
          <w:sz w:val="24"/>
          <w:shd w:val="clear" w:color="auto" w:fill="FFFFFF"/>
          <w:lang w:bidi="ar"/>
        </w:rPr>
      </w:pPr>
    </w:p>
    <w:p>
      <w:pPr>
        <w:rPr>
          <w:color w:val="0000FF"/>
        </w:rPr>
      </w:pPr>
      <w:r>
        <w:rPr>
          <w:rFonts w:hint="eastAsia"/>
          <w:color w:val="0000FF"/>
        </w:rPr>
        <w:t>Response: We appreciate the reviewer for pointing this out. The cross sections and the lengths of the nanowires affect the supported modes in different aspects.</w:t>
      </w:r>
    </w:p>
    <w:p>
      <w:pPr>
        <w:rPr>
          <w:color w:val="0000FF"/>
        </w:rPr>
      </w:pPr>
      <w:r>
        <w:rPr>
          <w:rFonts w:hint="eastAsia"/>
          <w:color w:val="0000FF"/>
        </w:rPr>
        <w:t>The cross sections of the nanowires determine the supported modes, which is discussed in the discussion section (line 25</w:t>
      </w:r>
      <w:r>
        <w:rPr>
          <w:rFonts w:hint="eastAsia"/>
          <w:color w:val="0000FF"/>
          <w:lang w:val="en-US" w:eastAsia="zh-CN"/>
        </w:rPr>
        <w:t>3</w:t>
      </w:r>
      <w:r>
        <w:rPr>
          <w:rFonts w:hint="eastAsia"/>
          <w:color w:val="0000FF"/>
        </w:rPr>
        <w:t>-2</w:t>
      </w:r>
      <w:r>
        <w:rPr>
          <w:rFonts w:hint="eastAsia"/>
          <w:color w:val="0000FF"/>
          <w:lang w:val="en-US" w:eastAsia="zh-CN"/>
        </w:rPr>
        <w:t>61</w:t>
      </w:r>
      <w:r>
        <w:rPr>
          <w:rFonts w:hint="eastAsia"/>
          <w:color w:val="0000FF"/>
        </w:rPr>
        <w:t>). Since we focus on the mode splitting of longitudinal modes, the cross sections of the nanowires are designed to support only the fundamental modes in the manuscript.</w:t>
      </w:r>
    </w:p>
    <w:p>
      <w:pPr>
        <w:rPr>
          <w:rFonts w:hint="default" w:eastAsiaTheme="minorEastAsia"/>
          <w:color w:val="0000FF"/>
          <w:lang w:val="en-US" w:eastAsia="zh-CN"/>
        </w:rPr>
      </w:pPr>
      <w:r>
        <w:rPr>
          <w:rFonts w:hint="eastAsia"/>
          <w:color w:val="0000FF"/>
        </w:rPr>
        <w:t>The lengths of the nanowires determine the longitudinal spacing of the nanowire cavities. The DNC with lengths of 3</w:t>
      </w:r>
      <w:r>
        <w:rPr>
          <w:rFonts w:hint="eastAsia"/>
          <w:color w:val="0000FF"/>
          <w:lang w:val="en-US" w:eastAsia="zh-CN"/>
        </w:rPr>
        <w:t xml:space="preserve"> </w:t>
      </w:r>
      <w:r>
        <w:rPr>
          <w:rFonts w:ascii="Calibri" w:hAnsi="Calibri" w:eastAsia="微软雅黑" w:cs="Calibri"/>
          <w:color w:val="0000FF"/>
        </w:rPr>
        <w:t>μ</w:t>
      </w:r>
      <w:r>
        <w:rPr>
          <w:rFonts w:hint="eastAsia"/>
          <w:color w:val="0000FF"/>
        </w:rPr>
        <w:t>m</w:t>
      </w:r>
      <w:r>
        <w:rPr>
          <w:rFonts w:hint="eastAsia"/>
          <w:color w:val="0000FF"/>
          <w:lang w:val="en-US" w:eastAsia="zh-CN"/>
        </w:rPr>
        <w:t xml:space="preserve"> </w:t>
      </w:r>
      <w:r>
        <w:rPr>
          <w:rFonts w:hint="eastAsia"/>
          <w:color w:val="0000FF"/>
        </w:rPr>
        <w:t xml:space="preserve">is studied in order to show </w:t>
      </w:r>
      <w:r>
        <w:rPr>
          <w:rFonts w:hint="eastAsia"/>
          <w:color w:val="0000FF"/>
          <w:lang w:val="en-US" w:eastAsia="zh-CN"/>
        </w:rPr>
        <w:t xml:space="preserve">that, </w:t>
      </w:r>
      <w:r>
        <w:rPr>
          <w:rFonts w:hint="eastAsia"/>
          <w:color w:val="0000FF"/>
        </w:rPr>
        <w:t xml:space="preserve">the resonant frequencies </w:t>
      </w:r>
      <w:r>
        <w:rPr>
          <w:rFonts w:hint="eastAsia"/>
          <w:color w:val="0000FF"/>
          <w:lang w:val="en-US" w:eastAsia="zh-CN"/>
        </w:rPr>
        <w:t xml:space="preserve">can </w:t>
      </w:r>
      <w:r>
        <w:rPr>
          <w:rFonts w:hint="eastAsia"/>
          <w:color w:val="0000FF"/>
        </w:rPr>
        <w:t>overlap</w:t>
      </w:r>
      <w:r>
        <w:rPr>
          <w:rFonts w:hint="eastAsia"/>
          <w:color w:val="0000FF"/>
          <w:lang w:val="en-US" w:eastAsia="zh-CN"/>
        </w:rPr>
        <w:t xml:space="preserve"> when </w:t>
      </w:r>
      <w:r>
        <w:rPr>
          <w:rFonts w:hint="eastAsia"/>
          <w:color w:val="0000FF"/>
        </w:rPr>
        <w:t>nanowires</w:t>
      </w:r>
      <w:r>
        <w:rPr>
          <w:rFonts w:hint="eastAsia"/>
          <w:color w:val="0000FF"/>
          <w:lang w:val="en-US" w:eastAsia="zh-CN"/>
        </w:rPr>
        <w:t xml:space="preserve"> are much shorter than 5 </w:t>
      </w:r>
      <w:r>
        <w:rPr>
          <w:rFonts w:ascii="Calibri" w:hAnsi="Calibri" w:eastAsia="微软雅黑" w:cs="Calibri"/>
          <w:color w:val="0000FF"/>
        </w:rPr>
        <w:t>μ</w:t>
      </w:r>
      <w:r>
        <w:rPr>
          <w:rFonts w:hint="eastAsia"/>
          <w:color w:val="0000FF"/>
        </w:rPr>
        <w:t xml:space="preserve">m. </w:t>
      </w:r>
      <w:r>
        <w:rPr>
          <w:rFonts w:hint="eastAsia"/>
          <w:color w:val="0000FF"/>
          <w:lang w:val="en-US" w:eastAsia="zh-CN"/>
        </w:rPr>
        <w:t>Nevertheless, according to the reviewer</w:t>
      </w:r>
      <w:r>
        <w:rPr>
          <w:rFonts w:hint="default"/>
          <w:color w:val="0000FF"/>
          <w:lang w:val="en-US" w:eastAsia="zh-CN"/>
        </w:rPr>
        <w:t>’</w:t>
      </w:r>
      <w:r>
        <w:rPr>
          <w:rFonts w:hint="eastAsia"/>
          <w:color w:val="0000FF"/>
          <w:lang w:val="en-US" w:eastAsia="zh-CN"/>
        </w:rPr>
        <w:t>s comment, w</w:t>
      </w:r>
      <w:r>
        <w:rPr>
          <w:rFonts w:hint="eastAsia"/>
          <w:color w:val="0000FF"/>
        </w:rPr>
        <w:t>e have add</w:t>
      </w:r>
      <w:r>
        <w:rPr>
          <w:rFonts w:hint="eastAsia"/>
          <w:color w:val="0000FF"/>
          <w:lang w:val="en-US" w:eastAsia="zh-CN"/>
        </w:rPr>
        <w:t>ed</w:t>
      </w:r>
      <w:r>
        <w:rPr>
          <w:rFonts w:hint="eastAsia"/>
          <w:color w:val="0000FF"/>
        </w:rPr>
        <w:t xml:space="preserve"> </w:t>
      </w:r>
      <w:r>
        <w:rPr>
          <w:rFonts w:hint="eastAsia"/>
          <w:color w:val="0000FF"/>
          <w:lang w:val="en-US" w:eastAsia="zh-CN"/>
        </w:rPr>
        <w:t xml:space="preserve">simulation results for DNC with lengths of 5 </w:t>
      </w:r>
      <w:r>
        <w:rPr>
          <w:rFonts w:ascii="Calibri" w:hAnsi="Calibri" w:eastAsia="微软雅黑" w:cs="Calibri"/>
          <w:color w:val="0000FF"/>
        </w:rPr>
        <w:t>μ</w:t>
      </w:r>
      <w:r>
        <w:rPr>
          <w:rFonts w:hint="eastAsia"/>
          <w:color w:val="0000FF"/>
        </w:rPr>
        <w:t>m</w:t>
      </w:r>
      <w:r>
        <w:rPr>
          <w:rFonts w:hint="eastAsia"/>
          <w:color w:val="0000FF"/>
          <w:lang w:val="en-US" w:eastAsia="zh-CN"/>
        </w:rPr>
        <w:t xml:space="preserve"> in Figure 3c . And the related </w:t>
      </w:r>
      <w:r>
        <w:rPr>
          <w:rFonts w:hint="eastAsia"/>
          <w:color w:val="0000FF"/>
        </w:rPr>
        <w:t xml:space="preserve">explanations </w:t>
      </w:r>
      <w:r>
        <w:rPr>
          <w:rFonts w:hint="eastAsia"/>
          <w:color w:val="0000FF"/>
          <w:lang w:val="en-US" w:eastAsia="zh-CN"/>
        </w:rPr>
        <w:t xml:space="preserve">are added </w:t>
      </w:r>
      <w:r>
        <w:rPr>
          <w:rFonts w:hint="eastAsia"/>
          <w:color w:val="0000FF"/>
        </w:rPr>
        <w:t>in section 3 (line 2</w:t>
      </w:r>
      <w:r>
        <w:rPr>
          <w:rFonts w:hint="eastAsia"/>
          <w:color w:val="0000FF"/>
          <w:lang w:val="en-US" w:eastAsia="zh-CN"/>
        </w:rPr>
        <w:t>11</w:t>
      </w:r>
      <w:r>
        <w:rPr>
          <w:rFonts w:hint="eastAsia"/>
          <w:color w:val="0000FF"/>
        </w:rPr>
        <w:t>-21</w:t>
      </w:r>
      <w:r>
        <w:rPr>
          <w:rFonts w:hint="eastAsia"/>
          <w:color w:val="0000FF"/>
          <w:lang w:val="en-US" w:eastAsia="zh-CN"/>
        </w:rPr>
        <w:t>4</w:t>
      </w:r>
      <w:bookmarkStart w:id="1" w:name="_GoBack"/>
      <w:bookmarkEnd w:id="1"/>
      <w:r>
        <w:rPr>
          <w:rFonts w:hint="eastAsia"/>
          <w:color w:val="0000FF"/>
        </w:rPr>
        <w:t>).</w:t>
      </w:r>
    </w:p>
    <w:p/>
    <w:p>
      <w:r>
        <w:rPr>
          <w:rFonts w:hint="eastAsia"/>
        </w:rPr>
        <w:t>Once again, thank you very much for your constructive comments and suggestions which would help us in depth to improve the quality of the paper.</w:t>
      </w:r>
    </w:p>
    <w:p/>
    <w:p>
      <w:r>
        <w:rPr>
          <w:rFonts w:hint="eastAsia"/>
        </w:rPr>
        <w:t>Yours sincerely,</w:t>
      </w:r>
    </w:p>
    <w:p>
      <w:r>
        <w:rPr>
          <w:rFonts w:hint="eastAsia"/>
        </w:rPr>
        <w:t>Xuanran Peng</w:t>
      </w:r>
    </w:p>
    <w:p>
      <w:r>
        <w:rPr>
          <w:rFonts w:hint="eastAsia"/>
        </w:rPr>
        <w:t xml:space="preserve">Email: </w:t>
      </w:r>
      <w:r>
        <w:fldChar w:fldCharType="begin"/>
      </w:r>
      <w:r>
        <w:instrText xml:space="preserve"> HYPERLINK "mailto:pengxuanran@semi.ac.cn" </w:instrText>
      </w:r>
      <w:r>
        <w:fldChar w:fldCharType="separate"/>
      </w:r>
      <w:r>
        <w:rPr>
          <w:rStyle w:val="5"/>
          <w:rFonts w:hint="eastAsia"/>
        </w:rPr>
        <w:t>pengxuanran@semi.ac.cn</w:t>
      </w:r>
      <w:r>
        <w:rPr>
          <w:rStyle w:val="5"/>
          <w:rFonts w:hint="eastAsia"/>
        </w:rPr>
        <w:fldChar w:fldCharType="end"/>
      </w:r>
    </w:p>
    <w:p>
      <w:r>
        <w:t>Engineering Research Center for Semiconductor Integrated Technology, Institute of Semiconductors, Chinese Academy of Sciences, Beijing 100083, China</w:t>
      </w:r>
    </w:p>
    <w:p/>
    <w:p>
      <w:r>
        <w:rPr>
          <w:rFonts w:hint="eastAsia"/>
        </w:rPr>
        <w:t>Corresponding author: Zhaofeng Li</w:t>
      </w:r>
    </w:p>
    <w:p>
      <w:pPr>
        <w:rPr>
          <w:rStyle w:val="5"/>
        </w:rPr>
      </w:pPr>
      <w:r>
        <w:rPr>
          <w:rFonts w:hint="eastAsia"/>
        </w:rPr>
        <w:t xml:space="preserve">Email: </w:t>
      </w:r>
      <w:r>
        <w:rPr>
          <w:rStyle w:val="5"/>
        </w:rPr>
        <w:t>lizhaofeng@semi.ac.cn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7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hMmJjOTBiMDRjNWIwNDU2YzI4YjdkOTE0NjYwY2Y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t5werwrq2rfp7e2es9v0a97drxzdefw90wp&quot;&gt;My EndNote Library&lt;record-ids&gt;&lt;item&gt;96&lt;/item&gt;&lt;item&gt;97&lt;/item&gt;&lt;item&gt;98&lt;/item&gt;&lt;/record-ids&gt;&lt;/item&gt;&lt;/Libraries&gt;"/>
  </w:docVars>
  <w:rsids>
    <w:rsidRoot w:val="00587B98"/>
    <w:rsid w:val="00111EBA"/>
    <w:rsid w:val="00587B98"/>
    <w:rsid w:val="00714566"/>
    <w:rsid w:val="0096673B"/>
    <w:rsid w:val="00A609C2"/>
    <w:rsid w:val="00D31864"/>
    <w:rsid w:val="00E22267"/>
    <w:rsid w:val="01CB5E4A"/>
    <w:rsid w:val="01D46165"/>
    <w:rsid w:val="05972626"/>
    <w:rsid w:val="06D84167"/>
    <w:rsid w:val="076A4048"/>
    <w:rsid w:val="0AB00B32"/>
    <w:rsid w:val="0BBD5964"/>
    <w:rsid w:val="0D167AD2"/>
    <w:rsid w:val="0E5F19E7"/>
    <w:rsid w:val="0EF1513C"/>
    <w:rsid w:val="0F0E3EB5"/>
    <w:rsid w:val="101F72A9"/>
    <w:rsid w:val="121828F2"/>
    <w:rsid w:val="126B34AD"/>
    <w:rsid w:val="12B9232F"/>
    <w:rsid w:val="12B9661F"/>
    <w:rsid w:val="17F65E9A"/>
    <w:rsid w:val="17FF6032"/>
    <w:rsid w:val="18C11F9F"/>
    <w:rsid w:val="193B73BF"/>
    <w:rsid w:val="1AA475E6"/>
    <w:rsid w:val="1B9405AB"/>
    <w:rsid w:val="1C0B565C"/>
    <w:rsid w:val="1C232B1A"/>
    <w:rsid w:val="1C7D324E"/>
    <w:rsid w:val="21B85CEE"/>
    <w:rsid w:val="23074E3E"/>
    <w:rsid w:val="23E313B8"/>
    <w:rsid w:val="25E1345C"/>
    <w:rsid w:val="26761299"/>
    <w:rsid w:val="280D0122"/>
    <w:rsid w:val="282B6D70"/>
    <w:rsid w:val="2B35387B"/>
    <w:rsid w:val="2D4F007E"/>
    <w:rsid w:val="2D667368"/>
    <w:rsid w:val="2E39312A"/>
    <w:rsid w:val="2E5A5A14"/>
    <w:rsid w:val="2F23729E"/>
    <w:rsid w:val="2FF93834"/>
    <w:rsid w:val="31035C93"/>
    <w:rsid w:val="33D07D64"/>
    <w:rsid w:val="353E1A5C"/>
    <w:rsid w:val="35CD5EA2"/>
    <w:rsid w:val="35F47129"/>
    <w:rsid w:val="379B5DF8"/>
    <w:rsid w:val="37CD282F"/>
    <w:rsid w:val="39121D37"/>
    <w:rsid w:val="39440113"/>
    <w:rsid w:val="3AFA0AAE"/>
    <w:rsid w:val="3B1A2C9F"/>
    <w:rsid w:val="3CB51810"/>
    <w:rsid w:val="3D0338BC"/>
    <w:rsid w:val="3D9E41C0"/>
    <w:rsid w:val="3E5849EE"/>
    <w:rsid w:val="40CF2457"/>
    <w:rsid w:val="41105F6D"/>
    <w:rsid w:val="41801DEE"/>
    <w:rsid w:val="437440E3"/>
    <w:rsid w:val="46765DD0"/>
    <w:rsid w:val="4A451479"/>
    <w:rsid w:val="4AC109C8"/>
    <w:rsid w:val="4ED934DE"/>
    <w:rsid w:val="4F4D3904"/>
    <w:rsid w:val="50C0608D"/>
    <w:rsid w:val="521A0E88"/>
    <w:rsid w:val="52FD6C63"/>
    <w:rsid w:val="54306A2A"/>
    <w:rsid w:val="54320037"/>
    <w:rsid w:val="544170C3"/>
    <w:rsid w:val="54F048B9"/>
    <w:rsid w:val="57F24974"/>
    <w:rsid w:val="58676538"/>
    <w:rsid w:val="598707A2"/>
    <w:rsid w:val="5A6F2AB2"/>
    <w:rsid w:val="5B56343D"/>
    <w:rsid w:val="5FAB352A"/>
    <w:rsid w:val="628762FF"/>
    <w:rsid w:val="63815B89"/>
    <w:rsid w:val="65FB6C3D"/>
    <w:rsid w:val="66C017E0"/>
    <w:rsid w:val="684120E1"/>
    <w:rsid w:val="696F087A"/>
    <w:rsid w:val="69B1173D"/>
    <w:rsid w:val="69DA16F0"/>
    <w:rsid w:val="6AA33E09"/>
    <w:rsid w:val="6C5A23CC"/>
    <w:rsid w:val="6C8516F4"/>
    <w:rsid w:val="6FBA193B"/>
    <w:rsid w:val="70C76A1F"/>
    <w:rsid w:val="72F338B1"/>
    <w:rsid w:val="75F82593"/>
    <w:rsid w:val="792918C8"/>
    <w:rsid w:val="799D6A12"/>
    <w:rsid w:val="7CC47C65"/>
    <w:rsid w:val="7CD779BA"/>
    <w:rsid w:val="7DE203CC"/>
    <w:rsid w:val="7E27496B"/>
    <w:rsid w:val="7FC0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customStyle="1" w:styleId="6">
    <w:name w:val="MDPI_3.1_text"/>
    <w:qFormat/>
    <w:uiPriority w:val="0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7">
    <w:name w:val="EndNote Bibliography Title"/>
    <w:basedOn w:val="1"/>
    <w:link w:val="8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8">
    <w:name w:val="EndNote Bibliography Title 字符"/>
    <w:basedOn w:val="3"/>
    <w:link w:val="7"/>
    <w:qFormat/>
    <w:uiPriority w:val="0"/>
    <w:rPr>
      <w:rFonts w:ascii="Calibri" w:hAnsi="Calibri" w:cs="Calibri" w:eastAsiaTheme="minorEastAsia"/>
      <w:kern w:val="2"/>
      <w:szCs w:val="24"/>
    </w:rPr>
  </w:style>
  <w:style w:type="paragraph" w:customStyle="1" w:styleId="9">
    <w:name w:val="EndNote Bibliography"/>
    <w:basedOn w:val="1"/>
    <w:link w:val="10"/>
    <w:qFormat/>
    <w:uiPriority w:val="0"/>
    <w:rPr>
      <w:rFonts w:ascii="Calibri" w:hAnsi="Calibri" w:cs="Calibri"/>
      <w:sz w:val="20"/>
    </w:rPr>
  </w:style>
  <w:style w:type="character" w:customStyle="1" w:styleId="10">
    <w:name w:val="EndNote Bibliography 字符"/>
    <w:basedOn w:val="3"/>
    <w:link w:val="9"/>
    <w:qFormat/>
    <w:uiPriority w:val="0"/>
    <w:rPr>
      <w:rFonts w:ascii="Calibri" w:hAnsi="Calibri" w:cs="Calibri" w:eastAsiaTheme="minorEastAsia"/>
      <w:kern w:val="2"/>
      <w:szCs w:val="24"/>
    </w:rPr>
  </w:style>
  <w:style w:type="character" w:customStyle="1" w:styleId="11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541</Words>
  <Characters>3014</Characters>
  <Lines>25</Lines>
  <Paragraphs>7</Paragraphs>
  <TotalTime>3</TotalTime>
  <ScaleCrop>false</ScaleCrop>
  <LinksUpToDate>false</LinksUpToDate>
  <CharactersWithSpaces>3533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2023-03-23T07:56:00Z</dcterms:created>
  <dc:creator>pengx</dc:creator>
  <cp:lastModifiedBy>kotate</cp:lastModifiedBy>
  <dcterms:modified xsi:type="dcterms:W3CDTF">2023-03-30T14:34:10Z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5723E873605D4B0997B29EC1D81C33BA</vt:lpwstr>
  </property>
</Properties>
</file>