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4C7B0" w14:textId="77777777" w:rsidR="000D0F2E" w:rsidRDefault="000D0F2E"/>
    <w:tbl>
      <w:tblPr>
        <w:tblStyle w:val="TableNormal"/>
        <w:tblW w:w="141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736"/>
        <w:gridCol w:w="1802"/>
        <w:gridCol w:w="8620"/>
      </w:tblGrid>
      <w:tr w:rsidR="00737DE2" w14:paraId="37EC2885" w14:textId="77777777">
        <w:trPr>
          <w:trHeight w:val="752"/>
        </w:trPr>
        <w:tc>
          <w:tcPr>
            <w:tcW w:w="3736"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B7D91D1" w14:textId="77777777" w:rsidR="00737DE2" w:rsidRDefault="00000000">
            <w:pPr>
              <w:pStyle w:val="Body"/>
              <w:jc w:val="center"/>
              <w:rPr>
                <w:b/>
                <w:bCs/>
                <w:sz w:val="24"/>
                <w:szCs w:val="24"/>
                <w:lang w:val="es-ES_tradnl"/>
              </w:rPr>
            </w:pPr>
            <w:r>
              <w:rPr>
                <w:b/>
                <w:bCs/>
                <w:sz w:val="24"/>
                <w:szCs w:val="24"/>
                <w:lang w:val="es-ES_tradnl"/>
              </w:rPr>
              <w:t>Recommendation</w:t>
            </w:r>
          </w:p>
          <w:p w14:paraId="3B4FC176" w14:textId="2AB7A01A" w:rsidR="00737DE2" w:rsidRDefault="00882C8B">
            <w:pPr>
              <w:pStyle w:val="Body"/>
              <w:spacing w:after="0" w:line="240" w:lineRule="auto"/>
              <w:jc w:val="center"/>
            </w:pPr>
            <w:r>
              <w:rPr>
                <w:rFonts w:ascii="Arial" w:hAnsi="Arial" w:cs="Arial"/>
                <w:color w:val="FEFEFE"/>
                <w:shd w:val="clear" w:color="auto" w:fill="4F5671"/>
              </w:rPr>
              <w:t xml:space="preserve">Reviewer </w:t>
            </w:r>
            <w:r>
              <w:rPr>
                <w:rFonts w:ascii="Arial" w:hAnsi="Arial" w:cs="Arial"/>
                <w:color w:val="FEFEFE"/>
                <w:shd w:val="clear" w:color="auto" w:fill="4F5671"/>
              </w:rPr>
              <w:t>3</w:t>
            </w:r>
          </w:p>
        </w:tc>
        <w:tc>
          <w:tcPr>
            <w:tcW w:w="1802"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7DBDB118" w14:textId="77777777" w:rsidR="00737DE2" w:rsidRDefault="00000000">
            <w:pPr>
              <w:pStyle w:val="Body"/>
              <w:spacing w:after="0" w:line="240" w:lineRule="auto"/>
              <w:jc w:val="center"/>
            </w:pPr>
            <w:r>
              <w:rPr>
                <w:b/>
                <w:bCs/>
                <w:sz w:val="24"/>
                <w:szCs w:val="24"/>
                <w:lang w:val="es-ES_tradnl"/>
              </w:rPr>
              <w:t>Authors position</w:t>
            </w:r>
          </w:p>
        </w:tc>
        <w:tc>
          <w:tcPr>
            <w:tcW w:w="8620"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713FCEC4" w14:textId="77777777" w:rsidR="00737DE2" w:rsidRDefault="00000000">
            <w:pPr>
              <w:pStyle w:val="Body"/>
              <w:spacing w:after="0" w:line="240" w:lineRule="auto"/>
              <w:jc w:val="center"/>
            </w:pPr>
            <w:r>
              <w:rPr>
                <w:b/>
                <w:bCs/>
                <w:sz w:val="24"/>
                <w:szCs w:val="24"/>
                <w:lang w:val="es-ES_tradnl"/>
              </w:rPr>
              <w:t>How was corrected</w:t>
            </w:r>
          </w:p>
        </w:tc>
      </w:tr>
      <w:tr w:rsidR="00737DE2" w14:paraId="37A4F20A" w14:textId="77777777">
        <w:trPr>
          <w:trHeight w:val="154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B3EC5" w14:textId="77777777" w:rsidR="00737DE2" w:rsidRDefault="00000000">
            <w:pPr>
              <w:pStyle w:val="NormalWeb"/>
              <w:shd w:val="clear" w:color="auto" w:fill="FEFEFE"/>
              <w:jc w:val="both"/>
            </w:pPr>
            <w:r>
              <w:rPr>
                <w:rFonts w:ascii="Arial"/>
                <w:color w:val="0A0A0A"/>
                <w:sz w:val="20"/>
                <w:szCs w:val="20"/>
                <w:u w:color="0A0A0A"/>
              </w:rPr>
              <w:t>Point 1: Line 31: Add some recommendations at the end of the abstract to policymakers and implementers.</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03FE34" w14:textId="77777777" w:rsidR="00737DE2" w:rsidRDefault="00000000">
            <w:pPr>
              <w:pStyle w:val="Body"/>
              <w:spacing w:after="0" w:line="240" w:lineRule="auto"/>
            </w:pPr>
            <w:r>
              <w:rPr>
                <w:rFonts w:ascii="Arial"/>
                <w:color w:val="0A0A0A"/>
                <w:sz w:val="20"/>
                <w:szCs w:val="20"/>
                <w:u w:color="0A0A0A"/>
                <w:lang w:val="en-US"/>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3C0DCD" w14:textId="77777777" w:rsidR="00737DE2" w:rsidRPr="000554BE" w:rsidRDefault="00000000">
            <w:pPr>
              <w:pStyle w:val="Body"/>
              <w:spacing w:after="0" w:line="240" w:lineRule="auto"/>
              <w:rPr>
                <w:rFonts w:ascii="Arial" w:eastAsia="Arial" w:hAnsi="Arial" w:cs="Arial"/>
                <w:color w:val="0A0A0A"/>
                <w:sz w:val="20"/>
                <w:szCs w:val="20"/>
                <w:u w:color="0A0A0A"/>
                <w:shd w:val="clear" w:color="auto" w:fill="FFFF00"/>
                <w:lang w:val="en-US"/>
              </w:rPr>
            </w:pPr>
            <w:r w:rsidRPr="000554BE">
              <w:rPr>
                <w:rFonts w:ascii="Arial"/>
                <w:color w:val="0A0A0A"/>
                <w:sz w:val="20"/>
                <w:szCs w:val="20"/>
                <w:u w:color="0A0A0A"/>
                <w:lang w:val="en-US"/>
              </w:rPr>
              <w:t>The following was included in the abstract: lines 32-36.</w:t>
            </w:r>
          </w:p>
          <w:p w14:paraId="5C6C66E6" w14:textId="77777777" w:rsidR="000D0F2E" w:rsidRPr="000554BE" w:rsidRDefault="000D0F2E">
            <w:pPr>
              <w:pStyle w:val="Body"/>
              <w:spacing w:after="0" w:line="240" w:lineRule="auto"/>
              <w:rPr>
                <w:rFonts w:ascii="Arial"/>
                <w:color w:val="0A0A0A"/>
                <w:sz w:val="20"/>
                <w:szCs w:val="20"/>
                <w:u w:color="0A0A0A"/>
                <w:shd w:val="clear" w:color="auto" w:fill="FFFF00"/>
                <w:lang w:val="en-US"/>
              </w:rPr>
            </w:pPr>
          </w:p>
          <w:p w14:paraId="0D6D5D67" w14:textId="45B48023" w:rsidR="000D0F2E" w:rsidRDefault="000D0F2E">
            <w:pPr>
              <w:pStyle w:val="Body"/>
              <w:spacing w:after="0" w:line="240" w:lineRule="auto"/>
            </w:pPr>
            <w:r w:rsidRPr="000554BE">
              <w:rPr>
                <w:lang w:val="en-US"/>
              </w:rPr>
              <w:t xml:space="preserve">It is recommended that the Provincial Council of Hydrographic Basin include the design of legal risk indicators for forest cover management into the sub-plan for forest area increase. These recommendations constitute a set of related actions to improve the sustainability of the above mentioned management. </w:t>
            </w:r>
            <w:r w:rsidRPr="000D0F2E">
              <w:t>See lines 587-599.</w:t>
            </w:r>
          </w:p>
        </w:tc>
      </w:tr>
      <w:tr w:rsidR="00737DE2" w14:paraId="1C90389F" w14:textId="77777777">
        <w:trPr>
          <w:trHeight w:val="88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E64E43" w14:textId="77777777" w:rsidR="00737DE2" w:rsidRDefault="00000000">
            <w:pPr>
              <w:pStyle w:val="NormalWeb"/>
              <w:shd w:val="clear" w:color="auto" w:fill="FEFEFE"/>
              <w:jc w:val="both"/>
            </w:pPr>
            <w:r>
              <w:rPr>
                <w:rFonts w:ascii="Arial"/>
                <w:color w:val="0A0A0A"/>
                <w:sz w:val="20"/>
                <w:szCs w:val="20"/>
                <w:u w:color="0A0A0A"/>
              </w:rPr>
              <w:t>Point 2: Line 86: [xx-xx] what does it mean?</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553802" w14:textId="77777777" w:rsidR="00737DE2" w:rsidRDefault="00000000">
            <w:pPr>
              <w:pStyle w:val="Body"/>
              <w:spacing w:after="0" w:line="240" w:lineRule="auto"/>
            </w:pPr>
            <w:r>
              <w:rPr>
                <w:rFonts w:ascii="Arial"/>
                <w:color w:val="0A0A0A"/>
                <w:sz w:val="20"/>
                <w:szCs w:val="20"/>
                <w:u w:color="0A0A0A"/>
                <w:lang w:val="en-US"/>
              </w:rPr>
              <w:t xml:space="preserve">Agree </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526C22" w14:textId="4E1F590C" w:rsidR="00737DE2" w:rsidRPr="0065664D" w:rsidRDefault="00000000">
            <w:pPr>
              <w:pStyle w:val="Body"/>
              <w:spacing w:after="0" w:line="240" w:lineRule="auto"/>
              <w:jc w:val="both"/>
              <w:rPr>
                <w:rFonts w:ascii="Arial" w:eastAsia="Arial" w:hAnsi="Arial" w:cs="Arial"/>
                <w:color w:val="0A0A0A"/>
                <w:sz w:val="20"/>
                <w:szCs w:val="20"/>
                <w:u w:color="0A0A0A"/>
                <w:lang w:val="en-US"/>
              </w:rPr>
            </w:pPr>
            <w:r w:rsidRPr="000554BE">
              <w:rPr>
                <w:rFonts w:ascii="Arial"/>
                <w:color w:val="0A0A0A"/>
                <w:sz w:val="20"/>
                <w:szCs w:val="20"/>
                <w:u w:color="0A0A0A"/>
                <w:lang w:val="en-US"/>
              </w:rPr>
              <w:t xml:space="preserve">We apologize for this omission. the references were corrected and </w:t>
            </w:r>
            <w:r w:rsidR="0065664D">
              <w:rPr>
                <w:rFonts w:ascii="Arial"/>
                <w:color w:val="0A0A0A"/>
                <w:sz w:val="20"/>
                <w:szCs w:val="20"/>
                <w:u w:color="0A0A0A"/>
                <w:lang w:val="en-US"/>
              </w:rPr>
              <w:t>we</w:t>
            </w:r>
            <w:r w:rsidR="000D0F2E" w:rsidRPr="000554BE">
              <w:rPr>
                <w:lang w:val="en-US"/>
              </w:rPr>
              <w:t xml:space="preserve"> </w:t>
            </w:r>
            <w:r w:rsidR="0065664D" w:rsidRPr="000554BE">
              <w:rPr>
                <w:lang w:val="en-US"/>
              </w:rPr>
              <w:t>included</w:t>
            </w:r>
            <w:r w:rsidR="000D0F2E" w:rsidRPr="000554BE">
              <w:rPr>
                <w:lang w:val="en-US"/>
              </w:rPr>
              <w:t xml:space="preserve"> [18-20]. </w:t>
            </w:r>
            <w:r w:rsidR="000D0F2E" w:rsidRPr="0065664D">
              <w:rPr>
                <w:lang w:val="en-US"/>
              </w:rPr>
              <w:t>See lines 89-92</w:t>
            </w:r>
          </w:p>
          <w:p w14:paraId="640B3229" w14:textId="77777777" w:rsidR="00737DE2" w:rsidRPr="0065664D" w:rsidRDefault="00737DE2">
            <w:pPr>
              <w:pStyle w:val="Body"/>
              <w:spacing w:after="0" w:line="240" w:lineRule="auto"/>
              <w:jc w:val="both"/>
              <w:rPr>
                <w:lang w:val="en-US"/>
              </w:rPr>
            </w:pPr>
          </w:p>
        </w:tc>
      </w:tr>
      <w:tr w:rsidR="00737DE2" w14:paraId="051B8E6A" w14:textId="77777777">
        <w:trPr>
          <w:trHeight w:val="44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D8EA8D" w14:textId="77777777" w:rsidR="00737DE2" w:rsidRDefault="00000000">
            <w:pPr>
              <w:pStyle w:val="NormalWeb"/>
              <w:shd w:val="clear" w:color="auto" w:fill="FEFEFE"/>
              <w:jc w:val="both"/>
            </w:pPr>
            <w:r>
              <w:rPr>
                <w:rFonts w:ascii="Arial"/>
                <w:color w:val="0A0A0A"/>
                <w:sz w:val="20"/>
                <w:szCs w:val="20"/>
                <w:u w:color="0A0A0A"/>
              </w:rPr>
              <w:t>Point 3: Line 233: Table 2 moves into the appendix section.</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B054F" w14:textId="77777777" w:rsidR="00737DE2" w:rsidRDefault="00000000">
            <w:pPr>
              <w:pStyle w:val="Body"/>
              <w:spacing w:after="0" w:line="240" w:lineRule="auto"/>
            </w:pPr>
            <w:r>
              <w:rPr>
                <w:rFonts w:ascii="Arial"/>
                <w:color w:val="0A0A0A"/>
                <w:sz w:val="20"/>
                <w:szCs w:val="20"/>
                <w:u w:color="0A0A0A"/>
                <w:lang w:val="en-US"/>
              </w:rPr>
              <w:t>I do not 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82F3F6" w14:textId="77777777" w:rsidR="00737DE2" w:rsidRPr="000554BE" w:rsidRDefault="00000000">
            <w:pPr>
              <w:pStyle w:val="Body"/>
              <w:spacing w:after="0" w:line="240" w:lineRule="auto"/>
              <w:rPr>
                <w:rFonts w:ascii="Arial"/>
                <w:color w:val="0A0A0A"/>
                <w:sz w:val="20"/>
                <w:szCs w:val="20"/>
                <w:u w:color="0A0A0A"/>
                <w:lang w:val="en-US"/>
              </w:rPr>
            </w:pPr>
            <w:r w:rsidRPr="000554BE">
              <w:rPr>
                <w:rFonts w:ascii="Arial"/>
                <w:color w:val="0A0A0A"/>
                <w:sz w:val="20"/>
                <w:szCs w:val="20"/>
                <w:u w:color="0A0A0A"/>
                <w:lang w:val="en-US"/>
              </w:rPr>
              <w:t>It is recommended to keep it for better understanding of the text.</w:t>
            </w:r>
          </w:p>
          <w:p w14:paraId="22F75243" w14:textId="10ED71AE" w:rsidR="000D0F2E" w:rsidRPr="000554BE" w:rsidRDefault="000D0F2E">
            <w:pPr>
              <w:pStyle w:val="Body"/>
              <w:spacing w:after="0" w:line="240" w:lineRule="auto"/>
              <w:rPr>
                <w:lang w:val="en-US"/>
              </w:rPr>
            </w:pPr>
          </w:p>
        </w:tc>
      </w:tr>
      <w:tr w:rsidR="00737DE2" w14:paraId="215D4FCD" w14:textId="77777777">
        <w:trPr>
          <w:trHeight w:val="44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32338" w14:textId="77777777" w:rsidR="00737DE2" w:rsidRDefault="00000000">
            <w:pPr>
              <w:pStyle w:val="Body"/>
              <w:spacing w:after="0" w:line="240" w:lineRule="auto"/>
            </w:pPr>
            <w:r>
              <w:rPr>
                <w:rFonts w:ascii="Arial"/>
                <w:color w:val="0A0A0A"/>
                <w:sz w:val="20"/>
                <w:szCs w:val="20"/>
                <w:u w:color="0A0A0A"/>
                <w:lang w:val="en-US"/>
              </w:rPr>
              <w:t>Point 4: Line 419: Improve Figure 5.</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DAE359" w14:textId="77777777" w:rsidR="00737DE2" w:rsidRDefault="00000000">
            <w:pPr>
              <w:pStyle w:val="NormalWeb"/>
              <w:shd w:val="clear" w:color="auto" w:fill="FEFEFE"/>
              <w:jc w:val="both"/>
            </w:pPr>
            <w:r>
              <w:rPr>
                <w:rFonts w:ascii="Arial"/>
                <w:color w:val="0A0A0A"/>
                <w:sz w:val="20"/>
                <w:szCs w:val="20"/>
                <w:u w:color="0A0A0A"/>
              </w:rPr>
              <w:t xml:space="preserve">Agree </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50BC86" w14:textId="77777777" w:rsidR="00737DE2" w:rsidRDefault="00000000">
            <w:pPr>
              <w:pStyle w:val="Body"/>
              <w:spacing w:after="0" w:line="240" w:lineRule="auto"/>
              <w:jc w:val="both"/>
            </w:pPr>
            <w:r w:rsidRPr="000554BE">
              <w:rPr>
                <w:rFonts w:ascii="Arial"/>
                <w:color w:val="0A0A0A"/>
                <w:sz w:val="20"/>
                <w:szCs w:val="20"/>
                <w:u w:color="0A0A0A"/>
                <w:lang w:val="en-US"/>
              </w:rPr>
              <w:t xml:space="preserve">Evaluations were carried out in relation to the results obtained and described in Figure 5. </w:t>
            </w:r>
            <w:r>
              <w:rPr>
                <w:rFonts w:ascii="Arial"/>
                <w:color w:val="0A0A0A"/>
                <w:sz w:val="20"/>
                <w:szCs w:val="20"/>
                <w:u w:color="0A0A0A"/>
                <w:lang w:val="es-ES_tradnl"/>
              </w:rPr>
              <w:t>These are rendered on lines 376-411.</w:t>
            </w:r>
          </w:p>
        </w:tc>
      </w:tr>
      <w:tr w:rsidR="00737DE2" w14:paraId="43D1A503" w14:textId="77777777">
        <w:trPr>
          <w:trHeight w:val="4250"/>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B2D43" w14:textId="77777777" w:rsidR="00737DE2" w:rsidRPr="000554BE" w:rsidRDefault="00000000">
            <w:pPr>
              <w:pStyle w:val="Body"/>
              <w:spacing w:after="0" w:line="240" w:lineRule="auto"/>
              <w:jc w:val="both"/>
              <w:rPr>
                <w:lang w:val="en-US"/>
              </w:rPr>
            </w:pPr>
            <w:r>
              <w:rPr>
                <w:rFonts w:ascii="Arial"/>
                <w:color w:val="0A0A0A"/>
                <w:sz w:val="20"/>
                <w:szCs w:val="20"/>
                <w:u w:color="0A0A0A"/>
                <w:lang w:val="en-US"/>
              </w:rPr>
              <w:lastRenderedPageBreak/>
              <w:t>Point 5: Line 224: The result section is weak so; I suggest that needs reworking.</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94293F" w14:textId="77777777" w:rsidR="00737DE2" w:rsidRDefault="00000000">
            <w:pPr>
              <w:pStyle w:val="Body"/>
              <w:spacing w:after="0" w:line="240" w:lineRule="auto"/>
            </w:pPr>
            <w:r>
              <w:rPr>
                <w:rFonts w:ascii="Arial"/>
                <w:color w:val="0A0A0A"/>
                <w:sz w:val="20"/>
                <w:szCs w:val="20"/>
                <w:u w:color="0A0A0A"/>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FF41C8" w14:textId="77777777" w:rsidR="00737DE2" w:rsidRPr="000554BE" w:rsidRDefault="00737DE2">
            <w:pPr>
              <w:pStyle w:val="Body"/>
              <w:spacing w:after="0" w:line="240" w:lineRule="auto"/>
              <w:jc w:val="both"/>
              <w:rPr>
                <w:rFonts w:ascii="Arial" w:eastAsia="Arial" w:hAnsi="Arial" w:cs="Arial"/>
                <w:color w:val="0A0A0A"/>
                <w:sz w:val="20"/>
                <w:szCs w:val="20"/>
                <w:u w:color="0A0A0A"/>
                <w:lang w:val="en-US"/>
              </w:rPr>
            </w:pPr>
          </w:p>
          <w:p w14:paraId="364B5E77" w14:textId="0B88202D" w:rsidR="002E29E9" w:rsidRPr="000554BE" w:rsidRDefault="002E29E9" w:rsidP="002E29E9">
            <w:pPr>
              <w:pStyle w:val="Body"/>
              <w:rPr>
                <w:rFonts w:ascii="Arial"/>
                <w:color w:val="0A0A0A"/>
                <w:sz w:val="20"/>
                <w:szCs w:val="20"/>
                <w:u w:color="0A0A0A"/>
                <w:lang w:val="en-US"/>
              </w:rPr>
            </w:pPr>
            <w:r w:rsidRPr="000554BE">
              <w:rPr>
                <w:rFonts w:ascii="Arial"/>
                <w:color w:val="0A0A0A"/>
                <w:sz w:val="20"/>
                <w:szCs w:val="20"/>
                <w:u w:color="0A0A0A"/>
                <w:lang w:val="en-US"/>
              </w:rPr>
              <w:t>The results are restructured according to the method:</w:t>
            </w:r>
          </w:p>
          <w:p w14:paraId="43A2E4E2" w14:textId="1B4E3D49" w:rsidR="002E29E9" w:rsidRPr="000554BE" w:rsidRDefault="002E29E9" w:rsidP="002E29E9">
            <w:pPr>
              <w:pStyle w:val="Body"/>
              <w:spacing w:after="0" w:line="240" w:lineRule="auto"/>
              <w:rPr>
                <w:rFonts w:ascii="Arial"/>
                <w:b/>
                <w:bCs/>
                <w:color w:val="0A0A0A"/>
                <w:sz w:val="20"/>
                <w:szCs w:val="20"/>
                <w:u w:color="0A0A0A"/>
                <w:lang w:val="en-US"/>
              </w:rPr>
            </w:pPr>
            <w:r w:rsidRPr="000554BE">
              <w:rPr>
                <w:rFonts w:ascii="Arial"/>
                <w:b/>
                <w:bCs/>
                <w:color w:val="0A0A0A"/>
                <w:sz w:val="20"/>
                <w:szCs w:val="20"/>
                <w:u w:color="0A0A0A"/>
                <w:lang w:val="en-US"/>
              </w:rPr>
              <w:t>Method      Results</w:t>
            </w:r>
          </w:p>
          <w:p w14:paraId="61BDB16E" w14:textId="77777777" w:rsidR="002E29E9" w:rsidRPr="000554BE" w:rsidRDefault="002E29E9" w:rsidP="002E29E9">
            <w:pPr>
              <w:pStyle w:val="Body"/>
              <w:spacing w:after="0" w:line="240" w:lineRule="auto"/>
              <w:rPr>
                <w:rFonts w:ascii="Arial"/>
                <w:color w:val="0A0A0A"/>
                <w:sz w:val="20"/>
                <w:szCs w:val="20"/>
                <w:u w:color="0A0A0A"/>
                <w:lang w:val="en-US"/>
              </w:rPr>
            </w:pPr>
          </w:p>
          <w:p w14:paraId="1B9ADAF9" w14:textId="5B337FE1" w:rsidR="00737DE2" w:rsidRDefault="00000000" w:rsidP="002E29E9">
            <w:pPr>
              <w:pStyle w:val="Body"/>
              <w:spacing w:after="0" w:line="240" w:lineRule="auto"/>
              <w:rPr>
                <w:rFonts w:ascii="Arial" w:eastAsia="Arial" w:hAnsi="Arial" w:cs="Arial"/>
                <w:color w:val="0A0A0A"/>
                <w:sz w:val="20"/>
                <w:szCs w:val="20"/>
                <w:u w:color="0A0A0A"/>
                <w:lang w:val="en-US"/>
              </w:rPr>
            </w:pPr>
            <w:r>
              <w:rPr>
                <w:rFonts w:ascii="Arial"/>
                <w:color w:val="0A0A0A"/>
                <w:sz w:val="20"/>
                <w:szCs w:val="20"/>
                <w:u w:color="0A0A0A"/>
                <w:lang w:val="en-US"/>
              </w:rPr>
              <w:t>PHASE I. Study of Legal Norms regarding forest cover in river basins and their application in Cuba</w:t>
            </w:r>
          </w:p>
          <w:p w14:paraId="1ECF455F" w14:textId="7811F63A" w:rsidR="00737DE2" w:rsidRDefault="00000000">
            <w:pPr>
              <w:pStyle w:val="Body"/>
              <w:spacing w:after="0" w:line="240" w:lineRule="auto"/>
              <w:rPr>
                <w:rFonts w:ascii="Arial" w:eastAsia="Arial" w:hAnsi="Arial" w:cs="Arial"/>
                <w:color w:val="0A0A0A"/>
                <w:sz w:val="20"/>
                <w:szCs w:val="20"/>
                <w:u w:color="0A0A0A"/>
                <w:lang w:val="en-US"/>
              </w:rPr>
            </w:pPr>
            <w:r>
              <w:rPr>
                <w:rFonts w:ascii="Arial" w:eastAsia="Arial" w:hAnsi="Arial" w:cs="Arial"/>
                <w:color w:val="0A0A0A"/>
                <w:sz w:val="20"/>
                <w:szCs w:val="20"/>
                <w:u w:color="0A0A0A"/>
                <w:lang w:val="en-US"/>
              </w:rPr>
              <w:t>3.1. Legal and institutional manifestations of the legal protection of forest cover in Cuba.</w:t>
            </w:r>
          </w:p>
          <w:p w14:paraId="10A508DC" w14:textId="4C57D7BB" w:rsidR="00737DE2" w:rsidRPr="002E29E9" w:rsidRDefault="000D0F2E">
            <w:pPr>
              <w:pStyle w:val="Body"/>
              <w:spacing w:after="0" w:line="240" w:lineRule="auto"/>
              <w:rPr>
                <w:rFonts w:ascii="Arial" w:eastAsia="Arial" w:hAnsi="Arial" w:cs="Arial"/>
                <w:color w:val="0A0A0A"/>
                <w:sz w:val="20"/>
                <w:szCs w:val="20"/>
                <w:u w:color="0A0A0A"/>
                <w:lang w:val="en-US"/>
              </w:rPr>
            </w:pPr>
            <w:r>
              <w:rPr>
                <w:rFonts w:ascii="Arial" w:eastAsia="Arial" w:hAnsi="Arial" w:cs="Arial"/>
                <w:color w:val="0A0A0A"/>
                <w:sz w:val="20"/>
                <w:szCs w:val="20"/>
                <w:u w:color="0A0A0A"/>
                <w:lang w:val="en-US"/>
              </w:rPr>
              <w:t>See line 224.</w:t>
            </w:r>
          </w:p>
          <w:p w14:paraId="26518E01" w14:textId="3DB479A4" w:rsidR="00737DE2" w:rsidRDefault="00000000">
            <w:pPr>
              <w:pStyle w:val="Body"/>
              <w:spacing w:after="0" w:line="240" w:lineRule="auto"/>
              <w:rPr>
                <w:rFonts w:ascii="Arial"/>
                <w:color w:val="0A0A0A"/>
                <w:sz w:val="20"/>
                <w:szCs w:val="20"/>
                <w:u w:color="0A0A0A"/>
                <w:lang w:val="en-US"/>
              </w:rPr>
            </w:pPr>
            <w:r>
              <w:rPr>
                <w:rFonts w:ascii="Arial"/>
                <w:color w:val="0A0A0A"/>
                <w:sz w:val="20"/>
                <w:szCs w:val="20"/>
                <w:u w:color="0A0A0A"/>
                <w:lang w:val="en-US"/>
              </w:rPr>
              <w:t>3.2. Legal aspects that reveal legal risk in the river basin management legal system.</w:t>
            </w:r>
          </w:p>
          <w:p w14:paraId="21C18B0A" w14:textId="1A48F0F0" w:rsidR="00737DE2" w:rsidRPr="000D0F2E" w:rsidRDefault="000D0F2E">
            <w:pPr>
              <w:pStyle w:val="Body"/>
              <w:spacing w:after="0" w:line="240" w:lineRule="auto"/>
              <w:rPr>
                <w:rFonts w:ascii="Arial" w:eastAsia="Arial" w:hAnsi="Arial" w:cs="Arial"/>
                <w:color w:val="0A0A0A"/>
                <w:sz w:val="20"/>
                <w:szCs w:val="20"/>
                <w:u w:color="0A0A0A"/>
                <w:lang w:val="en-US"/>
              </w:rPr>
            </w:pPr>
            <w:r>
              <w:rPr>
                <w:rFonts w:ascii="Arial"/>
                <w:color w:val="0A0A0A"/>
                <w:sz w:val="20"/>
                <w:szCs w:val="20"/>
                <w:u w:color="0A0A0A"/>
                <w:lang w:val="en-US"/>
              </w:rPr>
              <w:t>See line 268</w:t>
            </w:r>
            <w:r>
              <w:rPr>
                <w:rFonts w:ascii="Arial" w:eastAsia="Arial" w:hAnsi="Arial" w:cs="Arial"/>
                <w:color w:val="0A0A0A"/>
                <w:sz w:val="20"/>
                <w:szCs w:val="20"/>
                <w:u w:color="0A0A0A"/>
                <w:lang w:val="en-US"/>
              </w:rPr>
              <w:t>.</w:t>
            </w:r>
          </w:p>
          <w:p w14:paraId="18FFCDD6" w14:textId="40B586BE" w:rsidR="00737DE2" w:rsidRDefault="00000000">
            <w:pPr>
              <w:pStyle w:val="Body"/>
              <w:spacing w:after="0" w:line="240" w:lineRule="auto"/>
              <w:rPr>
                <w:rFonts w:ascii="Arial"/>
                <w:color w:val="0A0A0A"/>
                <w:sz w:val="20"/>
                <w:szCs w:val="20"/>
                <w:u w:color="0A0A0A"/>
                <w:lang w:val="en-US"/>
              </w:rPr>
            </w:pPr>
            <w:r>
              <w:rPr>
                <w:rFonts w:ascii="Arial"/>
                <w:color w:val="0A0A0A"/>
                <w:sz w:val="20"/>
                <w:szCs w:val="20"/>
                <w:u w:color="0A0A0A"/>
                <w:lang w:val="en-US"/>
              </w:rPr>
              <w:t>3.3. The causal relationship between the legal limitations and the damages embodies the legal risk.</w:t>
            </w:r>
          </w:p>
          <w:p w14:paraId="0EFEF660" w14:textId="26D5936C" w:rsidR="000D0F2E" w:rsidRDefault="000D0F2E">
            <w:pPr>
              <w:pStyle w:val="Body"/>
              <w:spacing w:after="0" w:line="240" w:lineRule="auto"/>
              <w:rPr>
                <w:rFonts w:ascii="Arial" w:eastAsia="Arial" w:hAnsi="Arial" w:cs="Arial"/>
                <w:color w:val="0A0A0A"/>
                <w:sz w:val="20"/>
                <w:szCs w:val="20"/>
                <w:u w:color="0A0A0A"/>
                <w:lang w:val="en-US"/>
              </w:rPr>
            </w:pPr>
            <w:r>
              <w:rPr>
                <w:rFonts w:ascii="Arial"/>
                <w:color w:val="0A0A0A"/>
                <w:sz w:val="20"/>
                <w:szCs w:val="20"/>
                <w:u w:color="0A0A0A"/>
                <w:lang w:val="en-US"/>
              </w:rPr>
              <w:t>See line 368</w:t>
            </w:r>
          </w:p>
          <w:p w14:paraId="28883DFF" w14:textId="5334E028" w:rsidR="00737DE2" w:rsidRDefault="00737DE2">
            <w:pPr>
              <w:pStyle w:val="Body"/>
              <w:spacing w:after="0" w:line="240" w:lineRule="auto"/>
              <w:rPr>
                <w:rFonts w:ascii="Arial" w:eastAsia="Arial" w:hAnsi="Arial" w:cs="Arial"/>
                <w:color w:val="0A0A0A"/>
                <w:sz w:val="20"/>
                <w:szCs w:val="20"/>
                <w:u w:color="0A0A0A"/>
                <w:shd w:val="clear" w:color="auto" w:fill="FFFF00"/>
                <w:lang w:val="en-US"/>
              </w:rPr>
            </w:pPr>
          </w:p>
          <w:p w14:paraId="3C6B74BA" w14:textId="77777777" w:rsidR="000D0F2E" w:rsidRDefault="00000000">
            <w:pPr>
              <w:pStyle w:val="Body"/>
              <w:spacing w:after="0" w:line="240" w:lineRule="auto"/>
              <w:rPr>
                <w:rFonts w:ascii="Arial"/>
                <w:color w:val="0A0A0A"/>
                <w:sz w:val="20"/>
                <w:szCs w:val="20"/>
                <w:u w:color="0A0A0A"/>
                <w:lang w:val="en-US"/>
              </w:rPr>
            </w:pPr>
            <w:r>
              <w:rPr>
                <w:rFonts w:ascii="Arial"/>
                <w:color w:val="0A0A0A"/>
                <w:sz w:val="20"/>
                <w:szCs w:val="20"/>
                <w:u w:color="0A0A0A"/>
                <w:lang w:val="en-US"/>
              </w:rPr>
              <w:t>PHASE II. Evaluation of the forest cover of the San Juan River basin</w:t>
            </w:r>
            <w:r>
              <w:rPr>
                <w:rFonts w:ascii="Arial"/>
                <w:color w:val="0A0A0A"/>
                <w:sz w:val="20"/>
                <w:szCs w:val="20"/>
                <w:u w:color="0A0A0A"/>
                <w:lang w:val="en-US"/>
              </w:rPr>
              <w:tab/>
            </w:r>
          </w:p>
          <w:p w14:paraId="0DBF1C68" w14:textId="0169C9B5" w:rsidR="00737DE2" w:rsidRDefault="00000000">
            <w:pPr>
              <w:pStyle w:val="Body"/>
              <w:spacing w:after="0" w:line="240" w:lineRule="auto"/>
              <w:rPr>
                <w:rFonts w:ascii="Arial"/>
                <w:color w:val="0A0A0A"/>
                <w:sz w:val="20"/>
                <w:szCs w:val="20"/>
                <w:u w:color="0A0A0A"/>
                <w:lang w:val="en-US"/>
              </w:rPr>
            </w:pPr>
            <w:r>
              <w:rPr>
                <w:rFonts w:ascii="Arial"/>
                <w:color w:val="0A0A0A"/>
                <w:sz w:val="20"/>
                <w:szCs w:val="20"/>
                <w:u w:color="0A0A0A"/>
                <w:lang w:val="en-US"/>
              </w:rPr>
              <w:t>3.4. The case study on deforestation in the San Juan Basin (2014-2020).</w:t>
            </w:r>
          </w:p>
          <w:p w14:paraId="1A0EC614" w14:textId="07B881CA" w:rsidR="00737DE2" w:rsidRPr="002E29E9" w:rsidRDefault="000D0F2E" w:rsidP="002E29E9">
            <w:pPr>
              <w:pStyle w:val="Body"/>
              <w:spacing w:after="0" w:line="240" w:lineRule="auto"/>
              <w:rPr>
                <w:rFonts w:ascii="Arial" w:eastAsia="Arial" w:hAnsi="Arial" w:cs="Arial"/>
                <w:color w:val="0A0A0A"/>
                <w:sz w:val="20"/>
                <w:szCs w:val="20"/>
                <w:u w:color="0A0A0A"/>
                <w:lang w:val="en-US"/>
              </w:rPr>
            </w:pPr>
            <w:r>
              <w:rPr>
                <w:rFonts w:ascii="Arial"/>
                <w:color w:val="0A0A0A"/>
                <w:sz w:val="20"/>
                <w:szCs w:val="20"/>
                <w:u w:color="0A0A0A"/>
                <w:lang w:val="en-US"/>
              </w:rPr>
              <w:t>See line 412.</w:t>
            </w:r>
            <w:r>
              <w:rPr>
                <w:b/>
                <w:bCs/>
                <w:sz w:val="24"/>
                <w:szCs w:val="24"/>
                <w:lang w:val="es-ES_tradnl"/>
              </w:rPr>
              <w:t xml:space="preserve"> </w:t>
            </w:r>
          </w:p>
        </w:tc>
      </w:tr>
      <w:tr w:rsidR="00737DE2" w14:paraId="16B4EFDA" w14:textId="77777777">
        <w:trPr>
          <w:trHeight w:val="242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B44353" w14:textId="77777777" w:rsidR="00737DE2" w:rsidRPr="000554BE" w:rsidRDefault="00000000">
            <w:pPr>
              <w:pStyle w:val="Body"/>
              <w:spacing w:after="0" w:line="240" w:lineRule="auto"/>
              <w:jc w:val="both"/>
              <w:rPr>
                <w:lang w:val="en-US"/>
              </w:rPr>
            </w:pPr>
            <w:r>
              <w:rPr>
                <w:rFonts w:ascii="Arial"/>
                <w:color w:val="0A0A0A"/>
                <w:sz w:val="20"/>
                <w:szCs w:val="20"/>
                <w:u w:color="0A0A0A"/>
                <w:lang w:val="en-US"/>
              </w:rPr>
              <w:t>Point 6: Line 421; Discussion section: This is an important part of the study and writes at least two to three pages. Your writing of the discussion section looks more like a conclusion section and is very weak. Moreover, discuss and compare your results thoroughly and argue your results with other similar research in order to emphasize the originality and novelty of the research.</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879BD3" w14:textId="77777777" w:rsidR="00737DE2" w:rsidRDefault="00000000">
            <w:pPr>
              <w:pStyle w:val="Body"/>
              <w:spacing w:after="0" w:line="240" w:lineRule="auto"/>
            </w:pPr>
            <w:r>
              <w:rPr>
                <w:rFonts w:ascii="Arial"/>
                <w:color w:val="0A0A0A"/>
                <w:sz w:val="20"/>
                <w:szCs w:val="20"/>
                <w:u w:color="0A0A0A"/>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1AADF" w14:textId="47AE0705" w:rsidR="00737DE2" w:rsidRDefault="00DC0DAE">
            <w:pPr>
              <w:pStyle w:val="Body"/>
              <w:spacing w:after="0" w:line="240" w:lineRule="auto"/>
            </w:pPr>
            <w:r w:rsidRPr="000554BE">
              <w:rPr>
                <w:rFonts w:ascii="Arial"/>
                <w:color w:val="0A0A0A"/>
                <w:sz w:val="20"/>
                <w:szCs w:val="20"/>
                <w:u w:color="0A0A0A"/>
                <w:lang w:val="en-US"/>
              </w:rPr>
              <w:t xml:space="preserve">The discussion section was enriched. </w:t>
            </w:r>
            <w:r w:rsidRPr="00DC0DAE">
              <w:rPr>
                <w:rFonts w:ascii="Arial"/>
                <w:color w:val="0A0A0A"/>
                <w:sz w:val="20"/>
                <w:szCs w:val="20"/>
                <w:u w:color="0A0A0A"/>
                <w:lang w:val="es-ES_tradnl"/>
              </w:rPr>
              <w:t>See lines 490-564.</w:t>
            </w:r>
          </w:p>
        </w:tc>
      </w:tr>
      <w:tr w:rsidR="00737DE2" w14:paraId="453E5678" w14:textId="77777777">
        <w:trPr>
          <w:trHeight w:val="44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623292" w14:textId="77777777" w:rsidR="00737DE2" w:rsidRPr="000554BE" w:rsidRDefault="00000000">
            <w:pPr>
              <w:pStyle w:val="Body"/>
              <w:spacing w:after="0" w:line="240" w:lineRule="auto"/>
              <w:jc w:val="both"/>
              <w:rPr>
                <w:lang w:val="en-US"/>
              </w:rPr>
            </w:pPr>
            <w:r>
              <w:rPr>
                <w:rFonts w:ascii="Arial"/>
                <w:color w:val="0A0A0A"/>
                <w:sz w:val="20"/>
                <w:szCs w:val="20"/>
                <w:u w:color="0A0A0A"/>
                <w:lang w:val="en-US"/>
              </w:rPr>
              <w:t>Point 7: Line 493: Conclusions are very short so it needs reworking.</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3AE39A" w14:textId="77777777" w:rsidR="00737DE2" w:rsidRDefault="00000000">
            <w:pPr>
              <w:pStyle w:val="Body"/>
              <w:spacing w:after="0" w:line="240" w:lineRule="auto"/>
            </w:pPr>
            <w:r>
              <w:rPr>
                <w:rFonts w:ascii="Arial"/>
                <w:color w:val="0A0A0A"/>
                <w:sz w:val="20"/>
                <w:szCs w:val="20"/>
                <w:u w:color="0A0A0A"/>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3A7F9C" w14:textId="6521FAB1" w:rsidR="00737DE2" w:rsidRPr="000554BE" w:rsidRDefault="00DC0DAE">
            <w:pPr>
              <w:pStyle w:val="Body"/>
              <w:spacing w:after="0" w:line="240" w:lineRule="auto"/>
              <w:rPr>
                <w:lang w:val="en-US"/>
              </w:rPr>
            </w:pPr>
            <w:r w:rsidRPr="000554BE">
              <w:rPr>
                <w:rFonts w:ascii="Arial"/>
                <w:color w:val="0A0A0A"/>
                <w:sz w:val="20"/>
                <w:szCs w:val="20"/>
                <w:u w:color="0A0A0A"/>
                <w:lang w:val="en-US"/>
              </w:rPr>
              <w:t>The conclusions were restated. See Lines: 565-599.</w:t>
            </w:r>
          </w:p>
        </w:tc>
      </w:tr>
      <w:tr w:rsidR="00737DE2" w14:paraId="0AAF46F7" w14:textId="77777777">
        <w:trPr>
          <w:trHeight w:val="88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88086C" w14:textId="77777777" w:rsidR="00737DE2" w:rsidRPr="000554BE" w:rsidRDefault="00000000">
            <w:pPr>
              <w:pStyle w:val="Body"/>
              <w:spacing w:after="0" w:line="240" w:lineRule="auto"/>
              <w:jc w:val="both"/>
              <w:rPr>
                <w:lang w:val="en-US"/>
              </w:rPr>
            </w:pPr>
            <w:r>
              <w:rPr>
                <w:rFonts w:ascii="Arial"/>
                <w:color w:val="0A0A0A"/>
                <w:sz w:val="20"/>
                <w:szCs w:val="20"/>
                <w:u w:color="0A0A0A"/>
                <w:lang w:val="en-US"/>
              </w:rPr>
              <w:t>Point 8: Write some recommendations separately to policymakers and implementers as a new subsection after the conclusion.</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7CE03" w14:textId="77777777" w:rsidR="00737DE2" w:rsidRDefault="00000000">
            <w:pPr>
              <w:pStyle w:val="Body"/>
              <w:spacing w:after="0" w:line="240" w:lineRule="auto"/>
            </w:pPr>
            <w:r>
              <w:rPr>
                <w:sz w:val="24"/>
                <w:szCs w:val="24"/>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66F419" w14:textId="3F2814FF" w:rsidR="00737DE2" w:rsidRPr="000554BE" w:rsidRDefault="00DC0DAE">
            <w:pPr>
              <w:pStyle w:val="Body"/>
              <w:spacing w:after="0" w:line="240" w:lineRule="auto"/>
              <w:jc w:val="both"/>
              <w:rPr>
                <w:lang w:val="en-US"/>
              </w:rPr>
            </w:pPr>
            <w:r w:rsidRPr="000554BE">
              <w:rPr>
                <w:rFonts w:ascii="Arial"/>
                <w:color w:val="0A0A0A"/>
                <w:sz w:val="20"/>
                <w:szCs w:val="20"/>
                <w:u w:color="0A0A0A"/>
                <w:lang w:val="en-US"/>
              </w:rPr>
              <w:t>Recommendations were included in this section, see lines: 587-599.</w:t>
            </w:r>
          </w:p>
        </w:tc>
      </w:tr>
      <w:tr w:rsidR="00737DE2" w14:paraId="2F7A4744" w14:textId="77777777">
        <w:trPr>
          <w:trHeight w:val="264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422A15" w14:textId="77777777" w:rsidR="00737DE2" w:rsidRDefault="00000000">
            <w:pPr>
              <w:pStyle w:val="Body"/>
              <w:spacing w:after="0" w:line="240" w:lineRule="auto"/>
              <w:jc w:val="both"/>
              <w:rPr>
                <w:rFonts w:ascii="Arial" w:eastAsia="Arial" w:hAnsi="Arial" w:cs="Arial"/>
                <w:color w:val="0A0A0A"/>
                <w:sz w:val="20"/>
                <w:szCs w:val="20"/>
                <w:u w:color="0A0A0A"/>
                <w:lang w:val="en-US"/>
              </w:rPr>
            </w:pPr>
            <w:r>
              <w:rPr>
                <w:rFonts w:ascii="Arial"/>
                <w:color w:val="0A0A0A"/>
                <w:sz w:val="20"/>
                <w:szCs w:val="20"/>
                <w:u w:color="0A0A0A"/>
                <w:lang w:val="en-US"/>
              </w:rPr>
              <w:t>Questions:</w:t>
            </w:r>
          </w:p>
          <w:p w14:paraId="62550B85" w14:textId="77777777" w:rsidR="00737DE2" w:rsidRDefault="00737DE2">
            <w:pPr>
              <w:pStyle w:val="Body"/>
              <w:spacing w:after="0" w:line="240" w:lineRule="auto"/>
              <w:jc w:val="both"/>
              <w:rPr>
                <w:rFonts w:ascii="Arial" w:eastAsia="Arial" w:hAnsi="Arial" w:cs="Arial"/>
                <w:color w:val="0A0A0A"/>
                <w:sz w:val="20"/>
                <w:szCs w:val="20"/>
                <w:u w:color="0A0A0A"/>
                <w:lang w:val="en-US"/>
              </w:rPr>
            </w:pPr>
          </w:p>
          <w:p w14:paraId="73A7C761" w14:textId="77777777" w:rsidR="00737DE2" w:rsidRPr="000554BE" w:rsidRDefault="00000000">
            <w:pPr>
              <w:pStyle w:val="Prrafodelista"/>
              <w:numPr>
                <w:ilvl w:val="0"/>
                <w:numId w:val="3"/>
              </w:numPr>
              <w:tabs>
                <w:tab w:val="clear" w:pos="222"/>
                <w:tab w:val="num" w:pos="243"/>
              </w:tabs>
              <w:spacing w:after="0" w:line="240" w:lineRule="auto"/>
              <w:ind w:left="243" w:hanging="235"/>
              <w:jc w:val="both"/>
              <w:rPr>
                <w:rFonts w:ascii="Arial" w:eastAsia="Arial" w:hAnsi="Arial" w:cs="Arial"/>
                <w:color w:val="0A0A0A"/>
                <w:lang w:val="en-US"/>
              </w:rPr>
            </w:pPr>
            <w:r>
              <w:rPr>
                <w:rFonts w:ascii="Arial"/>
                <w:color w:val="0A0A0A"/>
                <w:sz w:val="20"/>
                <w:szCs w:val="20"/>
                <w:u w:color="0A0A0A"/>
                <w:lang w:val="en-US"/>
              </w:rPr>
              <w:t>What are the contributions of your research?</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98C648" w14:textId="77777777" w:rsidR="00737DE2" w:rsidRDefault="00000000">
            <w:pPr>
              <w:pStyle w:val="Body"/>
              <w:spacing w:after="0" w:line="240" w:lineRule="auto"/>
            </w:pPr>
            <w:r>
              <w:rPr>
                <w:sz w:val="24"/>
                <w:szCs w:val="24"/>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035901" w14:textId="4458EAA9" w:rsidR="00737DE2" w:rsidRDefault="00DC0DAE">
            <w:pPr>
              <w:pStyle w:val="Body"/>
              <w:spacing w:after="0" w:line="240" w:lineRule="auto"/>
              <w:jc w:val="both"/>
            </w:pPr>
            <w:r w:rsidRPr="000554BE">
              <w:rPr>
                <w:rFonts w:ascii="Arial"/>
                <w:color w:val="0A0A0A"/>
                <w:sz w:val="20"/>
                <w:szCs w:val="20"/>
                <w:u w:color="0A0A0A"/>
                <w:lang w:val="en-US"/>
              </w:rPr>
              <w:t xml:space="preserve">The article's contributions are revealed in the scientific findings that demonstrate the causes of deficiencies in legal standards. For the first time, they are analyzed from the perspective of legal risk, at least in Cuba. The perspective proposed in this article reveals that there are dimensions that strengthen the ontology of legal risk and are outlined in the probability of affecting the processes of ordering, planning, and management of the hydrographic basin, based on the direct possibility of losses due to non-compliance (or imperfection) of legislation affecting the management of the hydrographic basin or the inability to enforce legal requirements for proper basin management; or as a regulatory change risk by competent (local, national) authorities affecting adversely that management. </w:t>
            </w:r>
            <w:r w:rsidRPr="00DC0DAE">
              <w:rPr>
                <w:rFonts w:ascii="Arial"/>
                <w:color w:val="0A0A0A"/>
                <w:sz w:val="20"/>
                <w:szCs w:val="20"/>
                <w:u w:color="0A0A0A"/>
                <w:lang w:val="es-ES_tradnl"/>
              </w:rPr>
              <w:t>Such elements can be observed in lines 521-523, 526-533.</w:t>
            </w:r>
          </w:p>
        </w:tc>
      </w:tr>
      <w:tr w:rsidR="00737DE2" w14:paraId="6B1F5AFB" w14:textId="77777777">
        <w:trPr>
          <w:trHeight w:val="242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CD59F" w14:textId="77777777" w:rsidR="00737DE2" w:rsidRPr="000554BE" w:rsidRDefault="00000000">
            <w:pPr>
              <w:pStyle w:val="Prrafodelista"/>
              <w:numPr>
                <w:ilvl w:val="0"/>
                <w:numId w:val="4"/>
              </w:numPr>
              <w:tabs>
                <w:tab w:val="clear" w:pos="222"/>
                <w:tab w:val="num" w:pos="243"/>
              </w:tabs>
              <w:spacing w:after="0" w:line="240" w:lineRule="auto"/>
              <w:ind w:left="243" w:hanging="235"/>
              <w:jc w:val="both"/>
              <w:rPr>
                <w:rFonts w:ascii="Arial" w:eastAsia="Arial" w:hAnsi="Arial" w:cs="Arial"/>
                <w:color w:val="0A0A0A"/>
                <w:lang w:val="en-US"/>
              </w:rPr>
            </w:pPr>
            <w:r>
              <w:rPr>
                <w:rFonts w:ascii="Arial"/>
                <w:color w:val="0A0A0A"/>
                <w:sz w:val="20"/>
                <w:szCs w:val="20"/>
                <w:u w:color="0A0A0A"/>
                <w:lang w:val="en-US"/>
              </w:rPr>
              <w:t>How does it improve our overall understanding of the subject material?</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6BE709" w14:textId="77777777" w:rsidR="00737DE2" w:rsidRDefault="00000000">
            <w:pPr>
              <w:pStyle w:val="Body"/>
              <w:spacing w:after="0" w:line="240" w:lineRule="auto"/>
            </w:pPr>
            <w:r>
              <w:rPr>
                <w:sz w:val="24"/>
                <w:szCs w:val="24"/>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8B3FE8" w14:textId="41C30EBB" w:rsidR="00737DE2" w:rsidRDefault="00DC0DAE">
            <w:pPr>
              <w:pStyle w:val="Body"/>
              <w:spacing w:after="0" w:line="240" w:lineRule="auto"/>
              <w:jc w:val="both"/>
            </w:pPr>
            <w:r w:rsidRPr="000554BE">
              <w:rPr>
                <w:rFonts w:ascii="Arial"/>
                <w:color w:val="0A0A0A"/>
                <w:sz w:val="20"/>
                <w:szCs w:val="20"/>
                <w:u w:color="0A0A0A"/>
                <w:lang w:val="en-US"/>
              </w:rPr>
              <w:t xml:space="preserve">The scientific path taken in this study highlighted the need for a strategic law enforcement policy to significantly reduce deforestation. Identifying the legal vulnerabilities that determine legal risk allowed for the creation of an analytical framework to generate innovative legal strategies associated with the configuration, interpretation, and application of laws to curb deforestation processes in watershed management. The identification of legal limitations has been an important component in revealing that their main effects are concentrated in two aspects that hinder the development of a comprehensive policy for protecting forest cover in watersheds. Namely, the proliferation of counterproductive behaviors and the violation of guarantees associated with the formal and material requirements of legality. </w:t>
            </w:r>
            <w:r w:rsidRPr="00DC0DAE">
              <w:rPr>
                <w:rFonts w:ascii="Arial"/>
                <w:color w:val="0A0A0A"/>
                <w:sz w:val="20"/>
                <w:szCs w:val="20"/>
                <w:u w:color="0A0A0A"/>
                <w:lang w:val="es-ES_tradnl"/>
              </w:rPr>
              <w:t>Such elements can be observed in lines 535-538.</w:t>
            </w:r>
          </w:p>
        </w:tc>
      </w:tr>
      <w:tr w:rsidR="00737DE2" w14:paraId="1DDA6515" w14:textId="77777777">
        <w:trPr>
          <w:trHeight w:val="1543"/>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235C3" w14:textId="77777777" w:rsidR="00737DE2" w:rsidRPr="000554BE" w:rsidRDefault="00000000">
            <w:pPr>
              <w:pStyle w:val="Prrafodelista"/>
              <w:numPr>
                <w:ilvl w:val="0"/>
                <w:numId w:val="5"/>
              </w:numPr>
              <w:tabs>
                <w:tab w:val="clear" w:pos="222"/>
                <w:tab w:val="num" w:pos="243"/>
              </w:tabs>
              <w:spacing w:after="0" w:line="240" w:lineRule="auto"/>
              <w:ind w:left="243" w:hanging="235"/>
              <w:jc w:val="both"/>
              <w:rPr>
                <w:rFonts w:ascii="Arial" w:eastAsia="Arial" w:hAnsi="Arial" w:cs="Arial"/>
                <w:color w:val="0A0A0A"/>
                <w:lang w:val="en-US"/>
              </w:rPr>
            </w:pPr>
            <w:r>
              <w:rPr>
                <w:rFonts w:ascii="Arial"/>
                <w:color w:val="0A0A0A"/>
                <w:sz w:val="20"/>
                <w:szCs w:val="20"/>
                <w:u w:color="0A0A0A"/>
                <w:lang w:val="en-US"/>
              </w:rPr>
              <w:t>What future directions in research are suggested from your findings and conclusions?</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546F0" w14:textId="77777777" w:rsidR="00737DE2" w:rsidRDefault="00000000">
            <w:pPr>
              <w:pStyle w:val="Body"/>
              <w:spacing w:after="0" w:line="240" w:lineRule="auto"/>
            </w:pPr>
            <w:r>
              <w:rPr>
                <w:sz w:val="24"/>
                <w:szCs w:val="24"/>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7F61DE" w14:textId="73890B94" w:rsidR="00737DE2" w:rsidRDefault="00DC0DAE">
            <w:pPr>
              <w:pStyle w:val="Body"/>
              <w:spacing w:after="0" w:line="240" w:lineRule="auto"/>
              <w:jc w:val="both"/>
            </w:pPr>
            <w:r w:rsidRPr="000554BE">
              <w:rPr>
                <w:rFonts w:ascii="Arial"/>
                <w:color w:val="0A0A0A"/>
                <w:sz w:val="20"/>
                <w:szCs w:val="20"/>
                <w:u w:color="0A0A0A"/>
                <w:lang w:val="en-US"/>
              </w:rPr>
              <w:t xml:space="preserve">The article has revealed new nodes of scientific research on the role of the institutional legal subsystem in watershed management processes, such as: valuation of legal risk in its relationship with ecosystem conservation; integration and implementation of legal risk in innovative decision-making for watershed management; legal innovation strategies for the sustainability of watershed management processes. </w:t>
            </w:r>
            <w:r w:rsidRPr="00DC0DAE">
              <w:rPr>
                <w:rFonts w:ascii="Arial"/>
                <w:color w:val="0A0A0A"/>
                <w:sz w:val="20"/>
                <w:szCs w:val="20"/>
                <w:u w:color="0A0A0A"/>
                <w:lang w:val="es-ES_tradnl"/>
              </w:rPr>
              <w:t>Such elements can be observed in lines 576-584.</w:t>
            </w:r>
          </w:p>
        </w:tc>
      </w:tr>
      <w:tr w:rsidR="00737DE2" w14:paraId="10F3F9FC" w14:textId="77777777">
        <w:trPr>
          <w:trHeight w:val="1130"/>
        </w:trPr>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648B87" w14:textId="77777777" w:rsidR="00737DE2" w:rsidRPr="000554BE" w:rsidRDefault="00000000">
            <w:pPr>
              <w:pStyle w:val="Prrafodelista"/>
              <w:numPr>
                <w:ilvl w:val="0"/>
                <w:numId w:val="6"/>
              </w:numPr>
              <w:tabs>
                <w:tab w:val="clear" w:pos="222"/>
                <w:tab w:val="num" w:pos="243"/>
              </w:tabs>
              <w:spacing w:after="0" w:line="240" w:lineRule="auto"/>
              <w:ind w:left="243" w:hanging="235"/>
              <w:jc w:val="both"/>
              <w:rPr>
                <w:rFonts w:ascii="Arial" w:eastAsia="Arial" w:hAnsi="Arial" w:cs="Arial"/>
                <w:color w:val="0A0A0A"/>
                <w:lang w:val="en-US"/>
              </w:rPr>
            </w:pPr>
            <w:r>
              <w:rPr>
                <w:rFonts w:ascii="Arial"/>
                <w:color w:val="0A0A0A"/>
                <w:sz w:val="20"/>
                <w:szCs w:val="20"/>
                <w:u w:color="0A0A0A"/>
                <w:lang w:val="en-US"/>
              </w:rPr>
              <w:t>How does your research complement and support the key hypotheses from the published literature on this subject?</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99D06" w14:textId="77777777" w:rsidR="00737DE2" w:rsidRDefault="00000000">
            <w:pPr>
              <w:pStyle w:val="Body"/>
              <w:spacing w:after="0" w:line="240" w:lineRule="auto"/>
            </w:pPr>
            <w:r>
              <w:rPr>
                <w:sz w:val="24"/>
                <w:szCs w:val="24"/>
                <w:lang w:val="es-ES_tradnl"/>
              </w:rPr>
              <w:t>Agree</w:t>
            </w:r>
          </w:p>
        </w:tc>
        <w:tc>
          <w:tcPr>
            <w:tcW w:w="8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19C6FE" w14:textId="18F40A26" w:rsidR="00737DE2" w:rsidRDefault="00DC0DAE">
            <w:pPr>
              <w:pStyle w:val="Body"/>
              <w:spacing w:after="0" w:line="240" w:lineRule="auto"/>
              <w:jc w:val="both"/>
            </w:pPr>
            <w:r w:rsidRPr="000554BE">
              <w:rPr>
                <w:rFonts w:ascii="Arial"/>
                <w:color w:val="0A0A0A"/>
                <w:sz w:val="20"/>
                <w:szCs w:val="20"/>
                <w:u w:color="0A0A0A"/>
                <w:lang w:val="en-US"/>
              </w:rPr>
              <w:t xml:space="preserve">A new analytical category (legal risk) is provided to understand the complexity of informed decision-making processes. Key actors will have a tool that impacts the processes of conservation and protection of the watershed. </w:t>
            </w:r>
            <w:r w:rsidR="000554BE">
              <w:rPr>
                <w:rFonts w:ascii="Arial"/>
                <w:color w:val="0A0A0A"/>
                <w:sz w:val="20"/>
                <w:szCs w:val="20"/>
                <w:u w:color="0A0A0A"/>
                <w:lang w:val="en-US"/>
              </w:rPr>
              <w:t>This</w:t>
            </w:r>
            <w:r w:rsidRPr="00DC0DAE">
              <w:rPr>
                <w:rFonts w:ascii="Arial"/>
                <w:color w:val="0A0A0A"/>
                <w:sz w:val="20"/>
                <w:szCs w:val="20"/>
                <w:u w:color="0A0A0A"/>
                <w:lang w:val="es-ES_tradnl"/>
              </w:rPr>
              <w:t xml:space="preserve"> elements can be observed in lines 547-553.</w:t>
            </w:r>
          </w:p>
        </w:tc>
      </w:tr>
    </w:tbl>
    <w:p w14:paraId="7AC9E7D3" w14:textId="77777777" w:rsidR="00737DE2" w:rsidRDefault="00737DE2">
      <w:pPr>
        <w:pStyle w:val="Body"/>
        <w:spacing w:line="240" w:lineRule="auto"/>
      </w:pPr>
    </w:p>
    <w:p w14:paraId="2ECF7B18" w14:textId="77777777" w:rsidR="00737DE2" w:rsidRDefault="00737DE2">
      <w:pPr>
        <w:pStyle w:val="Body"/>
        <w:rPr>
          <w:lang w:val="en-US"/>
        </w:rPr>
      </w:pPr>
    </w:p>
    <w:p w14:paraId="68B221DB" w14:textId="77777777" w:rsidR="00737DE2" w:rsidRDefault="00737DE2">
      <w:pPr>
        <w:pStyle w:val="Body"/>
        <w:rPr>
          <w:lang w:val="en-US"/>
        </w:rPr>
      </w:pPr>
    </w:p>
    <w:p w14:paraId="381BD512" w14:textId="77777777" w:rsidR="000554BE" w:rsidRDefault="00EA0A25" w:rsidP="00EA0A25">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both"/>
        <w:rPr>
          <w:rFonts w:ascii="Arial"/>
          <w:color w:val="0A0A0A"/>
          <w:sz w:val="20"/>
          <w:szCs w:val="20"/>
          <w:lang w:val="en-US"/>
        </w:rPr>
      </w:pPr>
      <w:r>
        <w:rPr>
          <w:rFonts w:ascii="Arial"/>
          <w:color w:val="0A0A0A"/>
          <w:sz w:val="20"/>
          <w:szCs w:val="20"/>
          <w:lang w:val="en-US"/>
        </w:rPr>
        <w:t xml:space="preserve">Many thanks to the reviewer for </w:t>
      </w:r>
      <w:r w:rsidRPr="000554BE">
        <w:rPr>
          <w:rFonts w:ascii="Arial"/>
          <w:color w:val="0A0A0A"/>
          <w:sz w:val="20"/>
          <w:szCs w:val="20"/>
          <w:lang w:val="en-US"/>
        </w:rPr>
        <w:t>the</w:t>
      </w:r>
      <w:r>
        <w:rPr>
          <w:rFonts w:ascii="Arial"/>
          <w:color w:val="0A0A0A"/>
          <w:sz w:val="20"/>
          <w:szCs w:val="20"/>
          <w:lang w:val="en-US"/>
        </w:rPr>
        <w:t xml:space="preserve"> important contributions to the improvement of this article.</w:t>
      </w:r>
      <w:r w:rsidRPr="000554BE">
        <w:rPr>
          <w:rFonts w:ascii="Arial"/>
          <w:color w:val="0A0A0A"/>
          <w:sz w:val="20"/>
          <w:szCs w:val="20"/>
          <w:lang w:val="en-US"/>
        </w:rPr>
        <w:t xml:space="preserve"> </w:t>
      </w:r>
      <w:r>
        <w:rPr>
          <w:rFonts w:ascii="Arial"/>
          <w:color w:val="0A0A0A"/>
          <w:sz w:val="20"/>
          <w:szCs w:val="20"/>
          <w:lang w:val="es-ES_tradnl"/>
        </w:rPr>
        <w:t>The</w:t>
      </w:r>
      <w:r>
        <w:rPr>
          <w:rFonts w:ascii="Arial"/>
          <w:color w:val="0A0A0A"/>
          <w:sz w:val="20"/>
          <w:szCs w:val="20"/>
          <w:lang w:val="en-US"/>
        </w:rPr>
        <w:t xml:space="preserve"> authors.</w:t>
      </w:r>
    </w:p>
    <w:sectPr w:rsidR="000554BE">
      <w:headerReference w:type="default" r:id="rId7"/>
      <w:footerReference w:type="default" r:id="rId8"/>
      <w:pgSz w:w="16840" w:h="11900" w:orient="landscape"/>
      <w:pgMar w:top="1701" w:right="1417" w:bottom="1701"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C0FCC" w14:textId="77777777" w:rsidR="00E73E9C" w:rsidRDefault="00E73E9C">
      <w:r>
        <w:separator/>
      </w:r>
    </w:p>
  </w:endnote>
  <w:endnote w:type="continuationSeparator" w:id="0">
    <w:p w14:paraId="532D5322" w14:textId="77777777" w:rsidR="00E73E9C" w:rsidRDefault="00E7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2E1B" w14:textId="77777777" w:rsidR="00737DE2" w:rsidRDefault="00737DE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2855B" w14:textId="77777777" w:rsidR="00E73E9C" w:rsidRDefault="00E73E9C">
      <w:r>
        <w:separator/>
      </w:r>
    </w:p>
  </w:footnote>
  <w:footnote w:type="continuationSeparator" w:id="0">
    <w:p w14:paraId="3E542BDF" w14:textId="77777777" w:rsidR="00E73E9C" w:rsidRDefault="00E73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DDDF" w14:textId="77777777" w:rsidR="00737DE2" w:rsidRDefault="00737DE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84B"/>
    <w:multiLevelType w:val="multilevel"/>
    <w:tmpl w:val="5A94338C"/>
    <w:lvl w:ilvl="0">
      <w:start w:val="1"/>
      <w:numFmt w:val="decimal"/>
      <w:lvlText w:val="%1."/>
      <w:lvlJc w:val="left"/>
      <w:pPr>
        <w:tabs>
          <w:tab w:val="num" w:pos="222"/>
        </w:tabs>
        <w:ind w:left="222" w:hanging="214"/>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1">
      <w:start w:val="1"/>
      <w:numFmt w:val="lowerLetter"/>
      <w:lvlText w:val="%2."/>
      <w:lvlJc w:val="left"/>
      <w:pPr>
        <w:tabs>
          <w:tab w:val="num" w:pos="1380"/>
        </w:tabs>
        <w:ind w:left="13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2">
      <w:start w:val="1"/>
      <w:numFmt w:val="lowerRoman"/>
      <w:lvlText w:val="%3."/>
      <w:lvlJc w:val="left"/>
      <w:pPr>
        <w:tabs>
          <w:tab w:val="num" w:pos="2111"/>
        </w:tabs>
        <w:ind w:left="211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3">
      <w:start w:val="1"/>
      <w:numFmt w:val="decimal"/>
      <w:lvlText w:val="%4."/>
      <w:lvlJc w:val="left"/>
      <w:pPr>
        <w:tabs>
          <w:tab w:val="num" w:pos="2820"/>
        </w:tabs>
        <w:ind w:left="282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4">
      <w:start w:val="1"/>
      <w:numFmt w:val="lowerLetter"/>
      <w:lvlText w:val="%5."/>
      <w:lvlJc w:val="left"/>
      <w:pPr>
        <w:tabs>
          <w:tab w:val="num" w:pos="3540"/>
        </w:tabs>
        <w:ind w:left="354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5">
      <w:start w:val="1"/>
      <w:numFmt w:val="lowerRoman"/>
      <w:lvlText w:val="%6."/>
      <w:lvlJc w:val="left"/>
      <w:pPr>
        <w:tabs>
          <w:tab w:val="num" w:pos="4271"/>
        </w:tabs>
        <w:ind w:left="427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6">
      <w:start w:val="1"/>
      <w:numFmt w:val="decimal"/>
      <w:lvlText w:val="%7."/>
      <w:lvlJc w:val="left"/>
      <w:pPr>
        <w:tabs>
          <w:tab w:val="num" w:pos="4980"/>
        </w:tabs>
        <w:ind w:left="49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7">
      <w:start w:val="1"/>
      <w:numFmt w:val="lowerLetter"/>
      <w:lvlText w:val="%8."/>
      <w:lvlJc w:val="left"/>
      <w:pPr>
        <w:tabs>
          <w:tab w:val="num" w:pos="5700"/>
        </w:tabs>
        <w:ind w:left="570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8">
      <w:start w:val="1"/>
      <w:numFmt w:val="lowerRoman"/>
      <w:lvlText w:val="%9."/>
      <w:lvlJc w:val="left"/>
      <w:pPr>
        <w:tabs>
          <w:tab w:val="num" w:pos="6431"/>
        </w:tabs>
        <w:ind w:left="643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abstractNum>
  <w:abstractNum w:abstractNumId="1" w15:restartNumberingAfterBreak="0">
    <w:nsid w:val="10426C84"/>
    <w:multiLevelType w:val="multilevel"/>
    <w:tmpl w:val="B97660B4"/>
    <w:lvl w:ilvl="0">
      <w:start w:val="2"/>
      <w:numFmt w:val="decimal"/>
      <w:lvlText w:val="%1."/>
      <w:lvlJc w:val="left"/>
      <w:pPr>
        <w:tabs>
          <w:tab w:val="num" w:pos="222"/>
        </w:tabs>
        <w:ind w:left="222" w:hanging="214"/>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1">
      <w:start w:val="1"/>
      <w:numFmt w:val="lowerLetter"/>
      <w:lvlText w:val="%2."/>
      <w:lvlJc w:val="left"/>
      <w:pPr>
        <w:tabs>
          <w:tab w:val="num" w:pos="1380"/>
        </w:tabs>
        <w:ind w:left="13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2">
      <w:start w:val="1"/>
      <w:numFmt w:val="lowerRoman"/>
      <w:lvlText w:val="%3."/>
      <w:lvlJc w:val="left"/>
      <w:pPr>
        <w:tabs>
          <w:tab w:val="num" w:pos="2111"/>
        </w:tabs>
        <w:ind w:left="211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3">
      <w:start w:val="1"/>
      <w:numFmt w:val="decimal"/>
      <w:lvlText w:val="%4."/>
      <w:lvlJc w:val="left"/>
      <w:pPr>
        <w:tabs>
          <w:tab w:val="num" w:pos="2820"/>
        </w:tabs>
        <w:ind w:left="282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4">
      <w:start w:val="1"/>
      <w:numFmt w:val="lowerLetter"/>
      <w:lvlText w:val="%5."/>
      <w:lvlJc w:val="left"/>
      <w:pPr>
        <w:tabs>
          <w:tab w:val="num" w:pos="3540"/>
        </w:tabs>
        <w:ind w:left="354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5">
      <w:start w:val="1"/>
      <w:numFmt w:val="lowerRoman"/>
      <w:lvlText w:val="%6."/>
      <w:lvlJc w:val="left"/>
      <w:pPr>
        <w:tabs>
          <w:tab w:val="num" w:pos="4271"/>
        </w:tabs>
        <w:ind w:left="427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6">
      <w:start w:val="1"/>
      <w:numFmt w:val="decimal"/>
      <w:lvlText w:val="%7."/>
      <w:lvlJc w:val="left"/>
      <w:pPr>
        <w:tabs>
          <w:tab w:val="num" w:pos="4980"/>
        </w:tabs>
        <w:ind w:left="49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7">
      <w:start w:val="1"/>
      <w:numFmt w:val="lowerLetter"/>
      <w:lvlText w:val="%8."/>
      <w:lvlJc w:val="left"/>
      <w:pPr>
        <w:tabs>
          <w:tab w:val="num" w:pos="5700"/>
        </w:tabs>
        <w:ind w:left="570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8">
      <w:start w:val="1"/>
      <w:numFmt w:val="lowerRoman"/>
      <w:lvlText w:val="%9."/>
      <w:lvlJc w:val="left"/>
      <w:pPr>
        <w:tabs>
          <w:tab w:val="num" w:pos="6431"/>
        </w:tabs>
        <w:ind w:left="643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abstractNum>
  <w:abstractNum w:abstractNumId="2" w15:restartNumberingAfterBreak="0">
    <w:nsid w:val="3E712C33"/>
    <w:multiLevelType w:val="multilevel"/>
    <w:tmpl w:val="D3FE48AC"/>
    <w:lvl w:ilvl="0">
      <w:start w:val="3"/>
      <w:numFmt w:val="decimal"/>
      <w:lvlText w:val="%1."/>
      <w:lvlJc w:val="left"/>
      <w:pPr>
        <w:tabs>
          <w:tab w:val="num" w:pos="222"/>
        </w:tabs>
        <w:ind w:left="222" w:hanging="214"/>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1">
      <w:start w:val="1"/>
      <w:numFmt w:val="lowerLetter"/>
      <w:lvlText w:val="%2."/>
      <w:lvlJc w:val="left"/>
      <w:pPr>
        <w:tabs>
          <w:tab w:val="num" w:pos="1380"/>
        </w:tabs>
        <w:ind w:left="13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2">
      <w:start w:val="1"/>
      <w:numFmt w:val="lowerRoman"/>
      <w:lvlText w:val="%3."/>
      <w:lvlJc w:val="left"/>
      <w:pPr>
        <w:tabs>
          <w:tab w:val="num" w:pos="2111"/>
        </w:tabs>
        <w:ind w:left="211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3">
      <w:start w:val="1"/>
      <w:numFmt w:val="decimal"/>
      <w:lvlText w:val="%4."/>
      <w:lvlJc w:val="left"/>
      <w:pPr>
        <w:tabs>
          <w:tab w:val="num" w:pos="2820"/>
        </w:tabs>
        <w:ind w:left="282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4">
      <w:start w:val="1"/>
      <w:numFmt w:val="lowerLetter"/>
      <w:lvlText w:val="%5."/>
      <w:lvlJc w:val="left"/>
      <w:pPr>
        <w:tabs>
          <w:tab w:val="num" w:pos="3540"/>
        </w:tabs>
        <w:ind w:left="354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5">
      <w:start w:val="1"/>
      <w:numFmt w:val="lowerRoman"/>
      <w:lvlText w:val="%6."/>
      <w:lvlJc w:val="left"/>
      <w:pPr>
        <w:tabs>
          <w:tab w:val="num" w:pos="4271"/>
        </w:tabs>
        <w:ind w:left="427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6">
      <w:start w:val="1"/>
      <w:numFmt w:val="decimal"/>
      <w:lvlText w:val="%7."/>
      <w:lvlJc w:val="left"/>
      <w:pPr>
        <w:tabs>
          <w:tab w:val="num" w:pos="4980"/>
        </w:tabs>
        <w:ind w:left="49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7">
      <w:start w:val="1"/>
      <w:numFmt w:val="lowerLetter"/>
      <w:lvlText w:val="%8."/>
      <w:lvlJc w:val="left"/>
      <w:pPr>
        <w:tabs>
          <w:tab w:val="num" w:pos="5700"/>
        </w:tabs>
        <w:ind w:left="570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8">
      <w:start w:val="1"/>
      <w:numFmt w:val="lowerRoman"/>
      <w:lvlText w:val="%9."/>
      <w:lvlJc w:val="left"/>
      <w:pPr>
        <w:tabs>
          <w:tab w:val="num" w:pos="6431"/>
        </w:tabs>
        <w:ind w:left="643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abstractNum>
  <w:abstractNum w:abstractNumId="3" w15:restartNumberingAfterBreak="0">
    <w:nsid w:val="467526CB"/>
    <w:multiLevelType w:val="multilevel"/>
    <w:tmpl w:val="FA4E302A"/>
    <w:lvl w:ilvl="0">
      <w:start w:val="1"/>
      <w:numFmt w:val="decimal"/>
      <w:lvlText w:val="%1."/>
      <w:lvlJc w:val="left"/>
      <w:pPr>
        <w:tabs>
          <w:tab w:val="num" w:pos="222"/>
        </w:tabs>
        <w:ind w:left="222" w:hanging="214"/>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1">
      <w:start w:val="1"/>
      <w:numFmt w:val="lowerLetter"/>
      <w:lvlText w:val="%2."/>
      <w:lvlJc w:val="left"/>
      <w:pPr>
        <w:tabs>
          <w:tab w:val="num" w:pos="1380"/>
        </w:tabs>
        <w:ind w:left="13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2">
      <w:start w:val="1"/>
      <w:numFmt w:val="lowerRoman"/>
      <w:lvlText w:val="%3."/>
      <w:lvlJc w:val="left"/>
      <w:pPr>
        <w:tabs>
          <w:tab w:val="num" w:pos="2111"/>
        </w:tabs>
        <w:ind w:left="211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3">
      <w:start w:val="1"/>
      <w:numFmt w:val="decimal"/>
      <w:lvlText w:val="%4."/>
      <w:lvlJc w:val="left"/>
      <w:pPr>
        <w:tabs>
          <w:tab w:val="num" w:pos="2820"/>
        </w:tabs>
        <w:ind w:left="282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4">
      <w:start w:val="1"/>
      <w:numFmt w:val="lowerLetter"/>
      <w:lvlText w:val="%5."/>
      <w:lvlJc w:val="left"/>
      <w:pPr>
        <w:tabs>
          <w:tab w:val="num" w:pos="3540"/>
        </w:tabs>
        <w:ind w:left="354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5">
      <w:start w:val="1"/>
      <w:numFmt w:val="lowerRoman"/>
      <w:lvlText w:val="%6."/>
      <w:lvlJc w:val="left"/>
      <w:pPr>
        <w:tabs>
          <w:tab w:val="num" w:pos="4271"/>
        </w:tabs>
        <w:ind w:left="427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6">
      <w:start w:val="1"/>
      <w:numFmt w:val="decimal"/>
      <w:lvlText w:val="%7."/>
      <w:lvlJc w:val="left"/>
      <w:pPr>
        <w:tabs>
          <w:tab w:val="num" w:pos="4980"/>
        </w:tabs>
        <w:ind w:left="49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7">
      <w:start w:val="1"/>
      <w:numFmt w:val="lowerLetter"/>
      <w:lvlText w:val="%8."/>
      <w:lvlJc w:val="left"/>
      <w:pPr>
        <w:tabs>
          <w:tab w:val="num" w:pos="5700"/>
        </w:tabs>
        <w:ind w:left="570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8">
      <w:start w:val="1"/>
      <w:numFmt w:val="lowerRoman"/>
      <w:lvlText w:val="%9."/>
      <w:lvlJc w:val="left"/>
      <w:pPr>
        <w:tabs>
          <w:tab w:val="num" w:pos="6431"/>
        </w:tabs>
        <w:ind w:left="643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abstractNum>
  <w:abstractNum w:abstractNumId="4" w15:restartNumberingAfterBreak="0">
    <w:nsid w:val="5C021074"/>
    <w:multiLevelType w:val="multilevel"/>
    <w:tmpl w:val="E25C72A4"/>
    <w:styleLink w:val="List0"/>
    <w:lvl w:ilvl="0">
      <w:start w:val="4"/>
      <w:numFmt w:val="decimal"/>
      <w:lvlText w:val="%1."/>
      <w:lvlJc w:val="left"/>
      <w:pPr>
        <w:tabs>
          <w:tab w:val="num" w:pos="222"/>
        </w:tabs>
        <w:ind w:left="222" w:hanging="214"/>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1">
      <w:start w:val="1"/>
      <w:numFmt w:val="lowerLetter"/>
      <w:lvlText w:val="%2."/>
      <w:lvlJc w:val="left"/>
      <w:pPr>
        <w:tabs>
          <w:tab w:val="num" w:pos="1380"/>
        </w:tabs>
        <w:ind w:left="13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2">
      <w:start w:val="1"/>
      <w:numFmt w:val="lowerRoman"/>
      <w:lvlText w:val="%3."/>
      <w:lvlJc w:val="left"/>
      <w:pPr>
        <w:tabs>
          <w:tab w:val="num" w:pos="2111"/>
        </w:tabs>
        <w:ind w:left="211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3">
      <w:start w:val="1"/>
      <w:numFmt w:val="decimal"/>
      <w:lvlText w:val="%4."/>
      <w:lvlJc w:val="left"/>
      <w:pPr>
        <w:tabs>
          <w:tab w:val="num" w:pos="2820"/>
        </w:tabs>
        <w:ind w:left="282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4">
      <w:start w:val="1"/>
      <w:numFmt w:val="lowerLetter"/>
      <w:lvlText w:val="%5."/>
      <w:lvlJc w:val="left"/>
      <w:pPr>
        <w:tabs>
          <w:tab w:val="num" w:pos="3540"/>
        </w:tabs>
        <w:ind w:left="354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5">
      <w:start w:val="1"/>
      <w:numFmt w:val="lowerRoman"/>
      <w:lvlText w:val="%6."/>
      <w:lvlJc w:val="left"/>
      <w:pPr>
        <w:tabs>
          <w:tab w:val="num" w:pos="4271"/>
        </w:tabs>
        <w:ind w:left="427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6">
      <w:start w:val="1"/>
      <w:numFmt w:val="decimal"/>
      <w:lvlText w:val="%7."/>
      <w:lvlJc w:val="left"/>
      <w:pPr>
        <w:tabs>
          <w:tab w:val="num" w:pos="4980"/>
        </w:tabs>
        <w:ind w:left="498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7">
      <w:start w:val="1"/>
      <w:numFmt w:val="lowerLetter"/>
      <w:lvlText w:val="%8."/>
      <w:lvlJc w:val="left"/>
      <w:pPr>
        <w:tabs>
          <w:tab w:val="num" w:pos="5700"/>
        </w:tabs>
        <w:ind w:left="5700" w:hanging="300"/>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lvl w:ilvl="8">
      <w:start w:val="1"/>
      <w:numFmt w:val="lowerRoman"/>
      <w:lvlText w:val="%9."/>
      <w:lvlJc w:val="left"/>
      <w:pPr>
        <w:tabs>
          <w:tab w:val="num" w:pos="6431"/>
        </w:tabs>
        <w:ind w:left="6431" w:hanging="247"/>
      </w:pPr>
      <w:rPr>
        <w:rFonts w:ascii="Arial" w:eastAsia="Arial" w:hAnsi="Arial" w:cs="Arial"/>
        <w:caps w:val="0"/>
        <w:smallCaps w:val="0"/>
        <w:strike w:val="0"/>
        <w:dstrike w:val="0"/>
        <w:outline w:val="0"/>
        <w:color w:val="0A0A0A"/>
        <w:spacing w:val="0"/>
        <w:kern w:val="0"/>
        <w:position w:val="0"/>
        <w:sz w:val="20"/>
        <w:szCs w:val="20"/>
        <w:u w:val="none" w:color="0A0A0A"/>
        <w:vertAlign w:val="baseline"/>
        <w:lang w:val="en-US"/>
      </w:rPr>
    </w:lvl>
  </w:abstractNum>
  <w:abstractNum w:abstractNumId="5" w15:restartNumberingAfterBreak="0">
    <w:nsid w:val="5EAE7D5E"/>
    <w:multiLevelType w:val="multilevel"/>
    <w:tmpl w:val="CB702C5E"/>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16cid:durableId="2067337907">
    <w:abstractNumId w:val="0"/>
  </w:num>
  <w:num w:numId="2" w16cid:durableId="1741364872">
    <w:abstractNumId w:val="5"/>
  </w:num>
  <w:num w:numId="3" w16cid:durableId="2005427805">
    <w:abstractNumId w:val="3"/>
  </w:num>
  <w:num w:numId="4" w16cid:durableId="2135902251">
    <w:abstractNumId w:val="1"/>
  </w:num>
  <w:num w:numId="5" w16cid:durableId="620187897">
    <w:abstractNumId w:val="2"/>
  </w:num>
  <w:num w:numId="6" w16cid:durableId="393048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DE2"/>
    <w:rsid w:val="000554BE"/>
    <w:rsid w:val="000642E4"/>
    <w:rsid w:val="000D0F2E"/>
    <w:rsid w:val="002E29E9"/>
    <w:rsid w:val="004B23AE"/>
    <w:rsid w:val="0065664D"/>
    <w:rsid w:val="00737DE2"/>
    <w:rsid w:val="00882C8B"/>
    <w:rsid w:val="00DC0DAE"/>
    <w:rsid w:val="00E73E9C"/>
    <w:rsid w:val="00EA0A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8781B"/>
  <w15:docId w15:val="{A775AEF4-E3C7-4AFB-8249-A293B360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CO" w:eastAsia="es-C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uppressAutoHyphens/>
      <w:spacing w:after="160" w:line="259" w:lineRule="auto"/>
    </w:pPr>
    <w:rPr>
      <w:rFonts w:ascii="Calibri" w:eastAsia="Calibri" w:hAnsi="Calibri" w:cs="Calibri"/>
      <w:color w:val="000000"/>
      <w:sz w:val="22"/>
      <w:szCs w:val="22"/>
      <w:u w:color="000000"/>
    </w:rPr>
  </w:style>
  <w:style w:type="paragraph" w:styleId="NormalWeb">
    <w:name w:val="Normal (Web)"/>
    <w:pPr>
      <w:spacing w:before="100" w:after="100"/>
    </w:pPr>
    <w:rPr>
      <w:rFonts w:hAnsi="Arial Unicode MS" w:cs="Arial Unicode MS"/>
      <w:color w:val="000000"/>
      <w:sz w:val="24"/>
      <w:szCs w:val="24"/>
      <w:u w:color="000000"/>
      <w:lang w:val="en-US"/>
    </w:rPr>
  </w:style>
  <w:style w:type="paragraph" w:styleId="Prrafodelista">
    <w:name w:val="List Paragraph"/>
    <w:pPr>
      <w:suppressAutoHyphens/>
      <w:spacing w:after="160" w:line="259" w:lineRule="auto"/>
      <w:ind w:left="720"/>
    </w:pPr>
    <w:rPr>
      <w:rFonts w:ascii="Calibri" w:eastAsia="Calibri" w:hAnsi="Calibri" w:cs="Calibri"/>
      <w:color w:val="000000"/>
      <w:sz w:val="22"/>
      <w:szCs w:val="22"/>
      <w:u w:color="000000"/>
      <w:lang w:val="es-ES_tradnl"/>
    </w:rPr>
  </w:style>
  <w:style w:type="numbering" w:customStyle="1" w:styleId="List0">
    <w:name w:val="List 0"/>
    <w:basedOn w:val="ImportedStyle1"/>
    <w:pPr>
      <w:numPr>
        <w:numId w:val="6"/>
      </w:numPr>
    </w:pPr>
  </w:style>
  <w:style w:type="numbering" w:customStyle="1" w:styleId="ImportedStyle1">
    <w:name w:val="Imported Style 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492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7916"/>
          </a:lnSpc>
          <a:spcBef>
            <a:spcPts val="8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841</Words>
  <Characters>4629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Celene Milanés Batista</dc:creator>
  <cp:lastModifiedBy>Celene Milanés Batista</cp:lastModifiedBy>
  <cp:revision>3</cp:revision>
  <dcterms:created xsi:type="dcterms:W3CDTF">2023-03-21T05:41:00Z</dcterms:created>
  <dcterms:modified xsi:type="dcterms:W3CDTF">2023-03-21T06:29:00Z</dcterms:modified>
</cp:coreProperties>
</file>