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EB7" w:rsidRPr="00877EB7" w:rsidRDefault="00877EB7" w:rsidP="00877EB7">
      <w:pPr>
        <w:pStyle w:val="afe"/>
        <w:rPr>
          <w:rFonts w:ascii="Palatino Linotype" w:hAnsi="Palatino Linotype"/>
        </w:rPr>
      </w:pPr>
      <w:r w:rsidRPr="00877EB7">
        <w:rPr>
          <w:rFonts w:ascii="Palatino Linotype" w:hAnsi="Palatino Linotype"/>
        </w:rPr>
        <w:t>Response to Reviewer 1 Comments</w:t>
      </w:r>
    </w:p>
    <w:p w:rsidR="00877EB7" w:rsidRPr="00BD6E57" w:rsidRDefault="00877EB7" w:rsidP="00877EB7">
      <w:pPr>
        <w:rPr>
          <w:rFonts w:ascii="Times New Roman" w:hAnsi="Times New Roman"/>
        </w:rPr>
      </w:pPr>
    </w:p>
    <w:p w:rsidR="00877EB7" w:rsidRPr="00E94300" w:rsidRDefault="00877EB7" w:rsidP="00E94300">
      <w:pPr>
        <w:rPr>
          <w:b/>
        </w:rPr>
      </w:pPr>
      <w:r w:rsidRPr="00877EB7">
        <w:rPr>
          <w:b/>
        </w:rPr>
        <w:t xml:space="preserve">Point 1: </w:t>
      </w:r>
      <w:r w:rsidR="00E94300" w:rsidRPr="00E94300">
        <w:t>The evaluation method has weighted the population data, but this element has not appeared in the subsequent quantitative and qualitative analysis. The population information should be added.</w:t>
      </w:r>
    </w:p>
    <w:p w:rsidR="00877EB7" w:rsidRPr="00877EB7" w:rsidRDefault="00877EB7" w:rsidP="00877EB7">
      <w:pPr>
        <w:rPr>
          <w:b/>
        </w:rPr>
      </w:pPr>
    </w:p>
    <w:p w:rsidR="00D219F2" w:rsidRPr="00D219F2" w:rsidRDefault="00877EB7" w:rsidP="00877EB7">
      <w:pPr>
        <w:rPr>
          <w:color w:val="FF0000"/>
        </w:rPr>
      </w:pPr>
      <w:r w:rsidRPr="00877EB7">
        <w:rPr>
          <w:b/>
          <w:color w:val="FF0000"/>
        </w:rPr>
        <w:t xml:space="preserve">Response 1: </w:t>
      </w:r>
      <w:r w:rsidR="00774066" w:rsidRPr="00774066">
        <w:rPr>
          <w:color w:val="FF0000"/>
        </w:rPr>
        <w:t>Thank y</w:t>
      </w:r>
      <w:r w:rsidR="00601AF6">
        <w:rPr>
          <w:color w:val="FF0000"/>
        </w:rPr>
        <w:t xml:space="preserve">ou for your valuable </w:t>
      </w:r>
      <w:r w:rsidR="0089426D">
        <w:rPr>
          <w:color w:val="FF0000"/>
        </w:rPr>
        <w:t>comment</w:t>
      </w:r>
      <w:r w:rsidR="00774066" w:rsidRPr="00774066">
        <w:rPr>
          <w:color w:val="FF0000"/>
        </w:rPr>
        <w:t xml:space="preserve">. We have added the population information in </w:t>
      </w:r>
      <w:r w:rsidR="00601AF6">
        <w:rPr>
          <w:color w:val="FF0000"/>
        </w:rPr>
        <w:t>Table 3</w:t>
      </w:r>
      <w:r w:rsidR="00774066" w:rsidRPr="00774066">
        <w:rPr>
          <w:color w:val="FF0000"/>
        </w:rPr>
        <w:t xml:space="preserve">, </w:t>
      </w:r>
      <w:r w:rsidR="00774066">
        <w:rPr>
          <w:color w:val="FF0000"/>
        </w:rPr>
        <w:t xml:space="preserve">then </w:t>
      </w:r>
      <w:r w:rsidR="00774066" w:rsidRPr="00774066">
        <w:rPr>
          <w:color w:val="FF0000"/>
        </w:rPr>
        <w:t>analyzed it in Section 3.2.</w:t>
      </w:r>
      <w:r w:rsidR="00601AF6">
        <w:rPr>
          <w:color w:val="FF0000"/>
        </w:rPr>
        <w:t>3</w:t>
      </w:r>
      <w:r w:rsidR="00601AF6">
        <w:t xml:space="preserve"> </w:t>
      </w:r>
      <w:r w:rsidR="00601AF6">
        <w:rPr>
          <w:color w:val="FF0000"/>
        </w:rPr>
        <w:t>(</w:t>
      </w:r>
      <w:r w:rsidR="00B80C02">
        <w:rPr>
          <w:color w:val="FF0000"/>
        </w:rPr>
        <w:t xml:space="preserve">p 13-14, </w:t>
      </w:r>
      <w:r w:rsidR="000664B6">
        <w:rPr>
          <w:color w:val="FF0000"/>
        </w:rPr>
        <w:t>line 409-</w:t>
      </w:r>
      <w:r w:rsidR="00601AF6">
        <w:rPr>
          <w:color w:val="FF0000"/>
        </w:rPr>
        <w:t>447)</w:t>
      </w:r>
      <w:r w:rsidR="00D219F2">
        <w:rPr>
          <w:color w:val="FF0000"/>
        </w:rPr>
        <w:t>:</w:t>
      </w:r>
      <w:r w:rsidR="00D219F2">
        <w:rPr>
          <w:rFonts w:hint="eastAsia"/>
          <w:color w:val="FF0000"/>
        </w:rPr>
        <w:t xml:space="preserve"> </w:t>
      </w:r>
      <w:r w:rsidR="00D219F2">
        <w:rPr>
          <w:color w:val="FF0000"/>
        </w:rPr>
        <w:t>“</w:t>
      </w:r>
      <w:r w:rsidR="00D219F2" w:rsidRPr="00D219F2">
        <w:rPr>
          <w:color w:val="FF0000"/>
        </w:rPr>
        <w:t>We found that the population within the 5th ring in B</w:t>
      </w:r>
      <w:r w:rsidR="00D219F2">
        <w:rPr>
          <w:color w:val="FF0000"/>
        </w:rPr>
        <w:t>eijing has been continuously in</w:t>
      </w:r>
      <w:r w:rsidR="00D219F2" w:rsidRPr="00D219F2">
        <w:rPr>
          <w:color w:val="FF0000"/>
        </w:rPr>
        <w:t>creasing and approaching saturation from 1990 to 2020, but the residential exposure to green space did not show this trend. In fact, population growth leads to changes in population distribution, which in turn affects the residential exposure to green space. We can assume that the population is evenly distributed (i.e., the utilization rate of all green space is consistent) when we do not consider pop</w:t>
      </w:r>
      <w:r w:rsidR="000664B6">
        <w:rPr>
          <w:color w:val="FF0000"/>
        </w:rPr>
        <w:t>ulation factors, thus we can ob</w:t>
      </w:r>
      <w:r w:rsidR="00D219F2" w:rsidRPr="00D219F2">
        <w:rPr>
          <w:color w:val="FF0000"/>
        </w:rPr>
        <w:t>tain a new value, GE_green. The uneven distribution of the population results in a GE_green that is about 20% higher than the corresponding</w:t>
      </w:r>
      <w:r w:rsidR="00D219F2">
        <w:rPr>
          <w:color w:val="FF0000"/>
        </w:rPr>
        <w:t xml:space="preserve"> GE in the same year. This indi</w:t>
      </w:r>
      <w:r w:rsidR="00D219F2" w:rsidRPr="00D219F2">
        <w:rPr>
          <w:color w:val="FF0000"/>
        </w:rPr>
        <w:t>cates that areas with high green coverage have low population density and low utilization of green space. In the city's core area, although the population density is high, there is little green space.</w:t>
      </w:r>
      <w:r w:rsidR="00D219F2">
        <w:rPr>
          <w:color w:val="FF0000"/>
        </w:rPr>
        <w:t>”</w:t>
      </w:r>
    </w:p>
    <w:p w:rsidR="00877EB7" w:rsidRPr="00B80C02" w:rsidRDefault="00877EB7" w:rsidP="00877EB7"/>
    <w:p w:rsidR="00877EB7" w:rsidRPr="00877EB7" w:rsidRDefault="00877EB7" w:rsidP="00877EB7">
      <w:r w:rsidRPr="00877EB7">
        <w:rPr>
          <w:b/>
        </w:rPr>
        <w:t>Point 2:</w:t>
      </w:r>
      <w:r w:rsidR="00E94300">
        <w:t xml:space="preserve"> </w:t>
      </w:r>
      <w:r w:rsidR="00E94300" w:rsidRPr="00E94300">
        <w:t>Section 3.</w:t>
      </w:r>
      <w:r w:rsidR="00FE3AC7">
        <w:t>2</w:t>
      </w:r>
      <w:r w:rsidR="00E94300" w:rsidRPr="00E94300">
        <w:t>.2 of the paper illustrates the advantages of the evaluation method based on NDVI: it can detect the reduction of the residential exposure to green space caused by the degradation of green space, but the magnitude of this reduction is not explained. This should be explained clearly. In addition, this part can be listed in a separate section, and other supporting evidence should be added.</w:t>
      </w:r>
    </w:p>
    <w:p w:rsidR="00877EB7" w:rsidRPr="00877EB7" w:rsidRDefault="00877EB7" w:rsidP="00877EB7"/>
    <w:p w:rsidR="00D219F2" w:rsidRDefault="00877EB7" w:rsidP="00877EB7">
      <w:pPr>
        <w:rPr>
          <w:rFonts w:hint="eastAsia"/>
          <w:color w:val="FF0000"/>
        </w:rPr>
      </w:pPr>
      <w:r w:rsidRPr="00877EB7">
        <w:rPr>
          <w:b/>
          <w:color w:val="FF0000"/>
        </w:rPr>
        <w:t>Response 2:</w:t>
      </w:r>
      <w:r w:rsidR="00CD6C1B">
        <w:rPr>
          <w:color w:val="FF0000"/>
        </w:rPr>
        <w:t xml:space="preserve"> </w:t>
      </w:r>
      <w:r w:rsidR="00FE3AC7" w:rsidRPr="00FE3AC7">
        <w:rPr>
          <w:color w:val="FF0000"/>
        </w:rPr>
        <w:t xml:space="preserve">Based on your </w:t>
      </w:r>
      <w:r w:rsidR="0089426D">
        <w:rPr>
          <w:color w:val="FF0000"/>
        </w:rPr>
        <w:t>comment</w:t>
      </w:r>
      <w:r w:rsidR="00FE3AC7" w:rsidRPr="00FE3AC7">
        <w:rPr>
          <w:color w:val="FF0000"/>
        </w:rPr>
        <w:t xml:space="preserve">, we examined the degree of decline in </w:t>
      </w:r>
      <w:r w:rsidR="00FE3AC7">
        <w:rPr>
          <w:color w:val="FF0000"/>
        </w:rPr>
        <w:t>residential</w:t>
      </w:r>
      <w:r w:rsidR="00FE3AC7" w:rsidRPr="00FE3AC7">
        <w:rPr>
          <w:color w:val="FF0000"/>
        </w:rPr>
        <w:t xml:space="preserve"> exposu</w:t>
      </w:r>
      <w:r w:rsidR="00FE3AC7">
        <w:rPr>
          <w:color w:val="FF0000"/>
        </w:rPr>
        <w:t xml:space="preserve">re to green space </w:t>
      </w:r>
      <w:r w:rsidR="00FE3AC7" w:rsidRPr="00FE3AC7">
        <w:rPr>
          <w:color w:val="FF0000"/>
        </w:rPr>
        <w:t>and discovered that the degradation of green space has a</w:t>
      </w:r>
      <w:r w:rsidR="00536D99">
        <w:rPr>
          <w:color w:val="FF0000"/>
        </w:rPr>
        <w:t>n</w:t>
      </w:r>
      <w:r w:rsidR="00FE3AC7" w:rsidRPr="00FE3AC7">
        <w:rPr>
          <w:color w:val="FF0000"/>
        </w:rPr>
        <w:t xml:space="preserve"> </w:t>
      </w:r>
      <w:r w:rsidR="00FE3AC7">
        <w:rPr>
          <w:color w:val="FF0000"/>
        </w:rPr>
        <w:t>obvious</w:t>
      </w:r>
      <w:r w:rsidR="00FE3AC7" w:rsidRPr="00FE3AC7">
        <w:rPr>
          <w:color w:val="FF0000"/>
        </w:rPr>
        <w:t xml:space="preserve"> impact on </w:t>
      </w:r>
      <w:r w:rsidR="00FE3AC7">
        <w:rPr>
          <w:color w:val="FF0000"/>
        </w:rPr>
        <w:t>it</w:t>
      </w:r>
      <w:r w:rsidR="00FE3AC7" w:rsidRPr="00FE3AC7">
        <w:rPr>
          <w:color w:val="FF0000"/>
        </w:rPr>
        <w:t xml:space="preserve"> (i.e., from 0.326 to 0.229), which we explained in the paper</w:t>
      </w:r>
      <w:r w:rsidR="00FE3AC7">
        <w:rPr>
          <w:color w:val="FF0000"/>
        </w:rPr>
        <w:t xml:space="preserve"> (</w:t>
      </w:r>
      <w:r w:rsidR="00B80C02">
        <w:rPr>
          <w:color w:val="FF0000"/>
        </w:rPr>
        <w:t xml:space="preserve">p 12, </w:t>
      </w:r>
      <w:r w:rsidR="00FE3AC7">
        <w:rPr>
          <w:color w:val="FF0000"/>
        </w:rPr>
        <w:t>line 391-39</w:t>
      </w:r>
      <w:r w:rsidR="00D219F2">
        <w:rPr>
          <w:color w:val="FF0000"/>
        </w:rPr>
        <w:t>4</w:t>
      </w:r>
      <w:r w:rsidR="00FE3AC7">
        <w:rPr>
          <w:color w:val="FF0000"/>
        </w:rPr>
        <w:t>)</w:t>
      </w:r>
      <w:r w:rsidR="00D219F2">
        <w:rPr>
          <w:color w:val="FF0000"/>
        </w:rPr>
        <w:t>: “</w:t>
      </w:r>
      <w:r w:rsidR="00D219F2" w:rsidRPr="00D219F2">
        <w:rPr>
          <w:color w:val="FF0000"/>
        </w:rPr>
        <w:t>The degradation and loss of UGS has resulted in a substantial decrease (i.e., from 0.326 to 0.229) of the residential exposure to green space in the block and adjacent blocks, severely limiting residents’ access to UGS, and reducing the well-being of residents in these blocks.</w:t>
      </w:r>
      <w:r w:rsidR="00D219F2">
        <w:rPr>
          <w:color w:val="FF0000"/>
        </w:rPr>
        <w:t>”</w:t>
      </w:r>
    </w:p>
    <w:p w:rsidR="00877EB7" w:rsidRPr="00D219F2" w:rsidRDefault="006F18E8" w:rsidP="00D219F2">
      <w:pPr>
        <w:ind w:firstLineChars="200" w:firstLine="400"/>
        <w:rPr>
          <w:color w:val="FF0000"/>
        </w:rPr>
      </w:pPr>
      <w:r>
        <w:rPr>
          <w:color w:val="FF0000"/>
        </w:rPr>
        <w:t>Moreover, w</w:t>
      </w:r>
      <w:r w:rsidRPr="006F18E8">
        <w:rPr>
          <w:color w:val="FF0000"/>
        </w:rPr>
        <w:t xml:space="preserve">e added </w:t>
      </w:r>
      <w:r w:rsidR="00BE49DE" w:rsidRPr="00BE49DE">
        <w:rPr>
          <w:color w:val="FF0000"/>
        </w:rPr>
        <w:t>detailed</w:t>
      </w:r>
      <w:r w:rsidR="00BE49DE">
        <w:rPr>
          <w:color w:val="FF0000"/>
        </w:rPr>
        <w:t xml:space="preserve"> </w:t>
      </w:r>
      <w:r w:rsidRPr="006F18E8">
        <w:rPr>
          <w:color w:val="FF0000"/>
        </w:rPr>
        <w:t xml:space="preserve">information on the distribution of </w:t>
      </w:r>
      <w:r>
        <w:rPr>
          <w:color w:val="FF0000"/>
        </w:rPr>
        <w:t>blocks</w:t>
      </w:r>
      <w:r w:rsidRPr="006F18E8">
        <w:rPr>
          <w:color w:val="FF0000"/>
        </w:rPr>
        <w:t xml:space="preserve"> with reduced </w:t>
      </w:r>
      <w:r>
        <w:rPr>
          <w:color w:val="FF0000"/>
        </w:rPr>
        <w:t>residential</w:t>
      </w:r>
      <w:r w:rsidRPr="006F18E8">
        <w:rPr>
          <w:color w:val="FF0000"/>
        </w:rPr>
        <w:t xml:space="preserve"> exposure</w:t>
      </w:r>
      <w:r>
        <w:rPr>
          <w:color w:val="FF0000"/>
        </w:rPr>
        <w:t xml:space="preserve"> to green space</w:t>
      </w:r>
      <w:r w:rsidRPr="006F18E8">
        <w:rPr>
          <w:color w:val="FF0000"/>
        </w:rPr>
        <w:t xml:space="preserve"> from 2015-2020</w:t>
      </w:r>
      <w:r w:rsidR="00BE49DE">
        <w:rPr>
          <w:color w:val="FF0000"/>
        </w:rPr>
        <w:t xml:space="preserve"> in section 3.</w:t>
      </w:r>
      <w:r w:rsidR="00FE3AC7">
        <w:rPr>
          <w:color w:val="FF0000"/>
        </w:rPr>
        <w:t>2</w:t>
      </w:r>
      <w:r w:rsidR="00BE49DE">
        <w:rPr>
          <w:color w:val="FF0000"/>
        </w:rPr>
        <w:t>.2</w:t>
      </w:r>
      <w:r>
        <w:t xml:space="preserve">, </w:t>
      </w:r>
      <w:r w:rsidRPr="006F18E8">
        <w:rPr>
          <w:color w:val="FF0000"/>
        </w:rPr>
        <w:t xml:space="preserve">although we did not report it as a separate </w:t>
      </w:r>
      <w:r>
        <w:rPr>
          <w:color w:val="FF0000"/>
        </w:rPr>
        <w:t xml:space="preserve">section for the </w:t>
      </w:r>
      <w:r w:rsidR="00BE49DE">
        <w:rPr>
          <w:color w:val="FF0000"/>
        </w:rPr>
        <w:t xml:space="preserve">the </w:t>
      </w:r>
      <w:r w:rsidRPr="006F18E8">
        <w:rPr>
          <w:color w:val="FF0000"/>
        </w:rPr>
        <w:t>short length</w:t>
      </w:r>
      <w:r w:rsidR="00FE3AC7">
        <w:rPr>
          <w:color w:val="FF0000"/>
        </w:rPr>
        <w:t xml:space="preserve"> (</w:t>
      </w:r>
      <w:r w:rsidR="00B80C02">
        <w:rPr>
          <w:color w:val="FF0000"/>
        </w:rPr>
        <w:t xml:space="preserve">p12, </w:t>
      </w:r>
      <w:r w:rsidR="00FE3AC7">
        <w:rPr>
          <w:color w:val="FF0000"/>
        </w:rPr>
        <w:t>line 386-</w:t>
      </w:r>
      <w:r w:rsidR="00D219F2">
        <w:rPr>
          <w:color w:val="FF0000"/>
        </w:rPr>
        <w:t>3</w:t>
      </w:r>
      <w:r w:rsidR="00FE3AC7">
        <w:rPr>
          <w:color w:val="FF0000"/>
        </w:rPr>
        <w:t>88)</w:t>
      </w:r>
      <w:r w:rsidR="00D219F2">
        <w:rPr>
          <w:color w:val="FF0000"/>
        </w:rPr>
        <w:t>: “</w:t>
      </w:r>
      <w:r w:rsidR="00D219F2" w:rsidRPr="00D219F2">
        <w:rPr>
          <w:color w:val="FF0000"/>
        </w:rPr>
        <w:t xml:space="preserve">In fact, due to urban expansion and urban regeneration, </w:t>
      </w:r>
      <w:r w:rsidR="000664B6">
        <w:rPr>
          <w:color w:val="FF0000"/>
        </w:rPr>
        <w:t>some blocks have already experi</w:t>
      </w:r>
      <w:r w:rsidR="00D219F2" w:rsidRPr="00D219F2">
        <w:rPr>
          <w:color w:val="FF0000"/>
        </w:rPr>
        <w:t>enced the degradation and loss of UGS, which widely exist in new urban areas and urban village on the edge of the 5th ring.</w:t>
      </w:r>
      <w:r w:rsidR="00D219F2">
        <w:rPr>
          <w:color w:val="FF0000"/>
        </w:rPr>
        <w:t>”</w:t>
      </w:r>
    </w:p>
    <w:p w:rsidR="00E94300" w:rsidRPr="00D219F2" w:rsidRDefault="00E94300" w:rsidP="00877EB7"/>
    <w:p w:rsidR="00E94300" w:rsidRPr="00877EB7" w:rsidRDefault="00E94300" w:rsidP="00E94300">
      <w:r w:rsidRPr="00877EB7">
        <w:rPr>
          <w:b/>
        </w:rPr>
        <w:t xml:space="preserve">Point </w:t>
      </w:r>
      <w:r>
        <w:rPr>
          <w:b/>
        </w:rPr>
        <w:t>3</w:t>
      </w:r>
      <w:r w:rsidRPr="00877EB7">
        <w:rPr>
          <w:b/>
        </w:rPr>
        <w:t>:</w:t>
      </w:r>
      <w:r>
        <w:t xml:space="preserve"> </w:t>
      </w:r>
      <w:r w:rsidRPr="00E94300">
        <w:t>The authors should explain exactly what the residential exposure to green space means, especially in section 3.2, and need to be clear about what it means in practice.</w:t>
      </w:r>
    </w:p>
    <w:p w:rsidR="00055DDB" w:rsidRDefault="00055DDB" w:rsidP="00325C08"/>
    <w:p w:rsidR="00E94300" w:rsidRDefault="00E94300" w:rsidP="00E94300">
      <w:pPr>
        <w:rPr>
          <w:color w:val="FF0000"/>
        </w:rPr>
      </w:pPr>
      <w:r w:rsidRPr="00877EB7">
        <w:rPr>
          <w:b/>
          <w:color w:val="FF0000"/>
        </w:rPr>
        <w:t xml:space="preserve">Response </w:t>
      </w:r>
      <w:r>
        <w:rPr>
          <w:b/>
          <w:color w:val="FF0000"/>
        </w:rPr>
        <w:t>3</w:t>
      </w:r>
      <w:r w:rsidRPr="00877EB7">
        <w:rPr>
          <w:b/>
          <w:color w:val="FF0000"/>
        </w:rPr>
        <w:t>:</w:t>
      </w:r>
      <w:r w:rsidRPr="00877EB7">
        <w:rPr>
          <w:color w:val="FF0000"/>
        </w:rPr>
        <w:t xml:space="preserve"> </w:t>
      </w:r>
      <w:r w:rsidR="00D219F2">
        <w:rPr>
          <w:color w:val="FF0000"/>
        </w:rPr>
        <w:t>We</w:t>
      </w:r>
      <w:r w:rsidR="00D219F2" w:rsidRPr="00385365">
        <w:rPr>
          <w:color w:val="FF0000"/>
        </w:rPr>
        <w:t xml:space="preserve"> added </w:t>
      </w:r>
      <w:r w:rsidR="00D219F2">
        <w:rPr>
          <w:color w:val="FF0000"/>
        </w:rPr>
        <w:t>these</w:t>
      </w:r>
      <w:r w:rsidR="00D219F2" w:rsidRPr="00385365">
        <w:rPr>
          <w:color w:val="FF0000"/>
        </w:rPr>
        <w:t xml:space="preserve"> description</w:t>
      </w:r>
      <w:r w:rsidR="00D219F2">
        <w:rPr>
          <w:color w:val="FF0000"/>
        </w:rPr>
        <w:t>s</w:t>
      </w:r>
      <w:r w:rsidR="00D219F2" w:rsidRPr="00385365">
        <w:rPr>
          <w:color w:val="FF0000"/>
        </w:rPr>
        <w:t xml:space="preserve"> in </w:t>
      </w:r>
      <w:r w:rsidR="00D219F2">
        <w:rPr>
          <w:color w:val="FF0000"/>
        </w:rPr>
        <w:t>section 2.3.2 (p</w:t>
      </w:r>
      <w:r w:rsidR="00FB24AD">
        <w:rPr>
          <w:color w:val="FF0000"/>
        </w:rPr>
        <w:t xml:space="preserve"> </w:t>
      </w:r>
      <w:r w:rsidR="00D219F2">
        <w:rPr>
          <w:color w:val="FF0000"/>
        </w:rPr>
        <w:t>6, line 218-227): “</w:t>
      </w:r>
      <w:r w:rsidR="00385365">
        <w:rPr>
          <w:color w:val="FF0000"/>
        </w:rPr>
        <w:t>T</w:t>
      </w:r>
      <w:r w:rsidR="00385365" w:rsidRPr="00385365">
        <w:rPr>
          <w:color w:val="FF0000"/>
        </w:rPr>
        <w:t>he value of residential exposure to green space means the average proportion of standard-quality green space in a certain buffer zone around residents in a special unit</w:t>
      </w:r>
      <w:r w:rsidR="00385365">
        <w:rPr>
          <w:color w:val="FF0000"/>
        </w:rPr>
        <w:t xml:space="preserve"> (i.e.,blcok scale, city scale)</w:t>
      </w:r>
      <w:r w:rsidR="00737B2D">
        <w:rPr>
          <w:color w:val="FF0000"/>
        </w:rPr>
        <w:t xml:space="preserve">. </w:t>
      </w:r>
      <w:r w:rsidR="00737B2D" w:rsidRPr="00737B2D">
        <w:rPr>
          <w:color w:val="FF0000"/>
        </w:rPr>
        <w:t xml:space="preserve">A low value of residential </w:t>
      </w:r>
      <w:r w:rsidR="00737B2D" w:rsidRPr="00737B2D">
        <w:rPr>
          <w:color w:val="FF0000"/>
        </w:rPr>
        <w:lastRenderedPageBreak/>
        <w:t xml:space="preserve">exposure to green space is not conducive to the physical and mental health of residents, while a high value will cause the problem of excess resources. </w:t>
      </w:r>
      <w:r w:rsidR="007F5B56">
        <w:rPr>
          <w:color w:val="FF0000"/>
        </w:rPr>
        <w:t xml:space="preserve">Moreover, </w:t>
      </w:r>
      <w:r w:rsidR="007F5B56" w:rsidRPr="007F5B56">
        <w:rPr>
          <w:color w:val="FF0000"/>
        </w:rPr>
        <w:t>how to choose an appropriate value depends on the actual situation, taking into account the socio-economic factors such as the economic development of different countries and cities</w:t>
      </w:r>
      <w:r w:rsidR="007F5B56">
        <w:rPr>
          <w:color w:val="FF0000"/>
        </w:rPr>
        <w:t xml:space="preserve">. </w:t>
      </w:r>
      <w:r w:rsidR="00737B2D" w:rsidRPr="00737B2D">
        <w:rPr>
          <w:color w:val="FF0000"/>
        </w:rPr>
        <w:t xml:space="preserve">Ensuring a relatively equal exposure to green space for residents is beneficial for </w:t>
      </w:r>
      <w:r w:rsidR="008577EE">
        <w:rPr>
          <w:color w:val="FF0000"/>
        </w:rPr>
        <w:t>sustaina</w:t>
      </w:r>
      <w:r w:rsidR="00737B2D" w:rsidRPr="00737B2D">
        <w:rPr>
          <w:color w:val="FF0000"/>
        </w:rPr>
        <w:t>ble urban development and this is a challenge that managers need to address.</w:t>
      </w:r>
      <w:r w:rsidR="00D219F2">
        <w:rPr>
          <w:color w:val="FF0000"/>
        </w:rPr>
        <w:t>”</w:t>
      </w:r>
    </w:p>
    <w:p w:rsidR="00E94300" w:rsidRDefault="00E94300" w:rsidP="00E94300">
      <w:pPr>
        <w:rPr>
          <w:color w:val="FF0000"/>
        </w:rPr>
      </w:pPr>
    </w:p>
    <w:p w:rsidR="00E94300" w:rsidRPr="00877EB7" w:rsidRDefault="00E94300" w:rsidP="00E94300">
      <w:r w:rsidRPr="00877EB7">
        <w:rPr>
          <w:b/>
        </w:rPr>
        <w:t xml:space="preserve">Point </w:t>
      </w:r>
      <w:r>
        <w:rPr>
          <w:b/>
        </w:rPr>
        <w:t>4</w:t>
      </w:r>
      <w:r w:rsidRPr="00877EB7">
        <w:rPr>
          <w:b/>
        </w:rPr>
        <w:t>:</w:t>
      </w:r>
      <w:r>
        <w:t xml:space="preserve"> </w:t>
      </w:r>
      <w:r w:rsidRPr="00E94300">
        <w:t>The authors should add some recent literatures in the discussion section.</w:t>
      </w:r>
    </w:p>
    <w:p w:rsidR="00E94300" w:rsidRDefault="00E94300" w:rsidP="00E94300"/>
    <w:p w:rsidR="00FB24AD" w:rsidRPr="00FB24AD" w:rsidRDefault="00E94300" w:rsidP="00FB24AD">
      <w:pPr>
        <w:rPr>
          <w:color w:val="FF0000"/>
        </w:rPr>
      </w:pPr>
      <w:r w:rsidRPr="00877EB7">
        <w:rPr>
          <w:b/>
          <w:color w:val="FF0000"/>
        </w:rPr>
        <w:t xml:space="preserve">Response </w:t>
      </w:r>
      <w:r>
        <w:rPr>
          <w:b/>
          <w:color w:val="FF0000"/>
        </w:rPr>
        <w:t>4</w:t>
      </w:r>
      <w:r w:rsidRPr="00877EB7">
        <w:rPr>
          <w:b/>
          <w:color w:val="FF0000"/>
        </w:rPr>
        <w:t>:</w:t>
      </w:r>
      <w:r w:rsidRPr="00877EB7">
        <w:rPr>
          <w:color w:val="FF0000"/>
        </w:rPr>
        <w:t xml:space="preserve"> </w:t>
      </w:r>
      <w:r w:rsidR="00230E7E">
        <w:rPr>
          <w:color w:val="FF0000"/>
        </w:rPr>
        <w:t>Thanks</w:t>
      </w:r>
      <w:r w:rsidR="004949F9" w:rsidRPr="004949F9">
        <w:rPr>
          <w:color w:val="FF0000"/>
        </w:rPr>
        <w:t xml:space="preserve"> for </w:t>
      </w:r>
      <w:r w:rsidR="004949F9">
        <w:rPr>
          <w:color w:val="FF0000"/>
        </w:rPr>
        <w:t>this</w:t>
      </w:r>
      <w:r w:rsidR="004949F9" w:rsidRPr="004949F9">
        <w:rPr>
          <w:color w:val="FF0000"/>
        </w:rPr>
        <w:t xml:space="preserve"> </w:t>
      </w:r>
      <w:r w:rsidR="0089426D">
        <w:rPr>
          <w:color w:val="FF0000"/>
        </w:rPr>
        <w:t>comment</w:t>
      </w:r>
      <w:r w:rsidR="004949F9">
        <w:rPr>
          <w:color w:val="FF0000"/>
        </w:rPr>
        <w:t xml:space="preserve">, </w:t>
      </w:r>
      <w:r w:rsidR="004949F9" w:rsidRPr="004949F9">
        <w:rPr>
          <w:color w:val="FF0000"/>
        </w:rPr>
        <w:t xml:space="preserve">we have added </w:t>
      </w:r>
      <w:r w:rsidR="004949F9">
        <w:rPr>
          <w:color w:val="FF0000"/>
        </w:rPr>
        <w:t>some</w:t>
      </w:r>
      <w:r w:rsidR="004949F9" w:rsidRPr="004949F9">
        <w:rPr>
          <w:color w:val="FF0000"/>
        </w:rPr>
        <w:t xml:space="preserve"> latest relevant literature</w:t>
      </w:r>
      <w:r w:rsidR="004949F9">
        <w:rPr>
          <w:color w:val="FF0000"/>
        </w:rPr>
        <w:t>s</w:t>
      </w:r>
      <w:r w:rsidR="004949F9" w:rsidRPr="004949F9">
        <w:rPr>
          <w:color w:val="FF0000"/>
        </w:rPr>
        <w:t xml:space="preserve"> in the discussion section</w:t>
      </w:r>
      <w:r w:rsidR="00B80C02">
        <w:rPr>
          <w:color w:val="FF0000"/>
        </w:rPr>
        <w:t xml:space="preserve"> </w:t>
      </w:r>
      <w:r w:rsidR="00B80C02">
        <w:rPr>
          <w:rFonts w:hint="eastAsia"/>
          <w:color w:val="FF0000"/>
        </w:rPr>
        <w:t>(</w:t>
      </w:r>
      <w:r w:rsidR="00B80C02">
        <w:rPr>
          <w:color w:val="FF0000"/>
        </w:rPr>
        <w:t>p15-16, line</w:t>
      </w:r>
      <w:r w:rsidR="00F31E7E">
        <w:rPr>
          <w:color w:val="FF0000"/>
        </w:rPr>
        <w:t xml:space="preserve"> </w:t>
      </w:r>
      <w:r w:rsidR="00B80C02">
        <w:rPr>
          <w:color w:val="FF0000"/>
        </w:rPr>
        <w:t>49</w:t>
      </w:r>
      <w:r w:rsidR="00D219F2">
        <w:rPr>
          <w:color w:val="FF0000"/>
        </w:rPr>
        <w:t>4</w:t>
      </w:r>
      <w:r w:rsidR="00B80C02">
        <w:rPr>
          <w:color w:val="FF0000"/>
        </w:rPr>
        <w:t>-519)</w:t>
      </w:r>
      <w:r w:rsidR="00FB24AD">
        <w:rPr>
          <w:color w:val="FF0000"/>
        </w:rPr>
        <w:t>: ”</w:t>
      </w:r>
      <w:r w:rsidR="00FB24AD" w:rsidRPr="00FB24AD">
        <w:rPr>
          <w:color w:val="FF0000"/>
        </w:rPr>
        <w:t>But this is clearly contrary to reality. Sparse street flower beds and dense gardens both are UGS, but they are quite different in terms of ecological benefits and emotio</w:t>
      </w:r>
      <w:r w:rsidR="00FB24AD">
        <w:rPr>
          <w:color w:val="FF0000"/>
        </w:rPr>
        <w:t>nal benefits to residents [58].” “</w:t>
      </w:r>
      <w:r w:rsidR="00FB24AD" w:rsidRPr="00FB24AD">
        <w:rPr>
          <w:color w:val="FF0000"/>
        </w:rPr>
        <w:t>Second, we considered the spatiotemporal evolution of residential exposure to green space in Beijing, which is rarely involved in previous studies [58–61].</w:t>
      </w:r>
      <w:r w:rsidR="00FB24AD">
        <w:rPr>
          <w:color w:val="FF0000"/>
        </w:rPr>
        <w:t>”…</w:t>
      </w:r>
    </w:p>
    <w:p w:rsidR="00F31E7E" w:rsidRDefault="00F31E7E" w:rsidP="00E94300">
      <w:pPr>
        <w:rPr>
          <w:color w:val="FF0000"/>
        </w:rPr>
      </w:pPr>
    </w:p>
    <w:p w:rsidR="00F31E7E" w:rsidRDefault="00F31E7E" w:rsidP="00E94300">
      <w:pPr>
        <w:rPr>
          <w:color w:val="auto"/>
        </w:rPr>
      </w:pPr>
      <w:r w:rsidRPr="00F31E7E">
        <w:rPr>
          <w:color w:val="auto"/>
        </w:rPr>
        <w:t>References</w:t>
      </w:r>
      <w:r>
        <w:rPr>
          <w:color w:val="auto"/>
        </w:rPr>
        <w:t>:</w:t>
      </w:r>
    </w:p>
    <w:p w:rsidR="00F31E7E" w:rsidRPr="00F31E7E" w:rsidRDefault="00F31E7E" w:rsidP="00E94300">
      <w:pPr>
        <w:rPr>
          <w:color w:val="auto"/>
        </w:rPr>
      </w:pPr>
    </w:p>
    <w:p w:rsidR="00F31E7E" w:rsidRDefault="00F31E7E" w:rsidP="00F31E7E">
      <w:pPr>
        <w:pStyle w:val="af1"/>
      </w:pPr>
      <w:r>
        <w:t xml:space="preserve">58. </w:t>
      </w:r>
      <w:r>
        <w:tab/>
        <w:t xml:space="preserve">Knobel, P.; Maneja, R.; Bartoll, X.; Alonso, L.; Bauwelinck, M.; Valentin, A.; Zijlema, W.; Borrell, C.; Nieuwenhuijsen, M.; Dadvand, P. Quality of Urban Green Spaces Influences Residents’ Use of These Spaces, Physical Activity, and Overweight/Obesity. </w:t>
      </w:r>
      <w:r>
        <w:rPr>
          <w:i/>
          <w:iCs/>
        </w:rPr>
        <w:t>Environmental Pollution</w:t>
      </w:r>
      <w:r>
        <w:t xml:space="preserve"> </w:t>
      </w:r>
      <w:r>
        <w:rPr>
          <w:b/>
          <w:bCs/>
        </w:rPr>
        <w:t>2021</w:t>
      </w:r>
      <w:r>
        <w:t xml:space="preserve">, </w:t>
      </w:r>
      <w:r>
        <w:rPr>
          <w:i/>
          <w:iCs/>
        </w:rPr>
        <w:t>271</w:t>
      </w:r>
      <w:r>
        <w:t>, 116393.</w:t>
      </w:r>
    </w:p>
    <w:p w:rsidR="00F31E7E" w:rsidRDefault="00F31E7E" w:rsidP="00F31E7E">
      <w:pPr>
        <w:pStyle w:val="af1"/>
      </w:pPr>
      <w:r>
        <w:t xml:space="preserve">59. </w:t>
      </w:r>
      <w:r>
        <w:tab/>
        <w:t xml:space="preserve">Hu, S.; Song, W.; Li, C.; Lu, J. A Multi-Mode Gaussian-Based Two-Step Floating Catchment Area Method for Measuring Accessibility of Urban Parks. </w:t>
      </w:r>
      <w:r>
        <w:rPr>
          <w:i/>
          <w:iCs/>
        </w:rPr>
        <w:t>Cities</w:t>
      </w:r>
      <w:r>
        <w:t xml:space="preserve"> </w:t>
      </w:r>
      <w:r>
        <w:rPr>
          <w:b/>
          <w:bCs/>
        </w:rPr>
        <w:t>2020</w:t>
      </w:r>
      <w:r>
        <w:t xml:space="preserve">, </w:t>
      </w:r>
      <w:r>
        <w:rPr>
          <w:i/>
          <w:iCs/>
        </w:rPr>
        <w:t>105</w:t>
      </w:r>
      <w:r>
        <w:t>, 102815.</w:t>
      </w:r>
    </w:p>
    <w:p w:rsidR="00F31E7E" w:rsidRDefault="00F31E7E" w:rsidP="00F31E7E">
      <w:pPr>
        <w:pStyle w:val="af1"/>
      </w:pPr>
      <w:r>
        <w:t xml:space="preserve">60. </w:t>
      </w:r>
      <w:r>
        <w:tab/>
        <w:t xml:space="preserve">Pinto, L.V.; Ferreira, C.S.S.; Inácio, M.; Pereira, P. Urban Green Spaces Accessibility in Two European Cities: Vilnius (Lithuania) and Coimbra (Portugal). </w:t>
      </w:r>
      <w:r>
        <w:rPr>
          <w:i/>
          <w:iCs/>
        </w:rPr>
        <w:t>Geography and Sustainability</w:t>
      </w:r>
      <w:r>
        <w:t xml:space="preserve"> </w:t>
      </w:r>
      <w:r>
        <w:rPr>
          <w:b/>
          <w:bCs/>
        </w:rPr>
        <w:t>2022</w:t>
      </w:r>
      <w:r>
        <w:t xml:space="preserve">, </w:t>
      </w:r>
      <w:r>
        <w:rPr>
          <w:i/>
          <w:iCs/>
        </w:rPr>
        <w:t>3</w:t>
      </w:r>
      <w:r>
        <w:t>, 74–84.</w:t>
      </w:r>
    </w:p>
    <w:p w:rsidR="00F31E7E" w:rsidRDefault="00F31E7E" w:rsidP="00F31E7E">
      <w:pPr>
        <w:pStyle w:val="af1"/>
      </w:pPr>
      <w:r>
        <w:t xml:space="preserve">61. </w:t>
      </w:r>
      <w:r>
        <w:tab/>
        <w:t xml:space="preserve">Schindler, M.; Le Texier, M.; Caruso, G. How Far Do People Travel to Use Urban Green Space? A Comparison of Three European Cities. </w:t>
      </w:r>
      <w:r>
        <w:rPr>
          <w:i/>
          <w:iCs/>
        </w:rPr>
        <w:t>Applied Geography</w:t>
      </w:r>
      <w:r>
        <w:t xml:space="preserve"> </w:t>
      </w:r>
      <w:r>
        <w:rPr>
          <w:b/>
          <w:bCs/>
        </w:rPr>
        <w:t>2022</w:t>
      </w:r>
      <w:r>
        <w:t xml:space="preserve">, </w:t>
      </w:r>
      <w:r>
        <w:rPr>
          <w:i/>
          <w:iCs/>
        </w:rPr>
        <w:t>141</w:t>
      </w:r>
      <w:r>
        <w:t>, 102673.</w:t>
      </w:r>
    </w:p>
    <w:p w:rsidR="00F31E7E" w:rsidRDefault="00F31E7E" w:rsidP="00F31E7E">
      <w:pPr>
        <w:pStyle w:val="af1"/>
      </w:pPr>
      <w:r>
        <w:t xml:space="preserve">62. </w:t>
      </w:r>
      <w:r>
        <w:tab/>
        <w:t xml:space="preserve">Nesbitt, L.; Meitner, M.J.; Girling, C.; Sheppard, S.R.; Lu, Y. Who Has Access to Urban Vegetation? A Spatial Analysis of Distributional Green Equity in 10 US Cities. </w:t>
      </w:r>
      <w:r>
        <w:rPr>
          <w:i/>
          <w:iCs/>
        </w:rPr>
        <w:t>Landscape and Urban Planning</w:t>
      </w:r>
      <w:r>
        <w:t xml:space="preserve"> </w:t>
      </w:r>
      <w:r>
        <w:rPr>
          <w:b/>
          <w:bCs/>
        </w:rPr>
        <w:t>2019</w:t>
      </w:r>
      <w:r>
        <w:t xml:space="preserve">, </w:t>
      </w:r>
      <w:r>
        <w:rPr>
          <w:i/>
          <w:iCs/>
        </w:rPr>
        <w:t>181</w:t>
      </w:r>
      <w:r>
        <w:t>, 51–79.</w:t>
      </w:r>
    </w:p>
    <w:p w:rsidR="00F31E7E" w:rsidRDefault="00F31E7E" w:rsidP="00F31E7E">
      <w:pPr>
        <w:pStyle w:val="af1"/>
      </w:pPr>
      <w:r>
        <w:t xml:space="preserve">63. </w:t>
      </w:r>
      <w:r>
        <w:tab/>
        <w:t xml:space="preserve">Song, Y.; Chen, B.; Ho, H.C.; Kwan, M.-P.; Liu, D.; Wang, F.; Wang, J.; Cai, J.; Li, X.; Xu, Y. Observed Inequality in Urban Greenspace Exposure in China. </w:t>
      </w:r>
      <w:r>
        <w:rPr>
          <w:i/>
          <w:iCs/>
        </w:rPr>
        <w:t>Environment international</w:t>
      </w:r>
      <w:r>
        <w:t xml:space="preserve"> </w:t>
      </w:r>
      <w:r>
        <w:rPr>
          <w:b/>
          <w:bCs/>
        </w:rPr>
        <w:t>2021</w:t>
      </w:r>
      <w:r>
        <w:t xml:space="preserve">, </w:t>
      </w:r>
      <w:r>
        <w:rPr>
          <w:i/>
          <w:iCs/>
        </w:rPr>
        <w:t>156</w:t>
      </w:r>
      <w:r>
        <w:t>, 106778.</w:t>
      </w:r>
    </w:p>
    <w:p w:rsidR="00E94300" w:rsidRDefault="00E94300" w:rsidP="00E94300">
      <w:pPr>
        <w:rPr>
          <w:color w:val="FF0000"/>
        </w:rPr>
      </w:pPr>
    </w:p>
    <w:p w:rsidR="00E94300" w:rsidRPr="00E94300" w:rsidRDefault="00E94300" w:rsidP="00E94300">
      <w:r w:rsidRPr="00877EB7">
        <w:rPr>
          <w:b/>
        </w:rPr>
        <w:t xml:space="preserve">Point </w:t>
      </w:r>
      <w:r w:rsidR="00385365">
        <w:rPr>
          <w:b/>
        </w:rPr>
        <w:t>5</w:t>
      </w:r>
      <w:r w:rsidRPr="00877EB7">
        <w:rPr>
          <w:b/>
        </w:rPr>
        <w:t>:</w:t>
      </w:r>
      <w:r>
        <w:t xml:space="preserve"> </w:t>
      </w:r>
      <w:r w:rsidRPr="00E94300">
        <w:t>The study area of this manu</w:t>
      </w:r>
      <w:r w:rsidR="000664B6">
        <w:t xml:space="preserve">script is the area within the 5th </w:t>
      </w:r>
      <w:r w:rsidRPr="00E94300">
        <w:t>ring road of Beijing, and larger scales can be considered in the future, which can be explained in the discussion section.</w:t>
      </w:r>
    </w:p>
    <w:p w:rsidR="00E94300" w:rsidRDefault="00E94300" w:rsidP="00E94300"/>
    <w:p w:rsidR="00E94300" w:rsidRPr="00F31E7E" w:rsidRDefault="00E94300" w:rsidP="00F31E7E">
      <w:pPr>
        <w:rPr>
          <w:color w:val="FF0000"/>
        </w:rPr>
      </w:pPr>
      <w:r w:rsidRPr="00877EB7">
        <w:rPr>
          <w:b/>
          <w:color w:val="FF0000"/>
        </w:rPr>
        <w:t xml:space="preserve">Response </w:t>
      </w:r>
      <w:r>
        <w:rPr>
          <w:b/>
          <w:color w:val="FF0000"/>
        </w:rPr>
        <w:t>5</w:t>
      </w:r>
      <w:r w:rsidRPr="00877EB7">
        <w:rPr>
          <w:b/>
          <w:color w:val="FF0000"/>
        </w:rPr>
        <w:t>:</w:t>
      </w:r>
      <w:r w:rsidR="00230E7E">
        <w:rPr>
          <w:color w:val="FF0000"/>
        </w:rPr>
        <w:t xml:space="preserve"> </w:t>
      </w:r>
      <w:r w:rsidR="00230E7E" w:rsidRPr="00230E7E">
        <w:rPr>
          <w:color w:val="FF0000"/>
        </w:rPr>
        <w:t xml:space="preserve">Thank you very much for </w:t>
      </w:r>
      <w:r w:rsidR="00230E7E">
        <w:rPr>
          <w:color w:val="FF0000"/>
        </w:rPr>
        <w:t>the</w:t>
      </w:r>
      <w:r w:rsidR="00230E7E" w:rsidRPr="00230E7E">
        <w:rPr>
          <w:color w:val="FF0000"/>
        </w:rPr>
        <w:t xml:space="preserve"> </w:t>
      </w:r>
      <w:r w:rsidR="00FB24AD">
        <w:rPr>
          <w:color w:val="FF0000"/>
        </w:rPr>
        <w:t>comment</w:t>
      </w:r>
      <w:bookmarkStart w:id="0" w:name="_GoBack"/>
      <w:bookmarkEnd w:id="0"/>
      <w:r w:rsidR="00230E7E" w:rsidRPr="00230E7E">
        <w:rPr>
          <w:color w:val="FF0000"/>
        </w:rPr>
        <w:t>. We have added it in the discussion section</w:t>
      </w:r>
      <w:r w:rsidR="00F31E7E">
        <w:rPr>
          <w:color w:val="FF0000"/>
        </w:rPr>
        <w:t xml:space="preserve"> (p 16, line 519</w:t>
      </w:r>
      <w:r w:rsidR="008D1BCF">
        <w:rPr>
          <w:color w:val="FF0000"/>
        </w:rPr>
        <w:t>-</w:t>
      </w:r>
      <w:r w:rsidR="00F31E7E">
        <w:rPr>
          <w:color w:val="FF0000"/>
        </w:rPr>
        <w:t>522): “</w:t>
      </w:r>
      <w:r w:rsidR="00F31E7E" w:rsidRPr="00F31E7E">
        <w:rPr>
          <w:color w:val="FF0000"/>
        </w:rPr>
        <w:t>Besides, our research area needs to be expanded. In the future, we can consider the residential exposure to green space on a national or even gl</w:t>
      </w:r>
      <w:r w:rsidR="000664B6">
        <w:rPr>
          <w:color w:val="FF0000"/>
        </w:rPr>
        <w:t>obal scale, and analyze its spa</w:t>
      </w:r>
      <w:r w:rsidR="00F31E7E" w:rsidRPr="00F31E7E">
        <w:rPr>
          <w:color w:val="FF0000"/>
        </w:rPr>
        <w:t>tiotemporal evolution and inequality evaluation under a unified framework to help achieve sustainable development.</w:t>
      </w:r>
      <w:r w:rsidR="00F31E7E">
        <w:rPr>
          <w:color w:val="FF0000"/>
        </w:rPr>
        <w:t>”</w:t>
      </w:r>
    </w:p>
    <w:p w:rsidR="00E94300" w:rsidRPr="00F31E7E" w:rsidRDefault="00E94300" w:rsidP="00325C08"/>
    <w:sectPr w:rsidR="00E94300" w:rsidRPr="00F31E7E"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035" w:rsidRDefault="00532035" w:rsidP="00C1340D">
      <w:r>
        <w:separator/>
      </w:r>
    </w:p>
  </w:endnote>
  <w:endnote w:type="continuationSeparator" w:id="0">
    <w:p w:rsidR="00532035" w:rsidRDefault="00532035"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0" w:usb1="00000000" w:usb2="00000000" w:usb3="00000000" w:csb0="00010000"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Pr="00236C0D" w:rsidRDefault="00E27016" w:rsidP="00236C0D">
    <w:pPr>
      <w:pStyle w:val="af6"/>
      <w:jc w:val="center"/>
    </w:pPr>
    <w:r>
      <w:fldChar w:fldCharType="begin"/>
    </w:r>
    <w:r>
      <w:instrText xml:space="preserve"> Page \* MERGEFORMAT </w:instrText>
    </w:r>
    <w:r>
      <w:fldChar w:fldCharType="separate"/>
    </w:r>
    <w:r w:rsidR="00FB24AD">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41894"/>
      <w:docPartObj>
        <w:docPartGallery w:val="Page Numbers (Bottom of Page)"/>
        <w:docPartUnique/>
      </w:docPartObj>
    </w:sdtPr>
    <w:sdtEndPr/>
    <w:sdtContent>
      <w:p w:rsidR="00E27016" w:rsidRDefault="00532035"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FB24AD">
              <w:t>1</w:t>
            </w:r>
            <w:r w:rsidR="00E27016">
              <w:fldChar w:fldCharType="end"/>
            </w:r>
          </w:sdtContent>
        </w:sdt>
      </w:p>
    </w:sdtContent>
  </w:sdt>
  <w:p w:rsidR="00E27016" w:rsidRDefault="00E27016">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035" w:rsidRDefault="00532035" w:rsidP="00C1340D">
      <w:r>
        <w:separator/>
      </w:r>
    </w:p>
  </w:footnote>
  <w:footnote w:type="continuationSeparator" w:id="0">
    <w:p w:rsidR="00532035" w:rsidRDefault="00532035" w:rsidP="00C134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4B6"/>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013"/>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11"/>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0E7E"/>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2F"/>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65"/>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9F9"/>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24"/>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035"/>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D99"/>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AF6"/>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18E8"/>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B2D"/>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21"/>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066"/>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C12"/>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56"/>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7EE"/>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6D"/>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BCF"/>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87F49"/>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51F"/>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1D0"/>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CAB"/>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02"/>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2FF9"/>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49DE"/>
    <w:rsid w:val="00BE5015"/>
    <w:rsid w:val="00BE5647"/>
    <w:rsid w:val="00BE5769"/>
    <w:rsid w:val="00BE59E6"/>
    <w:rsid w:val="00BE5CB4"/>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C1B"/>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9F2"/>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00"/>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1FC"/>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BD7"/>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1E7E"/>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4AD"/>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3AC7"/>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6F64F1"/>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300"/>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5B4D-5228-4AED-B6B3-720D8F48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924</Words>
  <Characters>5269</Characters>
  <Application>Microsoft Office Word</Application>
  <DocSecurity>0</DocSecurity>
  <Lines>43</Lines>
  <Paragraphs>12</Paragraphs>
  <ScaleCrop>false</ScaleCrop>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DELL</cp:lastModifiedBy>
  <cp:revision>19</cp:revision>
  <dcterms:created xsi:type="dcterms:W3CDTF">2021-12-28T11:01:00Z</dcterms:created>
  <dcterms:modified xsi:type="dcterms:W3CDTF">2023-03-04T10:53:00Z</dcterms:modified>
</cp:coreProperties>
</file>