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DB05D" w14:textId="086E78EA" w:rsidR="006559DF" w:rsidRPr="006559DF" w:rsidRDefault="006559DF" w:rsidP="006559DF">
      <w:pPr>
        <w:rPr>
          <w:rFonts w:ascii="Arial" w:eastAsia="Times New Roman" w:hAnsi="Arial" w:cs="Arial"/>
          <w:color w:val="4472C4" w:themeColor="accent1"/>
          <w:sz w:val="20"/>
          <w:szCs w:val="20"/>
          <w:shd w:val="clear" w:color="auto" w:fill="FEFEFE"/>
          <w:lang w:val="en-US" w:eastAsia="it-IT"/>
        </w:rPr>
      </w:pPr>
      <w:r w:rsidRPr="006559DF">
        <w:rPr>
          <w:rFonts w:ascii="Arial" w:eastAsia="Times New Roman" w:hAnsi="Arial" w:cs="Arial"/>
          <w:color w:val="4472C4" w:themeColor="accent1"/>
          <w:sz w:val="20"/>
          <w:szCs w:val="20"/>
          <w:shd w:val="clear" w:color="auto" w:fill="FEFEFE"/>
          <w:lang w:val="en-US" w:eastAsia="it-IT"/>
        </w:rPr>
        <w:t>We thank reviewer 1 for his comments. We totally agree that to improve originality and robustness of data additional changes are required. We have addressed the criticism</w:t>
      </w:r>
      <w:r w:rsidR="00992336">
        <w:rPr>
          <w:rFonts w:ascii="Arial" w:eastAsia="Times New Roman" w:hAnsi="Arial" w:cs="Arial"/>
          <w:color w:val="4472C4" w:themeColor="accent1"/>
          <w:sz w:val="20"/>
          <w:szCs w:val="20"/>
          <w:shd w:val="clear" w:color="auto" w:fill="FEFEFE"/>
          <w:lang w:val="en-US" w:eastAsia="it-IT"/>
        </w:rPr>
        <w:t>s</w:t>
      </w:r>
      <w:r w:rsidRPr="006559DF">
        <w:rPr>
          <w:rFonts w:ascii="Arial" w:eastAsia="Times New Roman" w:hAnsi="Arial" w:cs="Arial"/>
          <w:color w:val="4472C4" w:themeColor="accent1"/>
          <w:sz w:val="20"/>
          <w:szCs w:val="20"/>
          <w:shd w:val="clear" w:color="auto" w:fill="FEFEFE"/>
          <w:lang w:val="en-US" w:eastAsia="it-IT"/>
        </w:rPr>
        <w:t xml:space="preserve"> in this version and hope the manuscript will be suitable for publication. Below our point</w:t>
      </w:r>
      <w:r w:rsidR="00E611EE">
        <w:rPr>
          <w:rFonts w:ascii="Arial" w:eastAsia="Times New Roman" w:hAnsi="Arial" w:cs="Arial"/>
          <w:color w:val="4472C4" w:themeColor="accent1"/>
          <w:sz w:val="20"/>
          <w:szCs w:val="20"/>
          <w:shd w:val="clear" w:color="auto" w:fill="FEFEFE"/>
          <w:lang w:val="en-US" w:eastAsia="it-IT"/>
        </w:rPr>
        <w:t>-</w:t>
      </w:r>
      <w:r w:rsidRPr="006559DF">
        <w:rPr>
          <w:rFonts w:ascii="Arial" w:eastAsia="Times New Roman" w:hAnsi="Arial" w:cs="Arial"/>
          <w:color w:val="4472C4" w:themeColor="accent1"/>
          <w:sz w:val="20"/>
          <w:szCs w:val="20"/>
          <w:shd w:val="clear" w:color="auto" w:fill="FEFEFE"/>
          <w:lang w:val="en-US" w:eastAsia="it-IT"/>
        </w:rPr>
        <w:t>to</w:t>
      </w:r>
      <w:r w:rsidR="00E611EE">
        <w:rPr>
          <w:rFonts w:ascii="Arial" w:eastAsia="Times New Roman" w:hAnsi="Arial" w:cs="Arial"/>
          <w:color w:val="4472C4" w:themeColor="accent1"/>
          <w:sz w:val="20"/>
          <w:szCs w:val="20"/>
          <w:shd w:val="clear" w:color="auto" w:fill="FEFEFE"/>
          <w:lang w:val="en-US" w:eastAsia="it-IT"/>
        </w:rPr>
        <w:t>-</w:t>
      </w:r>
      <w:r w:rsidRPr="006559DF">
        <w:rPr>
          <w:rFonts w:ascii="Arial" w:eastAsia="Times New Roman" w:hAnsi="Arial" w:cs="Arial"/>
          <w:color w:val="4472C4" w:themeColor="accent1"/>
          <w:sz w:val="20"/>
          <w:szCs w:val="20"/>
          <w:shd w:val="clear" w:color="auto" w:fill="FEFEFE"/>
          <w:lang w:val="en-US" w:eastAsia="it-IT"/>
        </w:rPr>
        <w:t xml:space="preserve">point reply. </w:t>
      </w:r>
    </w:p>
    <w:p w14:paraId="21F5D31C" w14:textId="6EB0B050" w:rsidR="006559DF" w:rsidRDefault="006559DF" w:rsidP="006559DF">
      <w:pPr>
        <w:rPr>
          <w:rFonts w:ascii="Arial" w:eastAsia="Times New Roman" w:hAnsi="Arial" w:cs="Arial"/>
          <w:color w:val="0A0A0A"/>
          <w:sz w:val="20"/>
          <w:szCs w:val="20"/>
          <w:shd w:val="clear" w:color="auto" w:fill="FEFEFE"/>
          <w:lang w:val="en-US" w:eastAsia="it-IT"/>
        </w:rPr>
      </w:pPr>
    </w:p>
    <w:p w14:paraId="0B68D06C" w14:textId="77777777" w:rsidR="006559DF" w:rsidRPr="006559DF" w:rsidRDefault="006559DF" w:rsidP="006559DF">
      <w:pPr>
        <w:rPr>
          <w:rFonts w:ascii="Arial" w:eastAsia="Times New Roman" w:hAnsi="Arial" w:cs="Arial"/>
          <w:color w:val="0A0A0A"/>
          <w:sz w:val="20"/>
          <w:szCs w:val="20"/>
          <w:shd w:val="clear" w:color="auto" w:fill="FEFEFE"/>
          <w:lang w:val="en-US" w:eastAsia="it-IT"/>
        </w:rPr>
      </w:pPr>
    </w:p>
    <w:p w14:paraId="3DBC1491" w14:textId="77777777" w:rsidR="006559DF" w:rsidRPr="006559DF" w:rsidRDefault="006559DF" w:rsidP="006559DF">
      <w:pPr>
        <w:rPr>
          <w:rFonts w:ascii="Arial" w:eastAsia="Times New Roman" w:hAnsi="Arial" w:cs="Arial"/>
          <w:color w:val="0A0A0A"/>
          <w:sz w:val="20"/>
          <w:szCs w:val="20"/>
          <w:shd w:val="clear" w:color="auto" w:fill="FEFEFE"/>
          <w:lang w:val="en-US" w:eastAsia="it-IT"/>
        </w:rPr>
      </w:pPr>
    </w:p>
    <w:p w14:paraId="443E8B1A" w14:textId="77777777" w:rsidR="006559DF" w:rsidRDefault="006559DF" w:rsidP="006559DF">
      <w:pPr>
        <w:rPr>
          <w:rFonts w:ascii="Arial" w:eastAsia="Times New Roman" w:hAnsi="Arial" w:cs="Arial"/>
          <w:color w:val="0A0A0A"/>
          <w:sz w:val="20"/>
          <w:szCs w:val="20"/>
          <w:shd w:val="clear" w:color="auto" w:fill="FEFEFE"/>
          <w:lang w:val="en-US" w:eastAsia="it-IT"/>
        </w:rPr>
      </w:pPr>
      <w:r w:rsidRPr="006559DF">
        <w:rPr>
          <w:rFonts w:ascii="Arial" w:eastAsia="Times New Roman" w:hAnsi="Arial" w:cs="Arial"/>
          <w:color w:val="0A0A0A"/>
          <w:sz w:val="20"/>
          <w:szCs w:val="20"/>
          <w:shd w:val="clear" w:color="auto" w:fill="FEFEFE"/>
          <w:lang w:val="en-US" w:eastAsia="it-IT"/>
        </w:rPr>
        <w:t xml:space="preserve">I thank Zacchia and colleagues for their efforts to revise their manuscript. However, although the revised version has additional methodological detail, it still has many typos (e.g., ‘patients </w:t>
      </w:r>
      <w:proofErr w:type="spellStart"/>
      <w:r w:rsidRPr="006559DF">
        <w:rPr>
          <w:rFonts w:ascii="Arial" w:eastAsia="Times New Roman" w:hAnsi="Arial" w:cs="Arial"/>
          <w:color w:val="0A0A0A"/>
          <w:sz w:val="20"/>
          <w:szCs w:val="20"/>
          <w:shd w:val="clear" w:color="auto" w:fill="FEFEFE"/>
          <w:lang w:val="en-US" w:eastAsia="it-IT"/>
        </w:rPr>
        <w:t>cohot</w:t>
      </w:r>
      <w:proofErr w:type="spellEnd"/>
      <w:r w:rsidRPr="006559DF">
        <w:rPr>
          <w:rFonts w:ascii="Arial" w:eastAsia="Times New Roman" w:hAnsi="Arial" w:cs="Arial"/>
          <w:color w:val="0A0A0A"/>
          <w:sz w:val="20"/>
          <w:szCs w:val="20"/>
          <w:shd w:val="clear" w:color="auto" w:fill="FEFEFE"/>
          <w:lang w:val="en-US" w:eastAsia="it-IT"/>
        </w:rPr>
        <w:t>’ in section 3.1, ‘</w:t>
      </w:r>
      <w:proofErr w:type="spellStart"/>
      <w:r w:rsidRPr="006559DF">
        <w:rPr>
          <w:rFonts w:ascii="Arial" w:eastAsia="Times New Roman" w:hAnsi="Arial" w:cs="Arial"/>
          <w:color w:val="0A0A0A"/>
          <w:sz w:val="20"/>
          <w:szCs w:val="20"/>
          <w:shd w:val="clear" w:color="auto" w:fill="FEFEFE"/>
          <w:lang w:val="en-US" w:eastAsia="it-IT"/>
        </w:rPr>
        <w:t>ochlea</w:t>
      </w:r>
      <w:proofErr w:type="spellEnd"/>
      <w:r w:rsidRPr="006559DF">
        <w:rPr>
          <w:rFonts w:ascii="Arial" w:eastAsia="Times New Roman" w:hAnsi="Arial" w:cs="Arial"/>
          <w:color w:val="0A0A0A"/>
          <w:sz w:val="20"/>
          <w:szCs w:val="20"/>
          <w:shd w:val="clear" w:color="auto" w:fill="FEFEFE"/>
          <w:lang w:val="en-US" w:eastAsia="it-IT"/>
        </w:rPr>
        <w:t xml:space="preserve"> and eye’ in the Introduction). </w:t>
      </w:r>
    </w:p>
    <w:p w14:paraId="61A91A8E" w14:textId="77777777" w:rsidR="006559DF" w:rsidRDefault="006559DF" w:rsidP="006559DF">
      <w:pPr>
        <w:rPr>
          <w:rFonts w:ascii="Arial" w:eastAsia="Times New Roman" w:hAnsi="Arial" w:cs="Arial"/>
          <w:color w:val="0A0A0A"/>
          <w:sz w:val="20"/>
          <w:szCs w:val="20"/>
          <w:shd w:val="clear" w:color="auto" w:fill="FEFEFE"/>
          <w:lang w:val="en-US" w:eastAsia="it-IT"/>
        </w:rPr>
      </w:pPr>
    </w:p>
    <w:p w14:paraId="3D5E86B3" w14:textId="15DE3B68" w:rsidR="006559DF" w:rsidRPr="006559DF" w:rsidRDefault="006559DF" w:rsidP="006559DF">
      <w:pPr>
        <w:rPr>
          <w:rFonts w:ascii="Arial" w:eastAsia="Times New Roman" w:hAnsi="Arial" w:cs="Arial"/>
          <w:color w:val="4472C4" w:themeColor="accent1"/>
          <w:sz w:val="20"/>
          <w:szCs w:val="20"/>
          <w:shd w:val="clear" w:color="auto" w:fill="FEFEFE"/>
          <w:lang w:val="en-US" w:eastAsia="it-IT"/>
        </w:rPr>
      </w:pPr>
      <w:r w:rsidRPr="006559DF">
        <w:rPr>
          <w:rFonts w:ascii="Arial" w:eastAsia="Times New Roman" w:hAnsi="Arial" w:cs="Arial"/>
          <w:color w:val="4472C4" w:themeColor="accent1"/>
          <w:sz w:val="20"/>
          <w:szCs w:val="20"/>
          <w:shd w:val="clear" w:color="auto" w:fill="FEFEFE"/>
          <w:lang w:val="en-US" w:eastAsia="it-IT"/>
        </w:rPr>
        <w:t xml:space="preserve">R: We have revised the manuscript for English editing and corrected several typos encountered. </w:t>
      </w:r>
    </w:p>
    <w:p w14:paraId="5021F2DA" w14:textId="77777777" w:rsidR="006559DF" w:rsidRPr="006559DF" w:rsidRDefault="006559DF" w:rsidP="006559DF">
      <w:pPr>
        <w:rPr>
          <w:rFonts w:ascii="Arial" w:eastAsia="Times New Roman" w:hAnsi="Arial" w:cs="Arial"/>
          <w:color w:val="4472C4" w:themeColor="accent1"/>
          <w:sz w:val="20"/>
          <w:szCs w:val="20"/>
          <w:shd w:val="clear" w:color="auto" w:fill="FEFEFE"/>
          <w:lang w:val="en-US" w:eastAsia="it-IT"/>
        </w:rPr>
      </w:pPr>
    </w:p>
    <w:p w14:paraId="458C7398" w14:textId="77777777" w:rsidR="006559DF" w:rsidRDefault="006559DF" w:rsidP="006559DF">
      <w:pPr>
        <w:rPr>
          <w:rFonts w:ascii="Arial" w:eastAsia="Times New Roman" w:hAnsi="Arial" w:cs="Arial"/>
          <w:color w:val="0A0A0A"/>
          <w:sz w:val="20"/>
          <w:szCs w:val="20"/>
          <w:shd w:val="clear" w:color="auto" w:fill="FEFEFE"/>
          <w:lang w:val="en-US" w:eastAsia="it-IT"/>
        </w:rPr>
      </w:pPr>
      <w:r w:rsidRPr="006559DF">
        <w:rPr>
          <w:rFonts w:ascii="Arial" w:eastAsia="Times New Roman" w:hAnsi="Arial" w:cs="Arial"/>
          <w:color w:val="0A0A0A"/>
          <w:sz w:val="20"/>
          <w:szCs w:val="20"/>
          <w:shd w:val="clear" w:color="auto" w:fill="FEFEFE"/>
          <w:lang w:val="en-US" w:eastAsia="it-IT"/>
        </w:rPr>
        <w:t xml:space="preserve">Moreover, while the authors state that they classified the COL4A variants identified using the ACMG/AMP 2015 guidelines, they do not provide supporting criteria for their classifications. </w:t>
      </w:r>
    </w:p>
    <w:p w14:paraId="5C587EFF" w14:textId="77777777" w:rsidR="006559DF" w:rsidRDefault="006559DF" w:rsidP="006559DF">
      <w:pPr>
        <w:rPr>
          <w:rFonts w:ascii="Arial" w:eastAsia="Times New Roman" w:hAnsi="Arial" w:cs="Arial"/>
          <w:color w:val="0A0A0A"/>
          <w:sz w:val="20"/>
          <w:szCs w:val="20"/>
          <w:shd w:val="clear" w:color="auto" w:fill="FEFEFE"/>
          <w:lang w:val="en-US" w:eastAsia="it-IT"/>
        </w:rPr>
      </w:pPr>
    </w:p>
    <w:p w14:paraId="1059E0C9" w14:textId="47E6D772" w:rsidR="006559DF" w:rsidRDefault="006559DF" w:rsidP="006559DF">
      <w:pPr>
        <w:rPr>
          <w:rFonts w:ascii="Arial" w:eastAsia="Times New Roman" w:hAnsi="Arial" w:cs="Arial"/>
          <w:color w:val="4472C4" w:themeColor="accent1"/>
          <w:sz w:val="20"/>
          <w:szCs w:val="20"/>
          <w:shd w:val="clear" w:color="auto" w:fill="FEFEFE"/>
          <w:lang w:val="en-US" w:eastAsia="it-IT"/>
        </w:rPr>
      </w:pPr>
      <w:r w:rsidRPr="006559DF">
        <w:rPr>
          <w:rFonts w:ascii="Arial" w:eastAsia="Times New Roman" w:hAnsi="Arial" w:cs="Arial"/>
          <w:color w:val="4472C4" w:themeColor="accent1"/>
          <w:sz w:val="20"/>
          <w:szCs w:val="20"/>
          <w:shd w:val="clear" w:color="auto" w:fill="FEFEFE"/>
          <w:lang w:val="en-US" w:eastAsia="it-IT"/>
        </w:rPr>
        <w:t>R: We agree with the referee that data provided to prove the pathogenicity of variants were not all convincing. Thus, we have deleted from the manuscript patient</w:t>
      </w:r>
      <w:r w:rsidR="00905B0B">
        <w:rPr>
          <w:rFonts w:ascii="Arial" w:eastAsia="Times New Roman" w:hAnsi="Arial" w:cs="Arial"/>
          <w:color w:val="4472C4" w:themeColor="accent1"/>
          <w:sz w:val="20"/>
          <w:szCs w:val="20"/>
          <w:shd w:val="clear" w:color="auto" w:fill="FEFEFE"/>
          <w:lang w:val="en-US" w:eastAsia="it-IT"/>
        </w:rPr>
        <w:t>s</w:t>
      </w:r>
      <w:r w:rsidRPr="006559DF">
        <w:rPr>
          <w:rFonts w:ascii="Arial" w:eastAsia="Times New Roman" w:hAnsi="Arial" w:cs="Arial"/>
          <w:color w:val="4472C4" w:themeColor="accent1"/>
          <w:sz w:val="20"/>
          <w:szCs w:val="20"/>
          <w:shd w:val="clear" w:color="auto" w:fill="FEFEFE"/>
          <w:lang w:val="en-US" w:eastAsia="it-IT"/>
        </w:rPr>
        <w:t xml:space="preserve"> referred as Pat 3</w:t>
      </w:r>
      <w:r w:rsidR="00992336">
        <w:rPr>
          <w:rFonts w:ascii="Arial" w:eastAsia="Times New Roman" w:hAnsi="Arial" w:cs="Arial"/>
          <w:color w:val="4472C4" w:themeColor="accent1"/>
          <w:sz w:val="20"/>
          <w:szCs w:val="20"/>
          <w:shd w:val="clear" w:color="auto" w:fill="FEFEFE"/>
          <w:lang w:val="en-US" w:eastAsia="it-IT"/>
        </w:rPr>
        <w:t xml:space="preserve"> and pat 4</w:t>
      </w:r>
      <w:r w:rsidRPr="006559DF">
        <w:rPr>
          <w:rFonts w:ascii="Arial" w:eastAsia="Times New Roman" w:hAnsi="Arial" w:cs="Arial"/>
          <w:color w:val="4472C4" w:themeColor="accent1"/>
          <w:sz w:val="20"/>
          <w:szCs w:val="20"/>
          <w:shd w:val="clear" w:color="auto" w:fill="FEFEFE"/>
          <w:lang w:val="en-US" w:eastAsia="it-IT"/>
        </w:rPr>
        <w:t>, sinc</w:t>
      </w:r>
      <w:r w:rsidR="00992336">
        <w:rPr>
          <w:rFonts w:ascii="Arial" w:eastAsia="Times New Roman" w:hAnsi="Arial" w:cs="Arial"/>
          <w:color w:val="4472C4" w:themeColor="accent1"/>
          <w:sz w:val="20"/>
          <w:szCs w:val="20"/>
          <w:shd w:val="clear" w:color="auto" w:fill="FEFEFE"/>
          <w:lang w:val="en-US" w:eastAsia="it-IT"/>
        </w:rPr>
        <w:t xml:space="preserve">e they both showed VUS or likely benign variants. </w:t>
      </w:r>
      <w:r w:rsidRPr="006559DF">
        <w:rPr>
          <w:rFonts w:ascii="Arial" w:eastAsia="Times New Roman" w:hAnsi="Arial" w:cs="Arial"/>
          <w:color w:val="4472C4" w:themeColor="accent1"/>
          <w:sz w:val="20"/>
          <w:szCs w:val="20"/>
          <w:shd w:val="clear" w:color="auto" w:fill="FEFEFE"/>
          <w:lang w:val="en-US" w:eastAsia="it-IT"/>
        </w:rPr>
        <w:t xml:space="preserve"> </w:t>
      </w:r>
      <w:r w:rsidR="00992336">
        <w:rPr>
          <w:rFonts w:ascii="Arial" w:eastAsia="Times New Roman" w:hAnsi="Arial" w:cs="Arial"/>
          <w:color w:val="4472C4" w:themeColor="accent1"/>
          <w:sz w:val="20"/>
          <w:szCs w:val="20"/>
          <w:shd w:val="clear" w:color="auto" w:fill="FEFEFE"/>
          <w:lang w:val="en-US" w:eastAsia="it-IT"/>
        </w:rPr>
        <w:t>The present manuscript is focused on three patients: all had pathogenic or likely pathogenic variants.</w:t>
      </w:r>
      <w:r w:rsidR="008D37FD">
        <w:rPr>
          <w:rFonts w:ascii="Arial" w:eastAsia="Times New Roman" w:hAnsi="Arial" w:cs="Arial"/>
          <w:color w:val="4472C4" w:themeColor="accent1"/>
          <w:sz w:val="20"/>
          <w:szCs w:val="20"/>
          <w:shd w:val="clear" w:color="auto" w:fill="FEFEFE"/>
          <w:lang w:val="en-US" w:eastAsia="it-IT"/>
        </w:rPr>
        <w:t xml:space="preserve"> Revised table 3 shows ACMG classification, whether they are reported </w:t>
      </w:r>
      <w:r w:rsidR="00EB085D">
        <w:rPr>
          <w:rFonts w:ascii="Arial" w:eastAsia="Times New Roman" w:hAnsi="Arial" w:cs="Arial"/>
          <w:color w:val="4472C4" w:themeColor="accent1"/>
          <w:sz w:val="20"/>
          <w:szCs w:val="20"/>
          <w:shd w:val="clear" w:color="auto" w:fill="FEFEFE"/>
          <w:lang w:val="en-US" w:eastAsia="it-IT"/>
        </w:rPr>
        <w:t xml:space="preserve">in CLINVAR database </w:t>
      </w:r>
      <w:r w:rsidR="008D37FD">
        <w:rPr>
          <w:rFonts w:ascii="Arial" w:eastAsia="Times New Roman" w:hAnsi="Arial" w:cs="Arial"/>
          <w:color w:val="4472C4" w:themeColor="accent1"/>
          <w:sz w:val="20"/>
          <w:szCs w:val="20"/>
          <w:shd w:val="clear" w:color="auto" w:fill="FEFEFE"/>
          <w:lang w:val="en-US" w:eastAsia="it-IT"/>
        </w:rPr>
        <w:t xml:space="preserve">and prediction of </w:t>
      </w:r>
      <w:r w:rsidR="00EB085D">
        <w:rPr>
          <w:rFonts w:ascii="Arial" w:eastAsia="Times New Roman" w:hAnsi="Arial" w:cs="Arial"/>
          <w:color w:val="4472C4" w:themeColor="accent1"/>
          <w:sz w:val="20"/>
          <w:szCs w:val="20"/>
          <w:shd w:val="clear" w:color="auto" w:fill="FEFEFE"/>
          <w:lang w:val="en-US" w:eastAsia="it-IT"/>
        </w:rPr>
        <w:t xml:space="preserve">in CLINVAR database </w:t>
      </w:r>
      <w:r w:rsidR="008D37FD">
        <w:rPr>
          <w:rFonts w:ascii="Arial" w:eastAsia="Times New Roman" w:hAnsi="Arial" w:cs="Arial"/>
          <w:color w:val="4472C4" w:themeColor="accent1"/>
          <w:sz w:val="20"/>
          <w:szCs w:val="20"/>
          <w:shd w:val="clear" w:color="auto" w:fill="FEFEFE"/>
          <w:lang w:val="en-US" w:eastAsia="it-IT"/>
        </w:rPr>
        <w:t>pathogenicity with SIFT and</w:t>
      </w:r>
      <w:r w:rsidR="00EB085D">
        <w:rPr>
          <w:rFonts w:ascii="Arial" w:eastAsia="Times New Roman" w:hAnsi="Arial" w:cs="Arial"/>
          <w:color w:val="4472C4" w:themeColor="accent1"/>
          <w:sz w:val="20"/>
          <w:szCs w:val="20"/>
          <w:shd w:val="clear" w:color="auto" w:fill="FEFEFE"/>
          <w:lang w:val="en-US" w:eastAsia="it-IT"/>
        </w:rPr>
        <w:t xml:space="preserve"> SPLICE AI software.</w:t>
      </w:r>
      <w:r w:rsidR="008D37FD">
        <w:rPr>
          <w:rFonts w:ascii="Arial" w:eastAsia="Times New Roman" w:hAnsi="Arial" w:cs="Arial"/>
          <w:color w:val="4472C4" w:themeColor="accent1"/>
          <w:sz w:val="20"/>
          <w:szCs w:val="20"/>
          <w:shd w:val="clear" w:color="auto" w:fill="FEFEFE"/>
          <w:lang w:val="en-US" w:eastAsia="it-IT"/>
        </w:rPr>
        <w:t xml:space="preserve">  </w:t>
      </w:r>
    </w:p>
    <w:p w14:paraId="2789D6D7" w14:textId="6E03BE7C" w:rsidR="00A3549F" w:rsidRDefault="00A3549F" w:rsidP="006559DF">
      <w:pPr>
        <w:rPr>
          <w:rFonts w:ascii="Arial" w:eastAsia="Times New Roman" w:hAnsi="Arial" w:cs="Arial"/>
          <w:color w:val="4472C4" w:themeColor="accent1"/>
          <w:sz w:val="20"/>
          <w:szCs w:val="20"/>
          <w:shd w:val="clear" w:color="auto" w:fill="FEFEFE"/>
          <w:lang w:val="en-US" w:eastAsia="it-IT"/>
        </w:rPr>
      </w:pPr>
    </w:p>
    <w:p w14:paraId="4D9D366F" w14:textId="77777777" w:rsidR="000C2B3F" w:rsidRPr="00EB085D" w:rsidRDefault="000C2B3F" w:rsidP="00EB085D">
      <w:pPr>
        <w:rPr>
          <w:rFonts w:ascii="Arial" w:eastAsia="Times New Roman" w:hAnsi="Arial" w:cs="Arial"/>
          <w:color w:val="0A0A0A"/>
          <w:sz w:val="20"/>
          <w:szCs w:val="20"/>
          <w:shd w:val="clear" w:color="auto" w:fill="FEFEFE"/>
          <w:lang w:val="en-US" w:eastAsia="it-IT"/>
        </w:rPr>
      </w:pPr>
    </w:p>
    <w:p w14:paraId="26048139" w14:textId="77777777" w:rsidR="006559DF" w:rsidRDefault="006559DF" w:rsidP="006559DF">
      <w:pPr>
        <w:rPr>
          <w:rFonts w:ascii="Arial" w:eastAsia="Times New Roman" w:hAnsi="Arial" w:cs="Arial"/>
          <w:color w:val="0A0A0A"/>
          <w:sz w:val="20"/>
          <w:szCs w:val="20"/>
          <w:shd w:val="clear" w:color="auto" w:fill="FEFEFE"/>
          <w:lang w:val="en-US" w:eastAsia="it-IT"/>
        </w:rPr>
      </w:pPr>
    </w:p>
    <w:p w14:paraId="36CD172A" w14:textId="3D8B715F" w:rsidR="006559DF" w:rsidRDefault="006559DF" w:rsidP="006559DF">
      <w:pPr>
        <w:rPr>
          <w:rFonts w:ascii="Arial" w:eastAsia="Times New Roman" w:hAnsi="Arial" w:cs="Arial"/>
          <w:color w:val="0A0A0A"/>
          <w:sz w:val="20"/>
          <w:szCs w:val="20"/>
          <w:shd w:val="clear" w:color="auto" w:fill="FEFEFE"/>
          <w:lang w:val="en-US" w:eastAsia="it-IT"/>
        </w:rPr>
      </w:pPr>
      <w:r w:rsidRPr="006559DF">
        <w:rPr>
          <w:rFonts w:ascii="Arial" w:eastAsia="Times New Roman" w:hAnsi="Arial" w:cs="Arial"/>
          <w:color w:val="0A0A0A"/>
          <w:sz w:val="20"/>
          <w:szCs w:val="20"/>
          <w:shd w:val="clear" w:color="auto" w:fill="FEFEFE"/>
          <w:lang w:val="en-US" w:eastAsia="it-IT"/>
        </w:rPr>
        <w:t xml:space="preserve">In addition, as the authors themselves note in the manuscript, there have already been many publications on the varied phenotypic spectrum of individuals with COL4A variants, such that the originality of the study remains unclear. These issues must be addressed in order for the manuscript to be more suitable for publication. </w:t>
      </w:r>
    </w:p>
    <w:p w14:paraId="298925C0" w14:textId="0E3142DA" w:rsidR="006559DF" w:rsidRDefault="006559DF" w:rsidP="006559DF">
      <w:pPr>
        <w:rPr>
          <w:rFonts w:ascii="Arial" w:eastAsia="Times New Roman" w:hAnsi="Arial" w:cs="Arial"/>
          <w:color w:val="0A0A0A"/>
          <w:sz w:val="20"/>
          <w:szCs w:val="20"/>
          <w:shd w:val="clear" w:color="auto" w:fill="FEFEFE"/>
          <w:lang w:val="en-US" w:eastAsia="it-IT"/>
        </w:rPr>
      </w:pPr>
    </w:p>
    <w:p w14:paraId="6F85254B" w14:textId="437D3418" w:rsidR="00EB085D" w:rsidRDefault="006559DF" w:rsidP="006559DF">
      <w:pPr>
        <w:rPr>
          <w:rFonts w:ascii="Arial" w:eastAsia="Times New Roman" w:hAnsi="Arial" w:cs="Arial"/>
          <w:color w:val="4472C4" w:themeColor="accent1"/>
          <w:sz w:val="20"/>
          <w:szCs w:val="20"/>
          <w:shd w:val="clear" w:color="auto" w:fill="FEFEFE"/>
          <w:lang w:val="en-US" w:eastAsia="it-IT"/>
        </w:rPr>
      </w:pPr>
      <w:r w:rsidRPr="006559DF">
        <w:rPr>
          <w:rFonts w:ascii="Arial" w:eastAsia="Times New Roman" w:hAnsi="Arial" w:cs="Arial"/>
          <w:color w:val="4472C4" w:themeColor="accent1"/>
          <w:sz w:val="20"/>
          <w:szCs w:val="20"/>
          <w:shd w:val="clear" w:color="auto" w:fill="FEFEFE"/>
          <w:lang w:val="en-US" w:eastAsia="it-IT"/>
        </w:rPr>
        <w:t xml:space="preserve">R: </w:t>
      </w:r>
      <w:r w:rsidR="00EB085D">
        <w:rPr>
          <w:rFonts w:ascii="Arial" w:eastAsia="Times New Roman" w:hAnsi="Arial" w:cs="Arial"/>
          <w:color w:val="4472C4" w:themeColor="accent1"/>
          <w:sz w:val="20"/>
          <w:szCs w:val="20"/>
          <w:shd w:val="clear" w:color="auto" w:fill="FEFEFE"/>
          <w:lang w:val="en-US" w:eastAsia="it-IT"/>
        </w:rPr>
        <w:t xml:space="preserve">We agree with the referee that manuscript’s originality is </w:t>
      </w:r>
      <w:r w:rsidR="00905B0B">
        <w:rPr>
          <w:rFonts w:ascii="Arial" w:eastAsia="Times New Roman" w:hAnsi="Arial" w:cs="Arial"/>
          <w:color w:val="4472C4" w:themeColor="accent1"/>
          <w:sz w:val="20"/>
          <w:szCs w:val="20"/>
          <w:shd w:val="clear" w:color="auto" w:fill="FEFEFE"/>
          <w:lang w:val="en-US" w:eastAsia="it-IT"/>
        </w:rPr>
        <w:t>elusive</w:t>
      </w:r>
      <w:r w:rsidR="00EB085D">
        <w:rPr>
          <w:rFonts w:ascii="Arial" w:eastAsia="Times New Roman" w:hAnsi="Arial" w:cs="Arial"/>
          <w:color w:val="4472C4" w:themeColor="accent1"/>
          <w:sz w:val="20"/>
          <w:szCs w:val="20"/>
          <w:shd w:val="clear" w:color="auto" w:fill="FEFEFE"/>
          <w:lang w:val="en-US" w:eastAsia="it-IT"/>
        </w:rPr>
        <w:t>. Thus, we have worked on the manuscript providing the following change</w:t>
      </w:r>
      <w:r w:rsidR="00905B0B">
        <w:rPr>
          <w:rFonts w:ascii="Arial" w:eastAsia="Times New Roman" w:hAnsi="Arial" w:cs="Arial"/>
          <w:color w:val="4472C4" w:themeColor="accent1"/>
          <w:sz w:val="20"/>
          <w:szCs w:val="20"/>
          <w:shd w:val="clear" w:color="auto" w:fill="FEFEFE"/>
          <w:lang w:val="en-US" w:eastAsia="it-IT"/>
        </w:rPr>
        <w:t xml:space="preserve">s that we believe may provide novelties and reflection points, deleting obvious and /or not significant data. </w:t>
      </w:r>
      <w:r w:rsidR="00EB085D">
        <w:rPr>
          <w:rFonts w:ascii="Arial" w:eastAsia="Times New Roman" w:hAnsi="Arial" w:cs="Arial"/>
          <w:color w:val="4472C4" w:themeColor="accent1"/>
          <w:sz w:val="20"/>
          <w:szCs w:val="20"/>
          <w:shd w:val="clear" w:color="auto" w:fill="FEFEFE"/>
          <w:lang w:val="en-US" w:eastAsia="it-IT"/>
        </w:rPr>
        <w:t xml:space="preserve"> </w:t>
      </w:r>
    </w:p>
    <w:p w14:paraId="339F1034" w14:textId="700BE115" w:rsidR="006559DF" w:rsidRDefault="00EB085D" w:rsidP="00EB085D">
      <w:pPr>
        <w:pStyle w:val="Paragrafoelenco"/>
        <w:numPr>
          <w:ilvl w:val="0"/>
          <w:numId w:val="2"/>
        </w:numPr>
        <w:rPr>
          <w:rFonts w:ascii="Arial" w:eastAsia="Times New Roman" w:hAnsi="Arial" w:cs="Arial"/>
          <w:color w:val="4472C4" w:themeColor="accent1"/>
          <w:sz w:val="20"/>
          <w:szCs w:val="20"/>
          <w:shd w:val="clear" w:color="auto" w:fill="FEFEFE"/>
          <w:lang w:val="en-US" w:eastAsia="it-IT"/>
        </w:rPr>
      </w:pPr>
      <w:r>
        <w:rPr>
          <w:rFonts w:ascii="Arial" w:eastAsia="Times New Roman" w:hAnsi="Arial" w:cs="Arial"/>
          <w:color w:val="4472C4" w:themeColor="accent1"/>
          <w:sz w:val="20"/>
          <w:szCs w:val="20"/>
          <w:shd w:val="clear" w:color="auto" w:fill="FEFEFE"/>
          <w:lang w:val="en-US" w:eastAsia="it-IT"/>
        </w:rPr>
        <w:t xml:space="preserve">1) Pat 4 of the past </w:t>
      </w:r>
      <w:proofErr w:type="gramStart"/>
      <w:r>
        <w:rPr>
          <w:rFonts w:ascii="Arial" w:eastAsia="Times New Roman" w:hAnsi="Arial" w:cs="Arial"/>
          <w:color w:val="4472C4" w:themeColor="accent1"/>
          <w:sz w:val="20"/>
          <w:szCs w:val="20"/>
          <w:shd w:val="clear" w:color="auto" w:fill="FEFEFE"/>
          <w:lang w:val="en-US" w:eastAsia="it-IT"/>
        </w:rPr>
        <w:t>version</w:t>
      </w:r>
      <w:proofErr w:type="gramEnd"/>
      <w:r>
        <w:rPr>
          <w:rFonts w:ascii="Arial" w:eastAsia="Times New Roman" w:hAnsi="Arial" w:cs="Arial"/>
          <w:color w:val="4472C4" w:themeColor="accent1"/>
          <w:sz w:val="20"/>
          <w:szCs w:val="20"/>
          <w:shd w:val="clear" w:color="auto" w:fill="FEFEFE"/>
          <w:lang w:val="en-US" w:eastAsia="it-IT"/>
        </w:rPr>
        <w:t xml:space="preserve"> has been deleted: hypoparathyroidism cannot be defined as a condition due to COL4 variant, while hematuria is not uncommon in COL4 variants, so we deleted this patient. </w:t>
      </w:r>
    </w:p>
    <w:p w14:paraId="767DA069" w14:textId="77777777" w:rsidR="00EB085D" w:rsidRPr="00EB085D" w:rsidRDefault="00EB085D" w:rsidP="00EB085D">
      <w:pPr>
        <w:pStyle w:val="Paragrafoelenco"/>
        <w:numPr>
          <w:ilvl w:val="0"/>
          <w:numId w:val="2"/>
        </w:numPr>
        <w:rPr>
          <w:rFonts w:ascii="Arial" w:eastAsia="Times New Roman" w:hAnsi="Arial" w:cs="Arial"/>
          <w:color w:val="4472C4" w:themeColor="accent1"/>
          <w:sz w:val="20"/>
          <w:szCs w:val="20"/>
          <w:shd w:val="clear" w:color="auto" w:fill="FEFEFE"/>
          <w:lang w:val="en-US" w:eastAsia="it-IT"/>
        </w:rPr>
      </w:pPr>
    </w:p>
    <w:p w14:paraId="7D271F50" w14:textId="4C609898" w:rsidR="00EB085D" w:rsidRPr="00EB085D" w:rsidRDefault="00905B0B" w:rsidP="00EB085D">
      <w:pPr>
        <w:pStyle w:val="Paragrafoelenco"/>
        <w:numPr>
          <w:ilvl w:val="0"/>
          <w:numId w:val="3"/>
        </w:numPr>
        <w:rPr>
          <w:rFonts w:ascii="Times New Roman" w:eastAsia="Times New Roman" w:hAnsi="Times New Roman" w:cs="Times New Roman"/>
          <w:color w:val="4472C4" w:themeColor="accent1"/>
          <w:lang w:val="en-US" w:eastAsia="it-IT"/>
        </w:rPr>
      </w:pPr>
      <w:r>
        <w:rPr>
          <w:rFonts w:ascii="Arial" w:eastAsia="Times New Roman" w:hAnsi="Arial" w:cs="Arial"/>
          <w:color w:val="4472C4" w:themeColor="accent1"/>
          <w:sz w:val="20"/>
          <w:szCs w:val="20"/>
          <w:shd w:val="clear" w:color="auto" w:fill="FEFEFE"/>
          <w:lang w:val="en-US" w:eastAsia="it-IT"/>
        </w:rPr>
        <w:t>The revised manuscript is</w:t>
      </w:r>
      <w:r w:rsidR="00EB085D" w:rsidRPr="00EB085D">
        <w:rPr>
          <w:rFonts w:ascii="Arial" w:eastAsia="Times New Roman" w:hAnsi="Arial" w:cs="Arial"/>
          <w:color w:val="4472C4" w:themeColor="accent1"/>
          <w:sz w:val="20"/>
          <w:szCs w:val="20"/>
          <w:shd w:val="clear" w:color="auto" w:fill="FEFEFE"/>
          <w:lang w:val="en-US" w:eastAsia="it-IT"/>
        </w:rPr>
        <w:t xml:space="preserve"> focused on three major aspects that have been more clearly </w:t>
      </w:r>
      <w:proofErr w:type="gramStart"/>
      <w:r w:rsidR="00EB085D" w:rsidRPr="00EB085D">
        <w:rPr>
          <w:rFonts w:ascii="Arial" w:eastAsia="Times New Roman" w:hAnsi="Arial" w:cs="Arial"/>
          <w:color w:val="4472C4" w:themeColor="accent1"/>
          <w:sz w:val="20"/>
          <w:szCs w:val="20"/>
          <w:shd w:val="clear" w:color="auto" w:fill="FEFEFE"/>
          <w:lang w:val="en-US" w:eastAsia="it-IT"/>
        </w:rPr>
        <w:t>and  extensively</w:t>
      </w:r>
      <w:proofErr w:type="gramEnd"/>
      <w:r w:rsidR="00EB085D" w:rsidRPr="00EB085D">
        <w:rPr>
          <w:rFonts w:ascii="Arial" w:eastAsia="Times New Roman" w:hAnsi="Arial" w:cs="Arial"/>
          <w:color w:val="4472C4" w:themeColor="accent1"/>
          <w:sz w:val="20"/>
          <w:szCs w:val="20"/>
          <w:shd w:val="clear" w:color="auto" w:fill="FEFEFE"/>
          <w:lang w:val="en-US" w:eastAsia="it-IT"/>
        </w:rPr>
        <w:t xml:space="preserve"> addressed in the abstract , case description and discussion : </w:t>
      </w:r>
    </w:p>
    <w:p w14:paraId="3901A71A" w14:textId="41B6B9B2" w:rsidR="00EB085D" w:rsidRPr="00EB085D" w:rsidRDefault="00EB085D" w:rsidP="00EB085D">
      <w:pPr>
        <w:pStyle w:val="Paragrafoelenco"/>
        <w:rPr>
          <w:rFonts w:ascii="Times New Roman" w:eastAsia="Times New Roman" w:hAnsi="Times New Roman" w:cs="Times New Roman"/>
          <w:color w:val="4472C4" w:themeColor="accent1"/>
          <w:lang w:val="en-US" w:eastAsia="it-IT"/>
        </w:rPr>
      </w:pPr>
      <w:r>
        <w:rPr>
          <w:rFonts w:ascii="Arial" w:eastAsia="Times New Roman" w:hAnsi="Arial" w:cs="Arial"/>
          <w:color w:val="4472C4" w:themeColor="accent1"/>
          <w:sz w:val="20"/>
          <w:szCs w:val="20"/>
          <w:shd w:val="clear" w:color="auto" w:fill="FEFEFE"/>
          <w:lang w:val="en-US" w:eastAsia="it-IT"/>
        </w:rPr>
        <w:t>Besides the association between collagen defects and glomerulosclerosis (1</w:t>
      </w:r>
      <w:proofErr w:type="gramStart"/>
      <w:r>
        <w:rPr>
          <w:rFonts w:ascii="Arial" w:eastAsia="Times New Roman" w:hAnsi="Arial" w:cs="Arial"/>
          <w:color w:val="4472C4" w:themeColor="accent1"/>
          <w:sz w:val="20"/>
          <w:szCs w:val="20"/>
          <w:shd w:val="clear" w:color="auto" w:fill="FEFEFE"/>
          <w:lang w:val="en-US" w:eastAsia="it-IT"/>
        </w:rPr>
        <w:t>) ,</w:t>
      </w:r>
      <w:proofErr w:type="gramEnd"/>
      <w:r>
        <w:rPr>
          <w:rFonts w:ascii="Arial" w:eastAsia="Times New Roman" w:hAnsi="Arial" w:cs="Arial"/>
          <w:color w:val="4472C4" w:themeColor="accent1"/>
          <w:sz w:val="20"/>
          <w:szCs w:val="20"/>
          <w:shd w:val="clear" w:color="auto" w:fill="FEFEFE"/>
          <w:lang w:val="en-US" w:eastAsia="it-IT"/>
        </w:rPr>
        <w:t xml:space="preserve"> that may be a predictable consequence, we focused on the relationship between(2) COL4 and cortical calcification;  3) COL4 and tubulointerstitial defects, as fibrocystic phenotype. </w:t>
      </w:r>
    </w:p>
    <w:p w14:paraId="19FEBF41" w14:textId="77777777" w:rsidR="00EB085D" w:rsidRPr="00EB085D" w:rsidRDefault="00EB085D" w:rsidP="00EB085D">
      <w:pPr>
        <w:pStyle w:val="Paragrafoelenco"/>
        <w:rPr>
          <w:rFonts w:ascii="Times New Roman" w:eastAsia="Times New Roman" w:hAnsi="Times New Roman" w:cs="Times New Roman"/>
          <w:color w:val="4472C4" w:themeColor="accent1"/>
          <w:lang w:val="en-US" w:eastAsia="it-IT"/>
        </w:rPr>
      </w:pPr>
    </w:p>
    <w:p w14:paraId="12DE4CFC" w14:textId="5C740A2C" w:rsidR="006559DF" w:rsidRDefault="006559DF" w:rsidP="00EB085D">
      <w:pPr>
        <w:pStyle w:val="Paragrafoelenco"/>
        <w:rPr>
          <w:rFonts w:ascii="Arial" w:eastAsia="Times New Roman" w:hAnsi="Arial" w:cs="Arial"/>
          <w:color w:val="4472C4" w:themeColor="accent1"/>
          <w:sz w:val="20"/>
          <w:szCs w:val="20"/>
          <w:shd w:val="clear" w:color="auto" w:fill="FEFEFE"/>
          <w:lang w:val="en-US" w:eastAsia="it-IT"/>
        </w:rPr>
      </w:pPr>
      <w:r>
        <w:rPr>
          <w:rFonts w:ascii="Arial" w:eastAsia="Times New Roman" w:hAnsi="Arial" w:cs="Arial"/>
          <w:color w:val="4472C4" w:themeColor="accent1"/>
          <w:sz w:val="20"/>
          <w:szCs w:val="20"/>
          <w:shd w:val="clear" w:color="auto" w:fill="FEFEFE"/>
          <w:lang w:val="en-US" w:eastAsia="it-IT"/>
        </w:rPr>
        <w:t xml:space="preserve"> T</w:t>
      </w:r>
      <w:r w:rsidR="00E54BBB">
        <w:rPr>
          <w:rFonts w:ascii="Arial" w:eastAsia="Times New Roman" w:hAnsi="Arial" w:cs="Arial"/>
          <w:color w:val="4472C4" w:themeColor="accent1"/>
          <w:sz w:val="20"/>
          <w:szCs w:val="20"/>
          <w:shd w:val="clear" w:color="auto" w:fill="FEFEFE"/>
          <w:lang w:val="en-US" w:eastAsia="it-IT"/>
        </w:rPr>
        <w:t xml:space="preserve">o this end, in the result section, legend of figure 5 showing patient CT scan and discussion, </w:t>
      </w:r>
      <w:r w:rsidR="00EB085D">
        <w:rPr>
          <w:rFonts w:ascii="Arial" w:eastAsia="Times New Roman" w:hAnsi="Arial" w:cs="Arial"/>
          <w:color w:val="4472C4" w:themeColor="accent1"/>
          <w:sz w:val="20"/>
          <w:szCs w:val="20"/>
          <w:shd w:val="clear" w:color="auto" w:fill="FEFEFE"/>
          <w:lang w:val="en-US" w:eastAsia="it-IT"/>
        </w:rPr>
        <w:t>these data have been expanded, more extensively described ( see results section and legend of Figure 5) and discussed.</w:t>
      </w:r>
    </w:p>
    <w:p w14:paraId="6AB719BE" w14:textId="0D636D1C" w:rsidR="00EB085D" w:rsidRDefault="00EB085D" w:rsidP="00EB085D">
      <w:pPr>
        <w:pStyle w:val="Paragrafoelenco"/>
        <w:rPr>
          <w:rFonts w:ascii="Arial" w:eastAsia="Times New Roman" w:hAnsi="Arial" w:cs="Arial"/>
          <w:color w:val="4472C4" w:themeColor="accent1"/>
          <w:sz w:val="20"/>
          <w:szCs w:val="20"/>
          <w:shd w:val="clear" w:color="auto" w:fill="FEFEFE"/>
          <w:lang w:val="en-US" w:eastAsia="it-IT"/>
        </w:rPr>
      </w:pPr>
    </w:p>
    <w:p w14:paraId="3A5D91E8" w14:textId="324E7D84" w:rsidR="00EB085D" w:rsidRPr="00E84A8A" w:rsidRDefault="00EB085D" w:rsidP="00E84A8A">
      <w:pPr>
        <w:pStyle w:val="Paragrafoelenco"/>
        <w:rPr>
          <w:rFonts w:ascii="Arial" w:eastAsia="Times New Roman" w:hAnsi="Arial" w:cs="Arial"/>
          <w:color w:val="4472C4" w:themeColor="accent1"/>
          <w:sz w:val="20"/>
          <w:szCs w:val="20"/>
          <w:shd w:val="clear" w:color="auto" w:fill="FEFEFE"/>
          <w:lang w:val="en-US" w:eastAsia="it-IT"/>
        </w:rPr>
      </w:pPr>
      <w:r>
        <w:rPr>
          <w:rFonts w:ascii="Arial" w:eastAsia="Times New Roman" w:hAnsi="Arial" w:cs="Arial"/>
          <w:color w:val="4472C4" w:themeColor="accent1"/>
          <w:sz w:val="20"/>
          <w:szCs w:val="20"/>
          <w:shd w:val="clear" w:color="auto" w:fill="FEFEFE"/>
          <w:lang w:val="en-US" w:eastAsia="it-IT"/>
        </w:rPr>
        <w:t xml:space="preserve">In the revised manuscript </w:t>
      </w:r>
      <w:r w:rsidRPr="00E84A8A">
        <w:rPr>
          <w:rFonts w:ascii="Arial" w:eastAsia="Times New Roman" w:hAnsi="Arial" w:cs="Arial"/>
          <w:color w:val="4472C4" w:themeColor="accent1"/>
          <w:sz w:val="20"/>
          <w:szCs w:val="20"/>
          <w:shd w:val="clear" w:color="auto" w:fill="FEFEFE"/>
          <w:lang w:val="en-US" w:eastAsia="it-IT"/>
        </w:rPr>
        <w:t xml:space="preserve">you read: </w:t>
      </w:r>
    </w:p>
    <w:p w14:paraId="7FC422B8" w14:textId="681F548B" w:rsidR="00E84A8A" w:rsidRPr="00E84A8A" w:rsidRDefault="00EB085D" w:rsidP="00E84A8A">
      <w:pPr>
        <w:pStyle w:val="Paragrafoelenco"/>
        <w:numPr>
          <w:ilvl w:val="0"/>
          <w:numId w:val="2"/>
        </w:numPr>
        <w:rPr>
          <w:rFonts w:ascii="Arial" w:eastAsia="Times New Roman" w:hAnsi="Arial" w:cs="Arial"/>
          <w:color w:val="0A0A0A"/>
          <w:sz w:val="20"/>
          <w:szCs w:val="20"/>
          <w:shd w:val="clear" w:color="auto" w:fill="FEFEFE"/>
          <w:lang w:val="en-US" w:eastAsia="it-IT"/>
        </w:rPr>
      </w:pPr>
      <w:r w:rsidRPr="00E84A8A">
        <w:rPr>
          <w:rFonts w:ascii="Arial" w:eastAsia="Times New Roman" w:hAnsi="Arial" w:cs="Arial"/>
          <w:color w:val="4472C4" w:themeColor="accent1"/>
          <w:sz w:val="20"/>
          <w:szCs w:val="20"/>
          <w:shd w:val="clear" w:color="auto" w:fill="FEFEFE"/>
          <w:lang w:val="en-US" w:eastAsia="it-IT"/>
        </w:rPr>
        <w:t>Abstract</w:t>
      </w:r>
      <w:r>
        <w:rPr>
          <w:rFonts w:ascii="Arial" w:eastAsia="Times New Roman" w:hAnsi="Arial" w:cs="Arial"/>
          <w:color w:val="0A0A0A"/>
          <w:sz w:val="20"/>
          <w:szCs w:val="20"/>
          <w:shd w:val="clear" w:color="auto" w:fill="FEFEFE"/>
          <w:lang w:val="en-US" w:eastAsia="it-IT"/>
        </w:rPr>
        <w:t>: ‘’</w:t>
      </w:r>
      <w:r>
        <w:rPr>
          <w:lang w:val="en-GB"/>
        </w:rPr>
        <w:t>…..</w:t>
      </w:r>
      <w:r w:rsidRPr="00E84A8A">
        <w:rPr>
          <w:color w:val="FF0000"/>
          <w:lang w:val="en-GB"/>
        </w:rPr>
        <w:t xml:space="preserve">These patients showed the following clinical pictures: 1) familial focal segmental glomerulosclerosis; 2) end-Stage Renal Disease (ESRD) diagnosed incidentally in a 49-year-old man, with diffuse cortical </w:t>
      </w:r>
      <w:r w:rsidRPr="00691D83">
        <w:rPr>
          <w:color w:val="FF0000"/>
          <w:lang w:val="en-GB"/>
        </w:rPr>
        <w:t>calcifications on renal imaging; 3) dysmorphic and asymmetric kidneys with multiple cysts and signs of tubule-interstitial disorder</w:t>
      </w:r>
      <w:r>
        <w:rPr>
          <w:color w:val="FF0000"/>
          <w:lang w:val="en-GB"/>
        </w:rPr>
        <w:t>.</w:t>
      </w:r>
    </w:p>
    <w:p w14:paraId="242ABC35" w14:textId="5C51E0C5" w:rsidR="00E84A8A" w:rsidRDefault="00E84A8A" w:rsidP="00E84A8A">
      <w:pPr>
        <w:pStyle w:val="Paragrafoelenco"/>
        <w:numPr>
          <w:ilvl w:val="0"/>
          <w:numId w:val="2"/>
        </w:numPr>
        <w:rPr>
          <w:rFonts w:ascii="Arial" w:eastAsia="Times New Roman" w:hAnsi="Arial" w:cs="Arial"/>
          <w:color w:val="0A0A0A"/>
          <w:sz w:val="20"/>
          <w:szCs w:val="20"/>
          <w:shd w:val="clear" w:color="auto" w:fill="FEFEFE"/>
          <w:lang w:val="en-US" w:eastAsia="it-IT"/>
        </w:rPr>
      </w:pPr>
      <w:proofErr w:type="gramStart"/>
      <w:r>
        <w:rPr>
          <w:rFonts w:ascii="Arial" w:eastAsia="Times New Roman" w:hAnsi="Arial" w:cs="Arial"/>
          <w:color w:val="0A0A0A"/>
          <w:sz w:val="20"/>
          <w:szCs w:val="20"/>
          <w:shd w:val="clear" w:color="auto" w:fill="FEFEFE"/>
          <w:lang w:val="en-US" w:eastAsia="it-IT"/>
        </w:rPr>
        <w:t>Results :</w:t>
      </w:r>
      <w:proofErr w:type="gramEnd"/>
    </w:p>
    <w:p w14:paraId="5712131A" w14:textId="17CED840" w:rsidR="00E84A8A" w:rsidRPr="00E84A8A" w:rsidRDefault="00E84A8A" w:rsidP="00E84A8A">
      <w:pPr>
        <w:pStyle w:val="MDPI22heading2"/>
        <w:ind w:left="720"/>
        <w:rPr>
          <w:i w:val="0"/>
          <w:color w:val="FF0000"/>
          <w:lang w:val="en-GB"/>
        </w:rPr>
      </w:pPr>
      <w:r w:rsidRPr="00E84A8A">
        <w:rPr>
          <w:b/>
          <w:bCs/>
          <w:i w:val="0"/>
          <w:color w:val="FF0000"/>
          <w:lang w:val="en-GB"/>
        </w:rPr>
        <w:t>‘’Case 2</w:t>
      </w:r>
      <w:r w:rsidRPr="00E84A8A">
        <w:rPr>
          <w:i w:val="0"/>
          <w:color w:val="FF0000"/>
          <w:lang w:val="en-GB"/>
        </w:rPr>
        <w:t xml:space="preserve"> was a 49 year-old man that referred to the hospital in emergency for epistaxis, with an unremarkable personal and familial history of disease. He denied to suffer from any significant morbidity; he was no under chronic medication and did not exhibit previous medical reports. On admission, high blood pressure and advanced renal dysfunction (estimated GFR of 13 ml/min/1.73m</w:t>
      </w:r>
      <w:r w:rsidRPr="00E84A8A">
        <w:rPr>
          <w:i w:val="0"/>
          <w:color w:val="FF0000"/>
          <w:vertAlign w:val="superscript"/>
          <w:lang w:val="en-GB"/>
        </w:rPr>
        <w:t>2</w:t>
      </w:r>
      <w:r w:rsidRPr="00E84A8A">
        <w:rPr>
          <w:i w:val="0"/>
          <w:color w:val="FF0000"/>
          <w:lang w:val="en-GB"/>
        </w:rPr>
        <w:t>) were revealed. Sensorineural deafness was referred. Renal ultrasound showed a decrease of right kidney size, parenchymal calcifications and fetal lobulation bilaterally. The abdomen computed tomography (CT) scan confirmed cortical calcification (</w:t>
      </w:r>
      <w:r w:rsidRPr="00E84A8A">
        <w:rPr>
          <w:b/>
          <w:bCs/>
          <w:i w:val="0"/>
          <w:color w:val="FF0000"/>
          <w:lang w:val="en-GB"/>
        </w:rPr>
        <w:t xml:space="preserve">Fig. 5). </w:t>
      </w:r>
      <w:r w:rsidRPr="009B0B4C">
        <w:rPr>
          <w:i w:val="0"/>
          <w:color w:val="FF0000"/>
          <w:lang w:val="en-GB"/>
        </w:rPr>
        <w:t xml:space="preserve">Subsequent analysis revealed that </w:t>
      </w:r>
      <w:r w:rsidRPr="00E84A8A">
        <w:rPr>
          <w:i w:val="0"/>
          <w:color w:val="FF0000"/>
          <w:lang w:val="en-GB"/>
        </w:rPr>
        <w:t xml:space="preserve">circulating parathyroid hormon levels (70 pg/ml), calcium (9 mg/dl, 2.25 </w:t>
      </w:r>
      <w:r w:rsidRPr="00E84A8A">
        <w:rPr>
          <w:i w:val="0"/>
          <w:color w:val="FF0000"/>
          <w:lang w:val="en-GB"/>
        </w:rPr>
        <w:lastRenderedPageBreak/>
        <w:t xml:space="preserve">mmol/L)  and phosphate (4.1 mg/dl) were unremarkable, considering the level of chronic renal disease.  No vitamin D and/or calcium supplementation had been taken in the past. Few months later, the patient started chronic hemodialysis and, after two years, he underwent kidney transplantation.  Because of the relatively young age at ESRD and the unknown cause of renal dysfunction, the patient underwent genetic analysis. </w:t>
      </w:r>
    </w:p>
    <w:p w14:paraId="6B73A6BB" w14:textId="08542179" w:rsidR="00E84A8A" w:rsidRDefault="00E84A8A" w:rsidP="00E84A8A">
      <w:pPr>
        <w:pStyle w:val="MDPI22heading2"/>
        <w:numPr>
          <w:ilvl w:val="0"/>
          <w:numId w:val="2"/>
        </w:numPr>
        <w:rPr>
          <w:i w:val="0"/>
          <w:color w:val="FF0000"/>
          <w:lang w:val="en-GB"/>
        </w:rPr>
      </w:pPr>
      <w:r w:rsidRPr="00E84A8A">
        <w:rPr>
          <w:b/>
          <w:bCs/>
          <w:i w:val="0"/>
          <w:color w:val="FF0000"/>
          <w:lang w:val="en-GB"/>
        </w:rPr>
        <w:t>Case 3</w:t>
      </w:r>
      <w:r w:rsidRPr="00E84A8A">
        <w:rPr>
          <w:i w:val="0"/>
          <w:color w:val="FF0000"/>
          <w:lang w:val="en-GB"/>
        </w:rPr>
        <w:t xml:space="preserve"> was a 59 year-old male admitted to the Nephrology Unit for chronic kidney disease of unknown cause. The patient had suffered from polyuria and microhematuria since childhood; proteinuria appeared when he was thirty-one years old. In his familial history, the mother had intermittent hematuria, with normal overall renal function. His son showed hyperuricemia and a slight decline of the eGFR.  The proband underwent to abdomen ultrasound and CT scan: the right kidney showed a reduced longitudinal diameter (10cm) and sub-centimetric cysts; four large cysts were detected on the left kidney (</w:t>
      </w:r>
      <w:r w:rsidRPr="00E84A8A">
        <w:rPr>
          <w:b/>
          <w:bCs/>
          <w:i w:val="0"/>
          <w:color w:val="FF0000"/>
          <w:lang w:val="en-GB"/>
        </w:rPr>
        <w:t>Fig. 5b</w:t>
      </w:r>
      <w:r w:rsidRPr="00E84A8A">
        <w:rPr>
          <w:i w:val="0"/>
          <w:color w:val="FF0000"/>
          <w:lang w:val="en-GB"/>
        </w:rPr>
        <w:t>) Increased echogàenicity with reduced corticomedullary differentiation were evident on ultrasound. The representation of the vascular tree was reduced. Because of the familiar history of renal disorders, the genetic analysis of the patient and his son was performed.</w:t>
      </w:r>
      <w:r>
        <w:rPr>
          <w:i w:val="0"/>
          <w:color w:val="FF0000"/>
          <w:lang w:val="en-GB"/>
        </w:rPr>
        <w:t xml:space="preserve">’’ </w:t>
      </w:r>
    </w:p>
    <w:p w14:paraId="168F366B" w14:textId="6B90C1C7" w:rsidR="00E84A8A" w:rsidRPr="00E84A8A" w:rsidRDefault="00E84A8A" w:rsidP="00E84A8A">
      <w:pPr>
        <w:pStyle w:val="MDPI31text"/>
        <w:ind w:left="0" w:firstLine="0"/>
        <w:rPr>
          <w:color w:val="FF0000"/>
          <w:lang w:val="it-IT"/>
        </w:rPr>
      </w:pPr>
      <w:r w:rsidRPr="00E84A8A">
        <w:rPr>
          <w:b/>
          <w:bCs/>
          <w:i/>
          <w:color w:val="4472C4" w:themeColor="accent1"/>
          <w:lang w:val="en-GB"/>
        </w:rPr>
        <w:t xml:space="preserve">Discussion section, lines 312 and following: </w:t>
      </w:r>
      <w:r>
        <w:rPr>
          <w:b/>
          <w:bCs/>
          <w:i/>
          <w:color w:val="FF0000"/>
          <w:lang w:val="en-GB"/>
        </w:rPr>
        <w:t>‘’</w:t>
      </w:r>
      <w:r w:rsidRPr="00E84A8A">
        <w:rPr>
          <w:lang w:val="en-GB"/>
        </w:rPr>
        <w:t xml:space="preserve"> </w:t>
      </w:r>
      <w:r w:rsidRPr="00E84A8A">
        <w:rPr>
          <w:color w:val="FF0000"/>
          <w:lang w:val="en-GB"/>
        </w:rPr>
        <w:t>Patient’s renal phenotype is of high interest. Few reports in the literature have shown whether COL4 mutations cause cortical calcification. The term nephrocalcinosis has been introduced to define generalized calcium deposition in renal parenchyma (Shavit</w:t>
      </w:r>
      <w:r w:rsidRPr="00E84A8A">
        <w:rPr>
          <w:color w:val="FF0000"/>
          <w:highlight w:val="yellow"/>
          <w:lang w:val="en-GB"/>
        </w:rPr>
        <w:t xml:space="preserve"> et al Kid Int 2015</w:t>
      </w:r>
      <w:r w:rsidRPr="00E84A8A">
        <w:rPr>
          <w:color w:val="FF0000"/>
          <w:lang w:val="en-GB"/>
        </w:rPr>
        <w:t xml:space="preserve">; </w:t>
      </w:r>
      <w:proofErr w:type="spellStart"/>
      <w:r w:rsidRPr="00E84A8A">
        <w:rPr>
          <w:color w:val="FF0000"/>
          <w:highlight w:val="green"/>
          <w:lang w:val="en-GB"/>
        </w:rPr>
        <w:t>Sirangelo</w:t>
      </w:r>
      <w:proofErr w:type="spellEnd"/>
      <w:r w:rsidRPr="00E84A8A">
        <w:rPr>
          <w:color w:val="FF0000"/>
          <w:highlight w:val="green"/>
          <w:lang w:val="en-GB"/>
        </w:rPr>
        <w:t xml:space="preserve"> et </w:t>
      </w:r>
      <w:proofErr w:type="gramStart"/>
      <w:r w:rsidRPr="00E84A8A">
        <w:rPr>
          <w:color w:val="FF0000"/>
          <w:highlight w:val="green"/>
          <w:lang w:val="en-GB"/>
        </w:rPr>
        <w:t>al</w:t>
      </w:r>
      <w:r w:rsidRPr="00E84A8A">
        <w:rPr>
          <w:color w:val="FF0000"/>
          <w:highlight w:val="green"/>
        </w:rPr>
        <w:t>Antioxidants  20</w:t>
      </w:r>
      <w:r w:rsidRPr="00E84A8A">
        <w:rPr>
          <w:color w:val="FF0000"/>
        </w:rPr>
        <w:t>21</w:t>
      </w:r>
      <w:proofErr w:type="gramEnd"/>
      <w:r w:rsidRPr="00E84A8A">
        <w:rPr>
          <w:color w:val="FF0000"/>
          <w:lang w:val="en-GB"/>
        </w:rPr>
        <w:t>). Cortical calcification in about 20 times less common the medullary calcification. According to the literature, it is the consequence of acute cortical necrosis (</w:t>
      </w:r>
      <w:r w:rsidRPr="00E84A8A">
        <w:rPr>
          <w:color w:val="FF0000"/>
          <w:highlight w:val="yellow"/>
          <w:lang w:val="en-GB"/>
        </w:rPr>
        <w:t>Shavit et al K int 2015</w:t>
      </w:r>
      <w:r w:rsidRPr="00E84A8A">
        <w:rPr>
          <w:color w:val="FF0000"/>
          <w:lang w:val="en-GB"/>
        </w:rPr>
        <w:t xml:space="preserve">), however, chronic glomerulonephritis may sometimes cause this uncommon finding on imaging. On ultrasound, the patient showed increased echogenicity of renal cortex. The CT scan confirmed this finding: atrophy of right kidney and bilateral thin peripheral band of cortical calcifications. </w:t>
      </w:r>
    </w:p>
    <w:p w14:paraId="5F4C7479" w14:textId="77777777" w:rsidR="00E84A8A" w:rsidRDefault="00E84A8A" w:rsidP="00E84A8A">
      <w:pPr>
        <w:pStyle w:val="MDPI31text"/>
        <w:ind w:left="0" w:firstLine="0"/>
        <w:rPr>
          <w:color w:val="FF0000"/>
        </w:rPr>
      </w:pPr>
      <w:r w:rsidRPr="00E84A8A">
        <w:rPr>
          <w:color w:val="FF0000"/>
          <w:lang w:val="en-GB"/>
        </w:rPr>
        <w:t xml:space="preserve">The last patient (case 3) showed multiple kidney cysts.  </w:t>
      </w:r>
      <w:r w:rsidRPr="009B0B4C">
        <w:rPr>
          <w:color w:val="FF0000"/>
        </w:rPr>
        <w:t xml:space="preserve">Focal renal cysts are common in old subjects. The prevalence, size, and number increase with </w:t>
      </w:r>
      <w:r w:rsidRPr="00E84A8A">
        <w:rPr>
          <w:color w:val="FF0000"/>
        </w:rPr>
        <w:t>age.</w:t>
      </w:r>
      <w:r w:rsidRPr="009B0B4C">
        <w:rPr>
          <w:color w:val="FF0000"/>
        </w:rPr>
        <w:t xml:space="preserve"> The exact pathogenesis is unknown. </w:t>
      </w:r>
      <w:r w:rsidRPr="00E84A8A">
        <w:rPr>
          <w:color w:val="FF0000"/>
        </w:rPr>
        <w:t>However,</w:t>
      </w:r>
      <w:r w:rsidRPr="009B0B4C">
        <w:rPr>
          <w:color w:val="FF0000"/>
        </w:rPr>
        <w:t xml:space="preserve"> it is not excluded </w:t>
      </w:r>
      <w:r w:rsidRPr="00E84A8A">
        <w:rPr>
          <w:color w:val="FF0000"/>
        </w:rPr>
        <w:t xml:space="preserve">that </w:t>
      </w:r>
      <w:r w:rsidRPr="009B0B4C">
        <w:rPr>
          <w:color w:val="FF0000"/>
        </w:rPr>
        <w:t xml:space="preserve">weakening of the basement membrane </w:t>
      </w:r>
      <w:r w:rsidRPr="00E84A8A">
        <w:rPr>
          <w:color w:val="FF0000"/>
        </w:rPr>
        <w:t>along the nephron for different causes may induce or favor cysts formation (REF</w:t>
      </w:r>
      <w:r w:rsidRPr="009B0B4C">
        <w:rPr>
          <w:b/>
          <w:bCs/>
          <w:color w:val="FF0000"/>
          <w:highlight w:val="yellow"/>
        </w:rPr>
        <w:t xml:space="preserve"> </w:t>
      </w:r>
      <w:proofErr w:type="spellStart"/>
      <w:r w:rsidRPr="009B0B4C">
        <w:rPr>
          <w:b/>
          <w:bCs/>
          <w:color w:val="FF0000"/>
          <w:highlight w:val="yellow"/>
        </w:rPr>
        <w:t>Agnello</w:t>
      </w:r>
      <w:proofErr w:type="spellEnd"/>
      <w:r w:rsidRPr="009B0B4C">
        <w:rPr>
          <w:b/>
          <w:bCs/>
          <w:color w:val="FF0000"/>
          <w:highlight w:val="yellow"/>
        </w:rPr>
        <w:t xml:space="preserve"> et al, Insights into imaging 2020</w:t>
      </w:r>
      <w:r w:rsidRPr="00E84A8A">
        <w:rPr>
          <w:color w:val="FF0000"/>
        </w:rPr>
        <w:t>). The patient under examination showed centimetric cysts in right kidney and large cysts on the left</w:t>
      </w:r>
      <w:r>
        <w:rPr>
          <w:color w:val="FF0000"/>
        </w:rPr>
        <w:t>……..</w:t>
      </w:r>
    </w:p>
    <w:p w14:paraId="175DBED7" w14:textId="69BFC2F4" w:rsidR="00E84A8A" w:rsidRDefault="00E84A8A" w:rsidP="00E84A8A">
      <w:pPr>
        <w:pStyle w:val="MDPI31text"/>
        <w:ind w:left="0" w:firstLine="0"/>
        <w:rPr>
          <w:color w:val="000000" w:themeColor="text1"/>
          <w:lang w:val="en-GB"/>
        </w:rPr>
      </w:pPr>
      <w:r w:rsidRPr="00E84A8A">
        <w:rPr>
          <w:color w:val="FF0000"/>
          <w:lang w:val="en-GB"/>
        </w:rPr>
        <w:t xml:space="preserve">Our data suggest that mutations of </w:t>
      </w:r>
      <w:r w:rsidRPr="00E84A8A">
        <w:rPr>
          <w:i/>
          <w:iCs/>
          <w:color w:val="FF0000"/>
          <w:lang w:val="en-GB"/>
        </w:rPr>
        <w:t>COL4A4-A5</w:t>
      </w:r>
      <w:r w:rsidRPr="00E84A8A">
        <w:rPr>
          <w:color w:val="FF0000"/>
          <w:lang w:val="en-GB"/>
        </w:rPr>
        <w:t xml:space="preserve"> are associated with a wide spectrum of kidney abnormalities, providing a dataset of patients showing different renal phenotype. Disturbed collagen type 4 chains may affect kidney structure and predispose the patients to develop several kidney structural abnormalities, including glomerular sclerosis, cortical calcification in the absence of abnormal calcium-phosphate homeostasis and fibrocystic kidneys.  Thus, similar genetic landscapes may underlie different renal entities, whose clinical onset is variable and includes proteinuria, and declined renal function of unknown cause.  The reasons that may drive patients to develop different clinical pictures are currently unknown; as a speculation, the site of mutation of COL4 genes, additional genetic factors, </w:t>
      </w:r>
      <w:proofErr w:type="gramStart"/>
      <w:r w:rsidRPr="00E84A8A">
        <w:rPr>
          <w:color w:val="FF0000"/>
          <w:lang w:val="en-GB"/>
        </w:rPr>
        <w:t>comorbidities</w:t>
      </w:r>
      <w:proofErr w:type="gramEnd"/>
      <w:r w:rsidRPr="00E84A8A">
        <w:rPr>
          <w:color w:val="FF0000"/>
          <w:lang w:val="en-GB"/>
        </w:rPr>
        <w:t xml:space="preserve"> and environmental factors may contribute to cause the type of renal disease</w:t>
      </w:r>
      <w:r w:rsidRPr="7E68ED59">
        <w:rPr>
          <w:color w:val="000000" w:themeColor="text1"/>
          <w:lang w:val="en-GB"/>
        </w:rPr>
        <w:t xml:space="preserve">. </w:t>
      </w:r>
      <w:r>
        <w:rPr>
          <w:color w:val="000000" w:themeColor="text1"/>
          <w:lang w:val="en-GB"/>
        </w:rPr>
        <w:t>‘’</w:t>
      </w:r>
    </w:p>
    <w:p w14:paraId="0F277360" w14:textId="026EEE37" w:rsidR="00E84A8A" w:rsidRDefault="00E84A8A" w:rsidP="00E84A8A">
      <w:pPr>
        <w:pStyle w:val="MDPI31text"/>
        <w:ind w:left="0" w:firstLine="0"/>
        <w:rPr>
          <w:color w:val="FF0000"/>
        </w:rPr>
      </w:pPr>
    </w:p>
    <w:p w14:paraId="61CC4A96" w14:textId="77777777" w:rsidR="00E84A8A" w:rsidRDefault="00E84A8A" w:rsidP="00E84A8A">
      <w:pPr>
        <w:pStyle w:val="MDPI31text"/>
        <w:ind w:left="0" w:firstLine="0"/>
        <w:rPr>
          <w:color w:val="FF0000"/>
        </w:rPr>
      </w:pPr>
    </w:p>
    <w:p w14:paraId="202F666D" w14:textId="5579375E" w:rsidR="00E84A8A" w:rsidRDefault="00E84A8A" w:rsidP="00E84A8A">
      <w:pPr>
        <w:pStyle w:val="MDPI31text"/>
        <w:ind w:left="0" w:firstLine="0"/>
        <w:rPr>
          <w:color w:val="FF0000"/>
        </w:rPr>
      </w:pPr>
    </w:p>
    <w:p w14:paraId="264DEDD6" w14:textId="77777777" w:rsidR="00E84A8A" w:rsidRPr="009B0B4C" w:rsidRDefault="00E84A8A" w:rsidP="00E84A8A">
      <w:pPr>
        <w:pStyle w:val="MDPI31text"/>
        <w:ind w:left="0" w:firstLine="0"/>
        <w:rPr>
          <w:color w:val="FF0000"/>
        </w:rPr>
      </w:pPr>
    </w:p>
    <w:p w14:paraId="1E94DFEC" w14:textId="7781EECE" w:rsidR="00E84A8A" w:rsidRPr="00E84A8A" w:rsidRDefault="00E84A8A" w:rsidP="00E84A8A">
      <w:pPr>
        <w:pStyle w:val="MDPI22heading2"/>
        <w:numPr>
          <w:ilvl w:val="0"/>
          <w:numId w:val="2"/>
        </w:numPr>
        <w:rPr>
          <w:i w:val="0"/>
          <w:color w:val="FF0000"/>
          <w:lang w:val="en-GB"/>
        </w:rPr>
      </w:pPr>
    </w:p>
    <w:p w14:paraId="4C28DF79" w14:textId="77777777" w:rsidR="00E84A8A" w:rsidRPr="00E84A8A" w:rsidRDefault="00E84A8A" w:rsidP="00E84A8A">
      <w:pPr>
        <w:pStyle w:val="Paragrafoelenco"/>
        <w:rPr>
          <w:rFonts w:ascii="Arial" w:eastAsia="Times New Roman" w:hAnsi="Arial" w:cs="Arial"/>
          <w:color w:val="FF0000"/>
          <w:sz w:val="20"/>
          <w:szCs w:val="20"/>
          <w:shd w:val="clear" w:color="auto" w:fill="FEFEFE"/>
          <w:lang w:val="en-US" w:eastAsia="it-IT"/>
        </w:rPr>
      </w:pPr>
    </w:p>
    <w:p w14:paraId="08475166" w14:textId="77777777" w:rsidR="00EB085D" w:rsidRPr="00E84A8A" w:rsidRDefault="00EB085D" w:rsidP="00EB085D">
      <w:pPr>
        <w:pStyle w:val="Paragrafoelenco"/>
        <w:rPr>
          <w:rFonts w:ascii="Arial" w:eastAsia="Times New Roman" w:hAnsi="Arial" w:cs="Arial"/>
          <w:color w:val="FF0000"/>
          <w:sz w:val="20"/>
          <w:szCs w:val="20"/>
          <w:shd w:val="clear" w:color="auto" w:fill="FEFEFE"/>
          <w:lang w:val="en-US" w:eastAsia="it-IT"/>
        </w:rPr>
      </w:pPr>
    </w:p>
    <w:p w14:paraId="0FEC870C" w14:textId="77777777" w:rsidR="00EB085D" w:rsidRPr="00E84A8A" w:rsidRDefault="00EB085D" w:rsidP="00EB085D">
      <w:pPr>
        <w:pStyle w:val="Paragrafoelenco"/>
        <w:rPr>
          <w:rFonts w:ascii="Times New Roman" w:eastAsia="Times New Roman" w:hAnsi="Times New Roman" w:cs="Times New Roman"/>
          <w:color w:val="FF0000"/>
          <w:lang w:val="en-US" w:eastAsia="it-IT"/>
        </w:rPr>
      </w:pPr>
    </w:p>
    <w:p w14:paraId="2664D341" w14:textId="05092701" w:rsidR="00E54BBB" w:rsidRPr="00E84A8A" w:rsidRDefault="00E54BBB" w:rsidP="00E54BBB">
      <w:pPr>
        <w:pStyle w:val="Paragrafoelenco"/>
        <w:rPr>
          <w:rFonts w:ascii="Arial" w:eastAsia="Times New Roman" w:hAnsi="Arial" w:cs="Arial"/>
          <w:color w:val="FF0000"/>
          <w:sz w:val="20"/>
          <w:szCs w:val="20"/>
          <w:shd w:val="clear" w:color="auto" w:fill="FEFEFE"/>
          <w:lang w:val="en-US" w:eastAsia="it-IT"/>
        </w:rPr>
      </w:pPr>
    </w:p>
    <w:p w14:paraId="4B2A024B" w14:textId="25A6C22D" w:rsidR="00E54BBB" w:rsidRDefault="00E54BBB" w:rsidP="00E54BBB">
      <w:pPr>
        <w:pStyle w:val="Paragrafoelenco"/>
        <w:rPr>
          <w:rFonts w:ascii="Arial" w:eastAsia="Times New Roman" w:hAnsi="Arial" w:cs="Arial"/>
          <w:color w:val="4472C4" w:themeColor="accent1"/>
          <w:sz w:val="20"/>
          <w:szCs w:val="20"/>
          <w:shd w:val="clear" w:color="auto" w:fill="FEFEFE"/>
          <w:lang w:val="en-US" w:eastAsia="it-IT"/>
        </w:rPr>
      </w:pPr>
    </w:p>
    <w:p w14:paraId="09740467" w14:textId="42D9A4E8" w:rsidR="00E54BBB" w:rsidRDefault="00E54BBB" w:rsidP="00E54BBB">
      <w:pPr>
        <w:pStyle w:val="Paragrafoelenco"/>
        <w:rPr>
          <w:rFonts w:ascii="Arial" w:eastAsia="Times New Roman" w:hAnsi="Arial" w:cs="Arial"/>
          <w:color w:val="4472C4" w:themeColor="accent1"/>
          <w:sz w:val="20"/>
          <w:szCs w:val="20"/>
          <w:shd w:val="clear" w:color="auto" w:fill="FEFEFE"/>
          <w:lang w:val="en-US" w:eastAsia="it-IT"/>
        </w:rPr>
      </w:pPr>
    </w:p>
    <w:p w14:paraId="329828AE" w14:textId="77777777" w:rsidR="00E54BBB" w:rsidRPr="006559DF" w:rsidRDefault="00E54BBB" w:rsidP="00E54BBB">
      <w:pPr>
        <w:pStyle w:val="Paragrafoelenco"/>
        <w:rPr>
          <w:rFonts w:ascii="Times New Roman" w:eastAsia="Times New Roman" w:hAnsi="Times New Roman" w:cs="Times New Roman"/>
          <w:color w:val="4472C4" w:themeColor="accent1"/>
          <w:lang w:val="en-US" w:eastAsia="it-IT"/>
        </w:rPr>
      </w:pPr>
    </w:p>
    <w:p w14:paraId="7C5F4B91" w14:textId="77777777" w:rsidR="00BB097E" w:rsidRPr="006559DF" w:rsidRDefault="00BB097E">
      <w:pPr>
        <w:rPr>
          <w:lang w:val="en-US"/>
        </w:rPr>
      </w:pPr>
    </w:p>
    <w:sectPr w:rsidR="00BB097E" w:rsidRPr="006559DF" w:rsidSect="000E360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24DB9"/>
    <w:multiLevelType w:val="hybridMultilevel"/>
    <w:tmpl w:val="23502472"/>
    <w:lvl w:ilvl="0" w:tplc="CF74560A">
      <w:numFmt w:val="bullet"/>
      <w:lvlText w:val="-"/>
      <w:lvlJc w:val="left"/>
      <w:pPr>
        <w:ind w:left="720" w:hanging="360"/>
      </w:pPr>
      <w:rPr>
        <w:rFonts w:ascii="Arial" w:eastAsia="Times New Roman" w:hAnsi="Arial" w:cs="Arial" w:hint="default"/>
        <w:color w:val="4472C4" w:themeColor="accen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7B40F8C"/>
    <w:multiLevelType w:val="hybridMultilevel"/>
    <w:tmpl w:val="B7B647F4"/>
    <w:lvl w:ilvl="0" w:tplc="43EE80A4">
      <w:start w:val="1"/>
      <w:numFmt w:val="decimal"/>
      <w:lvlText w:val="%1)"/>
      <w:lvlJc w:val="left"/>
      <w:pPr>
        <w:ind w:left="720" w:hanging="360"/>
      </w:pPr>
      <w:rPr>
        <w:rFonts w:ascii="Arial" w:hAnsi="Arial" w:cs="Arial"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F659AB"/>
    <w:multiLevelType w:val="hybridMultilevel"/>
    <w:tmpl w:val="0D64F744"/>
    <w:lvl w:ilvl="0" w:tplc="689CAB16">
      <w:start w:val="2"/>
      <w:numFmt w:val="decimal"/>
      <w:lvlText w:val="%1)"/>
      <w:lvlJc w:val="left"/>
      <w:pPr>
        <w:ind w:left="720" w:hanging="360"/>
      </w:pPr>
      <w:rPr>
        <w:rFonts w:ascii="Arial" w:hAnsi="Arial" w:cs="Arial"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19400976">
    <w:abstractNumId w:val="1"/>
  </w:num>
  <w:num w:numId="2" w16cid:durableId="179855885">
    <w:abstractNumId w:val="0"/>
  </w:num>
  <w:num w:numId="3" w16cid:durableId="18578423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9DF"/>
    <w:rsid w:val="000C2B3F"/>
    <w:rsid w:val="000E3609"/>
    <w:rsid w:val="0052486F"/>
    <w:rsid w:val="006559DF"/>
    <w:rsid w:val="008D37FD"/>
    <w:rsid w:val="00905B0B"/>
    <w:rsid w:val="00992336"/>
    <w:rsid w:val="009B0B4C"/>
    <w:rsid w:val="00A3549F"/>
    <w:rsid w:val="00BB097E"/>
    <w:rsid w:val="00E54BBB"/>
    <w:rsid w:val="00E611EE"/>
    <w:rsid w:val="00E84A8A"/>
    <w:rsid w:val="00EB08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98DF"/>
  <w15:chartTrackingRefBased/>
  <w15:docId w15:val="{7C59F3D1-EDBB-1C48-8791-641DBF4B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59DF"/>
    <w:pPr>
      <w:ind w:left="720"/>
      <w:contextualSpacing/>
    </w:pPr>
  </w:style>
  <w:style w:type="paragraph" w:customStyle="1" w:styleId="MDPI22heading2">
    <w:name w:val="MDPI_2.2_heading2"/>
    <w:qFormat/>
    <w:rsid w:val="00E84A8A"/>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val="en-US" w:eastAsia="de-DE" w:bidi="en-US"/>
    </w:rPr>
  </w:style>
  <w:style w:type="paragraph" w:customStyle="1" w:styleId="MDPI31text">
    <w:name w:val="MDPI_3.1_text"/>
    <w:qFormat/>
    <w:rsid w:val="00E84A8A"/>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10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1114</Words>
  <Characters>6350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Saverio Ambrosino</dc:creator>
  <cp:keywords/>
  <dc:description/>
  <cp:lastModifiedBy>Miriam Zacchia</cp:lastModifiedBy>
  <cp:revision>3</cp:revision>
  <dcterms:created xsi:type="dcterms:W3CDTF">2023-03-06T12:42:00Z</dcterms:created>
  <dcterms:modified xsi:type="dcterms:W3CDTF">2023-03-06T12:49:00Z</dcterms:modified>
</cp:coreProperties>
</file>