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Palatino Linotype" w:hAnsi="Palatino Linotype"/>
          <w:sz w:val="56"/>
          <w:szCs w:val="56"/>
        </w:rPr>
      </w:pPr>
      <w:bookmarkStart w:id="1" w:name="_GoBack"/>
      <w:r>
        <w:rPr>
          <w:rFonts w:ascii="Palatino Linotype" w:hAnsi="Palatino Linotype"/>
          <w:sz w:val="56"/>
          <w:szCs w:val="56"/>
        </w:rPr>
        <w:t xml:space="preserve">Response to Reviewer </w:t>
      </w:r>
      <w:r>
        <w:rPr>
          <w:rFonts w:hint="eastAsia" w:ascii="Palatino Linotype" w:hAnsi="Palatino Linotype"/>
          <w:sz w:val="56"/>
          <w:szCs w:val="56"/>
          <w:lang w:val="en-US" w:eastAsia="zh-CN"/>
        </w:rPr>
        <w:t>2</w:t>
      </w:r>
      <w:r>
        <w:rPr>
          <w:rFonts w:ascii="Palatino Linotype" w:hAnsi="Palatino Linotype"/>
          <w:sz w:val="56"/>
          <w:szCs w:val="56"/>
        </w:rPr>
        <w:t xml:space="preserve"> Comments</w:t>
      </w:r>
    </w:p>
    <w:bookmarkEnd w:id="1"/>
    <w:p>
      <w:pPr>
        <w:rPr>
          <w:rFonts w:ascii="Palatino Linotype" w:hAnsi="Palatino Linotype" w:cs="Palatino Linotype"/>
          <w:sz w:val="20"/>
          <w:szCs w:val="20"/>
        </w:rPr>
      </w:pPr>
      <w:r>
        <w:rPr>
          <w:rFonts w:ascii="Palatino Linotype" w:hAnsi="Palatino Linotype" w:cs="Palatino Linotype"/>
          <w:sz w:val="20"/>
          <w:szCs w:val="20"/>
        </w:rPr>
        <w:t>P</w:t>
      </w:r>
      <w:r>
        <w:rPr>
          <w:rFonts w:hint="eastAsia" w:ascii="Palatino Linotype" w:hAnsi="Palatino Linotype" w:cs="Palatino Linotype"/>
          <w:sz w:val="20"/>
          <w:szCs w:val="20"/>
        </w:rPr>
        <w:t>oint</w:t>
      </w:r>
      <w:r>
        <w:rPr>
          <w:rFonts w:ascii="Palatino Linotype" w:hAnsi="Palatino Linotype" w:cs="Palatino Linotype"/>
          <w:sz w:val="20"/>
          <w:szCs w:val="20"/>
        </w:rPr>
        <w:t xml:space="preserve"> </w:t>
      </w:r>
      <w:r>
        <w:rPr>
          <w:rFonts w:hint="eastAsia" w:ascii="Palatino Linotype" w:hAnsi="Palatino Linotype" w:cs="Palatino Linotype"/>
          <w:sz w:val="20"/>
          <w:szCs w:val="20"/>
        </w:rPr>
        <w:t>1.</w:t>
      </w:r>
      <w:r>
        <w:rPr>
          <w:rFonts w:ascii="Palatino Linotype" w:hAnsi="Palatino Linotype" w:cs="Palatino Linotype"/>
          <w:sz w:val="20"/>
          <w:szCs w:val="20"/>
        </w:rPr>
        <w:t xml:space="preserve"> In line 159, this paper pointed out that Na</w:t>
      </w:r>
      <w:r>
        <w:rPr>
          <w:rFonts w:ascii="Palatino Linotype" w:hAnsi="Palatino Linotype" w:cs="Palatino Linotype"/>
          <w:sz w:val="20"/>
          <w:szCs w:val="20"/>
          <w:vertAlign w:val="subscript"/>
        </w:rPr>
        <w:t>2</w:t>
      </w:r>
      <w:r>
        <w:rPr>
          <w:rFonts w:ascii="Palatino Linotype" w:hAnsi="Palatino Linotype" w:cs="Palatino Linotype"/>
          <w:sz w:val="20"/>
          <w:szCs w:val="20"/>
        </w:rPr>
        <w:t>FeO</w:t>
      </w:r>
      <w:r>
        <w:rPr>
          <w:rFonts w:ascii="Palatino Linotype" w:hAnsi="Palatino Linotype" w:cs="Palatino Linotype"/>
          <w:sz w:val="20"/>
          <w:szCs w:val="20"/>
          <w:vertAlign w:val="subscript"/>
        </w:rPr>
        <w:t>4</w:t>
      </w:r>
      <w:r>
        <w:rPr>
          <w:rFonts w:ascii="Palatino Linotype" w:hAnsi="Palatino Linotype" w:cs="Palatino Linotype"/>
          <w:sz w:val="20"/>
          <w:szCs w:val="20"/>
        </w:rPr>
        <w:t xml:space="preserve"> was obtained by the reaction of Na</w:t>
      </w:r>
      <w:r>
        <w:rPr>
          <w:rFonts w:ascii="Palatino Linotype" w:hAnsi="Palatino Linotype" w:cs="Palatino Linotype"/>
          <w:sz w:val="20"/>
          <w:szCs w:val="20"/>
          <w:vertAlign w:val="subscript"/>
        </w:rPr>
        <w:t>2</w:t>
      </w:r>
      <w:r>
        <w:rPr>
          <w:rFonts w:ascii="Palatino Linotype" w:hAnsi="Palatino Linotype" w:cs="Palatino Linotype"/>
          <w:sz w:val="20"/>
          <w:szCs w:val="20"/>
        </w:rPr>
        <w:t>O</w:t>
      </w:r>
      <w:r>
        <w:rPr>
          <w:rFonts w:ascii="Palatino Linotype" w:hAnsi="Palatino Linotype" w:cs="Palatino Linotype"/>
          <w:sz w:val="20"/>
          <w:szCs w:val="20"/>
          <w:vertAlign w:val="subscript"/>
        </w:rPr>
        <w:t>2</w:t>
      </w:r>
      <w:r>
        <w:rPr>
          <w:rFonts w:ascii="Palatino Linotype" w:hAnsi="Palatino Linotype" w:cs="Palatino Linotype"/>
          <w:sz w:val="20"/>
          <w:szCs w:val="20"/>
        </w:rPr>
        <w:t xml:space="preserve"> and Fe</w:t>
      </w:r>
      <w:r>
        <w:rPr>
          <w:rFonts w:ascii="Palatino Linotype" w:hAnsi="Palatino Linotype" w:cs="Palatino Linotype"/>
          <w:sz w:val="20"/>
          <w:szCs w:val="20"/>
          <w:vertAlign w:val="subscript"/>
        </w:rPr>
        <w:t>2</w:t>
      </w:r>
      <w:r>
        <w:rPr>
          <w:rFonts w:ascii="Palatino Linotype" w:hAnsi="Palatino Linotype" w:cs="Palatino Linotype"/>
          <w:sz w:val="20"/>
          <w:szCs w:val="20"/>
        </w:rPr>
        <w:t>O</w:t>
      </w:r>
      <w:r>
        <w:rPr>
          <w:rFonts w:ascii="Palatino Linotype" w:hAnsi="Palatino Linotype" w:cs="Palatino Linotype"/>
          <w:sz w:val="20"/>
          <w:szCs w:val="20"/>
          <w:vertAlign w:val="subscript"/>
        </w:rPr>
        <w:t>3</w:t>
      </w:r>
      <w:r>
        <w:rPr>
          <w:rFonts w:ascii="Palatino Linotype" w:hAnsi="Palatino Linotype" w:cs="Palatino Linotype"/>
          <w:sz w:val="20"/>
          <w:szCs w:val="20"/>
        </w:rPr>
        <w:t xml:space="preserve"> at 370 ℃, and thus the reaction conditions should be reflected in the chemical equation.</w:t>
      </w:r>
    </w:p>
    <w:p>
      <w:pPr>
        <w:rPr>
          <w:rFonts w:ascii="Palatino Linotype" w:hAnsi="Palatino Linotype" w:cs="Palatino Linotype"/>
          <w:b/>
          <w:color w:val="FF0000"/>
          <w:sz w:val="20"/>
          <w:szCs w:val="20"/>
        </w:rPr>
      </w:pPr>
    </w:p>
    <w:p>
      <w:pPr>
        <w:rPr>
          <w:rFonts w:ascii="Palatino Linotype" w:hAnsi="Palatino Linotype" w:cs="Palatino Linotype"/>
          <w:bCs/>
          <w:color w:val="FF0000"/>
          <w:sz w:val="20"/>
          <w:szCs w:val="20"/>
        </w:rPr>
      </w:pPr>
      <w:bookmarkStart w:id="0" w:name="_Hlk125030146"/>
      <w:r>
        <w:rPr>
          <w:rFonts w:ascii="Palatino Linotype" w:hAnsi="Palatino Linotype" w:cs="Palatino Linotype"/>
          <w:b/>
          <w:color w:val="FF0000"/>
          <w:sz w:val="20"/>
          <w:szCs w:val="20"/>
        </w:rPr>
        <w:t>Response 1:</w:t>
      </w:r>
      <w:bookmarkEnd w:id="0"/>
      <w:r>
        <w:rPr>
          <w:rFonts w:hint="eastAsia" w:ascii="Palatino Linotype" w:hAnsi="Palatino Linotype" w:cs="Palatino Linotype"/>
          <w:b/>
          <w:color w:val="FF0000"/>
          <w:sz w:val="20"/>
          <w:szCs w:val="20"/>
        </w:rPr>
        <w:t xml:space="preserve"> </w:t>
      </w:r>
      <w:r>
        <w:rPr>
          <w:rFonts w:ascii="Palatino Linotype" w:hAnsi="Palatino Linotype" w:cs="Palatino Linotype"/>
          <w:bCs/>
          <w:color w:val="FF0000"/>
          <w:sz w:val="20"/>
          <w:szCs w:val="20"/>
        </w:rPr>
        <w:t>Thanks for the suggestion. I have made changes to the specified equation.</w:t>
      </w:r>
    </w:p>
    <w:p>
      <w:pPr>
        <w:spacing w:before="120" w:after="120" w:line="260" w:lineRule="exact"/>
        <w:ind w:firstLine="400" w:firstLineChars="200"/>
        <w:jc w:val="left"/>
        <w:rPr>
          <w:rFonts w:ascii="Times New Roman" w:hAnsi="Times New Roman" w:cs="Times New Roman"/>
          <w:color w:val="FF0000"/>
          <w:sz w:val="20"/>
          <w:szCs w:val="20"/>
        </w:rPr>
      </w:pPr>
      <m:oMathPara>
        <m:oMath>
          <m:r>
            <m:rPr/>
            <w:rPr>
              <w:rFonts w:ascii="Cambria Math" w:hAnsi="Cambria Math" w:cs="Times New Roman"/>
              <w:color w:val="FF0000"/>
              <w:sz w:val="20"/>
              <w:szCs w:val="20"/>
            </w:rPr>
            <m:t>3</m:t>
          </m:r>
          <m:sSub>
            <m:sSubPr>
              <m:ctrlPr>
                <w:rPr>
                  <w:rFonts w:ascii="Cambria Math" w:hAnsi="Cambria Math" w:cs="Times New Roman"/>
                  <w:i/>
                  <w:color w:val="FF0000"/>
                  <w:sz w:val="20"/>
                  <w:szCs w:val="20"/>
                </w:rPr>
              </m:ctrlPr>
            </m:sSubPr>
            <m:e>
              <m:r>
                <m:rPr/>
                <w:rPr>
                  <w:rFonts w:ascii="Cambria Math" w:hAnsi="Cambria Math" w:cs="Times New Roman"/>
                  <w:color w:val="FF0000"/>
                  <w:sz w:val="20"/>
                  <w:szCs w:val="20"/>
                </w:rPr>
                <m:t>N</m:t>
              </m:r>
              <m:r>
                <m:rPr/>
                <w:rPr>
                  <w:rFonts w:hint="eastAsia" w:ascii="Cambria Math" w:hAnsi="Cambria Math" w:cs="Times New Roman"/>
                  <w:color w:val="FF0000"/>
                  <w:sz w:val="20"/>
                  <w:szCs w:val="20"/>
                </w:rPr>
                <m:t>a</m:t>
              </m:r>
              <m:ctrlPr>
                <w:rPr>
                  <w:rFonts w:ascii="Cambria Math" w:hAnsi="Cambria Math" w:cs="Times New Roman"/>
                  <w:i/>
                  <w:color w:val="FF0000"/>
                  <w:sz w:val="20"/>
                  <w:szCs w:val="20"/>
                </w:rPr>
              </m:ctrlPr>
            </m:e>
            <m:sub>
              <m:r>
                <m:rPr/>
                <w:rPr>
                  <w:rFonts w:hint="eastAsia" w:ascii="Cambria Math" w:hAnsi="Cambria Math" w:cs="Times New Roman"/>
                  <w:color w:val="FF0000"/>
                  <w:sz w:val="20"/>
                  <w:szCs w:val="20"/>
                </w:rPr>
                <m:t>2</m:t>
              </m:r>
              <m:ctrlPr>
                <w:rPr>
                  <w:rFonts w:ascii="Cambria Math" w:hAnsi="Cambria Math" w:cs="Times New Roman"/>
                  <w:i/>
                  <w:color w:val="FF0000"/>
                  <w:sz w:val="20"/>
                  <w:szCs w:val="20"/>
                </w:rPr>
              </m:ctrlPr>
            </m:sub>
          </m:sSub>
          <m:sSub>
            <m:sSubPr>
              <m:ctrlPr>
                <w:rPr>
                  <w:rFonts w:ascii="Cambria Math" w:hAnsi="Cambria Math" w:cs="Times New Roman"/>
                  <w:i/>
                  <w:color w:val="FF0000"/>
                  <w:sz w:val="20"/>
                  <w:szCs w:val="20"/>
                </w:rPr>
              </m:ctrlPr>
            </m:sSubPr>
            <m:e>
              <m:r>
                <m:rPr/>
                <w:rPr>
                  <w:rFonts w:ascii="Cambria Math" w:hAnsi="Cambria Math" w:cs="Times New Roman"/>
                  <w:color w:val="FF0000"/>
                  <w:sz w:val="20"/>
                  <w:szCs w:val="20"/>
                </w:rPr>
                <m:t>O</m:t>
              </m:r>
              <m:ctrlPr>
                <w:rPr>
                  <w:rFonts w:ascii="Cambria Math" w:hAnsi="Cambria Math" w:cs="Times New Roman"/>
                  <w:i/>
                  <w:color w:val="FF0000"/>
                  <w:sz w:val="20"/>
                  <w:szCs w:val="20"/>
                </w:rPr>
              </m:ctrlPr>
            </m:e>
            <m:sub>
              <m:r>
                <m:rPr/>
                <w:rPr>
                  <w:rFonts w:hint="eastAsia" w:ascii="Cambria Math" w:hAnsi="Cambria Math" w:cs="Times New Roman"/>
                  <w:color w:val="FF0000"/>
                  <w:sz w:val="20"/>
                  <w:szCs w:val="20"/>
                </w:rPr>
                <m:t>2</m:t>
              </m:r>
              <m:ctrlPr>
                <w:rPr>
                  <w:rFonts w:ascii="Cambria Math" w:hAnsi="Cambria Math" w:cs="Times New Roman"/>
                  <w:i/>
                  <w:color w:val="FF0000"/>
                  <w:sz w:val="20"/>
                  <w:szCs w:val="20"/>
                </w:rPr>
              </m:ctrlPr>
            </m:sub>
          </m:sSub>
          <m:r>
            <m:rPr/>
            <w:rPr>
              <w:rFonts w:ascii="Cambria Math" w:hAnsi="Cambria Math" w:cs="Times New Roman"/>
              <w:color w:val="FF0000"/>
              <w:sz w:val="20"/>
              <w:szCs w:val="20"/>
            </w:rPr>
            <m:t>+</m:t>
          </m:r>
          <m:sSub>
            <m:sSubPr>
              <m:ctrlPr>
                <w:rPr>
                  <w:rFonts w:ascii="Cambria Math" w:hAnsi="Cambria Math" w:cs="Times New Roman"/>
                  <w:i/>
                  <w:color w:val="FF0000"/>
                  <w:sz w:val="20"/>
                  <w:szCs w:val="20"/>
                </w:rPr>
              </m:ctrlPr>
            </m:sSubPr>
            <m:e>
              <m:r>
                <m:rPr/>
                <w:rPr>
                  <w:rFonts w:ascii="Cambria Math" w:hAnsi="Cambria Math" w:cs="Times New Roman"/>
                  <w:color w:val="FF0000"/>
                  <w:sz w:val="20"/>
                  <w:szCs w:val="20"/>
                </w:rPr>
                <m:t>F</m:t>
              </m:r>
              <m:r>
                <m:rPr/>
                <w:rPr>
                  <w:rFonts w:hint="eastAsia" w:ascii="Cambria Math" w:hAnsi="Cambria Math" w:cs="Times New Roman"/>
                  <w:color w:val="FF0000"/>
                  <w:sz w:val="20"/>
                  <w:szCs w:val="20"/>
                </w:rPr>
                <m:t>e</m:t>
              </m:r>
              <m:ctrlPr>
                <w:rPr>
                  <w:rFonts w:ascii="Cambria Math" w:hAnsi="Cambria Math" w:cs="Times New Roman"/>
                  <w:i/>
                  <w:color w:val="FF0000"/>
                  <w:sz w:val="20"/>
                  <w:szCs w:val="20"/>
                </w:rPr>
              </m:ctrlPr>
            </m:e>
            <m:sub>
              <m:r>
                <m:rPr/>
                <w:rPr>
                  <w:rFonts w:ascii="Cambria Math" w:hAnsi="Cambria Math" w:cs="Times New Roman"/>
                  <w:color w:val="FF0000"/>
                  <w:sz w:val="20"/>
                  <w:szCs w:val="20"/>
                </w:rPr>
                <m:t>2</m:t>
              </m:r>
              <m:ctrlPr>
                <w:rPr>
                  <w:rFonts w:ascii="Cambria Math" w:hAnsi="Cambria Math" w:cs="Times New Roman"/>
                  <w:i/>
                  <w:color w:val="FF0000"/>
                  <w:sz w:val="20"/>
                  <w:szCs w:val="20"/>
                </w:rPr>
              </m:ctrlPr>
            </m:sub>
          </m:sSub>
          <m:sSub>
            <m:sSubPr>
              <m:ctrlPr>
                <w:rPr>
                  <w:rFonts w:ascii="Cambria Math" w:hAnsi="Cambria Math" w:cs="Times New Roman"/>
                  <w:i/>
                  <w:color w:val="FF0000"/>
                  <w:sz w:val="20"/>
                  <w:szCs w:val="20"/>
                </w:rPr>
              </m:ctrlPr>
            </m:sSubPr>
            <m:e>
              <m:r>
                <m:rPr/>
                <w:rPr>
                  <w:rFonts w:ascii="Cambria Math" w:hAnsi="Cambria Math" w:cs="Times New Roman"/>
                  <w:color w:val="FF0000"/>
                  <w:sz w:val="20"/>
                  <w:szCs w:val="20"/>
                </w:rPr>
                <m:t>O</m:t>
              </m:r>
              <m:ctrlPr>
                <w:rPr>
                  <w:rFonts w:ascii="Cambria Math" w:hAnsi="Cambria Math" w:cs="Times New Roman"/>
                  <w:i/>
                  <w:color w:val="FF0000"/>
                  <w:sz w:val="20"/>
                  <w:szCs w:val="20"/>
                </w:rPr>
              </m:ctrlPr>
            </m:e>
            <m:sub>
              <m:r>
                <m:rPr/>
                <w:rPr>
                  <w:rFonts w:hint="eastAsia" w:ascii="Cambria Math" w:hAnsi="Cambria Math" w:cs="Times New Roman"/>
                  <w:color w:val="FF0000"/>
                  <w:sz w:val="20"/>
                  <w:szCs w:val="20"/>
                </w:rPr>
                <m:t>3</m:t>
              </m:r>
              <m:ctrlPr>
                <w:rPr>
                  <w:rFonts w:ascii="Cambria Math" w:hAnsi="Cambria Math" w:cs="Times New Roman"/>
                  <w:i/>
                  <w:color w:val="FF0000"/>
                  <w:sz w:val="20"/>
                  <w:szCs w:val="20"/>
                </w:rPr>
              </m:ctrlPr>
            </m:sub>
          </m:sSub>
          <m:box>
            <m:boxPr>
              <m:opEmu m:val="1"/>
              <m:ctrlPr>
                <w:rPr>
                  <w:rFonts w:ascii="Cambria Math" w:hAnsi="Cambria Math" w:cs="Times New Roman"/>
                  <w:iCs/>
                  <w:color w:val="FF0000"/>
                  <w:sz w:val="20"/>
                  <w:szCs w:val="20"/>
                </w:rPr>
              </m:ctrlPr>
            </m:boxPr>
            <m:e>
              <m:groupChr>
                <m:groupChrPr>
                  <m:chr m:val="→"/>
                  <m:vertJc m:val="bot"/>
                  <m:ctrlPr>
                    <w:rPr>
                      <w:rFonts w:ascii="Cambria Math" w:hAnsi="Cambria Math" w:cs="Times New Roman"/>
                      <w:iCs/>
                      <w:color w:val="FF0000"/>
                      <w:sz w:val="20"/>
                      <w:szCs w:val="20"/>
                    </w:rPr>
                  </m:ctrlPr>
                </m:groupChrPr>
                <m:e>
                  <m:r>
                    <m:rPr/>
                    <w:rPr>
                      <w:rFonts w:hint="eastAsia" w:ascii="Cambria Math" w:hAnsi="Cambria Math" w:cs="Times New Roman"/>
                      <w:color w:val="FF0000"/>
                      <w:sz w:val="20"/>
                      <w:szCs w:val="20"/>
                    </w:rPr>
                    <m:t>370℃</m:t>
                  </m:r>
                  <m:ctrlPr>
                    <w:rPr>
                      <w:rFonts w:ascii="Cambria Math" w:hAnsi="Cambria Math" w:cs="Times New Roman"/>
                      <w:iCs/>
                      <w:color w:val="FF0000"/>
                      <w:sz w:val="20"/>
                      <w:szCs w:val="20"/>
                    </w:rPr>
                  </m:ctrlPr>
                </m:e>
              </m:groupChr>
              <m:ctrlPr>
                <w:rPr>
                  <w:rFonts w:ascii="Cambria Math" w:hAnsi="Cambria Math" w:cs="Times New Roman"/>
                  <w:iCs/>
                  <w:color w:val="FF0000"/>
                  <w:sz w:val="20"/>
                  <w:szCs w:val="20"/>
                </w:rPr>
              </m:ctrlPr>
            </m:e>
          </m:box>
          <m:r>
            <m:rPr/>
            <w:rPr>
              <w:rFonts w:hint="eastAsia" w:ascii="Cambria Math" w:hAnsi="Cambria Math" w:cs="Times New Roman"/>
              <w:color w:val="FF0000"/>
              <w:sz w:val="20"/>
              <w:szCs w:val="20"/>
            </w:rPr>
            <m:t>2</m:t>
          </m:r>
          <m:sSub>
            <m:sSubPr>
              <m:ctrlPr>
                <w:rPr>
                  <w:rFonts w:ascii="Cambria Math" w:hAnsi="Cambria Math" w:cs="Times New Roman"/>
                  <w:i/>
                  <w:color w:val="FF0000"/>
                  <w:sz w:val="20"/>
                  <w:szCs w:val="20"/>
                </w:rPr>
              </m:ctrlPr>
            </m:sSubPr>
            <m:e>
              <m:r>
                <m:rPr/>
                <w:rPr>
                  <w:rFonts w:ascii="Cambria Math" w:hAnsi="Cambria Math" w:cs="Times New Roman"/>
                  <w:color w:val="FF0000"/>
                  <w:sz w:val="20"/>
                  <w:szCs w:val="20"/>
                </w:rPr>
                <m:t>Na</m:t>
              </m:r>
              <m:ctrlPr>
                <w:rPr>
                  <w:rFonts w:ascii="Cambria Math" w:hAnsi="Cambria Math" w:cs="Times New Roman"/>
                  <w:i/>
                  <w:color w:val="FF0000"/>
                  <w:sz w:val="20"/>
                  <w:szCs w:val="20"/>
                </w:rPr>
              </m:ctrlPr>
            </m:e>
            <m:sub>
              <m:r>
                <m:rPr/>
                <w:rPr>
                  <w:rFonts w:hint="eastAsia" w:ascii="Cambria Math" w:hAnsi="Cambria Math" w:cs="Times New Roman"/>
                  <w:color w:val="FF0000"/>
                  <w:sz w:val="20"/>
                  <w:szCs w:val="20"/>
                </w:rPr>
                <m:t>2</m:t>
              </m:r>
              <m:ctrlPr>
                <w:rPr>
                  <w:rFonts w:ascii="Cambria Math" w:hAnsi="Cambria Math" w:cs="Times New Roman"/>
                  <w:i/>
                  <w:color w:val="FF0000"/>
                  <w:sz w:val="20"/>
                  <w:szCs w:val="20"/>
                </w:rPr>
              </m:ctrlPr>
            </m:sub>
          </m:sSub>
          <m:r>
            <m:rPr/>
            <w:rPr>
              <w:rFonts w:ascii="Cambria Math" w:hAnsi="Cambria Math" w:cs="Times New Roman"/>
              <w:color w:val="FF0000"/>
              <w:sz w:val="20"/>
              <w:szCs w:val="20"/>
            </w:rPr>
            <m:t>F</m:t>
          </m:r>
          <m:r>
            <m:rPr/>
            <w:rPr>
              <w:rFonts w:hint="eastAsia" w:ascii="Cambria Math" w:hAnsi="Cambria Math" w:cs="Times New Roman"/>
              <w:color w:val="FF0000"/>
              <w:sz w:val="20"/>
              <w:szCs w:val="20"/>
            </w:rPr>
            <m:t>e</m:t>
          </m:r>
          <m:sSub>
            <m:sSubPr>
              <m:ctrlPr>
                <w:rPr>
                  <w:rFonts w:ascii="Cambria Math" w:hAnsi="Cambria Math" w:cs="Times New Roman"/>
                  <w:i/>
                  <w:color w:val="FF0000"/>
                  <w:sz w:val="20"/>
                  <w:szCs w:val="20"/>
                </w:rPr>
              </m:ctrlPr>
            </m:sSubPr>
            <m:e>
              <m:r>
                <m:rPr/>
                <w:rPr>
                  <w:rFonts w:ascii="Cambria Math" w:hAnsi="Cambria Math" w:cs="Times New Roman"/>
                  <w:color w:val="FF0000"/>
                  <w:sz w:val="20"/>
                  <w:szCs w:val="20"/>
                </w:rPr>
                <m:t>O</m:t>
              </m:r>
              <m:ctrlPr>
                <w:rPr>
                  <w:rFonts w:ascii="Cambria Math" w:hAnsi="Cambria Math" w:cs="Times New Roman"/>
                  <w:i/>
                  <w:color w:val="FF0000"/>
                  <w:sz w:val="20"/>
                  <w:szCs w:val="20"/>
                </w:rPr>
              </m:ctrlPr>
            </m:e>
            <m:sub>
              <m:r>
                <m:rPr/>
                <w:rPr>
                  <w:rFonts w:hint="eastAsia" w:ascii="Cambria Math" w:hAnsi="Cambria Math" w:cs="Times New Roman"/>
                  <w:color w:val="FF0000"/>
                  <w:sz w:val="20"/>
                  <w:szCs w:val="20"/>
                </w:rPr>
                <m:t>4</m:t>
              </m:r>
              <m:ctrlPr>
                <w:rPr>
                  <w:rFonts w:ascii="Cambria Math" w:hAnsi="Cambria Math" w:cs="Times New Roman"/>
                  <w:i/>
                  <w:color w:val="FF0000"/>
                  <w:sz w:val="20"/>
                  <w:szCs w:val="20"/>
                </w:rPr>
              </m:ctrlPr>
            </m:sub>
          </m:sSub>
          <m:r>
            <m:rPr/>
            <w:rPr>
              <w:rFonts w:hint="eastAsia" w:ascii="Cambria Math" w:hAnsi="Cambria Math" w:cs="Times New Roman"/>
              <w:color w:val="FF0000"/>
              <w:sz w:val="20"/>
              <w:szCs w:val="20"/>
            </w:rPr>
            <m:t>+</m:t>
          </m:r>
          <m:sSub>
            <m:sSubPr>
              <m:ctrlPr>
                <w:rPr>
                  <w:rFonts w:ascii="Cambria Math" w:hAnsi="Cambria Math" w:cs="Times New Roman"/>
                  <w:i/>
                  <w:color w:val="FF0000"/>
                  <w:sz w:val="20"/>
                  <w:szCs w:val="20"/>
                </w:rPr>
              </m:ctrlPr>
            </m:sSubPr>
            <m:e>
              <m:r>
                <m:rPr/>
                <w:rPr>
                  <w:rFonts w:ascii="Cambria Math" w:hAnsi="Cambria Math" w:cs="Times New Roman"/>
                  <w:color w:val="FF0000"/>
                  <w:sz w:val="20"/>
                  <w:szCs w:val="20"/>
                </w:rPr>
                <m:t>N</m:t>
              </m:r>
              <m:r>
                <m:rPr/>
                <w:rPr>
                  <w:rFonts w:hint="eastAsia" w:ascii="Cambria Math" w:hAnsi="Cambria Math" w:cs="Times New Roman"/>
                  <w:color w:val="FF0000"/>
                  <w:sz w:val="20"/>
                  <w:szCs w:val="20"/>
                </w:rPr>
                <m:t>a</m:t>
              </m:r>
              <m:ctrlPr>
                <w:rPr>
                  <w:rFonts w:ascii="Cambria Math" w:hAnsi="Cambria Math" w:cs="Times New Roman"/>
                  <w:i/>
                  <w:color w:val="FF0000"/>
                  <w:sz w:val="20"/>
                  <w:szCs w:val="20"/>
                </w:rPr>
              </m:ctrlPr>
            </m:e>
            <m:sub>
              <m:r>
                <m:rPr/>
                <w:rPr>
                  <w:rFonts w:ascii="Cambria Math" w:hAnsi="Cambria Math" w:cs="Times New Roman"/>
                  <w:color w:val="FF0000"/>
                  <w:sz w:val="20"/>
                  <w:szCs w:val="20"/>
                </w:rPr>
                <m:t>2</m:t>
              </m:r>
              <m:ctrlPr>
                <w:rPr>
                  <w:rFonts w:ascii="Cambria Math" w:hAnsi="Cambria Math" w:cs="Times New Roman"/>
                  <w:i/>
                  <w:color w:val="FF0000"/>
                  <w:sz w:val="20"/>
                  <w:szCs w:val="20"/>
                </w:rPr>
              </m:ctrlPr>
            </m:sub>
          </m:sSub>
          <m:r>
            <m:rPr/>
            <w:rPr>
              <w:rFonts w:ascii="Cambria Math" w:hAnsi="Cambria Math" w:cs="Times New Roman"/>
              <w:color w:val="FF0000"/>
              <w:sz w:val="20"/>
              <w:szCs w:val="20"/>
            </w:rPr>
            <m:t xml:space="preserve">O  </m:t>
          </m:r>
          <m:d>
            <m:dPr>
              <m:ctrlPr>
                <w:rPr>
                  <w:rFonts w:ascii="Cambria Math" w:hAnsi="Cambria Math" w:cs="Times New Roman"/>
                  <w:i/>
                  <w:color w:val="FF0000"/>
                  <w:sz w:val="20"/>
                  <w:szCs w:val="20"/>
                </w:rPr>
              </m:ctrlPr>
            </m:dPr>
            <m:e>
              <m:r>
                <m:rPr/>
                <w:rPr>
                  <w:rFonts w:ascii="Cambria Math" w:hAnsi="Cambria Math" w:cs="Times New Roman"/>
                  <w:color w:val="FF0000"/>
                  <w:sz w:val="20"/>
                  <w:szCs w:val="20"/>
                </w:rPr>
                <m:t>4</m:t>
              </m:r>
              <m:ctrlPr>
                <w:rPr>
                  <w:rFonts w:ascii="Cambria Math" w:hAnsi="Cambria Math" w:cs="Times New Roman"/>
                  <w:i/>
                  <w:color w:val="FF0000"/>
                  <w:sz w:val="20"/>
                  <w:szCs w:val="20"/>
                </w:rPr>
              </m:ctrlPr>
            </m:e>
          </m:d>
        </m:oMath>
      </m:oMathPara>
    </w:p>
    <w:p>
      <w:pPr>
        <w:spacing w:before="120" w:after="120" w:line="260" w:lineRule="exact"/>
        <w:ind w:firstLine="400" w:firstLineChars="200"/>
        <w:jc w:val="left"/>
        <w:rPr>
          <w:rFonts w:hint="eastAsia" w:ascii="Times New Roman" w:hAnsi="Times New Roman" w:cs="Times New Roman"/>
          <w:color w:val="FF0000"/>
          <w:sz w:val="20"/>
          <w:szCs w:val="20"/>
        </w:rPr>
      </w:pPr>
    </w:p>
    <w:p>
      <w:pPr>
        <w:rPr>
          <w:rFonts w:ascii="Palatino Linotype" w:hAnsi="Palatino Linotype" w:cs="Palatino Linotype"/>
          <w:bCs/>
          <w:sz w:val="20"/>
          <w:szCs w:val="20"/>
        </w:rPr>
      </w:pPr>
      <w:r>
        <w:rPr>
          <w:rFonts w:ascii="Palatino Linotype" w:hAnsi="Palatino Linotype" w:cs="Palatino Linotype"/>
          <w:bCs/>
          <w:sz w:val="20"/>
          <w:szCs w:val="20"/>
        </w:rPr>
        <w:t>P</w:t>
      </w:r>
      <w:r>
        <w:rPr>
          <w:rFonts w:hint="eastAsia" w:ascii="Palatino Linotype" w:hAnsi="Palatino Linotype" w:cs="Palatino Linotype"/>
          <w:bCs/>
          <w:sz w:val="20"/>
          <w:szCs w:val="20"/>
        </w:rPr>
        <w:t>oint</w:t>
      </w:r>
      <w:r>
        <w:rPr>
          <w:rFonts w:ascii="Palatino Linotype" w:hAnsi="Palatino Linotype" w:cs="Palatino Linotype"/>
          <w:bCs/>
          <w:sz w:val="20"/>
          <w:szCs w:val="20"/>
        </w:rPr>
        <w:t xml:space="preserve"> </w:t>
      </w:r>
      <w:r>
        <w:rPr>
          <w:rFonts w:hint="eastAsia" w:ascii="Palatino Linotype" w:hAnsi="Palatino Linotype" w:cs="Palatino Linotype"/>
          <w:bCs/>
          <w:sz w:val="20"/>
          <w:szCs w:val="20"/>
        </w:rPr>
        <w:t>2.</w:t>
      </w:r>
      <w:r>
        <w:rPr>
          <w:rFonts w:ascii="Palatino Linotype" w:hAnsi="Palatino Linotype" w:cs="Palatino Linotype"/>
          <w:bCs/>
          <w:sz w:val="20"/>
          <w:szCs w:val="20"/>
        </w:rPr>
        <w:t xml:space="preserve"> In line 220, “The concentration an important role in the production of ferrate (VI)” refers to a wide range of concentrations without specific description. In the following article, the influence of lye concentration on the preparation of ferrate (VI) was mentioned, so it may be known that the above concentration means lye concentration. However, it is necessary to give readers a clear logic and make up for the missing content.</w:t>
      </w:r>
    </w:p>
    <w:p>
      <w:pPr>
        <w:rPr>
          <w:rFonts w:ascii="Palatino Linotype" w:hAnsi="Palatino Linotype" w:cs="Palatino Linotype"/>
          <w:bCs/>
          <w:sz w:val="20"/>
          <w:szCs w:val="20"/>
        </w:rPr>
      </w:pPr>
    </w:p>
    <w:p>
      <w:pPr>
        <w:rPr>
          <w:rFonts w:hint="eastAsia" w:ascii="Palatino Linotype" w:hAnsi="Palatino Linotype" w:cs="Palatino Linotype"/>
          <w:bCs/>
          <w:color w:val="FF0000"/>
          <w:sz w:val="20"/>
          <w:szCs w:val="20"/>
        </w:rPr>
      </w:pPr>
      <w:r>
        <w:rPr>
          <w:rFonts w:ascii="Palatino Linotype" w:hAnsi="Palatino Linotype" w:cs="Palatino Linotype"/>
          <w:b/>
          <w:color w:val="FF0000"/>
          <w:sz w:val="20"/>
          <w:szCs w:val="20"/>
        </w:rPr>
        <w:t>Response 2:</w:t>
      </w:r>
      <w:r>
        <w:rPr>
          <w:rFonts w:ascii="Palatino Linotype" w:hAnsi="Palatino Linotype" w:cs="Palatino Linotype"/>
          <w:bCs/>
          <w:sz w:val="20"/>
          <w:szCs w:val="20"/>
        </w:rPr>
        <w:t xml:space="preserve"> </w:t>
      </w:r>
      <w:r>
        <w:rPr>
          <w:rFonts w:ascii="Palatino Linotype" w:hAnsi="Palatino Linotype" w:cs="Palatino Linotype"/>
          <w:bCs/>
          <w:color w:val="FF0000"/>
          <w:sz w:val="20"/>
          <w:szCs w:val="20"/>
        </w:rPr>
        <w:t>Thanks for the suggestion, I've added the exact content of this section.</w:t>
      </w:r>
    </w:p>
    <w:p>
      <w:pPr>
        <w:rPr>
          <w:rFonts w:ascii="Palatino Linotype" w:hAnsi="Palatino Linotype"/>
          <w:color w:val="FF0000"/>
          <w:sz w:val="20"/>
          <w:szCs w:val="20"/>
        </w:rPr>
      </w:pPr>
      <w:r>
        <w:rPr>
          <w:rFonts w:hint="eastAsia" w:ascii="Palatino Linotype" w:hAnsi="Palatino Linotype" w:cs="Palatino Linotype"/>
          <w:color w:val="FF0000"/>
          <w:sz w:val="20"/>
          <w:szCs w:val="20"/>
        </w:rPr>
        <w:t xml:space="preserve">The concentration of lye is also very important for the production of </w:t>
      </w:r>
      <w:r>
        <w:rPr>
          <w:rFonts w:ascii="Palatino Linotype" w:hAnsi="Palatino Linotype"/>
          <w:color w:val="FF0000"/>
          <w:sz w:val="20"/>
          <w:szCs w:val="20"/>
        </w:rPr>
        <w:t>ferrate(</w:t>
      </w:r>
      <w:r>
        <w:rPr>
          <w:rFonts w:hint="eastAsia" w:ascii="宋体" w:hAnsi="宋体" w:eastAsia="宋体" w:cs="宋体"/>
          <w:color w:val="FF0000"/>
          <w:sz w:val="20"/>
          <w:szCs w:val="20"/>
        </w:rPr>
        <w:t>Ⅵ</w:t>
      </w:r>
      <w:r>
        <w:rPr>
          <w:rFonts w:ascii="Palatino Linotype" w:hAnsi="Palatino Linotype"/>
          <w:color w:val="FF0000"/>
          <w:sz w:val="20"/>
          <w:szCs w:val="20"/>
        </w:rPr>
        <w:t>)</w:t>
      </w:r>
    </w:p>
    <w:p>
      <w:pPr>
        <w:rPr>
          <w:szCs w:val="21"/>
        </w:rPr>
      </w:pPr>
    </w:p>
    <w:p>
      <w:pPr>
        <w:rPr>
          <w:rFonts w:ascii="Palatino Linotype" w:hAnsi="Palatino Linotype" w:cs="Palatino Linotype"/>
          <w:bCs/>
          <w:sz w:val="20"/>
          <w:szCs w:val="20"/>
        </w:rPr>
      </w:pPr>
      <w:r>
        <w:rPr>
          <w:rFonts w:ascii="Palatino Linotype" w:hAnsi="Palatino Linotype" w:cs="Palatino Linotype"/>
          <w:bCs/>
          <w:sz w:val="20"/>
          <w:szCs w:val="20"/>
        </w:rPr>
        <w:t>P</w:t>
      </w:r>
      <w:r>
        <w:rPr>
          <w:rFonts w:hint="eastAsia" w:ascii="Palatino Linotype" w:hAnsi="Palatino Linotype" w:cs="Palatino Linotype"/>
          <w:bCs/>
          <w:sz w:val="20"/>
          <w:szCs w:val="20"/>
        </w:rPr>
        <w:t>oint</w:t>
      </w:r>
      <w:r>
        <w:rPr>
          <w:rFonts w:ascii="Palatino Linotype" w:hAnsi="Palatino Linotype" w:cs="Palatino Linotype"/>
          <w:bCs/>
          <w:sz w:val="20"/>
          <w:szCs w:val="20"/>
        </w:rPr>
        <w:t xml:space="preserve"> </w:t>
      </w:r>
      <w:r>
        <w:rPr>
          <w:rFonts w:hint="eastAsia" w:ascii="Palatino Linotype" w:hAnsi="Palatino Linotype" w:cs="Palatino Linotype"/>
          <w:bCs/>
          <w:sz w:val="20"/>
          <w:szCs w:val="20"/>
        </w:rPr>
        <w:t>3.</w:t>
      </w:r>
      <w:r>
        <w:rPr>
          <w:rFonts w:ascii="Palatino Linotype" w:hAnsi="Palatino Linotype" w:cs="Palatino Linotype"/>
          <w:bCs/>
          <w:sz w:val="20"/>
          <w:szCs w:val="20"/>
        </w:rPr>
        <w:t xml:space="preserve"> In line 226, the reason for the increase in the viscosity of the electrolyte is not mentioned.</w:t>
      </w:r>
    </w:p>
    <w:p>
      <w:pPr>
        <w:rPr>
          <w:rFonts w:ascii="Palatino Linotype" w:hAnsi="Palatino Linotype" w:cs="Palatino Linotype"/>
          <w:bCs/>
          <w:sz w:val="20"/>
          <w:szCs w:val="20"/>
        </w:rPr>
      </w:pPr>
    </w:p>
    <w:p>
      <w:pPr>
        <w:rPr>
          <w:rFonts w:ascii="Palatino Linotype" w:hAnsi="Palatino Linotype" w:cs="Palatino Linotype"/>
          <w:bCs/>
          <w:sz w:val="20"/>
          <w:szCs w:val="20"/>
        </w:rPr>
      </w:pPr>
      <w:r>
        <w:rPr>
          <w:rFonts w:ascii="Palatino Linotype" w:hAnsi="Palatino Linotype" w:cs="Palatino Linotype"/>
          <w:b/>
          <w:color w:val="FF0000"/>
          <w:sz w:val="20"/>
          <w:szCs w:val="20"/>
        </w:rPr>
        <w:t xml:space="preserve">Response </w:t>
      </w:r>
      <w:r>
        <w:rPr>
          <w:rFonts w:hint="eastAsia" w:ascii="Palatino Linotype" w:hAnsi="Palatino Linotype" w:cs="Palatino Linotype"/>
          <w:b/>
          <w:color w:val="FF0000"/>
          <w:sz w:val="20"/>
          <w:szCs w:val="20"/>
        </w:rPr>
        <w:t>3</w:t>
      </w:r>
      <w:r>
        <w:rPr>
          <w:rFonts w:ascii="Palatino Linotype" w:hAnsi="Palatino Linotype" w:cs="Palatino Linotype"/>
          <w:b/>
          <w:color w:val="FF0000"/>
          <w:sz w:val="20"/>
          <w:szCs w:val="20"/>
        </w:rPr>
        <w:t>:</w:t>
      </w:r>
      <w:r>
        <w:rPr>
          <w:rFonts w:ascii="Palatino Linotype" w:hAnsi="Palatino Linotype" w:cs="Palatino Linotype"/>
          <w:bCs/>
          <w:sz w:val="20"/>
          <w:szCs w:val="20"/>
        </w:rPr>
        <w:t xml:space="preserve"> </w:t>
      </w:r>
      <w:r>
        <w:rPr>
          <w:rFonts w:ascii="Palatino Linotype" w:hAnsi="Palatino Linotype" w:cs="Palatino Linotype"/>
          <w:bCs/>
          <w:color w:val="FF0000"/>
          <w:sz w:val="20"/>
          <w:szCs w:val="20"/>
        </w:rPr>
        <w:t>I've completed the reason, thank you again for your guidance.</w:t>
      </w:r>
    </w:p>
    <w:p>
      <w:pPr>
        <w:rPr>
          <w:rFonts w:ascii="Palatino Linotype" w:hAnsi="Palatino Linotype" w:cs="Palatino Linotype"/>
          <w:bCs/>
          <w:color w:val="FF0000"/>
          <w:sz w:val="20"/>
          <w:szCs w:val="20"/>
        </w:rPr>
      </w:pPr>
      <w:r>
        <w:rPr>
          <w:rFonts w:hint="eastAsia" w:ascii="Palatino Linotype" w:hAnsi="Palatino Linotype" w:cs="Palatino Linotype"/>
          <w:bCs/>
          <w:color w:val="FF0000"/>
          <w:sz w:val="20"/>
          <w:szCs w:val="20"/>
        </w:rPr>
        <w:t>Although the higher concentration of lye concentration can increase the concentration of ferrate(</w:t>
      </w:r>
      <w:r>
        <w:rPr>
          <w:rFonts w:ascii="Palatino Linotype" w:hAnsi="Palatino Linotype" w:cs="Palatino Linotype"/>
          <w:bCs/>
          <w:color w:val="FF0000"/>
          <w:sz w:val="20"/>
          <w:szCs w:val="20"/>
        </w:rPr>
        <w:t>VI</w:t>
      </w:r>
      <w:r>
        <w:rPr>
          <w:rFonts w:hint="eastAsia" w:ascii="Palatino Linotype" w:hAnsi="Palatino Linotype" w:cs="Palatino Linotype"/>
          <w:bCs/>
          <w:color w:val="FF0000"/>
          <w:sz w:val="20"/>
          <w:szCs w:val="20"/>
        </w:rPr>
        <w:t>), at the same time, the increase of lye concentration will increase the viscosity of the electrolyte, causing the electrons to overcome the resistance of the electrolyte, which increase energy consumption, reduce the transfer efficiency, and inhibit the formation of ferrate(Ⅵ), thereby increasing the preparation cost.</w:t>
      </w:r>
    </w:p>
    <w:p>
      <w:pPr>
        <w:rPr>
          <w:rFonts w:ascii="Palatino Linotype" w:hAnsi="Palatino Linotype" w:cs="Palatino Linotype"/>
          <w:bCs/>
          <w:color w:val="FF0000"/>
          <w:sz w:val="20"/>
          <w:szCs w:val="20"/>
        </w:rPr>
      </w:pPr>
    </w:p>
    <w:p>
      <w:pPr>
        <w:rPr>
          <w:rFonts w:ascii="Palatino Linotype" w:hAnsi="Palatino Linotype" w:cs="Palatino Linotype"/>
          <w:bCs/>
          <w:sz w:val="20"/>
          <w:szCs w:val="20"/>
        </w:rPr>
      </w:pPr>
      <w:r>
        <w:rPr>
          <w:rFonts w:hint="eastAsia" w:ascii="Palatino Linotype" w:hAnsi="Palatino Linotype" w:cs="Palatino Linotype"/>
          <w:bCs/>
          <w:sz w:val="20"/>
          <w:szCs w:val="20"/>
        </w:rPr>
        <w:t>Point</w:t>
      </w:r>
      <w:r>
        <w:rPr>
          <w:rFonts w:ascii="Palatino Linotype" w:hAnsi="Palatino Linotype" w:cs="Palatino Linotype"/>
          <w:bCs/>
          <w:sz w:val="20"/>
          <w:szCs w:val="20"/>
        </w:rPr>
        <w:t xml:space="preserve"> </w:t>
      </w:r>
      <w:r>
        <w:rPr>
          <w:rFonts w:hint="eastAsia" w:ascii="Palatino Linotype" w:hAnsi="Palatino Linotype" w:cs="Palatino Linotype"/>
          <w:bCs/>
          <w:sz w:val="20"/>
          <w:szCs w:val="20"/>
        </w:rPr>
        <w:t>4.</w:t>
      </w:r>
      <w:r>
        <w:rPr>
          <w:rFonts w:ascii="Palatino Linotype" w:hAnsi="Palatino Linotype" w:cs="Palatino Linotype"/>
          <w:bCs/>
          <w:sz w:val="20"/>
          <w:szCs w:val="20"/>
        </w:rPr>
        <w:t xml:space="preserve"> In line 305. “It has been found that ferrate(VI) is an effective treatment method for phenolic compounds, and it can effectively degrade them quickly.” Ferrate is an oxidant rather than a method. This definition is wrong.</w:t>
      </w:r>
    </w:p>
    <w:p>
      <w:pPr>
        <w:rPr>
          <w:rFonts w:ascii="Palatino Linotype" w:hAnsi="Palatino Linotype" w:cs="Palatino Linotype"/>
          <w:bCs/>
          <w:sz w:val="20"/>
          <w:szCs w:val="20"/>
        </w:rPr>
      </w:pPr>
    </w:p>
    <w:p>
      <w:pPr>
        <w:rPr>
          <w:rFonts w:ascii="Palatino Linotype" w:hAnsi="Palatino Linotype" w:cs="Palatino Linotype"/>
          <w:bCs/>
          <w:color w:val="FF0000"/>
          <w:sz w:val="20"/>
          <w:szCs w:val="20"/>
        </w:rPr>
      </w:pPr>
      <w:r>
        <w:rPr>
          <w:rFonts w:ascii="Palatino Linotype" w:hAnsi="Palatino Linotype" w:cs="Palatino Linotype"/>
          <w:b/>
          <w:color w:val="FF0000"/>
          <w:sz w:val="20"/>
          <w:szCs w:val="20"/>
        </w:rPr>
        <w:t xml:space="preserve">Response </w:t>
      </w:r>
      <w:r>
        <w:rPr>
          <w:rFonts w:hint="eastAsia" w:ascii="Palatino Linotype" w:hAnsi="Palatino Linotype" w:cs="Palatino Linotype"/>
          <w:b/>
          <w:color w:val="FF0000"/>
          <w:sz w:val="20"/>
          <w:szCs w:val="20"/>
        </w:rPr>
        <w:t>4</w:t>
      </w:r>
      <w:r>
        <w:rPr>
          <w:rFonts w:ascii="Palatino Linotype" w:hAnsi="Palatino Linotype" w:cs="Palatino Linotype"/>
          <w:b/>
          <w:color w:val="FF0000"/>
          <w:sz w:val="20"/>
          <w:szCs w:val="20"/>
        </w:rPr>
        <w:t>:</w:t>
      </w:r>
      <w:r>
        <w:rPr>
          <w:rFonts w:ascii="Palatino Linotype" w:hAnsi="Palatino Linotype" w:cs="Palatino Linotype"/>
          <w:bCs/>
          <w:color w:val="FF0000"/>
          <w:sz w:val="20"/>
          <w:szCs w:val="20"/>
        </w:rPr>
        <w:t xml:space="preserve"> I have revised this sentence, thank you for correcting it.</w:t>
      </w:r>
    </w:p>
    <w:p>
      <w:pPr>
        <w:rPr>
          <w:rFonts w:ascii="Palatino Linotype" w:hAnsi="Palatino Linotype" w:cs="Palatino Linotype"/>
          <w:bCs/>
          <w:color w:val="FF0000"/>
          <w:sz w:val="20"/>
          <w:szCs w:val="20"/>
        </w:rPr>
      </w:pPr>
      <w:r>
        <w:rPr>
          <w:rFonts w:ascii="Palatino Linotype" w:hAnsi="Palatino Linotype" w:cs="Palatino Linotype"/>
          <w:bCs/>
          <w:color w:val="FF0000"/>
          <w:sz w:val="20"/>
          <w:szCs w:val="20"/>
        </w:rPr>
        <w:t>Ferrate(VI) has a good removal effect on phenolic compounds and can effectively degrade phenolic compounds in a short time</w:t>
      </w:r>
      <w:r>
        <w:rPr>
          <w:rFonts w:hint="eastAsia" w:ascii="Palatino Linotype" w:hAnsi="Palatino Linotype" w:cs="Palatino Linotype"/>
          <w:bCs/>
          <w:color w:val="FF0000"/>
          <w:sz w:val="20"/>
          <w:szCs w:val="20"/>
        </w:rPr>
        <w:t>.</w:t>
      </w:r>
    </w:p>
    <w:p>
      <w:pPr>
        <w:rPr>
          <w:rFonts w:ascii="Palatino Linotype" w:hAnsi="Palatino Linotype" w:cs="Palatino Linotype"/>
          <w:bCs/>
          <w:color w:val="FF0000"/>
          <w:sz w:val="20"/>
          <w:szCs w:val="20"/>
        </w:rPr>
      </w:pPr>
    </w:p>
    <w:p>
      <w:pPr>
        <w:rPr>
          <w:rFonts w:ascii="Palatino Linotype" w:hAnsi="Palatino Linotype" w:cs="Palatino Linotype"/>
          <w:b/>
          <w:sz w:val="24"/>
        </w:rPr>
      </w:pPr>
      <w:r>
        <w:rPr>
          <w:rFonts w:hint="eastAsia" w:ascii="Palatino Linotype" w:hAnsi="Palatino Linotype" w:cs="Palatino Linotype"/>
          <w:b/>
          <w:sz w:val="24"/>
        </w:rPr>
        <w:t> </w:t>
      </w:r>
      <w:r>
        <w:rPr>
          <w:rFonts w:ascii="Palatino Linotype" w:hAnsi="Palatino Linotype" w:cs="Palatino Linotype"/>
          <w:b/>
          <w:sz w:val="24"/>
        </w:rPr>
        <w:t>Minor comments</w:t>
      </w:r>
    </w:p>
    <w:p>
      <w:pPr>
        <w:rPr>
          <w:rFonts w:ascii="Palatino Linotype" w:hAnsi="Palatino Linotype" w:cs="Palatino Linotype"/>
          <w:bCs/>
          <w:sz w:val="20"/>
          <w:szCs w:val="20"/>
        </w:rPr>
      </w:pPr>
      <w:r>
        <w:rPr>
          <w:rFonts w:ascii="Palatino Linotype" w:hAnsi="Palatino Linotype" w:cs="Palatino Linotype"/>
          <w:bCs/>
          <w:sz w:val="20"/>
          <w:szCs w:val="20"/>
        </w:rPr>
        <w:t>P</w:t>
      </w:r>
      <w:r>
        <w:rPr>
          <w:rFonts w:hint="eastAsia" w:ascii="Palatino Linotype" w:hAnsi="Palatino Linotype" w:cs="Palatino Linotype"/>
          <w:bCs/>
          <w:sz w:val="20"/>
          <w:szCs w:val="20"/>
        </w:rPr>
        <w:t>oint</w:t>
      </w:r>
      <w:r>
        <w:rPr>
          <w:rFonts w:ascii="Palatino Linotype" w:hAnsi="Palatino Linotype" w:cs="Palatino Linotype"/>
          <w:bCs/>
          <w:sz w:val="20"/>
          <w:szCs w:val="20"/>
        </w:rPr>
        <w:t xml:space="preserve"> </w:t>
      </w:r>
      <w:r>
        <w:rPr>
          <w:rFonts w:hint="eastAsia" w:ascii="Palatino Linotype" w:hAnsi="Palatino Linotype" w:cs="Palatino Linotype"/>
          <w:bCs/>
          <w:sz w:val="20"/>
          <w:szCs w:val="20"/>
        </w:rPr>
        <w:t>1.</w:t>
      </w:r>
      <w:r>
        <w:rPr>
          <w:rFonts w:ascii="Palatino Linotype" w:hAnsi="Palatino Linotype" w:cs="Palatino Linotype"/>
          <w:bCs/>
          <w:sz w:val="20"/>
          <w:szCs w:val="20"/>
        </w:rPr>
        <w:t xml:space="preserve"> The last sentence in the abstract needs to be completed, and the correct sentence is “In this review, three hyphenated techniques of ferrate (VI) are summarized”.</w:t>
      </w:r>
    </w:p>
    <w:p>
      <w:pPr>
        <w:rPr>
          <w:rFonts w:ascii="Palatino Linotype" w:hAnsi="Palatino Linotype" w:cs="Palatino Linotype"/>
          <w:bCs/>
          <w:sz w:val="20"/>
          <w:szCs w:val="20"/>
        </w:rPr>
      </w:pPr>
    </w:p>
    <w:p>
      <w:pPr>
        <w:rPr>
          <w:rFonts w:ascii="Palatino Linotype" w:hAnsi="Palatino Linotype" w:cs="Palatino Linotype"/>
          <w:bCs/>
          <w:color w:val="FF0000"/>
          <w:sz w:val="20"/>
          <w:szCs w:val="20"/>
        </w:rPr>
      </w:pPr>
      <w:r>
        <w:rPr>
          <w:rFonts w:ascii="Palatino Linotype" w:hAnsi="Palatino Linotype" w:cs="Palatino Linotype"/>
          <w:b/>
          <w:color w:val="FF0000"/>
          <w:sz w:val="20"/>
          <w:szCs w:val="20"/>
        </w:rPr>
        <w:t xml:space="preserve">Response 1: </w:t>
      </w:r>
      <w:r>
        <w:rPr>
          <w:rFonts w:ascii="Palatino Linotype" w:hAnsi="Palatino Linotype" w:cs="Palatino Linotype"/>
          <w:bCs/>
          <w:color w:val="FF0000"/>
          <w:sz w:val="20"/>
          <w:szCs w:val="20"/>
        </w:rPr>
        <w:t>Thanks for the suggestion, I've revised this.</w:t>
      </w:r>
    </w:p>
    <w:p>
      <w:pPr>
        <w:rPr>
          <w:rFonts w:ascii="Palatino Linotype" w:hAnsi="Palatino Linotype" w:cs="Palatino Linotype"/>
          <w:bCs/>
          <w:color w:val="FF0000"/>
          <w:sz w:val="20"/>
          <w:szCs w:val="20"/>
        </w:rPr>
      </w:pPr>
      <w:r>
        <w:rPr>
          <w:rFonts w:ascii="Palatino Linotype" w:hAnsi="Palatino Linotype" w:cs="Palatino Linotype"/>
          <w:bCs/>
          <w:color w:val="FF0000"/>
          <w:sz w:val="20"/>
          <w:szCs w:val="20"/>
        </w:rPr>
        <w:t>In this review, three hyphenated techniques of ferrate(VI) are summarized</w:t>
      </w:r>
      <w:r>
        <w:rPr>
          <w:rFonts w:hint="eastAsia"/>
          <w:color w:val="FF0000"/>
        </w:rPr>
        <w:t xml:space="preserve"> </w:t>
      </w:r>
      <w:r>
        <w:rPr>
          <w:rFonts w:hint="eastAsia" w:ascii="Palatino Linotype" w:hAnsi="Palatino Linotype" w:cs="Palatino Linotype"/>
          <w:bCs/>
          <w:color w:val="FF0000"/>
          <w:sz w:val="20"/>
          <w:szCs w:val="20"/>
        </w:rPr>
        <w:t>: ferrate(</w:t>
      </w:r>
      <w:r>
        <w:rPr>
          <w:rFonts w:ascii="Palatino Linotype" w:hAnsi="Palatino Linotype" w:cs="Palatino Linotype"/>
          <w:bCs/>
          <w:color w:val="FF0000"/>
          <w:sz w:val="20"/>
          <w:szCs w:val="20"/>
        </w:rPr>
        <w:t>VI</w:t>
      </w:r>
      <w:r>
        <w:rPr>
          <w:rFonts w:hint="eastAsia" w:ascii="Palatino Linotype" w:hAnsi="Palatino Linotype" w:cs="Palatino Linotype"/>
          <w:bCs/>
          <w:color w:val="FF0000"/>
          <w:sz w:val="20"/>
          <w:szCs w:val="20"/>
        </w:rPr>
        <w:t>)-photocatalytic synergistic coupling, ferrate(</w:t>
      </w:r>
      <w:r>
        <w:rPr>
          <w:rFonts w:ascii="Palatino Linotype" w:hAnsi="Palatino Linotype" w:cs="Palatino Linotype"/>
          <w:bCs/>
          <w:color w:val="FF0000"/>
          <w:sz w:val="20"/>
          <w:szCs w:val="20"/>
        </w:rPr>
        <w:t>VI</w:t>
      </w:r>
      <w:r>
        <w:rPr>
          <w:rFonts w:hint="eastAsia" w:ascii="Palatino Linotype" w:hAnsi="Palatino Linotype" w:cs="Palatino Linotype"/>
          <w:bCs/>
          <w:color w:val="FF0000"/>
          <w:sz w:val="20"/>
          <w:szCs w:val="20"/>
        </w:rPr>
        <w:t>)-PAA synergistic coupling and ferrate(</w:t>
      </w:r>
      <w:r>
        <w:rPr>
          <w:rFonts w:ascii="Palatino Linotype" w:hAnsi="Palatino Linotype" w:cs="Palatino Linotype"/>
          <w:bCs/>
          <w:color w:val="FF0000"/>
          <w:sz w:val="20"/>
          <w:szCs w:val="20"/>
        </w:rPr>
        <w:t>VI</w:t>
      </w:r>
      <w:r>
        <w:rPr>
          <w:rFonts w:hint="eastAsia" w:ascii="Palatino Linotype" w:hAnsi="Palatino Linotype" w:cs="Palatino Linotype"/>
          <w:bCs/>
          <w:color w:val="FF0000"/>
          <w:sz w:val="20"/>
          <w:szCs w:val="20"/>
        </w:rPr>
        <w:t>)-PMS synergistic coupling.</w:t>
      </w:r>
    </w:p>
    <w:p>
      <w:pPr>
        <w:rPr>
          <w:rFonts w:ascii="Palatino Linotype" w:hAnsi="Palatino Linotype" w:cs="Palatino Linotype"/>
          <w:bCs/>
          <w:color w:val="FF0000"/>
          <w:sz w:val="20"/>
          <w:szCs w:val="20"/>
        </w:rPr>
      </w:pPr>
    </w:p>
    <w:p>
      <w:pPr>
        <w:rPr>
          <w:rFonts w:ascii="Palatino Linotype" w:hAnsi="Palatino Linotype" w:cs="Palatino Linotype"/>
          <w:bCs/>
          <w:sz w:val="20"/>
          <w:szCs w:val="20"/>
        </w:rPr>
      </w:pPr>
      <w:r>
        <w:rPr>
          <w:rFonts w:ascii="Palatino Linotype" w:hAnsi="Palatino Linotype" w:cs="Palatino Linotype"/>
          <w:bCs/>
          <w:sz w:val="20"/>
          <w:szCs w:val="20"/>
        </w:rPr>
        <w:t>P</w:t>
      </w:r>
      <w:r>
        <w:rPr>
          <w:rFonts w:hint="eastAsia" w:ascii="Palatino Linotype" w:hAnsi="Palatino Linotype" w:cs="Palatino Linotype"/>
          <w:bCs/>
          <w:sz w:val="20"/>
          <w:szCs w:val="20"/>
        </w:rPr>
        <w:t>oint</w:t>
      </w:r>
      <w:r>
        <w:rPr>
          <w:rFonts w:ascii="Palatino Linotype" w:hAnsi="Palatino Linotype" w:cs="Palatino Linotype"/>
          <w:bCs/>
          <w:sz w:val="20"/>
          <w:szCs w:val="20"/>
        </w:rPr>
        <w:t xml:space="preserve"> </w:t>
      </w:r>
      <w:r>
        <w:rPr>
          <w:rFonts w:hint="eastAsia" w:ascii="Palatino Linotype" w:hAnsi="Palatino Linotype" w:cs="Palatino Linotype"/>
          <w:bCs/>
          <w:sz w:val="20"/>
          <w:szCs w:val="20"/>
        </w:rPr>
        <w:t>2.</w:t>
      </w:r>
      <w:r>
        <w:rPr>
          <w:rFonts w:ascii="Palatino Linotype" w:hAnsi="Palatino Linotype" w:cs="Palatino Linotype"/>
          <w:bCs/>
          <w:sz w:val="20"/>
          <w:szCs w:val="20"/>
        </w:rPr>
        <w:t xml:space="preserve"> In 500 lines and 502, the equation and picture must be written consistently.</w:t>
      </w:r>
    </w:p>
    <w:p>
      <w:pPr>
        <w:rPr>
          <w:rFonts w:ascii="Palatino Linotype" w:hAnsi="Palatino Linotype" w:cs="Palatino Linotype"/>
          <w:bCs/>
          <w:sz w:val="20"/>
          <w:szCs w:val="20"/>
        </w:rPr>
      </w:pPr>
    </w:p>
    <w:p>
      <w:pPr>
        <w:rPr>
          <w:rFonts w:ascii="Palatino Linotype" w:hAnsi="Palatino Linotype"/>
          <w:color w:val="FF0000"/>
          <w:sz w:val="20"/>
          <w:szCs w:val="20"/>
        </w:rPr>
      </w:pPr>
      <w:r>
        <w:rPr>
          <w:rFonts w:ascii="Palatino Linotype" w:hAnsi="Palatino Linotype"/>
          <w:b/>
          <w:bCs/>
          <w:color w:val="FF0000"/>
          <w:sz w:val="20"/>
          <w:szCs w:val="20"/>
        </w:rPr>
        <w:t xml:space="preserve">Response </w:t>
      </w:r>
      <w:r>
        <w:rPr>
          <w:rFonts w:hint="eastAsia" w:ascii="Palatino Linotype" w:hAnsi="Palatino Linotype"/>
          <w:b/>
          <w:bCs/>
          <w:color w:val="FF0000"/>
          <w:sz w:val="20"/>
          <w:szCs w:val="20"/>
        </w:rPr>
        <w:t>2</w:t>
      </w:r>
      <w:r>
        <w:rPr>
          <w:rFonts w:ascii="Palatino Linotype" w:hAnsi="Palatino Linotype"/>
          <w:b/>
          <w:bCs/>
          <w:color w:val="FF0000"/>
          <w:sz w:val="20"/>
          <w:szCs w:val="20"/>
        </w:rPr>
        <w:t>:</w:t>
      </w:r>
      <w:r>
        <w:rPr>
          <w:rFonts w:ascii="Palatino Linotype" w:hAnsi="Palatino Linotype"/>
          <w:color w:val="FF0000"/>
          <w:sz w:val="20"/>
          <w:szCs w:val="20"/>
        </w:rPr>
        <w:t xml:space="preserve"> Thanks for the reminder, I have unified the writing of </w:t>
      </w:r>
      <w:r>
        <w:rPr>
          <w:rFonts w:hint="eastAsia" w:ascii="Palatino Linotype" w:hAnsi="Palatino Linotype"/>
          <w:color w:val="FF0000"/>
          <w:sz w:val="20"/>
          <w:szCs w:val="20"/>
        </w:rPr>
        <w:t>e</w:t>
      </w:r>
      <w:r>
        <w:rPr>
          <w:rFonts w:ascii="Palatino Linotype" w:hAnsi="Palatino Linotype"/>
          <w:color w:val="FF0000"/>
          <w:sz w:val="20"/>
          <w:szCs w:val="20"/>
        </w:rPr>
        <w:t xml:space="preserve">quation and </w:t>
      </w:r>
      <w:r>
        <w:rPr>
          <w:rFonts w:hint="eastAsia" w:ascii="Palatino Linotype" w:hAnsi="Palatino Linotype"/>
          <w:color w:val="FF0000"/>
          <w:sz w:val="20"/>
          <w:szCs w:val="20"/>
        </w:rPr>
        <w:t>f</w:t>
      </w:r>
      <w:r>
        <w:rPr>
          <w:rFonts w:ascii="Palatino Linotype" w:hAnsi="Palatino Linotype"/>
          <w:color w:val="FF0000"/>
          <w:sz w:val="20"/>
          <w:szCs w:val="20"/>
        </w:rPr>
        <w:t>ig</w:t>
      </w:r>
      <w:r>
        <w:rPr>
          <w:rFonts w:hint="eastAsia" w:ascii="Palatino Linotype" w:hAnsi="Palatino Linotype"/>
          <w:color w:val="FF0000"/>
          <w:sz w:val="20"/>
          <w:szCs w:val="20"/>
        </w:rPr>
        <w:t>ure</w:t>
      </w:r>
      <w:r>
        <w:rPr>
          <w:rFonts w:ascii="Palatino Linotype" w:hAnsi="Palatino Linotype"/>
          <w:color w:val="FF0000"/>
          <w:sz w:val="20"/>
          <w:szCs w:val="20"/>
        </w:rPr>
        <w:t xml:space="preserve"> in </w:t>
      </w:r>
      <w:r>
        <w:rPr>
          <w:rFonts w:hint="eastAsia" w:ascii="Palatino Linotype" w:hAnsi="Palatino Linotype"/>
          <w:color w:val="FF0000"/>
          <w:sz w:val="20"/>
          <w:szCs w:val="20"/>
        </w:rPr>
        <w:t>review</w:t>
      </w:r>
      <w:r>
        <w:rPr>
          <w:rFonts w:ascii="Palatino Linotype" w:hAnsi="Palatino Linotype"/>
          <w:color w:val="FF0000"/>
          <w:sz w:val="20"/>
          <w:szCs w:val="20"/>
        </w:rPr>
        <w:t>.</w:t>
      </w:r>
    </w:p>
    <w:p>
      <w:pPr>
        <w:rPr>
          <w:rFonts w:ascii="Palatino Linotype" w:hAnsi="Palatino Linotype"/>
          <w:color w:val="FF0000"/>
          <w:sz w:val="20"/>
          <w:szCs w:val="20"/>
        </w:rPr>
      </w:pPr>
      <w:r>
        <w:rPr>
          <w:rFonts w:ascii="Palatino Linotype" w:hAnsi="Palatino Linotype"/>
          <w:color w:val="FF0000"/>
          <w:sz w:val="20"/>
          <w:szCs w:val="20"/>
        </w:rPr>
        <w:t>It was found that ferrate(</w:t>
      </w:r>
      <w:r>
        <w:rPr>
          <w:rFonts w:ascii="Palatino Linotype" w:hAnsi="Palatino Linotype" w:cs="Palatino Linotype"/>
          <w:bCs/>
          <w:color w:val="FF0000"/>
          <w:sz w:val="20"/>
          <w:szCs w:val="20"/>
        </w:rPr>
        <w:t>VI</w:t>
      </w:r>
      <w:r>
        <w:rPr>
          <w:rFonts w:ascii="Palatino Linotype" w:hAnsi="Palatino Linotype"/>
          <w:color w:val="FF0000"/>
          <w:sz w:val="20"/>
          <w:szCs w:val="20"/>
        </w:rPr>
        <w:t>) can act as an electron acceptor in the UV/TiO</w:t>
      </w:r>
      <w:r>
        <w:rPr>
          <w:rFonts w:ascii="Palatino Linotype" w:hAnsi="Palatino Linotype"/>
          <w:color w:val="FF0000"/>
          <w:sz w:val="20"/>
          <w:szCs w:val="20"/>
          <w:vertAlign w:val="subscript"/>
        </w:rPr>
        <w:t>2</w:t>
      </w:r>
      <w:r>
        <w:rPr>
          <w:rFonts w:ascii="Palatino Linotype" w:hAnsi="Palatino Linotype"/>
          <w:color w:val="FF0000"/>
          <w:sz w:val="20"/>
          <w:szCs w:val="20"/>
        </w:rPr>
        <w:t xml:space="preserve"> system, and the decomposition of ferrate(</w:t>
      </w:r>
      <w:r>
        <w:rPr>
          <w:rFonts w:ascii="Palatino Linotype" w:hAnsi="Palatino Linotype" w:cs="Palatino Linotype"/>
          <w:bCs/>
          <w:color w:val="FF0000"/>
          <w:sz w:val="20"/>
          <w:szCs w:val="20"/>
        </w:rPr>
        <w:t>VI</w:t>
      </w:r>
      <w:r>
        <w:rPr>
          <w:rFonts w:ascii="Palatino Linotype" w:hAnsi="Palatino Linotype"/>
          <w:color w:val="FF0000"/>
          <w:sz w:val="20"/>
          <w:szCs w:val="20"/>
        </w:rPr>
        <w:t xml:space="preserve">) to Fe(IV), Fe(V), and Fe(III), shown in </w:t>
      </w:r>
      <w:r>
        <w:rPr>
          <w:rFonts w:hint="eastAsia" w:ascii="Palatino Linotype" w:hAnsi="Palatino Linotype"/>
          <w:color w:val="FF0000"/>
          <w:sz w:val="20"/>
          <w:szCs w:val="20"/>
          <w:lang w:val="en-US" w:eastAsia="zh-CN"/>
        </w:rPr>
        <w:t>e</w:t>
      </w:r>
      <w:r>
        <w:rPr>
          <w:rFonts w:ascii="Palatino Linotype" w:hAnsi="Palatino Linotype"/>
          <w:color w:val="FF0000"/>
          <w:sz w:val="20"/>
          <w:szCs w:val="20"/>
        </w:rPr>
        <w:t>quation. 1</w:t>
      </w:r>
      <w:r>
        <w:rPr>
          <w:rFonts w:hint="eastAsia" w:ascii="Palatino Linotype" w:hAnsi="Palatino Linotype" w:cs="Palatino Linotype"/>
          <w:color w:val="FF0000"/>
          <w:sz w:val="20"/>
          <w:szCs w:val="20"/>
        </w:rPr>
        <w:t>1</w:t>
      </w:r>
      <w:r>
        <w:rPr>
          <w:rFonts w:ascii="Palatino Linotype" w:hAnsi="Palatino Linotype"/>
          <w:color w:val="FF0000"/>
          <w:sz w:val="20"/>
          <w:szCs w:val="20"/>
        </w:rPr>
        <w:t>-1</w:t>
      </w:r>
      <w:r>
        <w:rPr>
          <w:rFonts w:hint="eastAsia" w:ascii="Palatino Linotype" w:hAnsi="Palatino Linotype" w:cs="Palatino Linotype"/>
          <w:color w:val="FF0000"/>
          <w:sz w:val="20"/>
          <w:szCs w:val="20"/>
        </w:rPr>
        <w:t>3</w:t>
      </w:r>
      <w:r>
        <w:rPr>
          <w:rFonts w:ascii="Palatino Linotype" w:hAnsi="Palatino Linotype"/>
          <w:color w:val="FF0000"/>
          <w:sz w:val="20"/>
          <w:szCs w:val="20"/>
        </w:rPr>
        <w:t xml:space="preserve">, is accelerated under UV irradiation and accompanied by the generation of superoxide radicals [118], as shown in </w:t>
      </w:r>
      <w:r>
        <w:rPr>
          <w:rFonts w:hint="eastAsia" w:ascii="Palatino Linotype" w:hAnsi="Palatino Linotype"/>
          <w:color w:val="FF0000"/>
          <w:sz w:val="20"/>
          <w:szCs w:val="20"/>
          <w:lang w:val="en-US" w:eastAsia="zh-CN"/>
        </w:rPr>
        <w:t>f</w:t>
      </w:r>
      <w:r>
        <w:rPr>
          <w:rFonts w:ascii="Palatino Linotype" w:hAnsi="Palatino Linotype"/>
          <w:color w:val="FF0000"/>
          <w:sz w:val="20"/>
          <w:szCs w:val="20"/>
        </w:rPr>
        <w:t>ig</w:t>
      </w:r>
      <w:r>
        <w:rPr>
          <w:rFonts w:hint="eastAsia" w:ascii="Palatino Linotype" w:hAnsi="Palatino Linotype"/>
          <w:color w:val="FF0000"/>
          <w:sz w:val="20"/>
          <w:szCs w:val="20"/>
        </w:rPr>
        <w:t>ure</w:t>
      </w:r>
      <w:r>
        <w:rPr>
          <w:rFonts w:ascii="Palatino Linotype" w:hAnsi="Palatino Linotype"/>
          <w:color w:val="FF0000"/>
          <w:sz w:val="20"/>
          <w:szCs w:val="20"/>
        </w:rPr>
        <w:t>. 5.</w:t>
      </w:r>
    </w:p>
    <w:p>
      <w:pPr>
        <w:rPr>
          <w:rFonts w:ascii="Palatino Linotype" w:hAnsi="Palatino Linotype"/>
          <w:color w:val="FF0000"/>
          <w:sz w:val="20"/>
          <w:szCs w:val="20"/>
        </w:rPr>
      </w:pPr>
    </w:p>
    <w:p>
      <w:pPr>
        <w:rPr>
          <w:rFonts w:ascii="Palatino Linotype" w:hAnsi="Palatino Linotype"/>
          <w:sz w:val="20"/>
          <w:szCs w:val="20"/>
        </w:rPr>
      </w:pPr>
      <w:r>
        <w:rPr>
          <w:rFonts w:hint="eastAsia" w:ascii="Palatino Linotype" w:hAnsi="Palatino Linotype"/>
          <w:sz w:val="20"/>
          <w:szCs w:val="20"/>
        </w:rPr>
        <w:t>Point</w:t>
      </w:r>
      <w:r>
        <w:rPr>
          <w:rFonts w:ascii="Palatino Linotype" w:hAnsi="Palatino Linotype"/>
          <w:sz w:val="20"/>
          <w:szCs w:val="20"/>
        </w:rPr>
        <w:t xml:space="preserve"> </w:t>
      </w:r>
      <w:r>
        <w:rPr>
          <w:rFonts w:hint="eastAsia" w:ascii="Palatino Linotype" w:hAnsi="Palatino Linotype"/>
          <w:sz w:val="20"/>
          <w:szCs w:val="20"/>
        </w:rPr>
        <w:t>3.</w:t>
      </w:r>
      <w:r>
        <w:rPr>
          <w:rFonts w:ascii="Palatino Linotype" w:hAnsi="Palatino Linotype"/>
          <w:sz w:val="20"/>
          <w:szCs w:val="20"/>
        </w:rPr>
        <w:t xml:space="preserve"> In Table 1, the chemical equation should be consistent on both sides.</w:t>
      </w:r>
    </w:p>
    <w:p>
      <w:pPr>
        <w:rPr>
          <w:rFonts w:ascii="Palatino Linotype" w:hAnsi="Palatino Linotype"/>
          <w:sz w:val="20"/>
          <w:szCs w:val="20"/>
        </w:rPr>
      </w:pPr>
    </w:p>
    <w:p>
      <w:pPr>
        <w:rPr>
          <w:rFonts w:hint="eastAsia"/>
          <w:szCs w:val="21"/>
        </w:rPr>
      </w:pPr>
      <w:r>
        <w:rPr>
          <w:rFonts w:ascii="Palatino Linotype" w:hAnsi="Palatino Linotype"/>
          <w:b/>
          <w:bCs/>
          <w:color w:val="FF0000"/>
          <w:sz w:val="20"/>
          <w:szCs w:val="20"/>
        </w:rPr>
        <w:t xml:space="preserve">Response </w:t>
      </w:r>
      <w:r>
        <w:rPr>
          <w:rFonts w:hint="eastAsia" w:ascii="Palatino Linotype" w:hAnsi="Palatino Linotype"/>
          <w:b/>
          <w:bCs/>
          <w:color w:val="FF0000"/>
          <w:sz w:val="20"/>
          <w:szCs w:val="20"/>
        </w:rPr>
        <w:t>3</w:t>
      </w:r>
      <w:r>
        <w:rPr>
          <w:rFonts w:ascii="Palatino Linotype" w:hAnsi="Palatino Linotype"/>
          <w:b/>
          <w:bCs/>
          <w:color w:val="FF0000"/>
          <w:sz w:val="20"/>
          <w:szCs w:val="20"/>
        </w:rPr>
        <w:t xml:space="preserve">: </w:t>
      </w:r>
      <w:r>
        <w:rPr>
          <w:rFonts w:ascii="Palatino Linotype" w:hAnsi="Palatino Linotype"/>
          <w:color w:val="FF0000"/>
          <w:sz w:val="20"/>
          <w:szCs w:val="20"/>
        </w:rPr>
        <w:t>Thanks for the suggestion, I have made changes to Table 1.</w:t>
      </w:r>
    </w:p>
    <w:tbl>
      <w:tblPr>
        <w:tblStyle w:val="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30"/>
        <w:gridCol w:w="4356"/>
        <w:gridCol w:w="183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30" w:type="dxa"/>
            <w:tcBorders>
              <w:top w:val="single" w:color="auto" w:sz="4" w:space="0"/>
              <w:left w:val="nil"/>
              <w:bottom w:val="single" w:color="auto" w:sz="4" w:space="0"/>
              <w:right w:val="nil"/>
            </w:tcBorders>
          </w:tcPr>
          <w:p>
            <w:pPr>
              <w:jc w:val="center"/>
              <w:rPr>
                <w:rFonts w:ascii="Palatino Linotype" w:hAnsi="Palatino Linotype" w:eastAsia="Times New Roman" w:cs="Times New Roman"/>
                <w:b/>
                <w:bCs/>
                <w:sz w:val="20"/>
                <w:szCs w:val="20"/>
              </w:rPr>
            </w:pPr>
            <w:r>
              <w:rPr>
                <w:rFonts w:ascii="Palatino Linotype" w:hAnsi="Palatino Linotype" w:eastAsia="Times New Roman" w:cs="Times New Roman"/>
                <w:b/>
                <w:bCs/>
                <w:sz w:val="20"/>
                <w:szCs w:val="20"/>
              </w:rPr>
              <w:t>Oxidants/Disinfectants</w:t>
            </w:r>
          </w:p>
        </w:tc>
        <w:tc>
          <w:tcPr>
            <w:tcW w:w="4249" w:type="dxa"/>
            <w:tcBorders>
              <w:top w:val="single" w:color="auto" w:sz="4" w:space="0"/>
              <w:left w:val="nil"/>
              <w:bottom w:val="single" w:color="auto" w:sz="4" w:space="0"/>
              <w:right w:val="nil"/>
            </w:tcBorders>
          </w:tcPr>
          <w:p>
            <w:pPr>
              <w:jc w:val="center"/>
              <w:rPr>
                <w:rFonts w:ascii="Palatino Linotype" w:hAnsi="Palatino Linotype" w:eastAsia="Times New Roman" w:cs="Times New Roman"/>
                <w:b/>
                <w:bCs/>
                <w:sz w:val="20"/>
                <w:szCs w:val="20"/>
              </w:rPr>
            </w:pPr>
            <w:r>
              <w:rPr>
                <w:rFonts w:ascii="Palatino Linotype" w:hAnsi="Palatino Linotype" w:eastAsia="Times New Roman" w:cs="Times New Roman"/>
                <w:b/>
                <w:bCs/>
                <w:sz w:val="20"/>
                <w:szCs w:val="20"/>
              </w:rPr>
              <w:t>Reaction type</w:t>
            </w:r>
          </w:p>
        </w:tc>
        <w:tc>
          <w:tcPr>
            <w:tcW w:w="1943" w:type="dxa"/>
            <w:tcBorders>
              <w:top w:val="single" w:color="auto" w:sz="4" w:space="0"/>
              <w:left w:val="nil"/>
              <w:bottom w:val="single" w:color="auto" w:sz="4" w:space="0"/>
              <w:right w:val="nil"/>
            </w:tcBorders>
          </w:tcPr>
          <w:p>
            <w:pPr>
              <w:jc w:val="center"/>
              <w:rPr>
                <w:rFonts w:ascii="Palatino Linotype" w:hAnsi="Palatino Linotype" w:eastAsia="Times New Roman" w:cs="Times New Roman"/>
                <w:b/>
                <w:bCs/>
                <w:sz w:val="20"/>
                <w:szCs w:val="20"/>
              </w:rPr>
            </w:pPr>
            <w:r>
              <w:rPr>
                <w:rFonts w:ascii="Palatino Linotype" w:hAnsi="Palatino Linotype" w:eastAsia="Times New Roman" w:cs="Times New Roman"/>
                <w:b/>
                <w:bCs/>
                <w:sz w:val="20"/>
                <w:szCs w:val="20"/>
              </w:rPr>
              <w:t>E</w:t>
            </w:r>
            <w:r>
              <w:rPr>
                <w:rFonts w:ascii="Palatino Linotype" w:hAnsi="Palatino Linotype" w:eastAsia="Times New Roman" w:cs="Times New Roman"/>
                <w:b/>
                <w:bCs/>
                <w:sz w:val="20"/>
                <w:szCs w:val="20"/>
                <w:vertAlign w:val="superscript"/>
              </w:rPr>
              <w:t>0</w:t>
            </w:r>
            <w:r>
              <w:rPr>
                <w:rFonts w:ascii="Palatino Linotype" w:hAnsi="Palatino Linotype" w:eastAsia="Times New Roman" w:cs="Times New Roman"/>
                <w:b/>
                <w:bCs/>
                <w:sz w:val="20"/>
                <w:szCs w:val="20"/>
              </w:rPr>
              <w:t>/V</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30" w:type="dxa"/>
            <w:tcBorders>
              <w:top w:val="single" w:color="auto" w:sz="4" w:space="0"/>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Cl</w:t>
            </w:r>
            <w:r>
              <w:rPr>
                <w:rFonts w:ascii="Palatino Linotype" w:hAnsi="Palatino Linotype" w:eastAsia="Times New Roman" w:cs="Times New Roman"/>
                <w:sz w:val="20"/>
                <w:szCs w:val="20"/>
                <w:vertAlign w:val="subscript"/>
              </w:rPr>
              <w:t>2</w:t>
            </w:r>
          </w:p>
        </w:tc>
        <w:tc>
          <w:tcPr>
            <w:tcW w:w="4249" w:type="dxa"/>
            <w:tcBorders>
              <w:top w:val="single" w:color="auto" w:sz="4" w:space="0"/>
              <w:left w:val="nil"/>
              <w:bottom w:val="nil"/>
              <w:right w:val="nil"/>
            </w:tcBorders>
          </w:tcPr>
          <w:p>
            <w:pPr>
              <w:jc w:val="center"/>
              <w:rPr>
                <w:rFonts w:ascii="Palatino Linotype" w:hAnsi="Palatino Linotype" w:eastAsia="Times New Roman" w:cs="Times New Roman"/>
                <w:sz w:val="20"/>
                <w:szCs w:val="20"/>
              </w:rPr>
            </w:pPr>
            <w:r>
              <w:rPr>
                <w:rFonts w:hint="eastAsia" w:ascii="Palatino Linotype" w:hAnsi="Palatino Linotype" w:eastAsia="Times New Roman" w:cs="Times New Roman"/>
                <w:position w:val="-10"/>
                <w:sz w:val="20"/>
                <w:szCs w:val="20"/>
              </w:rPr>
              <w:drawing>
                <wp:inline distT="0" distB="0" distL="0" distR="0">
                  <wp:extent cx="1249680" cy="228600"/>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249680" cy="228600"/>
                          </a:xfrm>
                          <a:prstGeom prst="rect">
                            <a:avLst/>
                          </a:prstGeom>
                          <a:noFill/>
                          <a:ln>
                            <a:noFill/>
                          </a:ln>
                        </pic:spPr>
                      </pic:pic>
                    </a:graphicData>
                  </a:graphic>
                </wp:inline>
              </w:drawing>
            </w:r>
          </w:p>
        </w:tc>
        <w:tc>
          <w:tcPr>
            <w:tcW w:w="1943" w:type="dxa"/>
            <w:tcBorders>
              <w:top w:val="single" w:color="auto" w:sz="4" w:space="0"/>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1.358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30" w:type="dxa"/>
            <w:tcBorders>
              <w:top w:val="nil"/>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ClO</w:t>
            </w:r>
            <w:r>
              <w:rPr>
                <w:rFonts w:ascii="Palatino Linotype" w:hAnsi="Palatino Linotype" w:eastAsia="Times New Roman" w:cs="Times New Roman"/>
                <w:sz w:val="20"/>
                <w:szCs w:val="20"/>
                <w:vertAlign w:val="subscript"/>
              </w:rPr>
              <w:t>2</w:t>
            </w:r>
          </w:p>
        </w:tc>
        <w:tc>
          <w:tcPr>
            <w:tcW w:w="4249" w:type="dxa"/>
            <w:tcBorders>
              <w:top w:val="nil"/>
              <w:left w:val="nil"/>
              <w:bottom w:val="nil"/>
              <w:right w:val="nil"/>
            </w:tcBorders>
          </w:tcPr>
          <w:p>
            <w:pPr>
              <w:jc w:val="center"/>
              <w:rPr>
                <w:rFonts w:ascii="Palatino Linotype" w:hAnsi="Palatino Linotype" w:eastAsia="Times New Roman" w:cs="Times New Roman"/>
                <w:sz w:val="20"/>
                <w:szCs w:val="20"/>
              </w:rPr>
            </w:pPr>
            <w:r>
              <w:rPr>
                <w:rFonts w:hint="eastAsia" w:ascii="Palatino Linotype" w:hAnsi="Palatino Linotype" w:eastAsia="Times New Roman" w:cs="Times New Roman"/>
                <w:position w:val="-10"/>
                <w:sz w:val="20"/>
                <w:szCs w:val="20"/>
              </w:rPr>
              <w:drawing>
                <wp:inline distT="0" distB="0" distL="0" distR="0">
                  <wp:extent cx="1409700" cy="2286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09700" cy="228600"/>
                          </a:xfrm>
                          <a:prstGeom prst="rect">
                            <a:avLst/>
                          </a:prstGeom>
                          <a:noFill/>
                          <a:ln>
                            <a:noFill/>
                          </a:ln>
                        </pic:spPr>
                      </pic:pic>
                    </a:graphicData>
                  </a:graphic>
                </wp:inline>
              </w:drawing>
            </w:r>
          </w:p>
        </w:tc>
        <w:tc>
          <w:tcPr>
            <w:tcW w:w="1943" w:type="dxa"/>
            <w:tcBorders>
              <w:top w:val="nil"/>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0.854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30" w:type="dxa"/>
            <w:tcBorders>
              <w:top w:val="nil"/>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O</w:t>
            </w:r>
            <w:r>
              <w:rPr>
                <w:rFonts w:ascii="Palatino Linotype" w:hAnsi="Palatino Linotype" w:eastAsia="Times New Roman" w:cs="Times New Roman"/>
                <w:sz w:val="20"/>
                <w:szCs w:val="20"/>
                <w:vertAlign w:val="subscript"/>
              </w:rPr>
              <w:t>3</w:t>
            </w:r>
          </w:p>
        </w:tc>
        <w:tc>
          <w:tcPr>
            <w:tcW w:w="4249" w:type="dxa"/>
            <w:tcBorders>
              <w:top w:val="nil"/>
              <w:left w:val="nil"/>
              <w:bottom w:val="nil"/>
              <w:right w:val="nil"/>
            </w:tcBorders>
          </w:tcPr>
          <w:p>
            <w:pPr>
              <w:jc w:val="center"/>
              <w:rPr>
                <w:rFonts w:ascii="Palatino Linotype" w:hAnsi="Palatino Linotype" w:eastAsia="Times New Roman" w:cs="Times New Roman"/>
                <w:sz w:val="20"/>
                <w:szCs w:val="20"/>
              </w:rPr>
            </w:pPr>
            <w:r>
              <w:rPr>
                <w:rFonts w:hint="eastAsia" w:ascii="Palatino Linotype" w:hAnsi="Palatino Linotype" w:eastAsia="Times New Roman" w:cs="Times New Roman"/>
                <w:position w:val="-12"/>
                <w:sz w:val="20"/>
                <w:szCs w:val="20"/>
              </w:rPr>
              <w:drawing>
                <wp:inline distT="0" distB="0" distL="0" distR="0">
                  <wp:extent cx="1866900" cy="228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66900" cy="228600"/>
                          </a:xfrm>
                          <a:prstGeom prst="rect">
                            <a:avLst/>
                          </a:prstGeom>
                          <a:noFill/>
                          <a:ln>
                            <a:noFill/>
                          </a:ln>
                        </pic:spPr>
                      </pic:pic>
                    </a:graphicData>
                  </a:graphic>
                </wp:inline>
              </w:drawing>
            </w:r>
          </w:p>
        </w:tc>
        <w:tc>
          <w:tcPr>
            <w:tcW w:w="1943" w:type="dxa"/>
            <w:tcBorders>
              <w:top w:val="nil"/>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2.076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30" w:type="dxa"/>
            <w:vMerge w:val="restart"/>
            <w:tcBorders>
              <w:top w:val="nil"/>
              <w:left w:val="nil"/>
              <w:bottom w:val="nil"/>
              <w:right w:val="nil"/>
            </w:tcBorders>
          </w:tcPr>
          <w:p>
            <w:pPr>
              <w:spacing w:before="468" w:beforeLines="1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KMnO</w:t>
            </w:r>
            <w:r>
              <w:rPr>
                <w:rFonts w:ascii="Palatino Linotype" w:hAnsi="Palatino Linotype" w:eastAsia="Times New Roman" w:cs="Times New Roman"/>
                <w:sz w:val="20"/>
                <w:szCs w:val="20"/>
                <w:vertAlign w:val="subscript"/>
              </w:rPr>
              <w:t>4</w:t>
            </w:r>
          </w:p>
        </w:tc>
        <w:tc>
          <w:tcPr>
            <w:tcW w:w="4249" w:type="dxa"/>
            <w:tcBorders>
              <w:top w:val="nil"/>
              <w:left w:val="nil"/>
              <w:bottom w:val="nil"/>
              <w:right w:val="nil"/>
            </w:tcBorders>
          </w:tcPr>
          <w:p>
            <w:pPr>
              <w:jc w:val="center"/>
              <w:rPr>
                <w:rFonts w:ascii="Palatino Linotype" w:hAnsi="Palatino Linotype" w:eastAsia="Times New Roman" w:cs="Times New Roman"/>
                <w:sz w:val="20"/>
                <w:szCs w:val="20"/>
              </w:rPr>
            </w:pPr>
            <w:r>
              <w:rPr>
                <w:rFonts w:hint="eastAsia" w:ascii="Palatino Linotype" w:hAnsi="Palatino Linotype" w:eastAsia="Times New Roman" w:cs="Times New Roman"/>
                <w:position w:val="-10"/>
                <w:sz w:val="20"/>
                <w:szCs w:val="20"/>
              </w:rPr>
              <w:drawing>
                <wp:inline distT="0" distB="0" distL="0" distR="0">
                  <wp:extent cx="2362200" cy="228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362200" cy="228600"/>
                          </a:xfrm>
                          <a:prstGeom prst="rect">
                            <a:avLst/>
                          </a:prstGeom>
                          <a:noFill/>
                          <a:ln>
                            <a:noFill/>
                          </a:ln>
                        </pic:spPr>
                      </pic:pic>
                    </a:graphicData>
                  </a:graphic>
                </wp:inline>
              </w:drawing>
            </w:r>
          </w:p>
        </w:tc>
        <w:tc>
          <w:tcPr>
            <w:tcW w:w="1943" w:type="dxa"/>
            <w:tcBorders>
              <w:top w:val="nil"/>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1.679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nil"/>
              <w:right w:val="nil"/>
            </w:tcBorders>
            <w:vAlign w:val="center"/>
          </w:tcPr>
          <w:p>
            <w:pPr>
              <w:rPr>
                <w:rFonts w:ascii="Palatino Linotype" w:hAnsi="Palatino Linotype" w:eastAsia="宋体" w:cs="Times New Roman"/>
                <w:sz w:val="20"/>
                <w:szCs w:val="20"/>
              </w:rPr>
            </w:pPr>
          </w:p>
        </w:tc>
        <w:tc>
          <w:tcPr>
            <w:tcW w:w="4249" w:type="dxa"/>
            <w:tcBorders>
              <w:top w:val="nil"/>
              <w:left w:val="nil"/>
              <w:bottom w:val="nil"/>
              <w:right w:val="nil"/>
            </w:tcBorders>
          </w:tcPr>
          <w:p>
            <w:pPr>
              <w:jc w:val="center"/>
              <w:rPr>
                <w:rFonts w:ascii="Palatino Linotype" w:hAnsi="Palatino Linotype" w:eastAsia="Times New Roman" w:cs="Times New Roman"/>
                <w:sz w:val="20"/>
                <w:szCs w:val="20"/>
              </w:rPr>
            </w:pPr>
            <w:r>
              <w:rPr>
                <w:rFonts w:hint="eastAsia" w:ascii="Palatino Linotype" w:hAnsi="Palatino Linotype" w:eastAsia="Times New Roman" w:cs="Times New Roman"/>
                <w:position w:val="-10"/>
                <w:sz w:val="20"/>
                <w:szCs w:val="20"/>
              </w:rPr>
              <w:drawing>
                <wp:inline distT="0" distB="0" distL="0" distR="0">
                  <wp:extent cx="2324100" cy="2286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24100" cy="228600"/>
                          </a:xfrm>
                          <a:prstGeom prst="rect">
                            <a:avLst/>
                          </a:prstGeom>
                          <a:noFill/>
                          <a:ln>
                            <a:noFill/>
                          </a:ln>
                        </pic:spPr>
                      </pic:pic>
                    </a:graphicData>
                  </a:graphic>
                </wp:inline>
              </w:drawing>
            </w:r>
          </w:p>
        </w:tc>
        <w:tc>
          <w:tcPr>
            <w:tcW w:w="1943" w:type="dxa"/>
            <w:tcBorders>
              <w:top w:val="nil"/>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1.507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30" w:type="dxa"/>
            <w:vMerge w:val="restart"/>
            <w:tcBorders>
              <w:top w:val="nil"/>
              <w:left w:val="nil"/>
              <w:bottom w:val="nil"/>
              <w:right w:val="nil"/>
            </w:tcBorders>
          </w:tcPr>
          <w:p>
            <w:pPr>
              <w:spacing w:before="468" w:beforeLines="1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Fe</w:t>
            </w:r>
            <w:r>
              <w:rPr>
                <w:rFonts w:hint="eastAsia" w:ascii="Palatino Linotype" w:hAnsi="Palatino Linotype" w:eastAsia="Times New Roman" w:cs="Palatino Linotype"/>
                <w:sz w:val="20"/>
                <w:szCs w:val="20"/>
              </w:rPr>
              <w:t>rrate</w:t>
            </w:r>
            <w:r>
              <w:rPr>
                <w:rFonts w:ascii="Palatino Linotype" w:hAnsi="Palatino Linotype" w:eastAsia="Times New Roman" w:cs="Times New Roman"/>
                <w:sz w:val="20"/>
                <w:szCs w:val="20"/>
              </w:rPr>
              <w:t>(</w:t>
            </w:r>
            <w:r>
              <w:rPr>
                <w:rFonts w:hint="eastAsia" w:ascii="宋体" w:hAnsi="宋体" w:eastAsia="宋体" w:cs="宋体"/>
                <w:sz w:val="20"/>
                <w:szCs w:val="20"/>
              </w:rPr>
              <w:t>Ⅵ</w:t>
            </w:r>
            <w:r>
              <w:rPr>
                <w:rFonts w:ascii="Palatino Linotype" w:hAnsi="Palatino Linotype" w:eastAsia="Times New Roman" w:cs="Times New Roman"/>
                <w:sz w:val="20"/>
                <w:szCs w:val="20"/>
              </w:rPr>
              <w:t>)</w:t>
            </w:r>
          </w:p>
        </w:tc>
        <w:tc>
          <w:tcPr>
            <w:tcW w:w="4249" w:type="dxa"/>
            <w:tcBorders>
              <w:top w:val="nil"/>
              <w:left w:val="nil"/>
              <w:bottom w:val="nil"/>
              <w:right w:val="nil"/>
            </w:tcBorders>
          </w:tcPr>
          <w:p>
            <w:pPr>
              <w:jc w:val="center"/>
              <w:rPr>
                <w:rFonts w:ascii="Palatino Linotype" w:hAnsi="Palatino Linotype" w:eastAsia="Times New Roman" w:cs="Times New Roman"/>
                <w:sz w:val="20"/>
                <w:szCs w:val="20"/>
              </w:rPr>
            </w:pPr>
            <w:r>
              <w:rPr>
                <w:rFonts w:hint="eastAsia" w:ascii="Palatino Linotype" w:hAnsi="Palatino Linotype" w:eastAsia="Times New Roman" w:cs="Times New Roman"/>
                <w:position w:val="-10"/>
                <w:sz w:val="20"/>
                <w:szCs w:val="20"/>
              </w:rPr>
              <w:drawing>
                <wp:inline distT="0" distB="0" distL="0" distR="0">
                  <wp:extent cx="2278380" cy="228600"/>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78380" cy="228600"/>
                          </a:xfrm>
                          <a:prstGeom prst="rect">
                            <a:avLst/>
                          </a:prstGeom>
                          <a:noFill/>
                          <a:ln>
                            <a:noFill/>
                          </a:ln>
                        </pic:spPr>
                      </pic:pic>
                    </a:graphicData>
                  </a:graphic>
                </wp:inline>
              </w:drawing>
            </w:r>
          </w:p>
        </w:tc>
        <w:tc>
          <w:tcPr>
            <w:tcW w:w="1943" w:type="dxa"/>
            <w:tcBorders>
              <w:top w:val="nil"/>
              <w:left w:val="nil"/>
              <w:bottom w:val="nil"/>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2.20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pPr>
              <w:rPr>
                <w:rFonts w:ascii="Palatino Linotype" w:hAnsi="Palatino Linotype" w:eastAsia="宋体" w:cs="Times New Roman"/>
                <w:sz w:val="20"/>
                <w:szCs w:val="20"/>
              </w:rPr>
            </w:pPr>
          </w:p>
        </w:tc>
        <w:tc>
          <w:tcPr>
            <w:tcW w:w="4249" w:type="dxa"/>
            <w:tcBorders>
              <w:top w:val="nil"/>
              <w:left w:val="nil"/>
              <w:bottom w:val="single" w:color="auto" w:sz="4" w:space="0"/>
              <w:right w:val="nil"/>
            </w:tcBorders>
          </w:tcPr>
          <w:p>
            <w:pPr>
              <w:jc w:val="center"/>
              <w:rPr>
                <w:rFonts w:ascii="Palatino Linotype" w:hAnsi="Palatino Linotype" w:eastAsia="Times New Roman" w:cs="Times New Roman"/>
                <w:sz w:val="20"/>
                <w:szCs w:val="20"/>
              </w:rPr>
            </w:pPr>
            <w:r>
              <w:rPr>
                <w:rFonts w:hint="eastAsia" w:ascii="Palatino Linotype" w:hAnsi="Palatino Linotype" w:eastAsia="Times New Roman" w:cs="Times New Roman"/>
                <w:position w:val="-12"/>
                <w:sz w:val="20"/>
                <w:szCs w:val="20"/>
              </w:rPr>
              <w:drawing>
                <wp:inline distT="0" distB="0" distL="0" distR="0">
                  <wp:extent cx="2628900" cy="228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628900" cy="228600"/>
                          </a:xfrm>
                          <a:prstGeom prst="rect">
                            <a:avLst/>
                          </a:prstGeom>
                          <a:noFill/>
                          <a:ln>
                            <a:noFill/>
                          </a:ln>
                        </pic:spPr>
                      </pic:pic>
                    </a:graphicData>
                  </a:graphic>
                </wp:inline>
              </w:drawing>
            </w:r>
          </w:p>
        </w:tc>
        <w:tc>
          <w:tcPr>
            <w:tcW w:w="1943" w:type="dxa"/>
            <w:tcBorders>
              <w:top w:val="nil"/>
              <w:left w:val="nil"/>
              <w:bottom w:val="single" w:color="auto" w:sz="4" w:space="0"/>
              <w:right w:val="nil"/>
            </w:tcBorders>
          </w:tcPr>
          <w:p>
            <w:pPr>
              <w:spacing w:before="156" w:beforeLines="50"/>
              <w:jc w:val="center"/>
              <w:rPr>
                <w:rFonts w:ascii="Palatino Linotype" w:hAnsi="Palatino Linotype" w:eastAsia="Times New Roman" w:cs="Times New Roman"/>
                <w:sz w:val="20"/>
                <w:szCs w:val="20"/>
              </w:rPr>
            </w:pPr>
            <w:r>
              <w:rPr>
                <w:rFonts w:ascii="Palatino Linotype" w:hAnsi="Palatino Linotype" w:eastAsia="Times New Roman" w:cs="Times New Roman"/>
                <w:sz w:val="20"/>
                <w:szCs w:val="20"/>
              </w:rPr>
              <w:t>0.76</w:t>
            </w:r>
          </w:p>
        </w:tc>
      </w:tr>
    </w:tbl>
    <w:p>
      <w:pPr>
        <w:rPr>
          <w:rFonts w:ascii="Palatino Linotype" w:hAnsi="Palatino Linotype" w:cs="Palatino Linotype"/>
          <w:bCs/>
          <w:sz w:val="20"/>
          <w:szCs w:val="20"/>
        </w:rPr>
      </w:pPr>
    </w:p>
    <w:p>
      <w:pPr>
        <w:rPr>
          <w:rFonts w:ascii="Palatino Linotype" w:hAnsi="Palatino Linotype" w:cs="Palatino Linotype"/>
          <w:bCs/>
          <w:sz w:val="20"/>
          <w:szCs w:val="20"/>
        </w:rPr>
      </w:pPr>
      <w:r>
        <w:rPr>
          <w:rFonts w:hint="eastAsia" w:ascii="Palatino Linotype" w:hAnsi="Palatino Linotype" w:cs="Palatino Linotype"/>
          <w:bCs/>
          <w:sz w:val="20"/>
          <w:szCs w:val="20"/>
        </w:rPr>
        <w:t>Point</w:t>
      </w:r>
      <w:r>
        <w:rPr>
          <w:rFonts w:ascii="Palatino Linotype" w:hAnsi="Palatino Linotype" w:cs="Palatino Linotype"/>
          <w:bCs/>
          <w:sz w:val="20"/>
          <w:szCs w:val="20"/>
        </w:rPr>
        <w:t xml:space="preserve"> </w:t>
      </w:r>
      <w:r>
        <w:rPr>
          <w:rFonts w:hint="eastAsia" w:ascii="Palatino Linotype" w:hAnsi="Palatino Linotype" w:cs="Palatino Linotype"/>
          <w:bCs/>
          <w:sz w:val="20"/>
          <w:szCs w:val="20"/>
        </w:rPr>
        <w:t>4.</w:t>
      </w:r>
      <w:r>
        <w:rPr>
          <w:rFonts w:ascii="Palatino Linotype" w:hAnsi="Palatino Linotype" w:cs="Palatino Linotype"/>
          <w:bCs/>
          <w:sz w:val="20"/>
          <w:szCs w:val="20"/>
        </w:rPr>
        <w:t xml:space="preserve"> There are some grammar mistakes in the whole manuscript. Please improve the writing.</w:t>
      </w:r>
    </w:p>
    <w:p>
      <w:pPr>
        <w:rPr>
          <w:rFonts w:ascii="Palatino Linotype" w:hAnsi="Palatino Linotype" w:cs="Palatino Linotype"/>
          <w:bCs/>
          <w:sz w:val="20"/>
          <w:szCs w:val="20"/>
        </w:rPr>
      </w:pPr>
    </w:p>
    <w:p>
      <w:pPr>
        <w:rPr>
          <w:rFonts w:ascii="Palatino Linotype" w:hAnsi="Palatino Linotype"/>
          <w:color w:val="FF0000"/>
          <w:sz w:val="20"/>
          <w:szCs w:val="20"/>
        </w:rPr>
      </w:pPr>
      <w:r>
        <w:rPr>
          <w:rFonts w:ascii="Palatino Linotype" w:hAnsi="Palatino Linotype"/>
          <w:b/>
          <w:bCs/>
          <w:color w:val="FF0000"/>
          <w:sz w:val="20"/>
          <w:szCs w:val="20"/>
        </w:rPr>
        <w:t xml:space="preserve">Response </w:t>
      </w:r>
      <w:r>
        <w:rPr>
          <w:rFonts w:hint="eastAsia" w:ascii="Palatino Linotype" w:hAnsi="Palatino Linotype"/>
          <w:b/>
          <w:bCs/>
          <w:color w:val="FF0000"/>
          <w:sz w:val="20"/>
          <w:szCs w:val="20"/>
        </w:rPr>
        <w:t>4</w:t>
      </w:r>
      <w:r>
        <w:rPr>
          <w:rFonts w:ascii="Palatino Linotype" w:hAnsi="Palatino Linotype"/>
          <w:b/>
          <w:bCs/>
          <w:color w:val="FF0000"/>
          <w:sz w:val="20"/>
          <w:szCs w:val="20"/>
        </w:rPr>
        <w:t xml:space="preserve">: </w:t>
      </w:r>
      <w:r>
        <w:rPr>
          <w:rFonts w:ascii="Palatino Linotype" w:hAnsi="Palatino Linotype"/>
          <w:color w:val="FF0000"/>
          <w:sz w:val="20"/>
          <w:szCs w:val="20"/>
        </w:rPr>
        <w:t>Thanks for the reminder, I identified and corrected grammatical errors that appeared in the paper.</w:t>
      </w:r>
    </w:p>
    <w:p>
      <w:pPr>
        <w:rPr>
          <w:rFonts w:ascii="Palatino Linotype" w:hAnsi="Palatino Linotype" w:cs="Palatino Linotype"/>
          <w:bCs/>
          <w:sz w:val="20"/>
          <w:szCs w:val="20"/>
        </w:rPr>
      </w:pPr>
      <w:r>
        <w:rPr>
          <w:rFonts w:hint="eastAsia" w:ascii="Palatino Linotype" w:hAnsi="Palatino Linotype" w:cs="Palatino Linotype"/>
          <w:bCs/>
          <w:sz w:val="20"/>
          <w:szCs w:val="20"/>
        </w:rPr>
        <w:t>1.</w:t>
      </w:r>
      <w:r>
        <w:rPr>
          <w:rFonts w:ascii="Palatino Linotype" w:hAnsi="Palatino Linotype" w:cs="Palatino Linotype"/>
          <w:bCs/>
          <w:sz w:val="20"/>
          <w:szCs w:val="20"/>
        </w:rPr>
        <w:t xml:space="preserve"> In the review, the writing of the same word needs to be consistent, and the keyword</w:t>
      </w:r>
      <w:r>
        <w:rPr>
          <w:rFonts w:hint="eastAsia" w:ascii="Palatino Linotype" w:hAnsi="Palatino Linotype" w:cs="Palatino Linotype"/>
          <w:bCs/>
          <w:sz w:val="20"/>
          <w:szCs w:val="20"/>
        </w:rPr>
        <w:t>s</w:t>
      </w:r>
      <w:r>
        <w:rPr>
          <w:rFonts w:ascii="Palatino Linotype" w:hAnsi="Palatino Linotype" w:cs="Palatino Linotype"/>
          <w:bCs/>
          <w:sz w:val="20"/>
          <w:szCs w:val="20"/>
        </w:rPr>
        <w:t xml:space="preserve"> "hyphenated techniques" is inconsistent with the previous one and needs to be changed.</w:t>
      </w:r>
    </w:p>
    <w:p>
      <w:pPr>
        <w:rPr>
          <w:rFonts w:ascii="Palatino Linotype" w:hAnsi="Palatino Linotype" w:cs="Palatino Linotype"/>
          <w:bCs/>
          <w:sz w:val="20"/>
          <w:szCs w:val="20"/>
        </w:rPr>
      </w:pPr>
      <w:r>
        <w:rPr>
          <w:rFonts w:hint="eastAsia" w:ascii="Palatino Linotype" w:hAnsi="Palatino Linotype" w:cs="Palatino Linotype"/>
          <w:bCs/>
          <w:sz w:val="20"/>
          <w:szCs w:val="20"/>
        </w:rPr>
        <w:t>2.</w:t>
      </w:r>
      <w:r>
        <w:rPr>
          <w:rFonts w:ascii="Palatino Linotype" w:hAnsi="Palatino Linotype" w:cs="Palatino Linotype"/>
          <w:bCs/>
          <w:sz w:val="20"/>
          <w:szCs w:val="20"/>
        </w:rPr>
        <w:t xml:space="preserve"> In lines 45, 99 and 311, In lines 45, 99 and 311, the issue of letters being capitalized requires attention, which I corrected.</w:t>
      </w:r>
    </w:p>
    <w:p>
      <w:pPr>
        <w:rPr>
          <w:rFonts w:ascii="Palatino Linotype" w:hAnsi="Palatino Linotype" w:cs="Palatino Linotype"/>
          <w:bCs/>
          <w:sz w:val="20"/>
          <w:szCs w:val="20"/>
        </w:rPr>
      </w:pPr>
      <w:r>
        <w:rPr>
          <w:rFonts w:hint="eastAsia" w:ascii="Palatino Linotype" w:hAnsi="Palatino Linotype" w:cs="Palatino Linotype"/>
          <w:bCs/>
          <w:sz w:val="20"/>
          <w:szCs w:val="20"/>
        </w:rPr>
        <w:t>3.</w:t>
      </w:r>
      <w:r>
        <w:rPr>
          <w:rFonts w:ascii="Palatino Linotype" w:hAnsi="Palatino Linotype" w:cs="Palatino Linotype"/>
          <w:bCs/>
          <w:sz w:val="20"/>
          <w:szCs w:val="20"/>
        </w:rPr>
        <w:t xml:space="preserve"> On line 389, before that, the ferr</w:t>
      </w:r>
      <w:r>
        <w:rPr>
          <w:rFonts w:hint="eastAsia" w:ascii="Palatino Linotype" w:hAnsi="Palatino Linotype" w:cs="Palatino Linotype"/>
          <w:bCs/>
          <w:sz w:val="20"/>
          <w:szCs w:val="20"/>
        </w:rPr>
        <w:t>a</w:t>
      </w:r>
      <w:r>
        <w:rPr>
          <w:rFonts w:ascii="Palatino Linotype" w:hAnsi="Palatino Linotype" w:cs="Palatino Linotype"/>
          <w:bCs/>
          <w:sz w:val="20"/>
          <w:szCs w:val="20"/>
        </w:rPr>
        <w:t>te (VI) in the paper is in the form of ferr</w:t>
      </w:r>
      <w:r>
        <w:rPr>
          <w:rFonts w:hint="eastAsia" w:ascii="Palatino Linotype" w:hAnsi="Palatino Linotype" w:cs="Palatino Linotype"/>
          <w:bCs/>
          <w:sz w:val="20"/>
          <w:szCs w:val="20"/>
        </w:rPr>
        <w:t>a</w:t>
      </w:r>
      <w:r>
        <w:rPr>
          <w:rFonts w:ascii="Palatino Linotype" w:hAnsi="Palatino Linotype" w:cs="Palatino Linotype"/>
          <w:bCs/>
          <w:sz w:val="20"/>
          <w:szCs w:val="20"/>
        </w:rPr>
        <w:t>te (VI), which needs to be consistent, and here it is written in Fe(VI), so modify this</w:t>
      </w:r>
    </w:p>
    <w:p>
      <w:pPr>
        <w:rPr>
          <w:rFonts w:ascii="Palatino Linotype" w:hAnsi="Palatino Linotype" w:cs="Palatino Linotype"/>
          <w:bCs/>
          <w:sz w:val="20"/>
          <w:szCs w:val="20"/>
        </w:rPr>
      </w:pPr>
      <w:r>
        <w:rPr>
          <w:rFonts w:hint="eastAsia" w:ascii="Palatino Linotype" w:hAnsi="Palatino Linotype" w:cs="Palatino Linotype"/>
          <w:bCs/>
          <w:sz w:val="20"/>
          <w:szCs w:val="20"/>
        </w:rPr>
        <w:t>4.</w:t>
      </w:r>
      <w:r>
        <w:rPr>
          <w:rFonts w:ascii="Palatino Linotype" w:hAnsi="Palatino Linotype" w:cs="Palatino Linotype"/>
          <w:bCs/>
          <w:sz w:val="20"/>
          <w:szCs w:val="20"/>
        </w:rPr>
        <w:t xml:space="preserve"> In the line 445. The acronym NOM should be defined at its first use, because it may not be clear to all readers. Similarly, in line 586, the acronym DCF should be defined at its first use.</w:t>
      </w:r>
      <w:r>
        <w:t xml:space="preserve"> </w:t>
      </w:r>
      <w:r>
        <w:rPr>
          <w:rFonts w:ascii="Palatino Linotype" w:hAnsi="Palatino Linotype" w:cs="Palatino Linotype"/>
          <w:bCs/>
          <w:sz w:val="20"/>
          <w:szCs w:val="20"/>
        </w:rPr>
        <w:t>So, I modified this.</w:t>
      </w:r>
    </w:p>
    <w:p>
      <w:pPr>
        <w:rPr>
          <w:rFonts w:hint="eastAsia" w:ascii="Palatino Linotype" w:hAnsi="Palatino Linotype" w:cs="Palatino Linotype"/>
          <w:bCs/>
          <w:sz w:val="20"/>
          <w:szCs w:val="20"/>
        </w:rPr>
      </w:pPr>
      <w:r>
        <w:rPr>
          <w:rFonts w:hint="eastAsia" w:ascii="Palatino Linotype" w:hAnsi="Palatino Linotype" w:cs="Palatino Linotype"/>
          <w:bCs/>
          <w:sz w:val="20"/>
          <w:szCs w:val="20"/>
        </w:rPr>
        <w:t>5.</w:t>
      </w:r>
      <w:r>
        <w:t xml:space="preserve"> </w:t>
      </w:r>
      <w:r>
        <w:rPr>
          <w:rFonts w:ascii="Palatino Linotype" w:hAnsi="Palatino Linotype" w:cs="Palatino Linotype"/>
          <w:bCs/>
          <w:sz w:val="20"/>
          <w:szCs w:val="20"/>
        </w:rPr>
        <w:t>The quotation marks in line 561 need to removed, only the back is seen, the front is not seen.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yZDhiNGMxMDNhOTUyN2UyOTkwOTcwNzMzMWQ5Y2YifQ=="/>
  </w:docVars>
  <w:rsids>
    <w:rsidRoot w:val="001765B3"/>
    <w:rsid w:val="00006F2A"/>
    <w:rsid w:val="00107E00"/>
    <w:rsid w:val="001765B3"/>
    <w:rsid w:val="002002BC"/>
    <w:rsid w:val="00266A32"/>
    <w:rsid w:val="003A53D2"/>
    <w:rsid w:val="003F32C8"/>
    <w:rsid w:val="004765D6"/>
    <w:rsid w:val="00612A02"/>
    <w:rsid w:val="006D1DC2"/>
    <w:rsid w:val="006E245D"/>
    <w:rsid w:val="00911E13"/>
    <w:rsid w:val="00A55D4C"/>
    <w:rsid w:val="00BD02D5"/>
    <w:rsid w:val="00D43FB8"/>
    <w:rsid w:val="00DF5BEB"/>
    <w:rsid w:val="00EE66B5"/>
    <w:rsid w:val="1E414105"/>
    <w:rsid w:val="39B50DC0"/>
    <w:rsid w:val="7A436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99"/>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800</Words>
  <Characters>3902</Characters>
  <Lines>30</Lines>
  <Paragraphs>8</Paragraphs>
  <TotalTime>4</TotalTime>
  <ScaleCrop>false</ScaleCrop>
  <LinksUpToDate>false</LinksUpToDate>
  <CharactersWithSpaces>4618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2023-01-19T05:44:00Z</dcterms:created>
  <dc:creator>最帅帅的人</dc:creator>
  <cp:lastModifiedBy>不羁</cp:lastModifiedBy>
  <dcterms:modified xsi:type="dcterms:W3CDTF">2023-01-20T03:37:19Z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895535DFD70F4B439DE4692D9A143CDF</vt:lpwstr>
  </property>
</Properties>
</file>