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5AEC3" w14:textId="77777777" w:rsidR="00522304" w:rsidRPr="006453D9" w:rsidRDefault="00332030" w:rsidP="00E76F61">
      <w:pPr>
        <w:pStyle w:val="MDPI11articletype"/>
      </w:pPr>
      <w:r>
        <w:t>Article</w:t>
      </w:r>
    </w:p>
    <w:p w14:paraId="1E6E55B8" w14:textId="776856B6" w:rsidR="00522304" w:rsidRPr="00023C7B" w:rsidRDefault="00332030" w:rsidP="00E76F61">
      <w:pPr>
        <w:pStyle w:val="MDPI12title"/>
        <w:rPr>
          <w:color w:val="FF0000"/>
        </w:rPr>
      </w:pPr>
      <w:r w:rsidRPr="00332030">
        <w:t>Seasonal oxy-inflammation and hydration status in non-elite freeskiing racer: a pilot study</w:t>
      </w:r>
      <w:r w:rsidR="00023C7B">
        <w:t xml:space="preserve"> </w:t>
      </w:r>
      <w:r w:rsidR="00023C7B" w:rsidRPr="00023C7B">
        <w:rPr>
          <w:color w:val="FF0000"/>
        </w:rPr>
        <w:t xml:space="preserve">by non-invasive analytic </w:t>
      </w:r>
      <w:r w:rsidR="007B42EA">
        <w:rPr>
          <w:color w:val="FF0000"/>
        </w:rPr>
        <w:t>method</w:t>
      </w:r>
    </w:p>
    <w:p w14:paraId="09DB3675" w14:textId="77777777" w:rsidR="0008598A" w:rsidRPr="00491BD1" w:rsidRDefault="00491BD1" w:rsidP="00E76F61">
      <w:pPr>
        <w:pStyle w:val="MDPI13authornames"/>
        <w:rPr>
          <w:lang w:val="it-IT"/>
        </w:rPr>
      </w:pPr>
      <w:r w:rsidRPr="00E76F61">
        <w:rPr>
          <w:lang w:val="it-IT"/>
        </w:rPr>
        <w:t>Andrea Brizzolari</w:t>
      </w:r>
      <w:r w:rsidR="00522304" w:rsidRPr="00E76F61">
        <w:rPr>
          <w:lang w:val="it-IT"/>
        </w:rPr>
        <w:t xml:space="preserve"> </w:t>
      </w:r>
      <w:r w:rsidR="00522304" w:rsidRPr="00E76F61">
        <w:rPr>
          <w:vertAlign w:val="superscript"/>
          <w:lang w:val="it-IT"/>
        </w:rPr>
        <w:t>1</w:t>
      </w:r>
      <w:r w:rsidRPr="00E76F61">
        <w:rPr>
          <w:vertAlign w:val="superscript"/>
          <w:lang w:val="it-IT"/>
        </w:rPr>
        <w:t>,2</w:t>
      </w:r>
      <w:r w:rsidRPr="00E76F61">
        <w:rPr>
          <w:lang w:val="it-IT"/>
        </w:rPr>
        <w:t xml:space="preserve">, </w:t>
      </w:r>
      <w:r w:rsidR="00FF57D0" w:rsidRPr="00E76F61">
        <w:rPr>
          <w:lang w:val="it-IT"/>
        </w:rPr>
        <w:t>Gerardo Bosco</w:t>
      </w:r>
      <w:r w:rsidR="00FF57D0" w:rsidRPr="00E76F61">
        <w:rPr>
          <w:vertAlign w:val="superscript"/>
          <w:lang w:val="it-IT"/>
        </w:rPr>
        <w:t>1</w:t>
      </w:r>
      <w:r w:rsidR="00FF57D0" w:rsidRPr="00E76F61">
        <w:rPr>
          <w:lang w:val="it-IT"/>
        </w:rPr>
        <w:t xml:space="preserve">*, </w:t>
      </w:r>
      <w:r w:rsidRPr="00E76F61">
        <w:rPr>
          <w:lang w:val="it-IT"/>
        </w:rPr>
        <w:t>Alessandra Vezzoli</w:t>
      </w:r>
      <w:r w:rsidR="00522304" w:rsidRPr="00E76F61">
        <w:rPr>
          <w:lang w:val="it-IT"/>
        </w:rPr>
        <w:t xml:space="preserve"> </w:t>
      </w:r>
      <w:r w:rsidRPr="00E76F61">
        <w:rPr>
          <w:vertAlign w:val="superscript"/>
          <w:lang w:val="it-IT"/>
        </w:rPr>
        <w:t>3</w:t>
      </w:r>
      <w:r w:rsidRPr="00E76F61">
        <w:rPr>
          <w:lang w:val="it-IT"/>
        </w:rPr>
        <w:t>, Cinzia Dellanoce</w:t>
      </w:r>
      <w:r w:rsidRPr="00E76F61">
        <w:rPr>
          <w:vertAlign w:val="superscript"/>
          <w:lang w:val="it-IT"/>
        </w:rPr>
        <w:t>3</w:t>
      </w:r>
      <w:r w:rsidRPr="00E76F61">
        <w:rPr>
          <w:lang w:val="it-IT"/>
        </w:rPr>
        <w:t>, Alessandra Barassi</w:t>
      </w:r>
      <w:r w:rsidRPr="00E76F61">
        <w:rPr>
          <w:vertAlign w:val="superscript"/>
          <w:lang w:val="it-IT"/>
        </w:rPr>
        <w:t>4</w:t>
      </w:r>
      <w:r w:rsidRPr="00E76F61">
        <w:rPr>
          <w:lang w:val="it-IT"/>
        </w:rPr>
        <w:t>, Matteo</w:t>
      </w:r>
      <w:r>
        <w:rPr>
          <w:lang w:val="it-IT"/>
        </w:rPr>
        <w:t xml:space="preserve"> Paganini</w:t>
      </w:r>
      <w:r>
        <w:rPr>
          <w:vertAlign w:val="superscript"/>
          <w:lang w:val="it-IT"/>
        </w:rPr>
        <w:t>1</w:t>
      </w:r>
      <w:r>
        <w:rPr>
          <w:lang w:val="it-IT"/>
        </w:rPr>
        <w:t>, Danilo Cialoni</w:t>
      </w:r>
      <w:r>
        <w:rPr>
          <w:vertAlign w:val="superscript"/>
          <w:lang w:val="it-IT"/>
        </w:rPr>
        <w:t>1,2</w:t>
      </w:r>
      <w:r>
        <w:rPr>
          <w:lang w:val="it-IT"/>
        </w:rPr>
        <w:t xml:space="preserve"> and Simona Mrakic-Sposta</w:t>
      </w:r>
      <w:r>
        <w:rPr>
          <w:vertAlign w:val="superscript"/>
          <w:lang w:val="it-IT"/>
        </w:rPr>
        <w:t>3</w:t>
      </w:r>
      <w:r w:rsidR="00522304" w:rsidRPr="00491BD1">
        <w:rPr>
          <w:lang w:val="it-IT"/>
        </w:rPr>
        <w:t>*</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08598A" w:rsidRPr="006331AD" w14:paraId="58EE8FBF" w14:textId="77777777" w:rsidTr="00EF4B1A">
        <w:tc>
          <w:tcPr>
            <w:tcW w:w="2410" w:type="dxa"/>
            <w:shd w:val="clear" w:color="auto" w:fill="auto"/>
          </w:tcPr>
          <w:p w14:paraId="39C4EC56" w14:textId="77777777" w:rsidR="0008598A" w:rsidRPr="00E4528C" w:rsidRDefault="0008598A" w:rsidP="00EF4B1A">
            <w:pPr>
              <w:pStyle w:val="MDPI61Citation"/>
              <w:spacing w:after="120" w:line="240" w:lineRule="exact"/>
            </w:pPr>
            <w:r w:rsidRPr="00183AB8">
              <w:rPr>
                <w:b/>
              </w:rPr>
              <w:t>Citation:</w:t>
            </w:r>
            <w:r>
              <w:rPr>
                <w:b/>
              </w:rPr>
              <w:t xml:space="preserve"> </w:t>
            </w:r>
            <w:r>
              <w:t>To be added by editorial staff during production.</w:t>
            </w:r>
          </w:p>
          <w:p w14:paraId="52AB842B" w14:textId="77777777" w:rsidR="0008598A" w:rsidRDefault="0008598A" w:rsidP="00EF4B1A">
            <w:pPr>
              <w:pStyle w:val="MDPI14history"/>
              <w:spacing w:before="120" w:after="120"/>
              <w:rPr>
                <w:rFonts w:ascii="SimSun" w:eastAsia="SimSun" w:hAnsi="SimSun" w:cs="SimSun"/>
                <w:lang w:eastAsia="zh-CN"/>
              </w:rPr>
            </w:pPr>
            <w:r>
              <w:t xml:space="preserve">Academic Editor: </w:t>
            </w:r>
            <w:r w:rsidRPr="00562097">
              <w:t>Firstname Lastname</w:t>
            </w:r>
          </w:p>
          <w:p w14:paraId="18FA592A" w14:textId="77777777" w:rsidR="0008598A" w:rsidRPr="00D30D71" w:rsidRDefault="0008598A" w:rsidP="00EF4B1A">
            <w:pPr>
              <w:pStyle w:val="MDPI14history"/>
              <w:spacing w:before="120"/>
              <w:rPr>
                <w:rFonts w:ascii="SimSun" w:eastAsia="SimSun" w:hAnsi="SimSun" w:cs="SimSun"/>
              </w:rPr>
            </w:pPr>
            <w:r w:rsidRPr="00550626">
              <w:rPr>
                <w:szCs w:val="14"/>
              </w:rPr>
              <w:t xml:space="preserve">Received: </w:t>
            </w:r>
            <w:r w:rsidRPr="00D945EC">
              <w:rPr>
                <w:szCs w:val="14"/>
              </w:rPr>
              <w:t>date</w:t>
            </w:r>
          </w:p>
          <w:p w14:paraId="573B572E" w14:textId="77777777" w:rsidR="0008598A" w:rsidRDefault="0008598A" w:rsidP="00EF4B1A">
            <w:pPr>
              <w:pStyle w:val="MDPI14history"/>
              <w:rPr>
                <w:szCs w:val="14"/>
              </w:rPr>
            </w:pPr>
            <w:r>
              <w:rPr>
                <w:szCs w:val="14"/>
              </w:rPr>
              <w:t>Revised: date</w:t>
            </w:r>
          </w:p>
          <w:p w14:paraId="1A8C5F06" w14:textId="77777777" w:rsidR="0008598A" w:rsidRPr="00550626" w:rsidRDefault="0008598A" w:rsidP="00EF4B1A">
            <w:pPr>
              <w:pStyle w:val="MDPI14history"/>
              <w:rPr>
                <w:szCs w:val="14"/>
              </w:rPr>
            </w:pPr>
            <w:r>
              <w:rPr>
                <w:szCs w:val="14"/>
              </w:rPr>
              <w:t>Accepted: date</w:t>
            </w:r>
          </w:p>
          <w:p w14:paraId="16261E75" w14:textId="77777777" w:rsidR="0008598A" w:rsidRPr="00550626" w:rsidRDefault="0008598A" w:rsidP="00EF4B1A">
            <w:pPr>
              <w:pStyle w:val="MDPI14history"/>
              <w:spacing w:after="120"/>
              <w:rPr>
                <w:szCs w:val="14"/>
              </w:rPr>
            </w:pPr>
            <w:r w:rsidRPr="00550626">
              <w:rPr>
                <w:szCs w:val="14"/>
              </w:rPr>
              <w:t xml:space="preserve">Published: </w:t>
            </w:r>
            <w:r w:rsidRPr="00D945EC">
              <w:rPr>
                <w:szCs w:val="14"/>
              </w:rPr>
              <w:t>date</w:t>
            </w:r>
          </w:p>
          <w:p w14:paraId="4F6B2799" w14:textId="77777777" w:rsidR="0008598A" w:rsidRPr="006331AD" w:rsidRDefault="0008598A" w:rsidP="00EF4B1A">
            <w:pPr>
              <w:adjustRightInd w:val="0"/>
              <w:snapToGrid w:val="0"/>
              <w:spacing w:before="120" w:line="240" w:lineRule="atLeast"/>
              <w:ind w:right="113"/>
              <w:jc w:val="left"/>
              <w:rPr>
                <w:rFonts w:eastAsia="DengXian"/>
                <w:bCs/>
                <w:sz w:val="14"/>
                <w:szCs w:val="14"/>
                <w:lang w:bidi="en-US"/>
              </w:rPr>
            </w:pPr>
            <w:r w:rsidRPr="006331AD">
              <w:rPr>
                <w:rFonts w:eastAsia="DengXian"/>
                <w:lang w:val="it-IT" w:eastAsia="it-IT"/>
              </w:rPr>
              <w:drawing>
                <wp:inline distT="0" distB="0" distL="0" distR="0" wp14:anchorId="5D1B21C9" wp14:editId="74EC13D4">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5CDB0228" w14:textId="77777777" w:rsidR="0008598A" w:rsidRPr="006331AD" w:rsidRDefault="0008598A" w:rsidP="00EF4B1A">
            <w:pPr>
              <w:adjustRightInd w:val="0"/>
              <w:snapToGrid w:val="0"/>
              <w:spacing w:before="60" w:line="240" w:lineRule="atLeast"/>
              <w:ind w:right="113"/>
              <w:rPr>
                <w:rFonts w:eastAsia="DengXian"/>
                <w:bCs/>
                <w:sz w:val="14"/>
                <w:szCs w:val="14"/>
                <w:lang w:bidi="en-US"/>
              </w:rPr>
            </w:pPr>
            <w:r w:rsidRPr="006331AD">
              <w:rPr>
                <w:rFonts w:eastAsia="DengXian"/>
                <w:b/>
                <w:bCs/>
                <w:sz w:val="14"/>
                <w:szCs w:val="14"/>
                <w:lang w:bidi="en-US"/>
              </w:rPr>
              <w:t>Copyright:</w:t>
            </w:r>
            <w:r w:rsidRPr="006331AD">
              <w:rPr>
                <w:rFonts w:eastAsia="DengXian"/>
                <w:bCs/>
                <w:sz w:val="14"/>
                <w:szCs w:val="14"/>
                <w:lang w:bidi="en-US"/>
              </w:rPr>
              <w:t xml:space="preserve"> </w:t>
            </w:r>
            <w:r>
              <w:rPr>
                <w:rFonts w:eastAsia="DengXian"/>
                <w:bCs/>
                <w:sz w:val="14"/>
                <w:szCs w:val="14"/>
                <w:lang w:bidi="en-US"/>
              </w:rPr>
              <w:t>© 2022</w:t>
            </w:r>
            <w:r w:rsidRPr="006331AD">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6331AD">
              <w:rPr>
                <w:rFonts w:eastAsia="DengXian"/>
                <w:bCs/>
                <w:sz w:val="14"/>
                <w:szCs w:val="14"/>
                <w:lang w:bidi="en-US"/>
              </w:rPr>
              <w:t>Attribution (CC BY) license (</w:t>
            </w:r>
            <w:r>
              <w:rPr>
                <w:rFonts w:eastAsia="DengXian"/>
                <w:bCs/>
                <w:sz w:val="14"/>
                <w:szCs w:val="14"/>
                <w:lang w:bidi="en-US"/>
              </w:rPr>
              <w:t>https://</w:t>
            </w:r>
            <w:r w:rsidRPr="006331AD">
              <w:rPr>
                <w:rFonts w:eastAsia="DengXian"/>
                <w:bCs/>
                <w:sz w:val="14"/>
                <w:szCs w:val="14"/>
                <w:lang w:bidi="en-US"/>
              </w:rPr>
              <w:t>creativecommons.org/licenses/by/4.0/).</w:t>
            </w:r>
          </w:p>
        </w:tc>
      </w:tr>
    </w:tbl>
    <w:p w14:paraId="530D7CB6" w14:textId="77777777" w:rsidR="00522304" w:rsidRPr="00491BD1" w:rsidRDefault="00B670B5" w:rsidP="00E76F61">
      <w:pPr>
        <w:pStyle w:val="MDPI16affiliation"/>
      </w:pPr>
      <w:r w:rsidRPr="00E76F61">
        <w:rPr>
          <w:vertAlign w:val="superscript"/>
        </w:rPr>
        <w:t>1</w:t>
      </w:r>
      <w:r w:rsidR="00491BD1" w:rsidRPr="00E76F61">
        <w:tab/>
      </w:r>
      <w:r w:rsidR="00491BD1" w:rsidRPr="00491BD1">
        <w:t>Environmental Physiology and Medicine Laboratory, Department of Biomedical Sciences, University of Padova, Padova, Italy.</w:t>
      </w:r>
      <w:r w:rsidR="00491BD1">
        <w:t xml:space="preserve">; </w:t>
      </w:r>
      <w:r w:rsidR="008C1D4B" w:rsidRPr="00E76F61">
        <w:rPr>
          <w:rStyle w:val="Collegamentoipertestuale"/>
        </w:rPr>
        <w:t>andrea.brizzolari@unipd.it</w:t>
      </w:r>
      <w:r w:rsidR="008C1D4B">
        <w:t xml:space="preserve"> </w:t>
      </w:r>
      <w:r w:rsidR="00491BD1">
        <w:t xml:space="preserve">(A.B.); </w:t>
      </w:r>
      <w:r w:rsidR="00491BD1" w:rsidRPr="00E76F61">
        <w:rPr>
          <w:rStyle w:val="Collegamentoipertestuale"/>
        </w:rPr>
        <w:t>matteo.paganini@unipd.it</w:t>
      </w:r>
      <w:r w:rsidR="00491BD1">
        <w:t xml:space="preserve"> (M.P.); </w:t>
      </w:r>
      <w:r w:rsidR="00491BD1" w:rsidRPr="00E76F61">
        <w:rPr>
          <w:rStyle w:val="Collegamentoipertestuale"/>
        </w:rPr>
        <w:t>gerardo.bosco@unipd.it</w:t>
      </w:r>
      <w:r w:rsidR="00491BD1">
        <w:t xml:space="preserve"> (G.B.). </w:t>
      </w:r>
    </w:p>
    <w:p w14:paraId="4776224A" w14:textId="77777777" w:rsidR="00522304" w:rsidRPr="007E3DD2" w:rsidRDefault="00522304" w:rsidP="00E76F61">
      <w:pPr>
        <w:pStyle w:val="MDPI16affiliation"/>
      </w:pPr>
      <w:r w:rsidRPr="00E76F61">
        <w:rPr>
          <w:vertAlign w:val="superscript"/>
        </w:rPr>
        <w:t>2</w:t>
      </w:r>
      <w:r w:rsidR="00491BD1" w:rsidRPr="00E76F61">
        <w:tab/>
      </w:r>
      <w:r w:rsidR="00491BD1" w:rsidRPr="007E3DD2">
        <w:t>DAN Europe Research Division,</w:t>
      </w:r>
      <w:r w:rsidR="007E3DD2" w:rsidRPr="007E3DD2">
        <w:t xml:space="preserve"> 64026</w:t>
      </w:r>
      <w:r w:rsidR="00491BD1" w:rsidRPr="007E3DD2">
        <w:t xml:space="preserve"> Roseto degli Abruzzi, Italy.; </w:t>
      </w:r>
      <w:r w:rsidR="00491BD1" w:rsidRPr="00E76F61">
        <w:rPr>
          <w:rStyle w:val="Collegamentoipertestuale"/>
        </w:rPr>
        <w:t>dcialoni@daneurope.org</w:t>
      </w:r>
      <w:r w:rsidR="00491BD1" w:rsidRPr="007E3DD2">
        <w:t xml:space="preserve"> (D.C.).</w:t>
      </w:r>
    </w:p>
    <w:p w14:paraId="1A0E585D" w14:textId="77777777" w:rsidR="007E3DD2" w:rsidRDefault="00491BD1" w:rsidP="00E76F61">
      <w:pPr>
        <w:pStyle w:val="MDPI16affiliation"/>
      </w:pPr>
      <w:r w:rsidRPr="00E76F61">
        <w:rPr>
          <w:vertAlign w:val="superscript"/>
        </w:rPr>
        <w:t>3</w:t>
      </w:r>
      <w:r w:rsidR="007E3DD2" w:rsidRPr="00E76F61">
        <w:tab/>
      </w:r>
      <w:r w:rsidR="007E3DD2">
        <w:t>Institute of Clinical Physiology, National Research Council (IFC-CNR), Piazza dell’Ospedale Maggiore, 3,</w:t>
      </w:r>
    </w:p>
    <w:p w14:paraId="33609558" w14:textId="77777777" w:rsidR="00491BD1" w:rsidRDefault="007E3DD2" w:rsidP="00E76F61">
      <w:pPr>
        <w:pStyle w:val="MDPI16affiliation"/>
        <w:ind w:left="2608" w:firstLine="0"/>
      </w:pPr>
      <w:r>
        <w:t xml:space="preserve">  20162 Milan, Italy</w:t>
      </w:r>
      <w:r w:rsidR="00491BD1" w:rsidRPr="00491BD1">
        <w:t>;</w:t>
      </w:r>
      <w:r>
        <w:t xml:space="preserve"> </w:t>
      </w:r>
      <w:r w:rsidRPr="00E76F61">
        <w:rPr>
          <w:rStyle w:val="Collegamentoipertestuale"/>
        </w:rPr>
        <w:t>alessandra.vezzoli@cnr.it</w:t>
      </w:r>
      <w:r>
        <w:t xml:space="preserve"> (A.V.); </w:t>
      </w:r>
      <w:r w:rsidRPr="00E76F61">
        <w:rPr>
          <w:rStyle w:val="Collegamentoipertestuale"/>
        </w:rPr>
        <w:t>cinzia.dellanoce@ifc.cnr.it</w:t>
      </w:r>
      <w:r>
        <w:t xml:space="preserve"> (C.D.)</w:t>
      </w:r>
    </w:p>
    <w:p w14:paraId="1B4E153B" w14:textId="77777777" w:rsidR="00491BD1" w:rsidRPr="00D945EC" w:rsidRDefault="00491BD1" w:rsidP="00E76F61">
      <w:pPr>
        <w:pStyle w:val="MDPI16affiliation"/>
      </w:pPr>
      <w:r w:rsidRPr="00E76F61">
        <w:rPr>
          <w:vertAlign w:val="superscript"/>
        </w:rPr>
        <w:t>4</w:t>
      </w:r>
      <w:r w:rsidR="007E3DD2" w:rsidRPr="00E76F61">
        <w:tab/>
      </w:r>
      <w:r w:rsidR="007E3DD2" w:rsidRPr="007E3DD2">
        <w:t xml:space="preserve">Department of Health Sciences, Università degli Studi of Milan, </w:t>
      </w:r>
      <w:r w:rsidR="007E3DD2">
        <w:t>20142</w:t>
      </w:r>
      <w:r w:rsidR="007E3DD2" w:rsidRPr="007E3DD2">
        <w:t>Milan, Italy.</w:t>
      </w:r>
      <w:r w:rsidR="007E3DD2">
        <w:t xml:space="preserve">; </w:t>
      </w:r>
      <w:r w:rsidR="007E3DD2" w:rsidRPr="00E76F61">
        <w:rPr>
          <w:rStyle w:val="Collegamentoipertestuale"/>
        </w:rPr>
        <w:t>alessandra.barassi@unimi.it</w:t>
      </w:r>
      <w:r w:rsidR="007E3DD2">
        <w:t xml:space="preserve"> (A.Ba). </w:t>
      </w:r>
    </w:p>
    <w:p w14:paraId="1D913E1F" w14:textId="77777777" w:rsidR="00522304" w:rsidRPr="007E3DD2" w:rsidRDefault="00E76F61" w:rsidP="00E76F61">
      <w:pPr>
        <w:pStyle w:val="MDPI16affiliation"/>
        <w:rPr>
          <w:lang w:val="it-IT"/>
        </w:rPr>
      </w:pPr>
      <w:r w:rsidRPr="00E76F61">
        <w:rPr>
          <w:b/>
          <w:lang w:val="it-IT"/>
        </w:rPr>
        <w:t>*</w:t>
      </w:r>
      <w:r w:rsidRPr="00E76F61">
        <w:rPr>
          <w:lang w:val="it-IT"/>
        </w:rPr>
        <w:tab/>
        <w:t xml:space="preserve">Correspondence: </w:t>
      </w:r>
      <w:r w:rsidR="007E3DD2" w:rsidRPr="007E3DD2">
        <w:rPr>
          <w:lang w:val="it-IT"/>
        </w:rPr>
        <w:t>Simona Mrakic-Sposta</w:t>
      </w:r>
      <w:r w:rsidR="007E3DD2">
        <w:rPr>
          <w:lang w:val="it-IT"/>
        </w:rPr>
        <w:t xml:space="preserve">; </w:t>
      </w:r>
      <w:r w:rsidR="007E3DD2" w:rsidRPr="00E76F61">
        <w:rPr>
          <w:rStyle w:val="Collegamentoipertestuale"/>
          <w:lang w:val="it-IT"/>
        </w:rPr>
        <w:t>simona.mrakicsposta@cnr.it</w:t>
      </w:r>
      <w:r w:rsidR="007E3DD2">
        <w:rPr>
          <w:lang w:val="it-IT"/>
        </w:rPr>
        <w:t xml:space="preserve"> (S.M.-S.)</w:t>
      </w:r>
      <w:r w:rsidR="002D0416">
        <w:rPr>
          <w:lang w:val="it-IT"/>
        </w:rPr>
        <w:t xml:space="preserve"> and Gerardo Bosco </w:t>
      </w:r>
      <w:r w:rsidR="002D0416" w:rsidRPr="00E76F61">
        <w:rPr>
          <w:rStyle w:val="Collegamentoipertestuale"/>
          <w:lang w:val="it-IT"/>
        </w:rPr>
        <w:t>gerardo.bosco@unipd.it</w:t>
      </w:r>
    </w:p>
    <w:p w14:paraId="6808DBE3" w14:textId="77777777" w:rsidR="007F48B4" w:rsidRPr="00AF177B" w:rsidRDefault="007F48B4" w:rsidP="00E76F61">
      <w:pPr>
        <w:pStyle w:val="MDPI17abstract"/>
      </w:pPr>
      <w:r w:rsidRPr="00E76F61">
        <w:rPr>
          <w:b/>
        </w:rPr>
        <w:t xml:space="preserve">Abstract: </w:t>
      </w:r>
      <w:r w:rsidRPr="00362EE9">
        <w:t xml:space="preserve">Freeskiing is performed in an extreme environment with significant physical effort that can induce reactive oxygen </w:t>
      </w:r>
      <w:r w:rsidRPr="00AF177B">
        <w:t>species (ROS) generation and dehydration. This study aimed to investigate the evolution of the oxy-inflammation and hydration status during a freeskiing training season with non-invasive methods. Eight trained freeskiers were investigated during a season training: T0 (beginning), T1-T3 (training session</w:t>
      </w:r>
      <w:r w:rsidR="006D4AEB" w:rsidRPr="00AF177B">
        <w:t>s</w:t>
      </w:r>
      <w:r w:rsidRPr="00AF177B">
        <w:t xml:space="preserve">) and T4 (after the end). </w:t>
      </w:r>
      <w:r w:rsidRPr="00E71CF7">
        <w:rPr>
          <w:strike/>
          <w:highlight w:val="yellow"/>
        </w:rPr>
        <w:t>Blood</w:t>
      </w:r>
      <w:r w:rsidRPr="00AF177B">
        <w:t xml:space="preserve"> </w:t>
      </w:r>
      <w:r w:rsidR="00E71CF7" w:rsidRPr="00E71CF7">
        <w:rPr>
          <w:color w:val="FF0000"/>
        </w:rPr>
        <w:t>Urine</w:t>
      </w:r>
      <w:r w:rsidR="00E71CF7">
        <w:t xml:space="preserve"> </w:t>
      </w:r>
      <w:r w:rsidRPr="00AF177B">
        <w:t>and saliva were collected at T0, before (A) and after (B) T1-T3 and at T4. ROS, total antoxidant capacity (TAC), interleukin-6 (IL-6), nitric oxide (NO) derivatives, neopterin and electrolyte</w:t>
      </w:r>
      <w:r w:rsidR="006D4AEB" w:rsidRPr="00AF177B">
        <w:t>s</w:t>
      </w:r>
      <w:r w:rsidRPr="00AF177B">
        <w:t xml:space="preserve"> balance changes were investigated. We found significant increase in ROS generation (T1A-B +71%; T2A-B +65%; T3A-B +49%; p&lt;0.05-0.01) and IL-6 (T2A-B +112%; T3A-B +133%; p&lt;0.01). We did not observe significant variation of TAC and NOx after training sessions. Furthermore, ROS and IL-6 showed statistically significant difference between T0 and T4 (ROS + 48%, IL-6 + 86%; p&lt;0.05). Freeskiing induced an increase of ROS production</w:t>
      </w:r>
      <w:r w:rsidR="006D4AEB" w:rsidRPr="00AF177B">
        <w:t>,</w:t>
      </w:r>
      <w:r w:rsidRPr="00AF177B">
        <w:t xml:space="preserve"> that can be contained by antioxidant defense activation</w:t>
      </w:r>
      <w:r w:rsidR="006D4AEB" w:rsidRPr="00AF177B">
        <w:t>,</w:t>
      </w:r>
      <w:r w:rsidRPr="00AF177B">
        <w:t xml:space="preserve"> </w:t>
      </w:r>
      <w:r w:rsidR="006D4AEB" w:rsidRPr="00AF177B">
        <w:t xml:space="preserve">and of </w:t>
      </w:r>
      <w:r w:rsidRPr="00AF177B">
        <w:t>IL-6 as consequence of physical activity and skeletal muscular contraction. We did not find deep changes in electrolyte</w:t>
      </w:r>
      <w:r w:rsidR="006D4AEB" w:rsidRPr="00AF177B">
        <w:t>s</w:t>
      </w:r>
      <w:r w:rsidRPr="00AF177B">
        <w:t xml:space="preserve"> balance, probably because all </w:t>
      </w:r>
      <w:r w:rsidR="006D4AEB" w:rsidRPr="00AF177B">
        <w:t xml:space="preserve">freeskiers </w:t>
      </w:r>
      <w:r w:rsidRPr="00AF177B">
        <w:t>were well trained and very experienced.</w:t>
      </w:r>
    </w:p>
    <w:p w14:paraId="36E88F3F" w14:textId="77777777" w:rsidR="00522304" w:rsidRDefault="00E76F61" w:rsidP="00E76F61">
      <w:pPr>
        <w:pStyle w:val="MDPI18keywords"/>
      </w:pPr>
      <w:r w:rsidRPr="00E76F61">
        <w:rPr>
          <w:b/>
        </w:rPr>
        <w:t>Keywords:</w:t>
      </w:r>
      <w:r w:rsidR="00522304" w:rsidRPr="00E76F61">
        <w:rPr>
          <w:b/>
        </w:rPr>
        <w:t xml:space="preserve"> </w:t>
      </w:r>
      <w:r w:rsidR="00EC670A" w:rsidRPr="00AF177B">
        <w:t>oxida</w:t>
      </w:r>
      <w:r w:rsidR="00EC670A" w:rsidRPr="00E76F61">
        <w:t>tive stress</w:t>
      </w:r>
      <w:r w:rsidRPr="00E76F61">
        <w:t xml:space="preserve">; </w:t>
      </w:r>
      <w:r w:rsidR="00EC670A" w:rsidRPr="00E76F61">
        <w:t>inflammation</w:t>
      </w:r>
      <w:r w:rsidRPr="00E76F61">
        <w:t xml:space="preserve">; </w:t>
      </w:r>
      <w:r w:rsidR="00EC670A" w:rsidRPr="00E76F61">
        <w:t>saliva</w:t>
      </w:r>
      <w:r w:rsidRPr="00E76F61">
        <w:t xml:space="preserve">; </w:t>
      </w:r>
      <w:r w:rsidR="00EC670A" w:rsidRPr="00E76F61">
        <w:t>urine</w:t>
      </w:r>
      <w:r w:rsidRPr="00E76F61">
        <w:t xml:space="preserve">; </w:t>
      </w:r>
      <w:r w:rsidR="00EC670A" w:rsidRPr="00E76F61">
        <w:t>mountain</w:t>
      </w:r>
      <w:r w:rsidRPr="00E76F61">
        <w:t xml:space="preserve">; </w:t>
      </w:r>
      <w:r w:rsidR="00EC670A" w:rsidRPr="00E76F61">
        <w:t>skiing</w:t>
      </w:r>
      <w:r w:rsidRPr="00E76F61">
        <w:t xml:space="preserve">; </w:t>
      </w:r>
      <w:r w:rsidR="00A05D35" w:rsidRPr="00E76F61">
        <w:t>training</w:t>
      </w:r>
      <w:r w:rsidRPr="00E76F61">
        <w:t xml:space="preserve">; </w:t>
      </w:r>
      <w:r w:rsidR="00B209C2" w:rsidRPr="00E76F61">
        <w:t>electron paramagnetic resonance</w:t>
      </w:r>
    </w:p>
    <w:p w14:paraId="12CC406D" w14:textId="77777777" w:rsidR="00EC670A" w:rsidRPr="00EC670A" w:rsidRDefault="00EC670A" w:rsidP="00E76F61">
      <w:pPr>
        <w:pStyle w:val="MDPI19line"/>
      </w:pPr>
    </w:p>
    <w:p w14:paraId="40D05596" w14:textId="77777777" w:rsidR="00522304" w:rsidRDefault="00E76F61" w:rsidP="00E76F61">
      <w:pPr>
        <w:pStyle w:val="MDPI21heading1"/>
      </w:pPr>
      <w:r>
        <w:t xml:space="preserve">1. </w:t>
      </w:r>
      <w:r w:rsidR="00522304" w:rsidRPr="007F2582">
        <w:t>Introduction</w:t>
      </w:r>
    </w:p>
    <w:p w14:paraId="137039FB" w14:textId="7143AB30" w:rsidR="00D7746E" w:rsidRDefault="00D7746E" w:rsidP="00B25A6E">
      <w:pPr>
        <w:pStyle w:val="MDPI31text"/>
      </w:pPr>
      <w:r>
        <w:t xml:space="preserve">Freeskiing is a specific type of alpine skiing, </w:t>
      </w:r>
      <w:r w:rsidR="00E718C6" w:rsidRPr="00E718C6">
        <w:rPr>
          <w:color w:val="FF0000"/>
        </w:rPr>
        <w:t>where athletes</w:t>
      </w:r>
      <w:r w:rsidR="00E718C6">
        <w:t xml:space="preserve"> </w:t>
      </w:r>
      <w:r w:rsidRPr="00E718C6">
        <w:rPr>
          <w:strike/>
          <w:highlight w:val="yellow"/>
        </w:rPr>
        <w:t>which involves tricks, jumps, and terrain park features, such as rails, boxes, jibs, or other obstacles</w:t>
      </w:r>
      <w:r>
        <w:t xml:space="preserve">. </w:t>
      </w:r>
      <w:r w:rsidRPr="00E718C6">
        <w:rPr>
          <w:strike/>
          <w:highlight w:val="yellow"/>
        </w:rPr>
        <w:t>During training sessions,</w:t>
      </w:r>
      <w:r w:rsidRPr="00E718C6">
        <w:rPr>
          <w:highlight w:val="yellow"/>
        </w:rPr>
        <w:t xml:space="preserve"> </w:t>
      </w:r>
      <w:r w:rsidR="007E729E" w:rsidRPr="00E718C6">
        <w:rPr>
          <w:strike/>
          <w:highlight w:val="yellow"/>
        </w:rPr>
        <w:t>F</w:t>
      </w:r>
      <w:r w:rsidRPr="00E718C6">
        <w:rPr>
          <w:strike/>
          <w:highlight w:val="yellow"/>
        </w:rPr>
        <w:t xml:space="preserve">reeskiers </w:t>
      </w:r>
      <w:r w:rsidRPr="00E718C6">
        <w:t xml:space="preserve">twist and throw the bodyweight in addition to the weight of the equipment leading to a rapid transition of the leg tension that propels the athletes and allows for tricks and rotations in vertical and horizontal planes of rotations </w:t>
      </w:r>
      <w:r>
        <w:t xml:space="preserve">[1].  </w:t>
      </w:r>
      <w:r w:rsidRPr="00BB0884">
        <w:rPr>
          <w:strike/>
          <w:highlight w:val="yellow"/>
        </w:rPr>
        <w:t>ROS effects in athletes range from antioxidant metabolism, abnormal uric acid release, generation of lipid peroxidation products to macromolecules damage [8-10].</w:t>
      </w:r>
      <w:r w:rsidRPr="00404826">
        <w:rPr>
          <w:strike/>
        </w:rPr>
        <w:t xml:space="preserve"> </w:t>
      </w:r>
      <w:r>
        <w:t xml:space="preserve">Physical exercise is a well-known </w:t>
      </w:r>
      <w:r w:rsidRPr="001868BB">
        <w:t xml:space="preserve">source of </w:t>
      </w:r>
      <w:r w:rsidR="00955D1E" w:rsidRPr="001868BB">
        <w:rPr>
          <w:color w:val="FF0000"/>
        </w:rPr>
        <w:t>reactive oxygen species (</w:t>
      </w:r>
      <w:r w:rsidR="00E718C6" w:rsidRPr="001868BB">
        <w:rPr>
          <w:color w:val="FF0000"/>
        </w:rPr>
        <w:t>ROS)</w:t>
      </w:r>
      <w:r w:rsidR="00E718C6" w:rsidRPr="001868BB">
        <w:t xml:space="preserve"> in</w:t>
      </w:r>
      <w:r>
        <w:t xml:space="preserve"> response to raised O</w:t>
      </w:r>
      <w:r w:rsidRPr="00D7746E">
        <w:rPr>
          <w:vertAlign w:val="subscript"/>
        </w:rPr>
        <w:t>2</w:t>
      </w:r>
      <w:r>
        <w:t xml:space="preserve"> utilization to sustain the effort [</w:t>
      </w:r>
      <w:r w:rsidRPr="00163817">
        <w:rPr>
          <w:strike/>
          <w:highlight w:val="yellow"/>
        </w:rPr>
        <w:t>12</w:t>
      </w:r>
      <w:r>
        <w:t>], especially in skeletal muscles and to a lesser extend in several tissues including heart, lungs or blood [</w:t>
      </w:r>
      <w:r w:rsidRPr="00FE193C">
        <w:rPr>
          <w:strike/>
          <w:highlight w:val="yellow"/>
        </w:rPr>
        <w:t>13</w:t>
      </w:r>
      <w:r w:rsidR="00613162">
        <w:t xml:space="preserve"> </w:t>
      </w:r>
      <w:r w:rsidR="00613162" w:rsidRPr="00FE193C">
        <w:rPr>
          <w:color w:val="FF0000"/>
        </w:rPr>
        <w:t>2</w:t>
      </w:r>
      <w:r>
        <w:t xml:space="preserve">]. </w:t>
      </w:r>
      <w:r w:rsidR="00B53266">
        <w:t>ROS play a key role in the modulation of cell redox status, signaling processes, and are involved in the regulation of several patho-physiological mechanisms [</w:t>
      </w:r>
      <w:r w:rsidR="00B53266" w:rsidRPr="002E2C5D">
        <w:rPr>
          <w:strike/>
          <w:highlight w:val="yellow"/>
        </w:rPr>
        <w:t>6, 7</w:t>
      </w:r>
      <w:r w:rsidR="00613162">
        <w:t xml:space="preserve"> </w:t>
      </w:r>
      <w:r w:rsidR="00613162" w:rsidRPr="002E2C5D">
        <w:rPr>
          <w:color w:val="FF0000"/>
        </w:rPr>
        <w:t>3,4</w:t>
      </w:r>
      <w:r w:rsidR="00B53266" w:rsidRPr="002E2C5D">
        <w:t>].</w:t>
      </w:r>
      <w:r w:rsidR="00B53266">
        <w:t xml:space="preserve"> </w:t>
      </w:r>
      <w:r w:rsidR="007E729E" w:rsidRPr="00A07BE3">
        <w:rPr>
          <w:color w:val="FF0000"/>
        </w:rPr>
        <w:t>Nevertheless</w:t>
      </w:r>
      <w:r w:rsidR="00E718C6" w:rsidRPr="00A07BE3">
        <w:t>,</w:t>
      </w:r>
      <w:r w:rsidR="007E729E">
        <w:t xml:space="preserve"> a</w:t>
      </w:r>
      <w:r>
        <w:t xml:space="preserve"> prolonged duration as well as a high intensity of endurance training can lead to increased ROS production, possible </w:t>
      </w:r>
      <w:r>
        <w:lastRenderedPageBreak/>
        <w:t>macromolecule damage, and thereby to oxidative stress [</w:t>
      </w:r>
      <w:r w:rsidRPr="002E2C5D">
        <w:rPr>
          <w:strike/>
          <w:highlight w:val="yellow"/>
        </w:rPr>
        <w:t>14-17</w:t>
      </w:r>
      <w:r w:rsidR="00613162">
        <w:t xml:space="preserve"> </w:t>
      </w:r>
      <w:r w:rsidR="00613162" w:rsidRPr="002E2C5D">
        <w:rPr>
          <w:color w:val="FF0000"/>
        </w:rPr>
        <w:t>5</w:t>
      </w:r>
      <w:r w:rsidR="00377AFD">
        <w:rPr>
          <w:color w:val="FF0000"/>
        </w:rPr>
        <w:t>-</w:t>
      </w:r>
      <w:r w:rsidR="00613162" w:rsidRPr="002E2C5D">
        <w:rPr>
          <w:color w:val="FF0000"/>
        </w:rPr>
        <w:t>8</w:t>
      </w:r>
      <w:r w:rsidRPr="002E2C5D">
        <w:t>],</w:t>
      </w:r>
      <w:r>
        <w:t xml:space="preserve"> compromising the efficacy of immune system, and inflammatory response [</w:t>
      </w:r>
      <w:r w:rsidRPr="002E2C5D">
        <w:rPr>
          <w:strike/>
          <w:highlight w:val="yellow"/>
        </w:rPr>
        <w:t>18</w:t>
      </w:r>
      <w:r w:rsidR="00613162">
        <w:t xml:space="preserve"> </w:t>
      </w:r>
      <w:r w:rsidR="00613162" w:rsidRPr="002E2C5D">
        <w:rPr>
          <w:color w:val="FF0000"/>
        </w:rPr>
        <w:t>9</w:t>
      </w:r>
      <w:r w:rsidRPr="002E2C5D">
        <w:t>].</w:t>
      </w:r>
      <w:r>
        <w:t xml:space="preserve"> Furthermore, oxidative stress might induce programmed cell death, typically through intrinsic apoptotic pathways [</w:t>
      </w:r>
      <w:r w:rsidRPr="002E2C5D">
        <w:rPr>
          <w:strike/>
          <w:highlight w:val="yellow"/>
        </w:rPr>
        <w:t>19</w:t>
      </w:r>
      <w:r w:rsidR="00613162">
        <w:t xml:space="preserve"> </w:t>
      </w:r>
      <w:r w:rsidR="00613162" w:rsidRPr="002E2C5D">
        <w:rPr>
          <w:color w:val="FF0000"/>
        </w:rPr>
        <w:t>10</w:t>
      </w:r>
      <w:r w:rsidRPr="002E2C5D">
        <w:t>].</w:t>
      </w:r>
      <w:r w:rsidR="00404826" w:rsidRPr="00404826">
        <w:t xml:space="preserve"> </w:t>
      </w:r>
      <w:r w:rsidR="00404826">
        <w:t xml:space="preserve">These </w:t>
      </w:r>
      <w:r w:rsidR="00404826" w:rsidRPr="00A07BE3">
        <w:rPr>
          <w:color w:val="FF0000"/>
        </w:rPr>
        <w:t>effects can damage the skeletal muscle reducing physical performance [11].</w:t>
      </w:r>
      <w:r w:rsidR="00404826">
        <w:t xml:space="preserve"> </w:t>
      </w:r>
    </w:p>
    <w:p w14:paraId="536D0788" w14:textId="77777777" w:rsidR="00955D1E" w:rsidRDefault="00D7746E" w:rsidP="00E76F61">
      <w:pPr>
        <w:pStyle w:val="MDPI31text"/>
      </w:pPr>
      <w:r>
        <w:t xml:space="preserve">In alpine ski athletes, the imbalance between pro and antioxidant species </w:t>
      </w:r>
      <w:r w:rsidRPr="007E729E">
        <w:rPr>
          <w:strike/>
          <w:highlight w:val="yellow"/>
        </w:rPr>
        <w:t xml:space="preserve">results in an excess of ROS that brings to oxidative stress condition as </w:t>
      </w:r>
      <w:r w:rsidR="00404826" w:rsidRPr="007E729E">
        <w:rPr>
          <w:highlight w:val="yellow"/>
        </w:rPr>
        <w:t>is</w:t>
      </w:r>
      <w:r w:rsidR="00404826">
        <w:t xml:space="preserve"> </w:t>
      </w:r>
      <w:r>
        <w:t>a consequence of the cumulative effect of intensive exercise and hypoxia at moderate altitude [</w:t>
      </w:r>
      <w:r w:rsidRPr="00F40874">
        <w:rPr>
          <w:strike/>
          <w:highlight w:val="yellow"/>
        </w:rPr>
        <w:t>20, 21</w:t>
      </w:r>
      <w:r w:rsidR="00613162">
        <w:t xml:space="preserve"> </w:t>
      </w:r>
      <w:r w:rsidR="00613162" w:rsidRPr="00F40874">
        <w:rPr>
          <w:color w:val="FF0000"/>
        </w:rPr>
        <w:t>12, 13</w:t>
      </w:r>
      <w:r>
        <w:t xml:space="preserve">]. </w:t>
      </w:r>
      <w:r w:rsidRPr="00955D1E">
        <w:rPr>
          <w:strike/>
        </w:rPr>
        <w:t>In ski athletes,</w:t>
      </w:r>
      <w:r>
        <w:t xml:space="preserve"> </w:t>
      </w:r>
      <w:r w:rsidR="007E729E" w:rsidRPr="00E718C6">
        <w:rPr>
          <w:color w:val="FF0000"/>
          <w:highlight w:val="yellow"/>
        </w:rPr>
        <w:t>S</w:t>
      </w:r>
      <w:r>
        <w:t xml:space="preserve">ome authors found the oxidative stress peak during the midseason </w:t>
      </w:r>
      <w:r w:rsidRPr="00F40874">
        <w:rPr>
          <w:strike/>
          <w:highlight w:val="yellow"/>
        </w:rPr>
        <w:t>[22</w:t>
      </w:r>
      <w:r w:rsidR="00613162">
        <w:t xml:space="preserve"> </w:t>
      </w:r>
      <w:r w:rsidR="00613162" w:rsidRPr="00F40874">
        <w:rPr>
          <w:color w:val="FF0000"/>
        </w:rPr>
        <w:t>14</w:t>
      </w:r>
      <w:r w:rsidRPr="00F40874">
        <w:rPr>
          <w:color w:val="FF0000"/>
        </w:rPr>
        <w:t>]</w:t>
      </w:r>
      <w:r>
        <w:t xml:space="preserve"> with an increase of uric acid </w:t>
      </w:r>
      <w:r w:rsidR="0008766B">
        <w:t>and oxidized</w:t>
      </w:r>
      <w:r w:rsidR="00E33704">
        <w:t xml:space="preserve"> low-density lipoproteins (LDL)</w:t>
      </w:r>
      <w:r>
        <w:t xml:space="preserve"> decrease </w:t>
      </w:r>
      <w:r w:rsidRPr="007E729E">
        <w:rPr>
          <w:strike/>
          <w:highlight w:val="yellow"/>
        </w:rPr>
        <w:t xml:space="preserve">that could be definitely expressed as an imbalance between pro and antioxidants in favor of excess ROS </w:t>
      </w:r>
      <w:r w:rsidRPr="00F40874">
        <w:rPr>
          <w:strike/>
          <w:highlight w:val="yellow"/>
        </w:rPr>
        <w:t>production [23</w:t>
      </w:r>
      <w:r w:rsidR="00613162">
        <w:t xml:space="preserve"> </w:t>
      </w:r>
      <w:r w:rsidR="00613162" w:rsidRPr="00F40874">
        <w:rPr>
          <w:color w:val="FF0000"/>
        </w:rPr>
        <w:t>15</w:t>
      </w:r>
      <w:r>
        <w:t xml:space="preserve">]. Besides, ROS production, increase of nitric oxide (NO), a signaling molecule involved in response to acute sessions of exercise </w:t>
      </w:r>
      <w:r w:rsidRPr="00454AD5">
        <w:rPr>
          <w:strike/>
          <w:highlight w:val="yellow"/>
        </w:rPr>
        <w:t>[24, 25]</w:t>
      </w:r>
      <w:r>
        <w:t xml:space="preserve"> to adapt the body to exercise training </w:t>
      </w:r>
      <w:r w:rsidRPr="00454AD5">
        <w:rPr>
          <w:highlight w:val="yellow"/>
        </w:rPr>
        <w:t>[</w:t>
      </w:r>
      <w:r w:rsidRPr="00F40874">
        <w:rPr>
          <w:strike/>
          <w:highlight w:val="yellow"/>
        </w:rPr>
        <w:t>2</w:t>
      </w:r>
      <w:r w:rsidR="00454AD5" w:rsidRPr="00F40874">
        <w:rPr>
          <w:strike/>
          <w:highlight w:val="yellow"/>
        </w:rPr>
        <w:t>4</w:t>
      </w:r>
      <w:r w:rsidR="00613162" w:rsidRPr="00613162">
        <w:t xml:space="preserve"> </w:t>
      </w:r>
      <w:r w:rsidR="00613162" w:rsidRPr="00D4658B">
        <w:rPr>
          <w:color w:val="FF0000"/>
        </w:rPr>
        <w:t>16</w:t>
      </w:r>
      <w:r w:rsidRPr="00D4658B">
        <w:rPr>
          <w:color w:val="FF0000"/>
        </w:rPr>
        <w:t>],</w:t>
      </w:r>
      <w:r>
        <w:t xml:space="preserve"> can be found under stressful condition [</w:t>
      </w:r>
      <w:r w:rsidRPr="00D4658B">
        <w:rPr>
          <w:strike/>
          <w:highlight w:val="yellow"/>
        </w:rPr>
        <w:t>27</w:t>
      </w:r>
      <w:r w:rsidR="00065E32">
        <w:t xml:space="preserve"> </w:t>
      </w:r>
      <w:r w:rsidR="00065E32" w:rsidRPr="00D4658B">
        <w:rPr>
          <w:color w:val="FF0000"/>
        </w:rPr>
        <w:t>17</w:t>
      </w:r>
      <w:r>
        <w:t xml:space="preserve">]. NO can react with superoxide anion </w:t>
      </w:r>
      <w:r w:rsidRPr="00BB0884">
        <w:rPr>
          <w:strike/>
          <w:highlight w:val="yellow"/>
        </w:rPr>
        <w:t>(O</w:t>
      </w:r>
      <w:r w:rsidRPr="00BB0884">
        <w:rPr>
          <w:strike/>
          <w:highlight w:val="yellow"/>
          <w:vertAlign w:val="subscript"/>
        </w:rPr>
        <w:t>2</w:t>
      </w:r>
      <w:r w:rsidRPr="00BB0884">
        <w:rPr>
          <w:strike/>
          <w:highlight w:val="yellow"/>
          <w:vertAlign w:val="superscript"/>
        </w:rPr>
        <w:t>2-</w:t>
      </w:r>
      <w:r w:rsidRPr="00BB0884">
        <w:rPr>
          <w:strike/>
          <w:highlight w:val="yellow"/>
        </w:rPr>
        <w:t>)</w:t>
      </w:r>
      <w:r>
        <w:t xml:space="preserve"> giving rise to aggressive reactive nitrogen species (RNS) </w:t>
      </w:r>
      <w:r w:rsidRPr="00BB0884">
        <w:rPr>
          <w:strike/>
          <w:highlight w:val="yellow"/>
        </w:rPr>
        <w:t>such as peroxynitrite (ONOO</w:t>
      </w:r>
      <w:r w:rsidRPr="00D4658B">
        <w:rPr>
          <w:highlight w:val="yellow"/>
          <w:vertAlign w:val="superscript"/>
        </w:rPr>
        <w:t>-</w:t>
      </w:r>
      <w:r w:rsidRPr="00D4658B">
        <w:rPr>
          <w:highlight w:val="yellow"/>
        </w:rPr>
        <w:t>) [28</w:t>
      </w:r>
      <w:r w:rsidR="00065E32">
        <w:t xml:space="preserve"> </w:t>
      </w:r>
      <w:r w:rsidR="00065E32" w:rsidRPr="00D4658B">
        <w:rPr>
          <w:color w:val="FF0000"/>
        </w:rPr>
        <w:t>18</w:t>
      </w:r>
      <w:r>
        <w:t xml:space="preserve">] exacerbating the oxidative stress. </w:t>
      </w:r>
    </w:p>
    <w:p w14:paraId="18C6D2D6" w14:textId="473B252B" w:rsidR="00D7746E" w:rsidRPr="001F4DA3" w:rsidRDefault="00955D1E" w:rsidP="00E76F61">
      <w:pPr>
        <w:pStyle w:val="MDPI31text"/>
        <w:rPr>
          <w:color w:val="FF0000"/>
        </w:rPr>
      </w:pPr>
      <w:r w:rsidRPr="001F4DA3">
        <w:rPr>
          <w:color w:val="FF0000"/>
        </w:rPr>
        <w:t>It is well known that physical training improves the efficiency of endogenous antioxidant system reducing exercise-induced oxidative stress [2, 3</w:t>
      </w:r>
      <w:r w:rsidR="00065E32" w:rsidRPr="001F4DA3">
        <w:rPr>
          <w:color w:val="FF0000"/>
        </w:rPr>
        <w:t xml:space="preserve"> 19, 20</w:t>
      </w:r>
      <w:r w:rsidRPr="001F4DA3">
        <w:rPr>
          <w:color w:val="FF0000"/>
        </w:rPr>
        <w:t xml:space="preserve">]. However, prolonged training session can reduce the efficiency of antioxidant defenses leading to an excessive production </w:t>
      </w:r>
      <w:r w:rsidRPr="001F4DA3">
        <w:rPr>
          <w:strike/>
          <w:color w:val="FF0000"/>
        </w:rPr>
        <w:t>of</w:t>
      </w:r>
      <w:r w:rsidRPr="001F4DA3">
        <w:rPr>
          <w:color w:val="FF0000"/>
        </w:rPr>
        <w:t xml:space="preserve"> [4, 5</w:t>
      </w:r>
      <w:r w:rsidR="00065E32" w:rsidRPr="001F4DA3">
        <w:rPr>
          <w:color w:val="FF0000"/>
        </w:rPr>
        <w:t xml:space="preserve"> 21</w:t>
      </w:r>
      <w:r w:rsidR="001F4DA3">
        <w:rPr>
          <w:color w:val="FF0000"/>
        </w:rPr>
        <w:t>,22].</w:t>
      </w:r>
    </w:p>
    <w:p w14:paraId="1E931AD6" w14:textId="77777777" w:rsidR="00D7746E" w:rsidRDefault="00D7746E" w:rsidP="00E76F61">
      <w:pPr>
        <w:pStyle w:val="MDPI31text"/>
      </w:pPr>
      <w:r>
        <w:t>Environmental conditions such as cold and dry air can lead to raised respiration water loss, reduced thirst perception and increased diuresis [</w:t>
      </w:r>
      <w:r w:rsidRPr="000910D8">
        <w:rPr>
          <w:strike/>
          <w:highlight w:val="yellow"/>
        </w:rPr>
        <w:t>29, 30</w:t>
      </w:r>
      <w:r w:rsidR="00E5363D">
        <w:t xml:space="preserve"> </w:t>
      </w:r>
      <w:r w:rsidR="00E5363D" w:rsidRPr="000910D8">
        <w:rPr>
          <w:color w:val="FF0000"/>
        </w:rPr>
        <w:t>23, 24</w:t>
      </w:r>
      <w:r w:rsidRPr="000910D8">
        <w:t>].</w:t>
      </w:r>
      <w:r>
        <w:t xml:space="preserve"> This cold-related diuresis seems to be the consequence of raised atrial naturetic peptide secretion and/or inhibition of antidiuretic hormone release [</w:t>
      </w:r>
      <w:r w:rsidRPr="000910D8">
        <w:rPr>
          <w:strike/>
          <w:highlight w:val="yellow"/>
        </w:rPr>
        <w:t>31</w:t>
      </w:r>
      <w:r w:rsidR="00E5363D">
        <w:t xml:space="preserve"> </w:t>
      </w:r>
      <w:r w:rsidR="00E5363D" w:rsidRPr="000910D8">
        <w:rPr>
          <w:color w:val="FF0000"/>
        </w:rPr>
        <w:t>25</w:t>
      </w:r>
      <w:r>
        <w:t>], accelerating free water clearance and increasing urine volume which, if left unchecked, impairs fluid balance [</w:t>
      </w:r>
      <w:r w:rsidRPr="000910D8">
        <w:rPr>
          <w:strike/>
          <w:highlight w:val="yellow"/>
        </w:rPr>
        <w:t>32</w:t>
      </w:r>
      <w:r w:rsidR="00E5363D">
        <w:t xml:space="preserve"> </w:t>
      </w:r>
      <w:r w:rsidR="00E5363D" w:rsidRPr="000910D8">
        <w:rPr>
          <w:color w:val="FF0000"/>
        </w:rPr>
        <w:t>26</w:t>
      </w:r>
      <w:r w:rsidRPr="000910D8">
        <w:t>].</w:t>
      </w:r>
      <w:r>
        <w:t xml:space="preserve"> If the fluid intake can’t balance, dehydration occurs, causing a state of hypohydration. During races, athletes often avoid drinking much while are on the slopes because of practical reason getting worse their hydration status [</w:t>
      </w:r>
      <w:r w:rsidRPr="000910D8">
        <w:rPr>
          <w:strike/>
          <w:highlight w:val="yellow"/>
        </w:rPr>
        <w:t>29</w:t>
      </w:r>
      <w:r w:rsidR="00E5363D">
        <w:t xml:space="preserve"> </w:t>
      </w:r>
      <w:r w:rsidR="00E5363D" w:rsidRPr="000910D8">
        <w:rPr>
          <w:color w:val="FF0000"/>
        </w:rPr>
        <w:t>23</w:t>
      </w:r>
      <w:r>
        <w:t>]. Since both hypohydration and dehydration may compromise performance, equally important is re-hydrating during recovery because a decreased intracellular fluid volume is reported to impair glycogen and protein resynthesis [</w:t>
      </w:r>
      <w:r w:rsidRPr="000910D8">
        <w:rPr>
          <w:strike/>
          <w:highlight w:val="yellow"/>
        </w:rPr>
        <w:t>33, 34</w:t>
      </w:r>
      <w:r w:rsidR="00E5363D">
        <w:t xml:space="preserve"> </w:t>
      </w:r>
      <w:r w:rsidR="00E5363D" w:rsidRPr="000910D8">
        <w:rPr>
          <w:color w:val="FF0000"/>
        </w:rPr>
        <w:t>27, 28</w:t>
      </w:r>
      <w:r>
        <w:t xml:space="preserve">]. </w:t>
      </w:r>
    </w:p>
    <w:p w14:paraId="0C7934F9" w14:textId="1525A546" w:rsidR="00522304" w:rsidRPr="000910D8" w:rsidRDefault="00955D1E" w:rsidP="00EA2FE5">
      <w:pPr>
        <w:pStyle w:val="MDPI31text"/>
        <w:rPr>
          <w:color w:val="FF0000"/>
        </w:rPr>
      </w:pPr>
      <w:r w:rsidRPr="000910D8">
        <w:rPr>
          <w:color w:val="FF0000"/>
        </w:rPr>
        <w:t>The aim</w:t>
      </w:r>
      <w:r w:rsidR="00EA2FE5" w:rsidRPr="000910D8">
        <w:rPr>
          <w:color w:val="FF0000"/>
        </w:rPr>
        <w:t>s</w:t>
      </w:r>
      <w:r w:rsidRPr="000910D8">
        <w:rPr>
          <w:color w:val="FF0000"/>
        </w:rPr>
        <w:t xml:space="preserve"> of this study w</w:t>
      </w:r>
      <w:r w:rsidR="00EA2FE5" w:rsidRPr="000910D8">
        <w:rPr>
          <w:color w:val="FF0000"/>
        </w:rPr>
        <w:t>ere</w:t>
      </w:r>
      <w:r w:rsidRPr="000910D8">
        <w:rPr>
          <w:color w:val="FF0000"/>
        </w:rPr>
        <w:t xml:space="preserve"> to examine, </w:t>
      </w:r>
      <w:r w:rsidR="00EA2FE5" w:rsidRPr="000910D8">
        <w:rPr>
          <w:color w:val="FF0000"/>
        </w:rPr>
        <w:t>for the first time the free skiers athlet</w:t>
      </w:r>
      <w:r w:rsidR="001B4438" w:rsidRPr="000910D8">
        <w:rPr>
          <w:color w:val="FF0000"/>
        </w:rPr>
        <w:t>e</w:t>
      </w:r>
      <w:r w:rsidR="00EA2FE5" w:rsidRPr="000910D8">
        <w:rPr>
          <w:color w:val="FF0000"/>
        </w:rPr>
        <w:t xml:space="preserve">s, and moreover </w:t>
      </w:r>
      <w:r w:rsidRPr="000910D8">
        <w:rPr>
          <w:color w:val="FF0000"/>
        </w:rPr>
        <w:t>with non-invasive methods</w:t>
      </w:r>
      <w:r w:rsidR="00E718C6" w:rsidRPr="000910D8">
        <w:rPr>
          <w:color w:val="FF0000"/>
        </w:rPr>
        <w:t xml:space="preserve"> [</w:t>
      </w:r>
      <w:r w:rsidR="00272D60" w:rsidRPr="000910D8">
        <w:rPr>
          <w:color w:val="FF0000"/>
        </w:rPr>
        <w:t>29, 30</w:t>
      </w:r>
      <w:r w:rsidR="00E718C6" w:rsidRPr="000910D8">
        <w:rPr>
          <w:color w:val="FF0000"/>
        </w:rPr>
        <w:t>]</w:t>
      </w:r>
      <w:r w:rsidRPr="000910D8">
        <w:rPr>
          <w:color w:val="FF0000"/>
        </w:rPr>
        <w:t>, the evolution of the oxy-inflammation and hydration status during a training season of f</w:t>
      </w:r>
      <w:r w:rsidR="00F4799A" w:rsidRPr="000910D8">
        <w:rPr>
          <w:color w:val="FF0000"/>
        </w:rPr>
        <w:t>reeskii</w:t>
      </w:r>
      <w:r w:rsidR="00D7746E" w:rsidRPr="000910D8">
        <w:rPr>
          <w:color w:val="FF0000"/>
        </w:rPr>
        <w:t>ng</w:t>
      </w:r>
      <w:r w:rsidR="00AE0134">
        <w:rPr>
          <w:color w:val="FF0000"/>
        </w:rPr>
        <w:t>,</w:t>
      </w:r>
      <w:r w:rsidR="00D7746E" w:rsidRPr="000910D8">
        <w:rPr>
          <w:color w:val="FF0000"/>
        </w:rPr>
        <w:t xml:space="preserve"> </w:t>
      </w:r>
      <w:r w:rsidR="00D7746E" w:rsidRPr="00AE0134">
        <w:rPr>
          <w:strike/>
          <w:color w:val="000000" w:themeColor="text1"/>
          <w:highlight w:val="yellow"/>
        </w:rPr>
        <w:t>is</w:t>
      </w:r>
      <w:r w:rsidR="00D7746E" w:rsidRPr="00AE0134">
        <w:rPr>
          <w:color w:val="000000" w:themeColor="text1"/>
        </w:rPr>
        <w:t xml:space="preserve"> </w:t>
      </w:r>
      <w:r w:rsidR="00D7746E" w:rsidRPr="000910D8">
        <w:rPr>
          <w:color w:val="FF0000"/>
        </w:rPr>
        <w:t>a sport performed in an extreme environment with significant physical effort</w:t>
      </w:r>
      <w:r w:rsidR="005544D6">
        <w:rPr>
          <w:color w:val="FF0000"/>
        </w:rPr>
        <w:t>,</w:t>
      </w:r>
      <w:r w:rsidR="00D7746E" w:rsidRPr="000910D8">
        <w:rPr>
          <w:color w:val="FF0000"/>
        </w:rPr>
        <w:t xml:space="preserve"> </w:t>
      </w:r>
      <w:r w:rsidR="00D7746E" w:rsidRPr="000910D8">
        <w:rPr>
          <w:strike/>
          <w:color w:val="000000" w:themeColor="text1"/>
          <w:highlight w:val="yellow"/>
        </w:rPr>
        <w:t>Therefore, these</w:t>
      </w:r>
      <w:r w:rsidR="00D7746E" w:rsidRPr="000910D8">
        <w:rPr>
          <w:color w:val="FF0000"/>
        </w:rPr>
        <w:t xml:space="preserve"> </w:t>
      </w:r>
      <w:r w:rsidR="005544D6">
        <w:rPr>
          <w:color w:val="FF0000"/>
        </w:rPr>
        <w:t>c</w:t>
      </w:r>
      <w:r w:rsidR="00D7746E" w:rsidRPr="000910D8">
        <w:rPr>
          <w:color w:val="FF0000"/>
        </w:rPr>
        <w:t xml:space="preserve">ombined factors </w:t>
      </w:r>
      <w:r w:rsidR="00D7746E" w:rsidRPr="000910D8">
        <w:rPr>
          <w:strike/>
          <w:color w:val="000000" w:themeColor="text1"/>
          <w:highlight w:val="yellow"/>
        </w:rPr>
        <w:t>can</w:t>
      </w:r>
      <w:r w:rsidR="00D7746E" w:rsidRPr="000910D8">
        <w:rPr>
          <w:color w:val="FF0000"/>
        </w:rPr>
        <w:t xml:space="preserve"> induc</w:t>
      </w:r>
      <w:r w:rsidRPr="000910D8">
        <w:rPr>
          <w:color w:val="FF0000"/>
        </w:rPr>
        <w:t>ing</w:t>
      </w:r>
      <w:r w:rsidR="00D7746E" w:rsidRPr="000910D8">
        <w:rPr>
          <w:color w:val="FF0000"/>
        </w:rPr>
        <w:t xml:space="preserve"> </w:t>
      </w:r>
      <w:r w:rsidR="00D7746E" w:rsidRPr="000910D8">
        <w:rPr>
          <w:strike/>
          <w:color w:val="000000" w:themeColor="text1"/>
          <w:highlight w:val="yellow"/>
        </w:rPr>
        <w:t>a</w:t>
      </w:r>
      <w:r w:rsidR="00D7746E" w:rsidRPr="000910D8">
        <w:rPr>
          <w:color w:val="000000" w:themeColor="text1"/>
        </w:rPr>
        <w:t xml:space="preserve"> </w:t>
      </w:r>
      <w:r w:rsidR="00D7746E" w:rsidRPr="000910D8">
        <w:rPr>
          <w:color w:val="FF0000"/>
        </w:rPr>
        <w:t>ROS production and electrolyte</w:t>
      </w:r>
      <w:r w:rsidR="00F63464" w:rsidRPr="000910D8">
        <w:rPr>
          <w:color w:val="FF0000"/>
        </w:rPr>
        <w:t>s</w:t>
      </w:r>
      <w:r w:rsidR="00D7746E" w:rsidRPr="000910D8">
        <w:rPr>
          <w:color w:val="FF0000"/>
        </w:rPr>
        <w:t xml:space="preserve"> imbalance. </w:t>
      </w:r>
    </w:p>
    <w:p w14:paraId="20F1F4E6" w14:textId="77777777" w:rsidR="001D2FA0" w:rsidRPr="00E718C6" w:rsidRDefault="001D2FA0" w:rsidP="00955D1E">
      <w:pPr>
        <w:pStyle w:val="MDPI31text"/>
        <w:rPr>
          <w:color w:val="FF0000"/>
        </w:rPr>
      </w:pPr>
      <w:r w:rsidRPr="000910D8">
        <w:rPr>
          <w:color w:val="FF0000"/>
        </w:rPr>
        <w:t xml:space="preserve">The method herein presented allowing reliable, simply, and noninvasive measurement </w:t>
      </w:r>
      <w:r w:rsidR="00564AD9" w:rsidRPr="000910D8">
        <w:rPr>
          <w:color w:val="FF0000"/>
        </w:rPr>
        <w:t>(saliv</w:t>
      </w:r>
      <w:r w:rsidR="00FC190B" w:rsidRPr="000910D8">
        <w:rPr>
          <w:color w:val="FF0000"/>
        </w:rPr>
        <w:t>a</w:t>
      </w:r>
      <w:r w:rsidR="00564AD9" w:rsidRPr="000910D8">
        <w:rPr>
          <w:color w:val="FF0000"/>
        </w:rPr>
        <w:t xml:space="preserve"> and urine samples) </w:t>
      </w:r>
      <w:r w:rsidRPr="000910D8">
        <w:rPr>
          <w:color w:val="FF0000"/>
        </w:rPr>
        <w:t>in order to screen and monitor</w:t>
      </w:r>
      <w:r w:rsidR="00564AD9" w:rsidRPr="000910D8">
        <w:rPr>
          <w:color w:val="FF0000"/>
        </w:rPr>
        <w:t xml:space="preserve"> the subject on field and</w:t>
      </w:r>
      <w:r w:rsidRPr="000910D8">
        <w:rPr>
          <w:color w:val="FF0000"/>
        </w:rPr>
        <w:t xml:space="preserve"> that would become a routine test </w:t>
      </w:r>
      <w:r w:rsidR="00564AD9" w:rsidRPr="000910D8">
        <w:rPr>
          <w:color w:val="FF0000"/>
        </w:rPr>
        <w:t xml:space="preserve">carried out, for samples collection, by not professional </w:t>
      </w:r>
      <w:r w:rsidRPr="000910D8">
        <w:rPr>
          <w:color w:val="FF0000"/>
        </w:rPr>
        <w:t>personal</w:t>
      </w:r>
      <w:r w:rsidR="00564AD9" w:rsidRPr="000910D8">
        <w:rPr>
          <w:color w:val="FF0000"/>
        </w:rPr>
        <w:t xml:space="preserve"> too</w:t>
      </w:r>
      <w:r w:rsidRPr="000910D8">
        <w:rPr>
          <w:color w:val="FF0000"/>
        </w:rPr>
        <w:t>.</w:t>
      </w:r>
      <w:r w:rsidRPr="00E718C6">
        <w:rPr>
          <w:color w:val="FF0000"/>
        </w:rPr>
        <w:t xml:space="preserve"> </w:t>
      </w:r>
    </w:p>
    <w:p w14:paraId="7D4CD71F" w14:textId="77777777" w:rsidR="00522304" w:rsidRDefault="00E76F61" w:rsidP="00E76F61">
      <w:pPr>
        <w:pStyle w:val="MDPI21heading1"/>
      </w:pPr>
      <w:r>
        <w:rPr>
          <w:lang w:eastAsia="zh-CN"/>
        </w:rPr>
        <w:t xml:space="preserve">2. </w:t>
      </w:r>
      <w:r w:rsidR="00522304" w:rsidRPr="00F003D3">
        <w:t>Materials and Methods</w:t>
      </w:r>
    </w:p>
    <w:p w14:paraId="07E5A99D" w14:textId="77777777" w:rsidR="00B4716F" w:rsidRPr="00E76F61" w:rsidRDefault="00E76F61" w:rsidP="00E76F61">
      <w:pPr>
        <w:pStyle w:val="MDPI22heading2"/>
      </w:pPr>
      <w:r w:rsidRPr="00E76F61">
        <w:t xml:space="preserve">2.1. </w:t>
      </w:r>
      <w:r w:rsidR="00B4716F" w:rsidRPr="00E76F61">
        <w:t>Subjects</w:t>
      </w:r>
    </w:p>
    <w:p w14:paraId="10A8AE80" w14:textId="44B08265" w:rsidR="0078553D" w:rsidRDefault="00F6472B" w:rsidP="00E76F61">
      <w:pPr>
        <w:pStyle w:val="MDPI31text"/>
      </w:pPr>
      <w:r w:rsidRPr="00F6472B">
        <w:rPr>
          <w:color w:val="FF0000"/>
        </w:rPr>
        <w:t xml:space="preserve">The </w:t>
      </w:r>
      <w:r>
        <w:rPr>
          <w:color w:val="FF0000"/>
        </w:rPr>
        <w:t>P</w:t>
      </w:r>
      <w:r w:rsidR="008A2E79">
        <w:rPr>
          <w:color w:val="FF0000"/>
        </w:rPr>
        <w:t>ra</w:t>
      </w:r>
      <w:r>
        <w:rPr>
          <w:color w:val="FF0000"/>
        </w:rPr>
        <w:t xml:space="preserve">to Nevoso </w:t>
      </w:r>
      <w:r w:rsidRPr="00F6472B">
        <w:rPr>
          <w:color w:val="FF0000"/>
        </w:rPr>
        <w:t>fr</w:t>
      </w:r>
      <w:r w:rsidR="00282283">
        <w:rPr>
          <w:color w:val="FF0000"/>
        </w:rPr>
        <w:t>e</w:t>
      </w:r>
      <w:r w:rsidRPr="00F6472B">
        <w:rPr>
          <w:color w:val="FF0000"/>
        </w:rPr>
        <w:t>eskiers team,</w:t>
      </w:r>
      <w:r>
        <w:t xml:space="preserve"> </w:t>
      </w:r>
      <w:r w:rsidRPr="00F6472B">
        <w:rPr>
          <w:color w:val="FF0000"/>
        </w:rPr>
        <w:t>e</w:t>
      </w:r>
      <w:r w:rsidR="0078553D">
        <w:t xml:space="preserve">ight male experts trained </w:t>
      </w:r>
      <w:r w:rsidR="0078553D" w:rsidRPr="00F6472B">
        <w:rPr>
          <w:strike/>
          <w:highlight w:val="yellow"/>
        </w:rPr>
        <w:t>freeskiers</w:t>
      </w:r>
      <w:r w:rsidR="0078553D" w:rsidRPr="00F6472B">
        <w:rPr>
          <w:strike/>
        </w:rPr>
        <w:t xml:space="preserve"> </w:t>
      </w:r>
      <w:r w:rsidR="0078553D">
        <w:t xml:space="preserve">(mean: age 25.1 ± 6.1; height 179.5 ± 7.0 cm; weight 72.4 ± 7.3 kg and BMI 22.5 ± 2.4) were investigated during a training season. Volunteers were not professional athletes and trained from Friday to Sunday as they were busy with their respective jobs during the week. During the week they practice discontinuously other sports including cycling, indoor climbing, surfing, skating. </w:t>
      </w:r>
    </w:p>
    <w:p w14:paraId="323B1C66" w14:textId="77777777" w:rsidR="0078553D" w:rsidRDefault="0078553D" w:rsidP="00E76F61">
      <w:pPr>
        <w:pStyle w:val="MDPI31text"/>
      </w:pPr>
      <w:r>
        <w:t xml:space="preserve">During the first session (T0), a questionnaire was administered to collect data on the subjects’ training experience. On average, the subjects had 11.3 ± 9.8 years of alpine ski and freeskiing experience. </w:t>
      </w:r>
    </w:p>
    <w:p w14:paraId="20BD3BDD" w14:textId="77777777" w:rsidR="0078553D" w:rsidRDefault="0078553D" w:rsidP="00E76F61">
      <w:pPr>
        <w:pStyle w:val="MDPI31text"/>
      </w:pPr>
      <w:r>
        <w:lastRenderedPageBreak/>
        <w:t>Blood pressure was recorded in triplicate by an automatically inflating cuff around the upper arm (Omron M7, Intelli IT, Omron, Japan), and peripheral arterial oxygen saturation (SpO</w:t>
      </w:r>
      <w:r w:rsidRPr="00383648">
        <w:rPr>
          <w:vertAlign w:val="subscript"/>
        </w:rPr>
        <w:t>2</w:t>
      </w:r>
      <w:r>
        <w:t>) was measured using a pulse oximeter (TuffSat, GE Datex Ohmeda, USA).</w:t>
      </w:r>
    </w:p>
    <w:p w14:paraId="16AE59B7" w14:textId="77777777" w:rsidR="0078553D" w:rsidRDefault="0078553D" w:rsidP="00E76F61">
      <w:pPr>
        <w:pStyle w:val="MDPI31text"/>
      </w:pPr>
      <w:r>
        <w:t xml:space="preserve">No subject reported previous episodes of Mountain Acute Sickness, historical or clinical evidence of arterial hypertension, cardiac, pulmonary or any other significant disease, none of them took prescription drugs, suffered any acute disease during the 15 days before the experiment, reported assumption of anti-inflammatory drugs in the 7 days before the experiment or performed intense physical effort in the 7 days before any training session. All athletes were no smokers and in good health. </w:t>
      </w:r>
    </w:p>
    <w:p w14:paraId="39B47F72" w14:textId="77777777" w:rsidR="00522304" w:rsidRDefault="0078553D" w:rsidP="00E76F61">
      <w:pPr>
        <w:pStyle w:val="MDPI31text"/>
      </w:pPr>
      <w:r>
        <w:t>All the athletes received an explanation of the study’s purposes, risks and benefits, were familiarized with the experimental protocol and read and signed a specific informed consent form before the experiment. The study was conducted in accordance with the Helsinki Declaration and was approved by the Ethical Committee of Università degli Studi di Milano, Italy (Aut. n 37/17).</w:t>
      </w:r>
    </w:p>
    <w:p w14:paraId="5C8A1A92" w14:textId="77777777" w:rsidR="00383648" w:rsidRDefault="00383648" w:rsidP="00E76F61">
      <w:pPr>
        <w:pStyle w:val="MDPI31text"/>
      </w:pPr>
    </w:p>
    <w:p w14:paraId="392A2AEE" w14:textId="77777777" w:rsidR="00383648" w:rsidRPr="00E76F61" w:rsidRDefault="00E76F61" w:rsidP="00E76F61">
      <w:pPr>
        <w:pStyle w:val="MDPI22heading2"/>
        <w:spacing w:before="240"/>
      </w:pPr>
      <w:r w:rsidRPr="00E76F61">
        <w:t xml:space="preserve">2.2. </w:t>
      </w:r>
      <w:r w:rsidR="00383648" w:rsidRPr="00E76F61">
        <w:t>Experimental design</w:t>
      </w:r>
    </w:p>
    <w:p w14:paraId="21BDC8C6" w14:textId="77777777" w:rsidR="00383648" w:rsidRDefault="00383648" w:rsidP="00E76F61">
      <w:pPr>
        <w:pStyle w:val="MDPI31text"/>
      </w:pPr>
      <w:r>
        <w:t>This observational study was carried on during Ski season, from 8</w:t>
      </w:r>
      <w:r w:rsidRPr="00383648">
        <w:rPr>
          <w:vertAlign w:val="superscript"/>
        </w:rPr>
        <w:t>th</w:t>
      </w:r>
      <w:r>
        <w:t xml:space="preserve"> December 2021 to 17</w:t>
      </w:r>
      <w:r w:rsidRPr="00383648">
        <w:rPr>
          <w:vertAlign w:val="superscript"/>
        </w:rPr>
        <w:t>th</w:t>
      </w:r>
      <w:r>
        <w:t xml:space="preserve"> April 2022, in Prato Nevoso Ski resort, at 1480m (Frabosa Sottana, CN, Italy), see </w:t>
      </w:r>
      <w:r w:rsidRPr="00317A4A">
        <w:rPr>
          <w:b/>
          <w:bCs/>
        </w:rPr>
        <w:t>Figure 1</w:t>
      </w:r>
      <w:r w:rsidRPr="0030416D">
        <w:t>.</w:t>
      </w:r>
      <w:r>
        <w:t xml:space="preserve"> Frieskiers performed their training sessions in Prato Nevoso snowpark, an area of a ski resort track or ski trail, created for snowboarders and freeskiers to do tricks. </w:t>
      </w:r>
    </w:p>
    <w:p w14:paraId="08CC2561" w14:textId="77777777" w:rsidR="00383648" w:rsidRDefault="00383648" w:rsidP="00E76F61">
      <w:pPr>
        <w:pStyle w:val="MDPI31text"/>
      </w:pPr>
      <w:r>
        <w:t>Biological samples were collected and measurements were carried out as follow:</w:t>
      </w:r>
    </w:p>
    <w:p w14:paraId="1AC2BEBA" w14:textId="77777777" w:rsidR="00383648" w:rsidRDefault="00383648" w:rsidP="00E76F61">
      <w:pPr>
        <w:pStyle w:val="MDPI31text"/>
      </w:pPr>
      <w:r>
        <w:t>•</w:t>
      </w:r>
      <w:r>
        <w:tab/>
        <w:t>In December (T0) before the season beginning. These were basal measures;</w:t>
      </w:r>
    </w:p>
    <w:p w14:paraId="3C1B99CC" w14:textId="77777777" w:rsidR="00383648" w:rsidRDefault="00383648" w:rsidP="00E76F61">
      <w:pPr>
        <w:pStyle w:val="MDPI31text"/>
      </w:pPr>
      <w:r>
        <w:t>•</w:t>
      </w:r>
      <w:r>
        <w:tab/>
        <w:t>In February (T1) at the start of training session;</w:t>
      </w:r>
    </w:p>
    <w:p w14:paraId="09E7F1BE" w14:textId="77777777" w:rsidR="00383648" w:rsidRDefault="00383648" w:rsidP="00E76F61">
      <w:pPr>
        <w:pStyle w:val="MDPI31text"/>
      </w:pPr>
      <w:r>
        <w:t>•</w:t>
      </w:r>
      <w:r>
        <w:tab/>
        <w:t>In March (T2) during the middle period of the season;</w:t>
      </w:r>
    </w:p>
    <w:p w14:paraId="2231B634" w14:textId="77777777" w:rsidR="00383648" w:rsidRDefault="00383648" w:rsidP="00E76F61">
      <w:pPr>
        <w:pStyle w:val="MDPI31text"/>
      </w:pPr>
      <w:r>
        <w:t>•</w:t>
      </w:r>
      <w:r>
        <w:tab/>
        <w:t>In April (T3) at the end of the season;</w:t>
      </w:r>
    </w:p>
    <w:p w14:paraId="6827BADC" w14:textId="77777777" w:rsidR="00383648" w:rsidRDefault="00383648" w:rsidP="00E76F61">
      <w:pPr>
        <w:pStyle w:val="MDPI31text"/>
      </w:pPr>
      <w:r>
        <w:t>•</w:t>
      </w:r>
      <w:r>
        <w:tab/>
        <w:t>In June (T4) two months after the end of the season.</w:t>
      </w:r>
    </w:p>
    <w:p w14:paraId="57387F2F" w14:textId="77777777" w:rsidR="00383648" w:rsidRDefault="00383648" w:rsidP="00E76F61">
      <w:pPr>
        <w:pStyle w:val="MDPI31text"/>
      </w:pPr>
      <w:r>
        <w:t>All the sessions were performed on Saturday.</w:t>
      </w:r>
    </w:p>
    <w:p w14:paraId="2D74122E" w14:textId="77777777" w:rsidR="005E10F1" w:rsidRDefault="005E10F1" w:rsidP="00383648">
      <w:pPr>
        <w:pStyle w:val="MDPI31text"/>
        <w:ind w:firstLine="0"/>
      </w:pPr>
    </w:p>
    <w:p w14:paraId="58EA3BF6" w14:textId="77777777" w:rsidR="005E10F1" w:rsidRDefault="005E10F1" w:rsidP="00383648">
      <w:pPr>
        <w:pStyle w:val="MDPI31text"/>
        <w:ind w:firstLine="0"/>
      </w:pPr>
    </w:p>
    <w:p w14:paraId="2D0B309F" w14:textId="77777777" w:rsidR="00A80FC4" w:rsidRDefault="00A80FC4" w:rsidP="001A6B52">
      <w:pPr>
        <w:pStyle w:val="MDPI31text"/>
        <w:ind w:left="0" w:firstLine="0"/>
      </w:pPr>
    </w:p>
    <w:p w14:paraId="21551EF4" w14:textId="77777777" w:rsidR="00DE3F47" w:rsidRDefault="00DE3F47" w:rsidP="00F373C9">
      <w:pPr>
        <w:pStyle w:val="MDPI52figure"/>
        <w:jc w:val="right"/>
      </w:pPr>
      <w:r w:rsidRPr="00120452">
        <w:rPr>
          <w:noProof/>
          <w:lang w:val="it-IT" w:eastAsia="it-IT" w:bidi="ar-SA"/>
        </w:rPr>
        <w:drawing>
          <wp:inline distT="0" distB="0" distL="0" distR="0" wp14:anchorId="1FC196DE" wp14:editId="60C57706">
            <wp:extent cx="5025292" cy="293915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054617" cy="2956306"/>
                    </a:xfrm>
                    <a:prstGeom prst="rect">
                      <a:avLst/>
                    </a:prstGeom>
                  </pic:spPr>
                </pic:pic>
              </a:graphicData>
            </a:graphic>
          </wp:inline>
        </w:drawing>
      </w:r>
    </w:p>
    <w:p w14:paraId="59912C4A" w14:textId="77777777" w:rsidR="00A80FC4" w:rsidRDefault="00E76F61" w:rsidP="00E76F61">
      <w:pPr>
        <w:pStyle w:val="MDPI51figurecaption"/>
        <w:rPr>
          <w:i/>
          <w:iCs/>
          <w:snapToGrid w:val="0"/>
        </w:rPr>
      </w:pPr>
      <w:r w:rsidRPr="00E76F61">
        <w:rPr>
          <w:b/>
          <w:i/>
          <w:iCs/>
        </w:rPr>
        <w:t xml:space="preserve">Figure 1. </w:t>
      </w:r>
      <w:r w:rsidR="007E583B" w:rsidRPr="00E63FB9">
        <w:rPr>
          <w:snapToGrid w:val="0"/>
        </w:rPr>
        <w:t xml:space="preserve">Study protocol design, seasonal circle and session training. Freeskiing athletes were tested five times across a competitive season: at the beginning (T0); every month (T1, T2, and T3); and two </w:t>
      </w:r>
      <w:r w:rsidR="007E583B" w:rsidRPr="00E63FB9">
        <w:rPr>
          <w:snapToGrid w:val="0"/>
        </w:rPr>
        <w:lastRenderedPageBreak/>
        <w:t>months after the end of the season (T4). Furthermore, as shown in the scheme on the right of the figure, from T1 to T3, the athletes were tested pre (A) and post (B) training session.</w:t>
      </w:r>
    </w:p>
    <w:p w14:paraId="315CEED2" w14:textId="77777777" w:rsidR="005E10F1" w:rsidRPr="005E10F1" w:rsidRDefault="005E10F1" w:rsidP="005E10F1">
      <w:pPr>
        <w:rPr>
          <w:lang w:eastAsia="de-DE" w:bidi="en-US"/>
        </w:rPr>
      </w:pPr>
    </w:p>
    <w:p w14:paraId="5542C342" w14:textId="77777777" w:rsidR="007E583B" w:rsidRPr="00E76F61" w:rsidRDefault="00E76F61" w:rsidP="00E76F61">
      <w:pPr>
        <w:pStyle w:val="MDPI22heading2"/>
        <w:spacing w:before="240"/>
      </w:pPr>
      <w:r w:rsidRPr="00E76F61">
        <w:t xml:space="preserve">2.2.1. </w:t>
      </w:r>
      <w:r w:rsidR="00C30468" w:rsidRPr="00E76F61">
        <w:t>Training exercise session</w:t>
      </w:r>
    </w:p>
    <w:p w14:paraId="7D499410" w14:textId="050091A5" w:rsidR="00D445FC" w:rsidRDefault="00D445FC" w:rsidP="00E76F61">
      <w:pPr>
        <w:pStyle w:val="MDPI31text"/>
      </w:pPr>
      <w:r>
        <w:t>As shown in Figure 1, from T1 to T3, the freeskiing athletes were tested pre and post training session. Daily training consisted of 4 hours (9.00 am – 1.00 pm) distributed as follow:</w:t>
      </w:r>
    </w:p>
    <w:p w14:paraId="0AC228E5" w14:textId="77777777" w:rsidR="00D445FC" w:rsidRDefault="00D445FC" w:rsidP="00E76F61">
      <w:pPr>
        <w:pStyle w:val="MDPI31text"/>
      </w:pPr>
      <w:r>
        <w:t>•</w:t>
      </w:r>
      <w:r>
        <w:tab/>
        <w:t>9.00 – 9.15 am: dry land warm-up (Stretching) before to go to ski run;</w:t>
      </w:r>
    </w:p>
    <w:p w14:paraId="55A78F10" w14:textId="77777777" w:rsidR="00D445FC" w:rsidRDefault="00D445FC" w:rsidP="00E76F61">
      <w:pPr>
        <w:pStyle w:val="MDPI31text"/>
      </w:pPr>
      <w:r>
        <w:t>•</w:t>
      </w:r>
      <w:r>
        <w:tab/>
        <w:t>9.15 – 10.00 am: warm-up on skin run (Flat Tricks);</w:t>
      </w:r>
    </w:p>
    <w:p w14:paraId="182849A8" w14:textId="77777777" w:rsidR="00D445FC" w:rsidRDefault="00D445FC" w:rsidP="00E76F61">
      <w:pPr>
        <w:pStyle w:val="MDPI31text"/>
      </w:pPr>
      <w:r>
        <w:t>•</w:t>
      </w:r>
      <w:r>
        <w:tab/>
        <w:t>10.00 – 10.15 am: Speed and Snow condition check;</w:t>
      </w:r>
    </w:p>
    <w:p w14:paraId="5C9E7AA3" w14:textId="77777777" w:rsidR="00D445FC" w:rsidRDefault="00D445FC" w:rsidP="00E76F61">
      <w:pPr>
        <w:pStyle w:val="MDPI31text"/>
      </w:pPr>
      <w:r>
        <w:t>•</w:t>
      </w:r>
      <w:r>
        <w:tab/>
        <w:t>10.15 – 11.30 am: Riding in Snow Park part 1 (jumps, rails, jibbing, slang);</w:t>
      </w:r>
    </w:p>
    <w:p w14:paraId="46D3996E" w14:textId="77777777" w:rsidR="00D445FC" w:rsidRDefault="00D445FC" w:rsidP="00E76F61">
      <w:pPr>
        <w:pStyle w:val="MDPI31text"/>
      </w:pPr>
      <w:r>
        <w:t>•</w:t>
      </w:r>
      <w:r>
        <w:tab/>
        <w:t>11.30 – 11.45 am: break;</w:t>
      </w:r>
    </w:p>
    <w:p w14:paraId="3EB1DF1D" w14:textId="77777777" w:rsidR="00D445FC" w:rsidRDefault="00D445FC" w:rsidP="00E76F61">
      <w:pPr>
        <w:pStyle w:val="MDPI31text"/>
      </w:pPr>
      <w:r>
        <w:t>•</w:t>
      </w:r>
      <w:r>
        <w:tab/>
        <w:t>11.45 am – 1.00 pm: Riding in Snow Park part 2 (jumps, rails, jibbing, slang).</w:t>
      </w:r>
    </w:p>
    <w:p w14:paraId="48C92052" w14:textId="7F32C8B7" w:rsidR="00D445FC" w:rsidRDefault="00D445FC" w:rsidP="00E76F61">
      <w:pPr>
        <w:pStyle w:val="MDPI31text"/>
      </w:pPr>
      <w:r>
        <w:t>During warm-up, subjects ran across the ski track close to snowpark three times, performing some flat tricks:</w:t>
      </w:r>
    </w:p>
    <w:p w14:paraId="66E9B9E3" w14:textId="77777777" w:rsidR="00D445FC" w:rsidRDefault="00D445FC" w:rsidP="00E76F61">
      <w:pPr>
        <w:pStyle w:val="MDPI31text"/>
      </w:pPr>
      <w:r>
        <w:t>•</w:t>
      </w:r>
      <w:r>
        <w:tab/>
        <w:t>Hand Drag 180, a 180° turn with landing on the hands while the legs are up in the air and Hand Drag 360, a full turn with the legs up in the air while landing on the hands.</w:t>
      </w:r>
    </w:p>
    <w:p w14:paraId="2F8D19F9" w14:textId="77777777" w:rsidR="00D445FC" w:rsidRDefault="00D445FC" w:rsidP="00E76F61">
      <w:pPr>
        <w:pStyle w:val="MDPI31text"/>
      </w:pPr>
      <w:r>
        <w:t>•</w:t>
      </w:r>
      <w:r>
        <w:tab/>
        <w:t>Nollie, a jump on a flat slope when skier push from his noses and Nollie 180, a jump similar to Nollie with a 180° turn.</w:t>
      </w:r>
    </w:p>
    <w:p w14:paraId="532A3D7F" w14:textId="77777777" w:rsidR="00D445FC" w:rsidRDefault="00D445FC" w:rsidP="00E76F61">
      <w:pPr>
        <w:pStyle w:val="MDPI31text"/>
      </w:pPr>
      <w:r>
        <w:t>•</w:t>
      </w:r>
      <w:r>
        <w:tab/>
        <w:t xml:space="preserve"> Nose Butter 360, a 360° rotation around vertical axis with pressure being put on the noses and Nose Butter 540, a 540° rotation around vertical axis with pressure being put on the noses, in the end the back.</w:t>
      </w:r>
    </w:p>
    <w:p w14:paraId="16861B63" w14:textId="77777777" w:rsidR="00D445FC" w:rsidRDefault="00D445FC" w:rsidP="00E76F61">
      <w:pPr>
        <w:pStyle w:val="MDPI31text"/>
      </w:pPr>
      <w:r>
        <w:t>•</w:t>
      </w:r>
      <w:r>
        <w:tab/>
        <w:t>Switch tail butter 360, a 360 ° rotation around vertical axis with pressure being put on the tails, performed from switch.</w:t>
      </w:r>
    </w:p>
    <w:p w14:paraId="31D56E2C" w14:textId="4C8123CA" w:rsidR="004B3C45" w:rsidRDefault="000571F1" w:rsidP="001B07A2">
      <w:pPr>
        <w:pStyle w:val="MDPI31text"/>
      </w:pPr>
      <w:r>
        <w:t xml:space="preserve">After warm-up, the rides in snowpark were performed after a check of snow consistency. </w:t>
      </w:r>
      <w:r w:rsidR="004B3C45" w:rsidRPr="004B3C45">
        <w:rPr>
          <w:color w:val="FF0000"/>
          <w:szCs w:val="20"/>
          <w:shd w:val="clear" w:color="auto" w:fill="FFFFFF"/>
        </w:rPr>
        <w:t xml:space="preserve">In every training session, all the </w:t>
      </w:r>
      <w:r w:rsidR="00D86EF1">
        <w:rPr>
          <w:color w:val="FF0000"/>
          <w:szCs w:val="20"/>
          <w:shd w:val="clear" w:color="auto" w:fill="FFFFFF"/>
        </w:rPr>
        <w:t>athletes</w:t>
      </w:r>
      <w:r w:rsidR="004B3C45" w:rsidRPr="004B3C45">
        <w:rPr>
          <w:color w:val="FF0000"/>
          <w:szCs w:val="20"/>
          <w:shd w:val="clear" w:color="auto" w:fill="FFFFFF"/>
        </w:rPr>
        <w:t xml:space="preserve"> respected the training plan and the timing.</w:t>
      </w:r>
      <w:r w:rsidR="004B3C45">
        <w:rPr>
          <w:rFonts w:ascii="Consolas" w:hAnsi="Consolas"/>
          <w:sz w:val="12"/>
          <w:szCs w:val="12"/>
          <w:shd w:val="clear" w:color="auto" w:fill="FFFFFF"/>
        </w:rPr>
        <w:t xml:space="preserve"> </w:t>
      </w:r>
      <w:r w:rsidR="00D445FC">
        <w:t>Freeskiers ride the snow park line of Prato Nevoso Ski resort six times with a break between the third and the fourth ride.</w:t>
      </w:r>
      <w:r w:rsidR="001B07A2">
        <w:t xml:space="preserve"> </w:t>
      </w:r>
    </w:p>
    <w:p w14:paraId="4973BC04" w14:textId="1B6C8BB7" w:rsidR="001B07A2" w:rsidRDefault="001B07A2" w:rsidP="001B07A2">
      <w:pPr>
        <w:pStyle w:val="MDPI31text"/>
      </w:pPr>
      <w:r w:rsidRPr="004B3C45">
        <w:rPr>
          <w:color w:val="FF0000"/>
        </w:rPr>
        <w:t>The</w:t>
      </w:r>
      <w:r>
        <w:t xml:space="preserve"> snow park line consists of an area of a ski trail with dedicated structures (jumps, rails, jibbing, slang), created for freeskiers to do tricks </w:t>
      </w:r>
      <w:r w:rsidRPr="00DE7024">
        <w:rPr>
          <w:highlight w:val="yellow"/>
        </w:rPr>
        <w:t xml:space="preserve">and </w:t>
      </w:r>
      <w:r w:rsidRPr="00DE7024">
        <w:rPr>
          <w:strike/>
          <w:highlight w:val="yellow"/>
        </w:rPr>
        <w:t>The Prato Nevoso snow park line</w:t>
      </w:r>
      <w:r w:rsidRPr="00DE7024">
        <w:rPr>
          <w:strike/>
        </w:rPr>
        <w:t xml:space="preserve"> </w:t>
      </w:r>
      <w:r>
        <w:t>included 2 jumps, 2 rails, 2 slang and 1 jibbing area for a total length of 500 m</w:t>
      </w:r>
      <w:r w:rsidRPr="001B07A2">
        <w:rPr>
          <w:color w:val="FF0000"/>
        </w:rPr>
        <w:t>:</w:t>
      </w:r>
    </w:p>
    <w:p w14:paraId="7800C549" w14:textId="77777777" w:rsidR="001B07A2" w:rsidRPr="001B07A2" w:rsidRDefault="001B07A2" w:rsidP="001B07A2">
      <w:pPr>
        <w:pStyle w:val="MDPI31text"/>
        <w:rPr>
          <w:color w:val="FF0000"/>
          <w:shd w:val="clear" w:color="auto" w:fill="FFFFFF"/>
        </w:rPr>
      </w:pPr>
      <w:r w:rsidRPr="001B07A2">
        <w:rPr>
          <w:color w:val="FF0000"/>
          <w:shd w:val="clear" w:color="auto" w:fill="FFFFFF"/>
        </w:rPr>
        <w:t>-      1</w:t>
      </w:r>
      <w:r w:rsidRPr="001B07A2">
        <w:rPr>
          <w:color w:val="FF0000"/>
          <w:shd w:val="clear" w:color="auto" w:fill="FFFFFF"/>
          <w:vertAlign w:val="superscript"/>
        </w:rPr>
        <w:t>st</w:t>
      </w:r>
      <w:r w:rsidRPr="001B07A2">
        <w:rPr>
          <w:color w:val="FF0000"/>
          <w:shd w:val="clear" w:color="auto" w:fill="FFFFFF"/>
        </w:rPr>
        <w:t> 100 m: 2 Nose Butter 360 and 1 Nose Butter 540</w:t>
      </w:r>
    </w:p>
    <w:p w14:paraId="509D6792" w14:textId="77777777" w:rsidR="001B07A2" w:rsidRPr="001B07A2" w:rsidRDefault="001B07A2" w:rsidP="001B07A2">
      <w:pPr>
        <w:pStyle w:val="MDPI31text"/>
        <w:rPr>
          <w:color w:val="FF0000"/>
          <w:shd w:val="clear" w:color="auto" w:fill="FFFFFF"/>
        </w:rPr>
      </w:pPr>
      <w:r w:rsidRPr="001B07A2">
        <w:rPr>
          <w:color w:val="FF0000"/>
          <w:shd w:val="clear" w:color="auto" w:fill="FFFFFF"/>
        </w:rPr>
        <w:t>-          2</w:t>
      </w:r>
      <w:r w:rsidRPr="001B07A2">
        <w:rPr>
          <w:color w:val="FF0000"/>
          <w:shd w:val="clear" w:color="auto" w:fill="FFFFFF"/>
          <w:vertAlign w:val="superscript"/>
        </w:rPr>
        <w:t>nd</w:t>
      </w:r>
      <w:r w:rsidRPr="001B07A2">
        <w:rPr>
          <w:color w:val="FF0000"/>
          <w:shd w:val="clear" w:color="auto" w:fill="FFFFFF"/>
        </w:rPr>
        <w:t> 100 m: 3 Switch tail butter 360</w:t>
      </w:r>
    </w:p>
    <w:p w14:paraId="419B352A" w14:textId="77777777" w:rsidR="001B07A2" w:rsidRPr="001B07A2" w:rsidRDefault="001B07A2" w:rsidP="001B07A2">
      <w:pPr>
        <w:pStyle w:val="MDPI31text"/>
        <w:rPr>
          <w:color w:val="FF0000"/>
          <w:shd w:val="clear" w:color="auto" w:fill="FFFFFF"/>
        </w:rPr>
      </w:pPr>
      <w:r w:rsidRPr="001B07A2">
        <w:rPr>
          <w:color w:val="FF0000"/>
          <w:shd w:val="clear" w:color="auto" w:fill="FFFFFF"/>
        </w:rPr>
        <w:t>-          3</w:t>
      </w:r>
      <w:r w:rsidRPr="001B07A2">
        <w:rPr>
          <w:color w:val="FF0000"/>
          <w:shd w:val="clear" w:color="auto" w:fill="FFFFFF"/>
          <w:vertAlign w:val="superscript"/>
        </w:rPr>
        <w:t>th</w:t>
      </w:r>
      <w:r w:rsidRPr="001B07A2">
        <w:rPr>
          <w:color w:val="FF0000"/>
          <w:shd w:val="clear" w:color="auto" w:fill="FFFFFF"/>
        </w:rPr>
        <w:t> 100 m: 2 Nose Butter 360 and 2 Nose Butter 540.</w:t>
      </w:r>
    </w:p>
    <w:p w14:paraId="7A536006" w14:textId="77777777" w:rsidR="001B07A2" w:rsidRPr="001B07A2" w:rsidRDefault="001B07A2" w:rsidP="001B07A2">
      <w:pPr>
        <w:pStyle w:val="MDPI31text"/>
        <w:rPr>
          <w:color w:val="FF0000"/>
          <w:shd w:val="clear" w:color="auto" w:fill="FFFFFF"/>
        </w:rPr>
      </w:pPr>
      <w:r w:rsidRPr="001B07A2">
        <w:rPr>
          <w:color w:val="FF0000"/>
          <w:shd w:val="clear" w:color="auto" w:fill="FFFFFF"/>
        </w:rPr>
        <w:t>-          4</w:t>
      </w:r>
      <w:r w:rsidRPr="001B07A2">
        <w:rPr>
          <w:color w:val="FF0000"/>
          <w:shd w:val="clear" w:color="auto" w:fill="FFFFFF"/>
          <w:vertAlign w:val="superscript"/>
        </w:rPr>
        <w:t>th</w:t>
      </w:r>
      <w:r w:rsidRPr="001B07A2">
        <w:rPr>
          <w:color w:val="FF0000"/>
          <w:shd w:val="clear" w:color="auto" w:fill="FFFFFF"/>
        </w:rPr>
        <w:t> 100 m: 2 Nollie and 2 Nollie 180</w:t>
      </w:r>
    </w:p>
    <w:p w14:paraId="6B97C93A" w14:textId="77777777" w:rsidR="001B07A2" w:rsidRPr="001B07A2" w:rsidRDefault="001B07A2" w:rsidP="001B07A2">
      <w:pPr>
        <w:pStyle w:val="MDPI31text"/>
        <w:rPr>
          <w:color w:val="FF0000"/>
          <w:shd w:val="clear" w:color="auto" w:fill="FFFFFF"/>
        </w:rPr>
      </w:pPr>
      <w:r w:rsidRPr="001B07A2">
        <w:rPr>
          <w:color w:val="FF0000"/>
          <w:shd w:val="clear" w:color="auto" w:fill="FFFFFF"/>
        </w:rPr>
        <w:t>-          5</w:t>
      </w:r>
      <w:r w:rsidRPr="001B07A2">
        <w:rPr>
          <w:color w:val="FF0000"/>
          <w:shd w:val="clear" w:color="auto" w:fill="FFFFFF"/>
          <w:vertAlign w:val="superscript"/>
        </w:rPr>
        <w:t>th</w:t>
      </w:r>
      <w:r w:rsidRPr="001B07A2">
        <w:rPr>
          <w:color w:val="FF0000"/>
          <w:shd w:val="clear" w:color="auto" w:fill="FFFFFF"/>
        </w:rPr>
        <w:t> 100 m: 2 Switch tail butter 360, 1 Hand drag 180 and 1 Hand Drag 360.</w:t>
      </w:r>
    </w:p>
    <w:p w14:paraId="4DBB2813" w14:textId="17C75F64" w:rsidR="00D445FC" w:rsidRPr="000571F1" w:rsidRDefault="001B07A2" w:rsidP="001B07A2">
      <w:pPr>
        <w:pStyle w:val="MDPI31text"/>
        <w:ind w:hanging="56"/>
      </w:pPr>
      <w:r w:rsidRPr="001B07A2">
        <w:rPr>
          <w:color w:val="FF0000"/>
          <w:szCs w:val="20"/>
          <w:shd w:val="clear" w:color="auto" w:fill="FFFFFF"/>
        </w:rPr>
        <w:t>Chairlift takes 9 minutes to reach the top of the snow park.</w:t>
      </w:r>
      <w:r>
        <w:rPr>
          <w:color w:val="FF0000"/>
          <w:szCs w:val="20"/>
        </w:rPr>
        <w:t xml:space="preserve"> </w:t>
      </w:r>
      <w:r>
        <w:t xml:space="preserve"> </w:t>
      </w:r>
      <w:r w:rsidR="00D445FC">
        <w:t xml:space="preserve">During the recorded training sessions, the air temperature ranged from -9 to -2 °C, wind from 11 to 13 km/h and humidity from 57 to 85 %. </w:t>
      </w:r>
    </w:p>
    <w:p w14:paraId="1FFD3174" w14:textId="77777777" w:rsidR="00D445FC" w:rsidRDefault="00D445FC" w:rsidP="00E76F61">
      <w:pPr>
        <w:pStyle w:val="MDPI31text"/>
      </w:pPr>
    </w:p>
    <w:p w14:paraId="4F5EECBB" w14:textId="77777777" w:rsidR="00C30468" w:rsidRPr="00E76F61" w:rsidRDefault="00E76F61" w:rsidP="00E76F61">
      <w:pPr>
        <w:pStyle w:val="MDPI22heading2"/>
        <w:spacing w:before="240"/>
      </w:pPr>
      <w:r w:rsidRPr="00E76F61">
        <w:t xml:space="preserve">2.3. </w:t>
      </w:r>
      <w:r w:rsidR="00D445FC" w:rsidRPr="00E76F61">
        <w:t>Sample collection</w:t>
      </w:r>
    </w:p>
    <w:p w14:paraId="07ACA79D" w14:textId="77777777" w:rsidR="00D445FC" w:rsidRDefault="00D445FC" w:rsidP="00E76F61">
      <w:pPr>
        <w:pStyle w:val="MDPI31text"/>
      </w:pPr>
      <w:r>
        <w:t>Approximately 1 ml of saliva was collected before (A) and after (B) the training session using a Salivette device (Sarstedt, Nümbrecht, Germany) before storage, saliva samples were centrifuged at 3000 rpm for 20 minutes. [</w:t>
      </w:r>
      <w:r w:rsidRPr="00F92E8E">
        <w:rPr>
          <w:strike/>
          <w:highlight w:val="yellow"/>
        </w:rPr>
        <w:t>35</w:t>
      </w:r>
      <w:r w:rsidR="00272D60">
        <w:t xml:space="preserve"> </w:t>
      </w:r>
      <w:r w:rsidR="00272D60" w:rsidRPr="00F92E8E">
        <w:rPr>
          <w:color w:val="FF0000"/>
        </w:rPr>
        <w:t>31</w:t>
      </w:r>
      <w:r>
        <w:t>]. Also, urine samples were collected by voluntary voiding in a sterile container before and after the training session. The samples collection at the pre (baseline) was always done about at 8.30 am.</w:t>
      </w:r>
    </w:p>
    <w:p w14:paraId="05A6F82C" w14:textId="77777777" w:rsidR="00D445FC" w:rsidRDefault="00D445FC" w:rsidP="00E76F61">
      <w:pPr>
        <w:pStyle w:val="MDPI31text"/>
      </w:pPr>
      <w:r>
        <w:t>All biological samples were initially stored at 4 °C in a portable cooler during the transport back to the laboratory, aliquoted, then stored at − 20 °C until assayed and thawed only once before analysis.</w:t>
      </w:r>
    </w:p>
    <w:p w14:paraId="718B640F" w14:textId="77777777" w:rsidR="00D445FC" w:rsidRDefault="00D445FC" w:rsidP="00E76F61">
      <w:pPr>
        <w:pStyle w:val="MDPI31text"/>
      </w:pPr>
    </w:p>
    <w:p w14:paraId="0B8A7682" w14:textId="77777777" w:rsidR="00D445FC" w:rsidRPr="00E76F61" w:rsidRDefault="00E76F61" w:rsidP="00E76F61">
      <w:pPr>
        <w:pStyle w:val="MDPI22heading2"/>
        <w:spacing w:before="240"/>
      </w:pPr>
      <w:r w:rsidRPr="00E76F61">
        <w:t xml:space="preserve">2.4. </w:t>
      </w:r>
      <w:r w:rsidR="00D445FC" w:rsidRPr="00E76F61">
        <w:t>Biomarkers assessment</w:t>
      </w:r>
    </w:p>
    <w:p w14:paraId="59F111CC" w14:textId="77777777" w:rsidR="00D445FC" w:rsidRPr="00E76F61" w:rsidRDefault="00E76F61" w:rsidP="00E76F61">
      <w:pPr>
        <w:pStyle w:val="MDPI23heading3"/>
      </w:pPr>
      <w:r w:rsidRPr="00E76F61">
        <w:t xml:space="preserve">2.4.1. </w:t>
      </w:r>
      <w:r w:rsidR="00F56A2C" w:rsidRPr="00E76F61">
        <w:t>Reactive oxygen species (ROS) and Total antioxidant capacity (TAC)</w:t>
      </w:r>
    </w:p>
    <w:p w14:paraId="10449E46" w14:textId="44FED860" w:rsidR="00F56A2C" w:rsidRDefault="00F56A2C" w:rsidP="00E76F61">
      <w:pPr>
        <w:pStyle w:val="MDPI31text"/>
      </w:pPr>
      <w:r>
        <w:t>An X-band electron paramagnetic resonance spectroscopy (EPR, 9.3 GHz) (E-Scan, Bruker Co., MA, USA) was used to detect ROS production and TAC in saliva samples. Methods were previously described [</w:t>
      </w:r>
      <w:r w:rsidRPr="00F92E8E">
        <w:rPr>
          <w:strike/>
          <w:highlight w:val="yellow"/>
        </w:rPr>
        <w:t>36-40</w:t>
      </w:r>
      <w:r w:rsidR="00272D60">
        <w:t xml:space="preserve"> </w:t>
      </w:r>
      <w:r w:rsidR="00F92E8E">
        <w:t xml:space="preserve">  </w:t>
      </w:r>
      <w:r w:rsidR="00F92E8E" w:rsidRPr="00F92E8E">
        <w:rPr>
          <w:color w:val="FF0000"/>
        </w:rPr>
        <w:t>29,</w:t>
      </w:r>
      <w:r w:rsidR="001043A2">
        <w:rPr>
          <w:color w:val="FF0000"/>
        </w:rPr>
        <w:t xml:space="preserve"> </w:t>
      </w:r>
      <w:r w:rsidR="00F92E8E" w:rsidRPr="00F92E8E">
        <w:rPr>
          <w:color w:val="FF0000"/>
        </w:rPr>
        <w:t>30,</w:t>
      </w:r>
      <w:r w:rsidR="001043A2">
        <w:rPr>
          <w:color w:val="FF0000"/>
        </w:rPr>
        <w:t xml:space="preserve"> </w:t>
      </w:r>
      <w:r w:rsidR="00272D60" w:rsidRPr="00F92E8E">
        <w:rPr>
          <w:color w:val="FF0000"/>
        </w:rPr>
        <w:t>32-3</w:t>
      </w:r>
      <w:r w:rsidR="00F92E8E">
        <w:rPr>
          <w:color w:val="FF0000"/>
        </w:rPr>
        <w:t>4</w:t>
      </w:r>
      <w:r>
        <w:t>], briefly spin probe CMH (1-hydroxy-3-methoxy- carbonyl-2,2,5,5-tetramethylpyrrolidine) was used for ROS determination, and a stable radical CP· (3-carboxy2,2,5,5-tetramethyl-1-pyrrolidi-nyloxy) was used as an external reference to convert ROS determinations into absolute quantitative values (μmol.min</w:t>
      </w:r>
      <w:r w:rsidRPr="000A74DE">
        <w:rPr>
          <w:vertAlign w:val="superscript"/>
        </w:rPr>
        <w:t>−1</w:t>
      </w:r>
      <w:r>
        <w:t xml:space="preserve">). Spin-trap 1,1-diphenyl- 2-picrylhydrazyl (DPPH•) was used to measured TAC. The calculated antioxidant capacity was expressed in terms of Trolox equivalent antioxidant capacity (TAC, mM). </w:t>
      </w:r>
    </w:p>
    <w:p w14:paraId="33788AC5" w14:textId="77777777" w:rsidR="00F56A2C" w:rsidRDefault="00F56A2C" w:rsidP="00E76F61">
      <w:pPr>
        <w:pStyle w:val="MDPI31text"/>
      </w:pPr>
      <w:r>
        <w:t>All samples were stabilized at 37 °C using a Temperature Controller unit (Noxigen Science Transfer &amp; Diagnostics GmbH, Germany), interfaced with the spectrometer.</w:t>
      </w:r>
    </w:p>
    <w:p w14:paraId="327068E8" w14:textId="77777777" w:rsidR="00F56A2C" w:rsidRDefault="00F56A2C" w:rsidP="00E76F61">
      <w:pPr>
        <w:pStyle w:val="MDPI31text"/>
      </w:pPr>
    </w:p>
    <w:p w14:paraId="1D754EBF" w14:textId="77777777" w:rsidR="00317A4A" w:rsidRDefault="00317A4A" w:rsidP="00E76F61">
      <w:pPr>
        <w:pStyle w:val="MDPI31text"/>
      </w:pPr>
    </w:p>
    <w:p w14:paraId="385AAD49" w14:textId="77777777" w:rsidR="00F56A2C" w:rsidRPr="00E76F61" w:rsidRDefault="00E76F61" w:rsidP="00E76F61">
      <w:pPr>
        <w:pStyle w:val="MDPI23heading3"/>
        <w:spacing w:before="240"/>
      </w:pPr>
      <w:r w:rsidRPr="00E76F61">
        <w:t xml:space="preserve">2.4.2. </w:t>
      </w:r>
      <w:r w:rsidR="00F56A2C" w:rsidRPr="00E76F61">
        <w:t>Interleukin-6 (IL-6)</w:t>
      </w:r>
    </w:p>
    <w:p w14:paraId="09B69055" w14:textId="77777777" w:rsidR="00F56A2C" w:rsidRDefault="00F56A2C" w:rsidP="00E76F61">
      <w:pPr>
        <w:pStyle w:val="MDPI31text"/>
      </w:pPr>
      <w:r w:rsidRPr="00F56A2C">
        <w:t>IL-6 urinary levels were determined by ELISA kit (Cayman Chemical, Ann Arbor, MI, USA, Item No. 501030), according to the manufacturer’s instructions. The determinations were assessed in duplicate, and the inter-assay coefficient of variation was in the range indicated by the manufacturer.</w:t>
      </w:r>
    </w:p>
    <w:p w14:paraId="3BCBB2F1" w14:textId="77777777" w:rsidR="00F56A2C" w:rsidRDefault="00F56A2C" w:rsidP="00E76F61">
      <w:pPr>
        <w:pStyle w:val="MDPI31text"/>
      </w:pPr>
    </w:p>
    <w:p w14:paraId="109CABE2" w14:textId="77777777" w:rsidR="00F56A2C" w:rsidRPr="00E76F61" w:rsidRDefault="00E76F61" w:rsidP="00E76F61">
      <w:pPr>
        <w:pStyle w:val="MDPI23heading3"/>
        <w:spacing w:before="240"/>
      </w:pPr>
      <w:r w:rsidRPr="00E76F61">
        <w:t xml:space="preserve">2.4.3. </w:t>
      </w:r>
      <w:r w:rsidR="00F56A2C" w:rsidRPr="00E76F61">
        <w:t>NO metabolites</w:t>
      </w:r>
    </w:p>
    <w:p w14:paraId="657AB8E4" w14:textId="6C5B3DE5" w:rsidR="00B2782F" w:rsidRPr="00B2782F" w:rsidRDefault="00F56A2C" w:rsidP="00E17AA1">
      <w:pPr>
        <w:pStyle w:val="MDPI31text"/>
      </w:pPr>
      <w:r w:rsidRPr="00F56A2C">
        <w:t>NO derivatives, nitrate and nitrite (NO</w:t>
      </w:r>
      <w:r w:rsidRPr="000A74DE">
        <w:rPr>
          <w:vertAlign w:val="subscript"/>
        </w:rPr>
        <w:t>2</w:t>
      </w:r>
      <w:r w:rsidRPr="00F56A2C">
        <w:t>+NO</w:t>
      </w:r>
      <w:r w:rsidRPr="000A74DE">
        <w:rPr>
          <w:vertAlign w:val="subscript"/>
        </w:rPr>
        <w:t>3</w:t>
      </w:r>
      <w:r w:rsidRPr="00F56A2C">
        <w:t xml:space="preserve">=NOx), were measured in urine samples </w:t>
      </w:r>
      <w:r w:rsidRPr="00B2782F">
        <w:rPr>
          <w:strike/>
          <w:highlight w:val="yellow"/>
        </w:rPr>
        <w:t>at a ratio of 1:20</w:t>
      </w:r>
      <w:r w:rsidR="00B2782F" w:rsidRPr="00B2782F">
        <w:rPr>
          <w:strike/>
          <w:highlight w:val="yellow"/>
        </w:rPr>
        <w:t>,</w:t>
      </w:r>
      <w:r w:rsidRPr="00F56A2C">
        <w:t xml:space="preserve"> </w:t>
      </w:r>
      <w:r w:rsidRPr="00B2782F">
        <w:rPr>
          <w:strike/>
          <w:highlight w:val="yellow"/>
        </w:rPr>
        <w:t>Standard solutions of NaNO</w:t>
      </w:r>
      <w:r w:rsidRPr="00B2782F">
        <w:rPr>
          <w:strike/>
          <w:highlight w:val="yellow"/>
          <w:vertAlign w:val="subscript"/>
        </w:rPr>
        <w:t>3</w:t>
      </w:r>
      <w:r w:rsidRPr="00B2782F">
        <w:rPr>
          <w:strike/>
          <w:highlight w:val="yellow"/>
        </w:rPr>
        <w:t xml:space="preserve"> in a concentration range from 5 to 200 µM were used to build the calibration curve. NOx </w:t>
      </w:r>
      <w:r w:rsidR="005E10F1" w:rsidRPr="00B2782F">
        <w:rPr>
          <w:strike/>
          <w:highlight w:val="yellow"/>
        </w:rPr>
        <w:t>was</w:t>
      </w:r>
      <w:r w:rsidRPr="00B2782F">
        <w:rPr>
          <w:strike/>
          <w:highlight w:val="yellow"/>
        </w:rPr>
        <w:t xml:space="preserve"> determined according to Brizzolari et al 2021[41].</w:t>
      </w:r>
      <w:r w:rsidR="00F93903" w:rsidRPr="00B2782F">
        <w:t xml:space="preserve"> </w:t>
      </w:r>
      <w:r w:rsidR="00F4799A">
        <w:rPr>
          <w:color w:val="FF0000"/>
        </w:rPr>
        <w:t>by</w:t>
      </w:r>
      <w:r w:rsidR="00B2782F" w:rsidRPr="003852BF">
        <w:rPr>
          <w:color w:val="FF0000"/>
        </w:rPr>
        <w:t xml:space="preserve"> a colorimetric method based on the Griess reaction, using a commercial kit (Cayman Chemical, Ann Arbor, MI, USA) </w:t>
      </w:r>
      <w:r w:rsidR="00F4799A">
        <w:rPr>
          <w:color w:val="FF0000"/>
        </w:rPr>
        <w:t xml:space="preserve">previously </w:t>
      </w:r>
      <w:r w:rsidR="00B2782F" w:rsidRPr="00A53558">
        <w:rPr>
          <w:color w:val="FF0000"/>
        </w:rPr>
        <w:t xml:space="preserve">described </w:t>
      </w:r>
      <w:r w:rsidR="00B55B1B">
        <w:rPr>
          <w:color w:val="FF0000"/>
        </w:rPr>
        <w:t>[</w:t>
      </w:r>
      <w:r w:rsidR="00897EBE" w:rsidRPr="00A53558">
        <w:rPr>
          <w:color w:val="FF0000"/>
        </w:rPr>
        <w:t>3</w:t>
      </w:r>
      <w:r w:rsidR="00834305" w:rsidRPr="00A53558">
        <w:rPr>
          <w:color w:val="FF0000"/>
        </w:rPr>
        <w:t>5</w:t>
      </w:r>
      <w:r w:rsidR="00B55B1B">
        <w:rPr>
          <w:color w:val="FF0000"/>
        </w:rPr>
        <w:t>]</w:t>
      </w:r>
      <w:r w:rsidR="00B2782F" w:rsidRPr="00A53558">
        <w:rPr>
          <w:color w:val="FF0000"/>
        </w:rPr>
        <w:t>.</w:t>
      </w:r>
      <w:r w:rsidR="00B2782F" w:rsidRPr="003852BF">
        <w:rPr>
          <w:color w:val="FF0000"/>
        </w:rPr>
        <w:t xml:space="preserve"> </w:t>
      </w:r>
      <w:r w:rsidR="003852BF" w:rsidRPr="003852BF">
        <w:rPr>
          <w:color w:val="FF0000"/>
        </w:rPr>
        <w:t>Samples were read at 545 nm and the concentration was assessed by a standard curve.</w:t>
      </w:r>
      <w:r w:rsidR="003852BF" w:rsidRPr="003852BF">
        <w:t xml:space="preserve"> </w:t>
      </w:r>
    </w:p>
    <w:p w14:paraId="30140115" w14:textId="77777777" w:rsidR="00F56A2C" w:rsidRPr="00B2782F" w:rsidRDefault="00F56A2C" w:rsidP="00B2782F">
      <w:pPr>
        <w:pStyle w:val="MDPI31text"/>
      </w:pPr>
    </w:p>
    <w:p w14:paraId="0A7A5EF2" w14:textId="77777777" w:rsidR="00F56A2C" w:rsidRPr="00E76F61" w:rsidRDefault="00E76F61" w:rsidP="00E76F61">
      <w:pPr>
        <w:pStyle w:val="MDPI23heading3"/>
        <w:spacing w:before="240"/>
      </w:pPr>
      <w:r w:rsidRPr="00E76F61">
        <w:t xml:space="preserve">2.4.4. </w:t>
      </w:r>
      <w:r w:rsidR="00F56A2C" w:rsidRPr="00E76F61">
        <w:t>Creatinine, uric acid and electrolytes</w:t>
      </w:r>
    </w:p>
    <w:p w14:paraId="13991500" w14:textId="77777777" w:rsidR="00F56A2C" w:rsidRDefault="00F56A2C" w:rsidP="00E76F61">
      <w:pPr>
        <w:pStyle w:val="MDPI31text"/>
      </w:pPr>
      <w:r>
        <w:t>Creatinine, urea, uric acid, sodium (Na</w:t>
      </w:r>
      <w:r w:rsidRPr="00F56A2C">
        <w:rPr>
          <w:vertAlign w:val="superscript"/>
        </w:rPr>
        <w:t>+</w:t>
      </w:r>
      <w:r>
        <w:t>), potassium (K</w:t>
      </w:r>
      <w:r w:rsidRPr="00F56A2C">
        <w:rPr>
          <w:vertAlign w:val="superscript"/>
        </w:rPr>
        <w:t>+</w:t>
      </w:r>
      <w:r>
        <w:t>), chlorine (Cl</w:t>
      </w:r>
      <w:r w:rsidRPr="00F56A2C">
        <w:rPr>
          <w:vertAlign w:val="superscript"/>
        </w:rPr>
        <w:t>-</w:t>
      </w:r>
      <w:r>
        <w:t>), magnesium (Mg</w:t>
      </w:r>
      <w:r>
        <w:rPr>
          <w:vertAlign w:val="superscript"/>
        </w:rPr>
        <w:t>2+</w:t>
      </w:r>
      <w:r>
        <w:t>), phosphorus (P) and Calcium (Ca</w:t>
      </w:r>
      <w:r>
        <w:rPr>
          <w:vertAlign w:val="superscript"/>
        </w:rPr>
        <w:t>2+</w:t>
      </w:r>
      <w:r>
        <w:t>) and total proteins were investigated in urine samples. Urine samples were defrizzed, at room temperature, shacked with the Vortex for 5 s for homogenization before the analysis. Briefly, 500μl of each sample were placed in a plastic test tube. The test tubes were allocated in the auto sampler of a Roche Cobas® 6000 analyzer (Roche Diagnostics, Basel, Switzerland). The reported total imprecision was &lt; 2.8 %, while the intra assay CV % was &lt; 1.8%.</w:t>
      </w:r>
    </w:p>
    <w:p w14:paraId="72C7657B" w14:textId="77777777" w:rsidR="00F56A2C" w:rsidRDefault="00F56A2C" w:rsidP="00E76F61">
      <w:pPr>
        <w:pStyle w:val="MDPI31text"/>
      </w:pPr>
    </w:p>
    <w:p w14:paraId="668D20A2" w14:textId="77777777" w:rsidR="00F56A2C" w:rsidRPr="00E76F61" w:rsidRDefault="00E76F61" w:rsidP="00E76F61">
      <w:pPr>
        <w:pStyle w:val="MDPI23heading3"/>
        <w:spacing w:before="240"/>
      </w:pPr>
      <w:r w:rsidRPr="00E76F61">
        <w:t xml:space="preserve">2.4.5. </w:t>
      </w:r>
      <w:r w:rsidR="00F56A2C" w:rsidRPr="00E76F61">
        <w:t>Neopterin</w:t>
      </w:r>
    </w:p>
    <w:p w14:paraId="4F29D7EB" w14:textId="77777777" w:rsidR="00F56A2C" w:rsidRDefault="005340B3" w:rsidP="00E76F61">
      <w:pPr>
        <w:pStyle w:val="MDPI31text"/>
      </w:pPr>
      <w:r w:rsidRPr="005340B3">
        <w:t>Neopterin urinary concentrations were measured by high-performance liquid chromatography (HPLC) method, as previously described [</w:t>
      </w:r>
      <w:r w:rsidRPr="00A53558">
        <w:rPr>
          <w:strike/>
          <w:highlight w:val="yellow"/>
        </w:rPr>
        <w:t>38, 42</w:t>
      </w:r>
      <w:r w:rsidR="00E575FE" w:rsidRPr="00A53558">
        <w:rPr>
          <w:strike/>
        </w:rPr>
        <w:t xml:space="preserve"> </w:t>
      </w:r>
      <w:r w:rsidR="00E575FE" w:rsidRPr="001043A2">
        <w:rPr>
          <w:color w:val="FF0000"/>
        </w:rPr>
        <w:t>33, 36</w:t>
      </w:r>
      <w:r w:rsidRPr="001043A2">
        <w:rPr>
          <w:color w:val="000000" w:themeColor="text1"/>
        </w:rPr>
        <w:t>].</w:t>
      </w:r>
      <w:r w:rsidRPr="005340B3">
        <w:t xml:space="preserve"> The calibration curve was linear over the range of 0.125–1 µmol/L. Inter-assay and intra-assay coefficients of variation were &lt;5%.</w:t>
      </w:r>
    </w:p>
    <w:p w14:paraId="134D2FE2" w14:textId="77777777" w:rsidR="005340B3" w:rsidRDefault="005340B3" w:rsidP="00E76F61">
      <w:pPr>
        <w:pStyle w:val="MDPI31text"/>
      </w:pPr>
    </w:p>
    <w:p w14:paraId="1332BEF5" w14:textId="77777777" w:rsidR="005340B3" w:rsidRPr="00E76F61" w:rsidRDefault="00E76F61" w:rsidP="00E76F61">
      <w:pPr>
        <w:pStyle w:val="MDPI23heading3"/>
        <w:spacing w:before="240"/>
      </w:pPr>
      <w:r w:rsidRPr="00E76F61">
        <w:t xml:space="preserve">2.4.6. </w:t>
      </w:r>
      <w:r w:rsidR="000A74DE" w:rsidRPr="00E76F61">
        <w:t xml:space="preserve">Urine test strip  </w:t>
      </w:r>
    </w:p>
    <w:p w14:paraId="1CD465EB" w14:textId="77777777" w:rsidR="000A74DE" w:rsidRDefault="000A74DE" w:rsidP="00E76F61">
      <w:pPr>
        <w:pStyle w:val="MDPI31text"/>
      </w:pPr>
      <w:r w:rsidRPr="000A74DE">
        <w:lastRenderedPageBreak/>
        <w:t>The Urine Test Strip (Siemens Healthcare S.r.l. 10sys Multistix, Italy) was used for semi-quantitative determinations of pH, urobilinogen, bilirubin, ketones, specific gravity/density and leukocytes in urine. Test was immediately performed after sample collection in duplicate for each subject.</w:t>
      </w:r>
    </w:p>
    <w:p w14:paraId="1B56A298" w14:textId="77777777" w:rsidR="000A74DE" w:rsidRDefault="000A74DE" w:rsidP="00E76F61">
      <w:pPr>
        <w:pStyle w:val="MDPI31text"/>
      </w:pPr>
    </w:p>
    <w:p w14:paraId="65A859DD" w14:textId="77777777" w:rsidR="000A74DE" w:rsidRPr="00E76F61" w:rsidRDefault="00E76F61" w:rsidP="00E76F61">
      <w:pPr>
        <w:pStyle w:val="MDPI22heading2"/>
        <w:spacing w:before="240"/>
      </w:pPr>
      <w:r w:rsidRPr="00E76F61">
        <w:t xml:space="preserve">2.5. </w:t>
      </w:r>
      <w:r w:rsidR="000A74DE" w:rsidRPr="00E76F61">
        <w:t>Scale for assessment of physical fatigue and recovery</w:t>
      </w:r>
    </w:p>
    <w:p w14:paraId="068C596B" w14:textId="77777777" w:rsidR="007D5274" w:rsidRDefault="007D5274" w:rsidP="00E76F61">
      <w:pPr>
        <w:pStyle w:val="MDPI31text"/>
      </w:pPr>
      <w:r>
        <w:t>The subject perceived exertion was assessed immediately after every training session, based on the physical sensations and muscle fatigue, was assessed by BORG Rate of Perceived Exertion scale (RPE) [</w:t>
      </w:r>
      <w:r w:rsidRPr="00A53558">
        <w:rPr>
          <w:strike/>
          <w:highlight w:val="yellow"/>
        </w:rPr>
        <w:t>43</w:t>
      </w:r>
      <w:r w:rsidR="00E575FE">
        <w:t xml:space="preserve"> </w:t>
      </w:r>
      <w:r w:rsidR="00E575FE" w:rsidRPr="00A53558">
        <w:rPr>
          <w:color w:val="FF0000"/>
        </w:rPr>
        <w:t>37</w:t>
      </w:r>
      <w:r w:rsidRPr="00A53558">
        <w:t>].</w:t>
      </w:r>
    </w:p>
    <w:p w14:paraId="514F0116" w14:textId="77777777" w:rsidR="007D5274" w:rsidRDefault="007D5274" w:rsidP="00E76F61">
      <w:pPr>
        <w:pStyle w:val="MDPI31text"/>
      </w:pPr>
      <w:r>
        <w:t>The quality of training recovery was assessed at pre-session training, referred to the last training by Total Quality of Recovery scale (TQR) proposed by Kenttä and Hassmén [</w:t>
      </w:r>
      <w:r w:rsidRPr="00A53558">
        <w:rPr>
          <w:strike/>
          <w:highlight w:val="yellow"/>
        </w:rPr>
        <w:t>44</w:t>
      </w:r>
      <w:r w:rsidR="00E575FE" w:rsidRPr="00A53558">
        <w:rPr>
          <w:color w:val="FF0000"/>
        </w:rPr>
        <w:t xml:space="preserve"> 38</w:t>
      </w:r>
      <w:r>
        <w:t>].</w:t>
      </w:r>
    </w:p>
    <w:p w14:paraId="5EE99111" w14:textId="77777777" w:rsidR="007D5274" w:rsidRDefault="007D5274" w:rsidP="00E76F61">
      <w:pPr>
        <w:pStyle w:val="MDPI31text"/>
      </w:pPr>
      <w:r>
        <w:t xml:space="preserve">To study the subjective mood, general wellness (happy/unhappy, rested/tired) general sensation (hot/cold, calm/agitation), and head no pain/pain were evaluated using a 0–100mm visual analog scale (VAS) to test the subjective perception </w:t>
      </w:r>
      <w:r w:rsidRPr="00A53558">
        <w:rPr>
          <w:highlight w:val="yellow"/>
        </w:rPr>
        <w:t>[45</w:t>
      </w:r>
      <w:r w:rsidR="00E575FE">
        <w:t xml:space="preserve"> </w:t>
      </w:r>
      <w:r w:rsidR="00E575FE" w:rsidRPr="00A53558">
        <w:rPr>
          <w:color w:val="FF0000"/>
        </w:rPr>
        <w:t>39</w:t>
      </w:r>
      <w:r>
        <w:t xml:space="preserve">]. If pain is present, its location was requested. </w:t>
      </w:r>
    </w:p>
    <w:p w14:paraId="416F1E7B" w14:textId="77777777" w:rsidR="000A74DE" w:rsidRDefault="007D5274" w:rsidP="00E76F61">
      <w:pPr>
        <w:pStyle w:val="MDPI31text"/>
      </w:pPr>
      <w:r>
        <w:t>The Profile of Mood States (POMS) is a popular tool among sport psychologists who have used it to compare the prevailing moods of elite athletes and non-athletes. In short-form, was administered to measured certain psychological traits, focusing on tension-anxiety, depression-dejection, anger-hostility, vigor-activity, fatigue-inertia, and confusion-bewilderment on a five-point scale from 0 to 4 [</w:t>
      </w:r>
      <w:r w:rsidRPr="00702723">
        <w:rPr>
          <w:strike/>
          <w:highlight w:val="yellow"/>
        </w:rPr>
        <w:t>46-48</w:t>
      </w:r>
      <w:r w:rsidR="00825AF2">
        <w:t xml:space="preserve"> </w:t>
      </w:r>
      <w:r w:rsidR="00825AF2" w:rsidRPr="00702723">
        <w:rPr>
          <w:color w:val="FF0000"/>
        </w:rPr>
        <w:t>40-42</w:t>
      </w:r>
      <w:r>
        <w:t>]. High vigor scores reflect a good mood or emotion, and low scores in the other subscales reflect a good mood or emotion.</w:t>
      </w:r>
    </w:p>
    <w:p w14:paraId="5EF11E56" w14:textId="77777777" w:rsidR="007D5274" w:rsidRDefault="007D5274" w:rsidP="00E76F61">
      <w:pPr>
        <w:pStyle w:val="MDPI31text"/>
      </w:pPr>
    </w:p>
    <w:p w14:paraId="6325B849" w14:textId="77777777" w:rsidR="007D5274" w:rsidRPr="00E76F61" w:rsidRDefault="00E76F61" w:rsidP="00E76F61">
      <w:pPr>
        <w:pStyle w:val="MDPI22heading2"/>
        <w:spacing w:before="240"/>
      </w:pPr>
      <w:r w:rsidRPr="00E76F61">
        <w:t xml:space="preserve">2.6. </w:t>
      </w:r>
      <w:r w:rsidR="007D5274" w:rsidRPr="00E76F61">
        <w:t>Statistical analysis</w:t>
      </w:r>
    </w:p>
    <w:p w14:paraId="391BA9B4" w14:textId="77777777" w:rsidR="007D5274" w:rsidRDefault="0030416D" w:rsidP="00E76F61">
      <w:pPr>
        <w:pStyle w:val="MDPI31text"/>
      </w:pPr>
      <w:r>
        <w:t>Analysis was performed using the GraphPad Prism package (GraphPad Prism 9.5.0, GraphPad Software Inc., San Diego, USA) and SPSS statistics software (IBM corporation). Data are presented as mean ± SD. Statistical analyses were performed using: non-parametric tests, Wilcoxon matched-pairs signed-rank test for independent samples due to the small sample size</w:t>
      </w:r>
      <w:r w:rsidR="00C56B1D">
        <w:t xml:space="preserve"> </w:t>
      </w:r>
      <w:r w:rsidR="00C56B1D" w:rsidRPr="00C56B1D">
        <w:rPr>
          <w:color w:val="FF0000"/>
        </w:rPr>
        <w:t>for compared pre vs. post</w:t>
      </w:r>
      <w:r w:rsidR="00C56B1D">
        <w:rPr>
          <w:color w:val="FF0000"/>
        </w:rPr>
        <w:t xml:space="preserve"> training session; and</w:t>
      </w:r>
      <w:r>
        <w:t xml:space="preserve"> ANOVA repeated measures, with Dunn’s multiple comparison tests to further check the among-groups significance.</w:t>
      </w:r>
      <w:r w:rsidR="004C5693">
        <w:t xml:space="preserve"> </w:t>
      </w:r>
      <w:r>
        <w:t>A p&lt;0.05 value was considered statistically significant</w:t>
      </w:r>
      <w:r w:rsidR="00680B1A">
        <w:t>.</w:t>
      </w:r>
      <w:r w:rsidR="009A2AF8" w:rsidRPr="00C56B1D">
        <w:rPr>
          <w:color w:val="FF0000"/>
        </w:rPr>
        <w:t xml:space="preserve"> </w:t>
      </w:r>
      <w:r>
        <w:t xml:space="preserve"> </w:t>
      </w:r>
      <w:r w:rsidR="00C56B1D" w:rsidRPr="009A2AF8">
        <w:rPr>
          <w:i/>
          <w:iCs/>
          <w:color w:val="FF0000"/>
        </w:rPr>
        <w:t>dCohen</w:t>
      </w:r>
      <w:r w:rsidR="00C56B1D" w:rsidRPr="00C56B1D">
        <w:rPr>
          <w:color w:val="FF0000"/>
        </w:rPr>
        <w:t xml:space="preserve"> </w:t>
      </w:r>
      <w:r w:rsidR="00680B1A" w:rsidRPr="00680B1A">
        <w:rPr>
          <w:color w:val="FF0000"/>
        </w:rPr>
        <w:t>with 95% CI</w:t>
      </w:r>
      <w:r w:rsidR="00680B1A" w:rsidRPr="00C56B1D">
        <w:rPr>
          <w:color w:val="FF0000"/>
        </w:rPr>
        <w:t xml:space="preserve"> </w:t>
      </w:r>
      <w:r w:rsidR="00C56B1D" w:rsidRPr="00C56B1D">
        <w:rPr>
          <w:color w:val="FF0000"/>
        </w:rPr>
        <w:t>was used for calculating the size effect</w:t>
      </w:r>
      <w:r w:rsidR="009A2AF8">
        <w:rPr>
          <w:color w:val="FF0000"/>
        </w:rPr>
        <w:t xml:space="preserve">. </w:t>
      </w:r>
      <w:r w:rsidR="00266AEE" w:rsidRPr="00266AEE">
        <w:rPr>
          <w:color w:val="FF0000"/>
        </w:rPr>
        <w:t>Moreover, we used the Hopkins scale for classification of the effect size</w:t>
      </w:r>
      <w:r w:rsidR="00A43601">
        <w:rPr>
          <w:color w:val="FF0000"/>
        </w:rPr>
        <w:t xml:space="preserve">. </w:t>
      </w:r>
      <w:r>
        <w:t>Change Δ% estimation [((post value-pre value)/pre-value) × 100] is also reported in the text.</w:t>
      </w:r>
    </w:p>
    <w:p w14:paraId="754A286B" w14:textId="77777777" w:rsidR="00C56B1D" w:rsidRPr="007D5274" w:rsidRDefault="00C56B1D" w:rsidP="00C56B1D">
      <w:pPr>
        <w:pStyle w:val="MDPI31text"/>
        <w:ind w:left="0" w:firstLine="0"/>
      </w:pPr>
    </w:p>
    <w:p w14:paraId="38FD7C65" w14:textId="77777777" w:rsidR="00E63FB9" w:rsidRDefault="00E76F61" w:rsidP="00E76F61">
      <w:pPr>
        <w:pStyle w:val="MDPI21heading1"/>
      </w:pPr>
      <w:r>
        <w:t xml:space="preserve">3. </w:t>
      </w:r>
      <w:r w:rsidR="00522304" w:rsidRPr="001F31D1">
        <w:t>Results</w:t>
      </w:r>
    </w:p>
    <w:p w14:paraId="6F99FB57" w14:textId="77777777" w:rsidR="0030416D" w:rsidRDefault="0030416D" w:rsidP="00E76F61">
      <w:pPr>
        <w:pStyle w:val="MDPI31text"/>
        <w:rPr>
          <w:b/>
        </w:rPr>
      </w:pPr>
      <w:r w:rsidRPr="0030416D">
        <w:t xml:space="preserve">Physiological parameters obtained at the different time-points during the season are reported in </w:t>
      </w:r>
      <w:r w:rsidRPr="00317A4A">
        <w:rPr>
          <w:bCs/>
        </w:rPr>
        <w:t>Table 1</w:t>
      </w:r>
      <w:r w:rsidRPr="0030416D">
        <w:t>. At the end of the season, a significant (p&lt;0.05) decrease in systolic blood pressure was recorded</w:t>
      </w:r>
      <w:r w:rsidR="008F7174">
        <w:t xml:space="preserve">, </w:t>
      </w:r>
      <w:r w:rsidR="008F7174" w:rsidRPr="000D590B">
        <w:rPr>
          <w:color w:val="FF0000"/>
          <w:szCs w:val="20"/>
        </w:rPr>
        <w:t>dCohen=</w:t>
      </w:r>
      <w:r w:rsidR="008F7174">
        <w:rPr>
          <w:color w:val="FF0000"/>
          <w:szCs w:val="20"/>
        </w:rPr>
        <w:t>0.97</w:t>
      </w:r>
      <w:r w:rsidR="008F7174">
        <w:rPr>
          <w:color w:val="FF0000"/>
        </w:rPr>
        <w:t>.</w:t>
      </w:r>
    </w:p>
    <w:p w14:paraId="014C31D8" w14:textId="77777777" w:rsidR="00217161" w:rsidRPr="00E63FB9" w:rsidRDefault="00217161" w:rsidP="00E76F61">
      <w:pPr>
        <w:pStyle w:val="MDPI31text"/>
      </w:pPr>
    </w:p>
    <w:p w14:paraId="6320DB0C" w14:textId="77777777" w:rsidR="008016AE" w:rsidRPr="008016AE" w:rsidRDefault="00E76F61" w:rsidP="00E76F61">
      <w:pPr>
        <w:pStyle w:val="MDPI41tablecaption"/>
        <w:rPr>
          <w:i/>
          <w:iCs/>
        </w:rPr>
      </w:pPr>
      <w:r w:rsidRPr="00E76F61">
        <w:rPr>
          <w:b/>
          <w:i/>
          <w:iCs/>
        </w:rPr>
        <w:t xml:space="preserve">Table 1. </w:t>
      </w:r>
      <w:r w:rsidR="008016AE" w:rsidRPr="008016AE">
        <w:t>Physiological parameters from all subjects at the baseline (T0) and during the season: SBP: Systolic Blood Pressure; DBP: Diastolic Blood Pressure; S</w:t>
      </w:r>
      <w:r w:rsidR="00D137CE">
        <w:t>p</w:t>
      </w:r>
      <w:r w:rsidR="008016AE" w:rsidRPr="008016AE">
        <w:t>O</w:t>
      </w:r>
      <w:r w:rsidR="008016AE" w:rsidRPr="008016AE">
        <w:rPr>
          <w:vertAlign w:val="subscript"/>
        </w:rPr>
        <w:t>2</w:t>
      </w:r>
      <w:r w:rsidR="008016AE" w:rsidRPr="008016AE">
        <w:t>: Arterial Oxygen Saturation. Data are displayed as mean ± SD. Statistically significant differences symbols: *p&lt;0.05 respect T0.</w:t>
      </w:r>
    </w:p>
    <w:tbl>
      <w:tblPr>
        <w:tblW w:w="7857" w:type="dxa"/>
        <w:tblInd w:w="2608" w:type="dxa"/>
        <w:tblLayout w:type="fixed"/>
        <w:tblCellMar>
          <w:left w:w="0" w:type="dxa"/>
          <w:right w:w="0" w:type="dxa"/>
        </w:tblCellMar>
        <w:tblLook w:val="04A0" w:firstRow="1" w:lastRow="0" w:firstColumn="1" w:lastColumn="0" w:noHBand="0" w:noVBand="1"/>
      </w:tblPr>
      <w:tblGrid>
        <w:gridCol w:w="1113"/>
        <w:gridCol w:w="1312"/>
        <w:gridCol w:w="1339"/>
        <w:gridCol w:w="1206"/>
        <w:gridCol w:w="1366"/>
        <w:gridCol w:w="1521"/>
      </w:tblGrid>
      <w:tr w:rsidR="0030416D" w:rsidRPr="00E76F61" w14:paraId="63AC2825" w14:textId="77777777" w:rsidTr="00E76F61">
        <w:tc>
          <w:tcPr>
            <w:tcW w:w="1124" w:type="dxa"/>
            <w:tcBorders>
              <w:top w:val="single" w:sz="8" w:space="0" w:color="auto"/>
              <w:bottom w:val="single" w:sz="4" w:space="0" w:color="auto"/>
            </w:tcBorders>
            <w:shd w:val="clear" w:color="auto" w:fill="ACB9CA" w:themeFill="text2" w:themeFillTint="66"/>
            <w:tcMar>
              <w:left w:w="93" w:type="dxa"/>
            </w:tcMar>
            <w:vAlign w:val="center"/>
          </w:tcPr>
          <w:p w14:paraId="7E80424F" w14:textId="77777777" w:rsidR="0030416D" w:rsidRPr="00E76F61" w:rsidRDefault="005E10F1" w:rsidP="00E76F61">
            <w:pPr>
              <w:tabs>
                <w:tab w:val="center" w:pos="4819"/>
                <w:tab w:val="right" w:pos="9638"/>
              </w:tabs>
              <w:autoSpaceDE w:val="0"/>
              <w:autoSpaceDN w:val="0"/>
              <w:adjustRightInd w:val="0"/>
              <w:snapToGrid w:val="0"/>
              <w:spacing w:line="240" w:lineRule="auto"/>
              <w:jc w:val="center"/>
              <w:rPr>
                <w:rFonts w:asciiTheme="majorBidi" w:eastAsia="MS PGothic" w:hAnsiTheme="majorBidi" w:cstheme="majorBidi"/>
                <w:b/>
                <w:bCs/>
                <w:color w:val="000000" w:themeColor="text1"/>
                <w:position w:val="1"/>
                <w:sz w:val="16"/>
              </w:rPr>
            </w:pPr>
            <w:r w:rsidRPr="00E76F61">
              <w:rPr>
                <w:rFonts w:eastAsia="Times New Roman"/>
                <w:b/>
                <w:bCs/>
                <w:noProof w:val="0"/>
                <w:snapToGrid w:val="0"/>
                <w:sz w:val="16"/>
                <w:lang w:eastAsia="de-DE" w:bidi="en-US"/>
              </w:rPr>
              <w:t>Parameter</w:t>
            </w:r>
          </w:p>
        </w:tc>
        <w:tc>
          <w:tcPr>
            <w:tcW w:w="6814" w:type="dxa"/>
            <w:gridSpan w:val="5"/>
            <w:tcBorders>
              <w:top w:val="single" w:sz="8" w:space="0" w:color="auto"/>
              <w:bottom w:val="single" w:sz="4" w:space="0" w:color="auto"/>
            </w:tcBorders>
            <w:shd w:val="clear" w:color="auto" w:fill="8EAADB" w:themeFill="accent1" w:themeFillTint="99"/>
            <w:tcMar>
              <w:left w:w="93" w:type="dxa"/>
            </w:tcMar>
            <w:vAlign w:val="center"/>
          </w:tcPr>
          <w:p w14:paraId="197CCC09"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asciiTheme="majorBidi" w:eastAsia="MS PGothic" w:hAnsiTheme="majorBidi" w:cstheme="majorBidi"/>
                <w:b/>
                <w:bCs/>
                <w:position w:val="1"/>
                <w:sz w:val="16"/>
              </w:rPr>
            </w:pPr>
            <w:r w:rsidRPr="00E76F61">
              <w:rPr>
                <w:rFonts w:eastAsia="Times New Roman"/>
                <w:b/>
                <w:bCs/>
                <w:noProof w:val="0"/>
                <w:snapToGrid w:val="0"/>
                <w:sz w:val="16"/>
                <w:lang w:eastAsia="de-DE" w:bidi="en-US"/>
              </w:rPr>
              <w:t>Time Point</w:t>
            </w:r>
          </w:p>
        </w:tc>
      </w:tr>
      <w:tr w:rsidR="0030416D" w:rsidRPr="00E76F61" w14:paraId="45AACE81" w14:textId="77777777" w:rsidTr="00E76F61">
        <w:tc>
          <w:tcPr>
            <w:tcW w:w="1124" w:type="dxa"/>
            <w:tcBorders>
              <w:top w:val="single" w:sz="4" w:space="0" w:color="auto"/>
              <w:bottom w:val="single" w:sz="4" w:space="0" w:color="auto"/>
            </w:tcBorders>
            <w:shd w:val="clear" w:color="auto" w:fill="auto"/>
            <w:tcMar>
              <w:left w:w="93" w:type="dxa"/>
            </w:tcMar>
            <w:vAlign w:val="center"/>
          </w:tcPr>
          <w:p w14:paraId="5E8CFA17"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noProof w:val="0"/>
                <w:snapToGrid w:val="0"/>
                <w:sz w:val="16"/>
                <w:lang w:eastAsia="de-DE" w:bidi="en-US"/>
              </w:rPr>
            </w:pPr>
          </w:p>
        </w:tc>
        <w:tc>
          <w:tcPr>
            <w:tcW w:w="1326" w:type="dxa"/>
            <w:tcBorders>
              <w:top w:val="single" w:sz="4" w:space="0" w:color="auto"/>
              <w:bottom w:val="single" w:sz="4" w:space="0" w:color="auto"/>
            </w:tcBorders>
            <w:shd w:val="clear" w:color="auto" w:fill="auto"/>
            <w:tcMar>
              <w:left w:w="93" w:type="dxa"/>
            </w:tcMar>
            <w:vAlign w:val="center"/>
          </w:tcPr>
          <w:p w14:paraId="61633EB6"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lang w:eastAsia="de-DE" w:bidi="en-US"/>
              </w:rPr>
            </w:pPr>
            <w:r w:rsidRPr="00E76F61">
              <w:rPr>
                <w:rFonts w:eastAsia="Times New Roman"/>
                <w:b/>
                <w:bCs/>
                <w:noProof w:val="0"/>
                <w:snapToGrid w:val="0"/>
                <w:sz w:val="16"/>
                <w:lang w:eastAsia="de-DE" w:bidi="en-US"/>
              </w:rPr>
              <w:t>T0</w:t>
            </w:r>
          </w:p>
        </w:tc>
        <w:tc>
          <w:tcPr>
            <w:tcW w:w="1353" w:type="dxa"/>
            <w:tcBorders>
              <w:top w:val="single" w:sz="4" w:space="0" w:color="auto"/>
              <w:bottom w:val="single" w:sz="4" w:space="0" w:color="auto"/>
            </w:tcBorders>
            <w:shd w:val="clear" w:color="auto" w:fill="auto"/>
            <w:tcMar>
              <w:left w:w="93" w:type="dxa"/>
            </w:tcMar>
            <w:vAlign w:val="center"/>
          </w:tcPr>
          <w:p w14:paraId="3769BDB6"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lang w:eastAsia="de-DE" w:bidi="en-US"/>
              </w:rPr>
            </w:pPr>
            <w:r w:rsidRPr="00E76F61">
              <w:rPr>
                <w:rFonts w:eastAsia="Times New Roman"/>
                <w:b/>
                <w:bCs/>
                <w:noProof w:val="0"/>
                <w:snapToGrid w:val="0"/>
                <w:sz w:val="16"/>
                <w:lang w:eastAsia="de-DE" w:bidi="en-US"/>
              </w:rPr>
              <w:t>T1</w:t>
            </w:r>
          </w:p>
        </w:tc>
        <w:tc>
          <w:tcPr>
            <w:tcW w:w="1218" w:type="dxa"/>
            <w:tcBorders>
              <w:top w:val="single" w:sz="4" w:space="0" w:color="auto"/>
              <w:bottom w:val="single" w:sz="4" w:space="0" w:color="auto"/>
            </w:tcBorders>
            <w:shd w:val="clear" w:color="auto" w:fill="auto"/>
            <w:tcMar>
              <w:left w:w="93" w:type="dxa"/>
            </w:tcMar>
            <w:vAlign w:val="center"/>
          </w:tcPr>
          <w:p w14:paraId="6E9FB0AD"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lang w:eastAsia="de-DE" w:bidi="en-US"/>
              </w:rPr>
            </w:pPr>
            <w:r w:rsidRPr="00E76F61">
              <w:rPr>
                <w:rFonts w:eastAsia="Times New Roman"/>
                <w:b/>
                <w:bCs/>
                <w:noProof w:val="0"/>
                <w:snapToGrid w:val="0"/>
                <w:sz w:val="16"/>
                <w:lang w:eastAsia="de-DE" w:bidi="en-US"/>
              </w:rPr>
              <w:t>T2</w:t>
            </w:r>
          </w:p>
        </w:tc>
        <w:tc>
          <w:tcPr>
            <w:tcW w:w="1380" w:type="dxa"/>
            <w:tcBorders>
              <w:top w:val="single" w:sz="4" w:space="0" w:color="auto"/>
            </w:tcBorders>
            <w:shd w:val="clear" w:color="auto" w:fill="auto"/>
            <w:tcMar>
              <w:left w:w="93" w:type="dxa"/>
            </w:tcMar>
            <w:vAlign w:val="center"/>
          </w:tcPr>
          <w:p w14:paraId="7F49DA93"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lang w:eastAsia="de-DE" w:bidi="en-US"/>
              </w:rPr>
            </w:pPr>
            <w:r w:rsidRPr="00E76F61">
              <w:rPr>
                <w:rFonts w:eastAsia="Times New Roman"/>
                <w:b/>
                <w:bCs/>
                <w:noProof w:val="0"/>
                <w:snapToGrid w:val="0"/>
                <w:sz w:val="16"/>
                <w:lang w:eastAsia="de-DE" w:bidi="en-US"/>
              </w:rPr>
              <w:t>T3</w:t>
            </w:r>
          </w:p>
        </w:tc>
        <w:tc>
          <w:tcPr>
            <w:tcW w:w="1537" w:type="dxa"/>
            <w:tcBorders>
              <w:top w:val="single" w:sz="4" w:space="0" w:color="auto"/>
            </w:tcBorders>
            <w:shd w:val="clear" w:color="auto" w:fill="auto"/>
            <w:tcMar>
              <w:left w:w="93" w:type="dxa"/>
            </w:tcMar>
            <w:vAlign w:val="center"/>
          </w:tcPr>
          <w:p w14:paraId="4F5331D0"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lang w:eastAsia="de-DE" w:bidi="en-US"/>
              </w:rPr>
            </w:pPr>
            <w:r w:rsidRPr="00E76F61">
              <w:rPr>
                <w:rFonts w:eastAsia="Times New Roman"/>
                <w:b/>
                <w:bCs/>
                <w:noProof w:val="0"/>
                <w:snapToGrid w:val="0"/>
                <w:sz w:val="16"/>
                <w:lang w:eastAsia="de-DE" w:bidi="en-US"/>
              </w:rPr>
              <w:t>T4</w:t>
            </w:r>
          </w:p>
        </w:tc>
      </w:tr>
      <w:tr w:rsidR="0030416D" w:rsidRPr="00E76F61" w14:paraId="3B3218DB" w14:textId="77777777" w:rsidTr="00E76F61">
        <w:tc>
          <w:tcPr>
            <w:tcW w:w="1124" w:type="dxa"/>
            <w:tcBorders>
              <w:top w:val="single" w:sz="4" w:space="0" w:color="auto"/>
            </w:tcBorders>
            <w:shd w:val="clear" w:color="auto" w:fill="auto"/>
            <w:tcMar>
              <w:left w:w="93" w:type="dxa"/>
            </w:tcMar>
            <w:vAlign w:val="center"/>
          </w:tcPr>
          <w:p w14:paraId="44C111D1"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szCs w:val="18"/>
                <w:lang w:eastAsia="de-DE" w:bidi="en-US"/>
              </w:rPr>
            </w:pPr>
            <w:r w:rsidRPr="00E76F61">
              <w:rPr>
                <w:rFonts w:eastAsia="Times New Roman"/>
                <w:b/>
                <w:bCs/>
                <w:noProof w:val="0"/>
                <w:snapToGrid w:val="0"/>
                <w:sz w:val="16"/>
                <w:szCs w:val="18"/>
                <w:lang w:eastAsia="de-DE" w:bidi="en-US"/>
              </w:rPr>
              <w:t>S</w:t>
            </w:r>
            <w:r w:rsidR="00D137CE" w:rsidRPr="00E76F61">
              <w:rPr>
                <w:rFonts w:eastAsia="Times New Roman"/>
                <w:b/>
                <w:bCs/>
                <w:noProof w:val="0"/>
                <w:snapToGrid w:val="0"/>
                <w:sz w:val="16"/>
                <w:szCs w:val="18"/>
                <w:lang w:eastAsia="de-DE" w:bidi="en-US"/>
              </w:rPr>
              <w:t>p</w:t>
            </w:r>
            <w:r w:rsidRPr="00E76F61">
              <w:rPr>
                <w:rFonts w:eastAsia="Times New Roman"/>
                <w:b/>
                <w:bCs/>
                <w:noProof w:val="0"/>
                <w:snapToGrid w:val="0"/>
                <w:sz w:val="16"/>
                <w:szCs w:val="18"/>
                <w:lang w:eastAsia="de-DE" w:bidi="en-US"/>
              </w:rPr>
              <w:t>O</w:t>
            </w:r>
            <w:r w:rsidRPr="00E76F61">
              <w:rPr>
                <w:rFonts w:eastAsia="Times New Roman"/>
                <w:b/>
                <w:bCs/>
                <w:noProof w:val="0"/>
                <w:snapToGrid w:val="0"/>
                <w:sz w:val="16"/>
                <w:szCs w:val="18"/>
                <w:vertAlign w:val="subscript"/>
                <w:lang w:eastAsia="de-DE" w:bidi="en-US"/>
              </w:rPr>
              <w:t>2</w:t>
            </w:r>
            <w:r w:rsidRPr="00E76F61">
              <w:rPr>
                <w:rFonts w:eastAsia="Times New Roman"/>
                <w:b/>
                <w:bCs/>
                <w:noProof w:val="0"/>
                <w:snapToGrid w:val="0"/>
                <w:sz w:val="16"/>
                <w:szCs w:val="18"/>
                <w:lang w:eastAsia="de-DE" w:bidi="en-US"/>
              </w:rPr>
              <w:t xml:space="preserve"> </w:t>
            </w:r>
            <w:r w:rsidRPr="00E76F61">
              <w:rPr>
                <w:rFonts w:eastAsia="Times New Roman"/>
                <w:b/>
                <w:bCs/>
                <w:noProof w:val="0"/>
                <w:snapToGrid w:val="0"/>
                <w:sz w:val="16"/>
                <w:szCs w:val="12"/>
                <w:lang w:eastAsia="de-DE" w:bidi="en-US"/>
              </w:rPr>
              <w:t>(%)</w:t>
            </w:r>
          </w:p>
        </w:tc>
        <w:tc>
          <w:tcPr>
            <w:tcW w:w="1326" w:type="dxa"/>
            <w:tcBorders>
              <w:top w:val="single" w:sz="4" w:space="0" w:color="auto"/>
            </w:tcBorders>
            <w:shd w:val="clear" w:color="auto" w:fill="auto"/>
            <w:tcMar>
              <w:left w:w="93" w:type="dxa"/>
            </w:tcMar>
            <w:vAlign w:val="center"/>
          </w:tcPr>
          <w:p w14:paraId="3DD5486E"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97.0 ± 0.9</w:t>
            </w:r>
          </w:p>
        </w:tc>
        <w:tc>
          <w:tcPr>
            <w:tcW w:w="1353" w:type="dxa"/>
            <w:tcBorders>
              <w:top w:val="single" w:sz="4" w:space="0" w:color="auto"/>
            </w:tcBorders>
            <w:shd w:val="clear" w:color="auto" w:fill="auto"/>
            <w:tcMar>
              <w:left w:w="93" w:type="dxa"/>
            </w:tcMar>
            <w:vAlign w:val="center"/>
          </w:tcPr>
          <w:p w14:paraId="3A488512"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97.4± 1.1</w:t>
            </w:r>
          </w:p>
        </w:tc>
        <w:tc>
          <w:tcPr>
            <w:tcW w:w="1218" w:type="dxa"/>
            <w:tcBorders>
              <w:top w:val="single" w:sz="4" w:space="0" w:color="auto"/>
            </w:tcBorders>
            <w:shd w:val="clear" w:color="auto" w:fill="auto"/>
            <w:tcMar>
              <w:left w:w="93" w:type="dxa"/>
            </w:tcMar>
            <w:vAlign w:val="center"/>
          </w:tcPr>
          <w:p w14:paraId="0B25C69A"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97.3± 1.1</w:t>
            </w:r>
          </w:p>
        </w:tc>
        <w:tc>
          <w:tcPr>
            <w:tcW w:w="1380" w:type="dxa"/>
            <w:shd w:val="clear" w:color="auto" w:fill="auto"/>
            <w:tcMar>
              <w:left w:w="93" w:type="dxa"/>
            </w:tcMar>
            <w:vAlign w:val="center"/>
          </w:tcPr>
          <w:p w14:paraId="4340CB3A"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97.1± 1.0</w:t>
            </w:r>
          </w:p>
        </w:tc>
        <w:tc>
          <w:tcPr>
            <w:tcW w:w="1537" w:type="dxa"/>
            <w:shd w:val="clear" w:color="auto" w:fill="auto"/>
            <w:tcMar>
              <w:left w:w="93" w:type="dxa"/>
            </w:tcMar>
            <w:vAlign w:val="center"/>
          </w:tcPr>
          <w:p w14:paraId="27C13C46"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97.5± 1.3</w:t>
            </w:r>
          </w:p>
        </w:tc>
      </w:tr>
      <w:tr w:rsidR="0030416D" w:rsidRPr="00E76F61" w14:paraId="1BEC78C2" w14:textId="77777777" w:rsidTr="00E76F61">
        <w:tc>
          <w:tcPr>
            <w:tcW w:w="1124" w:type="dxa"/>
            <w:shd w:val="clear" w:color="auto" w:fill="auto"/>
            <w:tcMar>
              <w:left w:w="93" w:type="dxa"/>
            </w:tcMar>
            <w:vAlign w:val="center"/>
          </w:tcPr>
          <w:p w14:paraId="0BF051B8"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szCs w:val="18"/>
                <w:lang w:eastAsia="de-DE" w:bidi="en-US"/>
              </w:rPr>
            </w:pPr>
            <w:r w:rsidRPr="00E76F61">
              <w:rPr>
                <w:rFonts w:eastAsia="Times New Roman"/>
                <w:b/>
                <w:bCs/>
                <w:noProof w:val="0"/>
                <w:snapToGrid w:val="0"/>
                <w:sz w:val="16"/>
                <w:szCs w:val="18"/>
                <w:lang w:eastAsia="de-DE" w:bidi="en-US"/>
              </w:rPr>
              <w:t xml:space="preserve">SBP </w:t>
            </w:r>
            <w:r w:rsidR="008832E8" w:rsidRPr="00E76F61">
              <w:rPr>
                <w:rFonts w:eastAsia="Times New Roman"/>
                <w:b/>
                <w:bCs/>
                <w:noProof w:val="0"/>
                <w:snapToGrid w:val="0"/>
                <w:sz w:val="16"/>
                <w:szCs w:val="12"/>
                <w:lang w:eastAsia="de-DE" w:bidi="en-US"/>
              </w:rPr>
              <w:t>(mmHg)</w:t>
            </w:r>
            <w:r w:rsidR="008832E8" w:rsidRPr="00E76F61">
              <w:rPr>
                <w:rFonts w:eastAsia="Times New Roman"/>
                <w:b/>
                <w:bCs/>
                <w:noProof w:val="0"/>
                <w:snapToGrid w:val="0"/>
                <w:sz w:val="16"/>
                <w:szCs w:val="18"/>
                <w:lang w:eastAsia="de-DE" w:bidi="en-US"/>
              </w:rPr>
              <w:t xml:space="preserve"> </w:t>
            </w:r>
            <w:r w:rsidRPr="008F7174">
              <w:rPr>
                <w:rFonts w:eastAsia="Times New Roman"/>
                <w:b/>
                <w:bCs/>
                <w:noProof w:val="0"/>
                <w:snapToGrid w:val="0"/>
                <w:sz w:val="16"/>
                <w:szCs w:val="18"/>
                <w:highlight w:val="yellow"/>
                <w:lang w:eastAsia="de-DE" w:bidi="en-US"/>
              </w:rPr>
              <w:t>(</w:t>
            </w:r>
            <w:r w:rsidRPr="008F7174">
              <w:rPr>
                <w:rFonts w:eastAsia="Times New Roman"/>
                <w:b/>
                <w:bCs/>
                <w:strike/>
                <w:noProof w:val="0"/>
                <w:snapToGrid w:val="0"/>
                <w:sz w:val="16"/>
                <w:szCs w:val="18"/>
                <w:highlight w:val="yellow"/>
                <w:lang w:eastAsia="de-DE" w:bidi="en-US"/>
              </w:rPr>
              <w:t>mmHg)</w:t>
            </w:r>
          </w:p>
        </w:tc>
        <w:tc>
          <w:tcPr>
            <w:tcW w:w="1326" w:type="dxa"/>
            <w:shd w:val="clear" w:color="auto" w:fill="auto"/>
            <w:tcMar>
              <w:left w:w="93" w:type="dxa"/>
            </w:tcMar>
            <w:vAlign w:val="center"/>
          </w:tcPr>
          <w:p w14:paraId="1D7BB040"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135.6 ± 24.9</w:t>
            </w:r>
          </w:p>
        </w:tc>
        <w:tc>
          <w:tcPr>
            <w:tcW w:w="1353" w:type="dxa"/>
            <w:shd w:val="clear" w:color="auto" w:fill="auto"/>
            <w:tcMar>
              <w:left w:w="93" w:type="dxa"/>
            </w:tcMar>
            <w:vAlign w:val="center"/>
          </w:tcPr>
          <w:p w14:paraId="2D2547C4"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120.0 ± 7.3</w:t>
            </w:r>
          </w:p>
        </w:tc>
        <w:tc>
          <w:tcPr>
            <w:tcW w:w="1218" w:type="dxa"/>
            <w:shd w:val="clear" w:color="auto" w:fill="auto"/>
            <w:tcMar>
              <w:left w:w="93" w:type="dxa"/>
            </w:tcMar>
            <w:vAlign w:val="center"/>
          </w:tcPr>
          <w:p w14:paraId="0A3EECBE"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116.9 ± 16.4</w:t>
            </w:r>
          </w:p>
        </w:tc>
        <w:tc>
          <w:tcPr>
            <w:tcW w:w="1380" w:type="dxa"/>
            <w:shd w:val="clear" w:color="auto" w:fill="auto"/>
            <w:tcMar>
              <w:left w:w="93" w:type="dxa"/>
            </w:tcMar>
            <w:vAlign w:val="center"/>
          </w:tcPr>
          <w:p w14:paraId="2B0CF3E4"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117.9 ± 5.8</w:t>
            </w:r>
          </w:p>
        </w:tc>
        <w:tc>
          <w:tcPr>
            <w:tcW w:w="1537" w:type="dxa"/>
            <w:shd w:val="clear" w:color="auto" w:fill="auto"/>
            <w:tcMar>
              <w:left w:w="93" w:type="dxa"/>
            </w:tcMar>
            <w:vAlign w:val="center"/>
          </w:tcPr>
          <w:p w14:paraId="2AF53484"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116.5 ± 12.1*</w:t>
            </w:r>
          </w:p>
        </w:tc>
      </w:tr>
      <w:tr w:rsidR="0030416D" w:rsidRPr="00E76F61" w14:paraId="05794371" w14:textId="77777777" w:rsidTr="00E76F61">
        <w:tc>
          <w:tcPr>
            <w:tcW w:w="1124" w:type="dxa"/>
            <w:tcBorders>
              <w:bottom w:val="single" w:sz="8" w:space="0" w:color="auto"/>
            </w:tcBorders>
            <w:shd w:val="clear" w:color="auto" w:fill="auto"/>
            <w:tcMar>
              <w:left w:w="93" w:type="dxa"/>
            </w:tcMar>
            <w:vAlign w:val="center"/>
          </w:tcPr>
          <w:p w14:paraId="59E164EB"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b/>
                <w:bCs/>
                <w:noProof w:val="0"/>
                <w:snapToGrid w:val="0"/>
                <w:sz w:val="16"/>
                <w:szCs w:val="18"/>
                <w:lang w:eastAsia="de-DE" w:bidi="en-US"/>
              </w:rPr>
            </w:pPr>
            <w:r w:rsidRPr="00E76F61">
              <w:rPr>
                <w:rFonts w:eastAsia="Times New Roman"/>
                <w:b/>
                <w:bCs/>
                <w:noProof w:val="0"/>
                <w:snapToGrid w:val="0"/>
                <w:sz w:val="16"/>
                <w:szCs w:val="18"/>
                <w:lang w:eastAsia="de-DE" w:bidi="en-US"/>
              </w:rPr>
              <w:t xml:space="preserve">DBP </w:t>
            </w:r>
            <w:r w:rsidRPr="00E76F61">
              <w:rPr>
                <w:rFonts w:eastAsia="Times New Roman"/>
                <w:b/>
                <w:bCs/>
                <w:noProof w:val="0"/>
                <w:snapToGrid w:val="0"/>
                <w:sz w:val="16"/>
                <w:szCs w:val="12"/>
                <w:lang w:eastAsia="de-DE" w:bidi="en-US"/>
              </w:rPr>
              <w:t>(mmHg)</w:t>
            </w:r>
          </w:p>
        </w:tc>
        <w:tc>
          <w:tcPr>
            <w:tcW w:w="1326" w:type="dxa"/>
            <w:tcBorders>
              <w:bottom w:val="single" w:sz="8" w:space="0" w:color="auto"/>
            </w:tcBorders>
            <w:shd w:val="clear" w:color="auto" w:fill="auto"/>
            <w:tcMar>
              <w:left w:w="93" w:type="dxa"/>
            </w:tcMar>
            <w:vAlign w:val="center"/>
          </w:tcPr>
          <w:p w14:paraId="36E97F49"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79.5 ± 11.3</w:t>
            </w:r>
          </w:p>
        </w:tc>
        <w:tc>
          <w:tcPr>
            <w:tcW w:w="1353" w:type="dxa"/>
            <w:tcBorders>
              <w:bottom w:val="single" w:sz="8" w:space="0" w:color="auto"/>
            </w:tcBorders>
            <w:shd w:val="clear" w:color="auto" w:fill="auto"/>
            <w:tcMar>
              <w:left w:w="93" w:type="dxa"/>
            </w:tcMar>
            <w:vAlign w:val="center"/>
          </w:tcPr>
          <w:p w14:paraId="36C4ED49"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76.8 ± 5.4</w:t>
            </w:r>
          </w:p>
        </w:tc>
        <w:tc>
          <w:tcPr>
            <w:tcW w:w="1218" w:type="dxa"/>
            <w:tcBorders>
              <w:bottom w:val="single" w:sz="8" w:space="0" w:color="auto"/>
            </w:tcBorders>
            <w:shd w:val="clear" w:color="auto" w:fill="auto"/>
            <w:tcMar>
              <w:left w:w="93" w:type="dxa"/>
            </w:tcMar>
            <w:vAlign w:val="center"/>
          </w:tcPr>
          <w:p w14:paraId="3BCFD439"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65.2± 5.9</w:t>
            </w:r>
          </w:p>
        </w:tc>
        <w:tc>
          <w:tcPr>
            <w:tcW w:w="1380" w:type="dxa"/>
            <w:tcBorders>
              <w:bottom w:val="single" w:sz="8" w:space="0" w:color="auto"/>
            </w:tcBorders>
            <w:shd w:val="clear" w:color="auto" w:fill="auto"/>
            <w:tcMar>
              <w:left w:w="93" w:type="dxa"/>
            </w:tcMar>
            <w:vAlign w:val="center"/>
          </w:tcPr>
          <w:p w14:paraId="2F0D6C38"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67.6± 8.7</w:t>
            </w:r>
          </w:p>
        </w:tc>
        <w:tc>
          <w:tcPr>
            <w:tcW w:w="1537" w:type="dxa"/>
            <w:tcBorders>
              <w:bottom w:val="single" w:sz="8" w:space="0" w:color="auto"/>
            </w:tcBorders>
            <w:shd w:val="clear" w:color="auto" w:fill="auto"/>
            <w:tcMar>
              <w:left w:w="93" w:type="dxa"/>
            </w:tcMar>
            <w:vAlign w:val="center"/>
          </w:tcPr>
          <w:p w14:paraId="30FD6E32" w14:textId="77777777" w:rsidR="0030416D" w:rsidRPr="00E76F61" w:rsidRDefault="0030416D" w:rsidP="00E76F61">
            <w:pPr>
              <w:tabs>
                <w:tab w:val="center" w:pos="4819"/>
                <w:tab w:val="right" w:pos="9638"/>
              </w:tabs>
              <w:autoSpaceDE w:val="0"/>
              <w:autoSpaceDN w:val="0"/>
              <w:adjustRightInd w:val="0"/>
              <w:snapToGrid w:val="0"/>
              <w:spacing w:line="240" w:lineRule="auto"/>
              <w:jc w:val="center"/>
              <w:rPr>
                <w:rFonts w:eastAsia="Times New Roman"/>
                <w:noProof w:val="0"/>
                <w:snapToGrid w:val="0"/>
                <w:sz w:val="16"/>
                <w:lang w:eastAsia="de-DE" w:bidi="en-US"/>
              </w:rPr>
            </w:pPr>
            <w:r w:rsidRPr="00E76F61">
              <w:rPr>
                <w:rFonts w:eastAsia="Times New Roman"/>
                <w:noProof w:val="0"/>
                <w:snapToGrid w:val="0"/>
                <w:sz w:val="16"/>
                <w:lang w:eastAsia="de-DE" w:bidi="en-US"/>
              </w:rPr>
              <w:t>74.0 ± 7.5</w:t>
            </w:r>
          </w:p>
        </w:tc>
      </w:tr>
    </w:tbl>
    <w:p w14:paraId="181D0046" w14:textId="77777777" w:rsidR="00F4799A" w:rsidRDefault="00F4799A" w:rsidP="00E76F61">
      <w:pPr>
        <w:pStyle w:val="MDPI43tablefooter"/>
      </w:pPr>
    </w:p>
    <w:p w14:paraId="2BA03614" w14:textId="77777777" w:rsidR="00F4799A" w:rsidRDefault="00F4799A" w:rsidP="00E76F61">
      <w:pPr>
        <w:pStyle w:val="MDPI43tablefooter"/>
      </w:pPr>
    </w:p>
    <w:p w14:paraId="3C475D08" w14:textId="77777777" w:rsidR="0030416D" w:rsidRPr="00CC3C0D" w:rsidRDefault="00882C70" w:rsidP="00E76F61">
      <w:pPr>
        <w:pStyle w:val="MDPI43tablefooter"/>
        <w:rPr>
          <w:i/>
          <w:sz w:val="20"/>
          <w:szCs w:val="20"/>
        </w:rPr>
      </w:pPr>
      <w:r w:rsidRPr="00CC3C0D">
        <w:rPr>
          <w:sz w:val="20"/>
          <w:szCs w:val="20"/>
        </w:rPr>
        <w:t xml:space="preserve">The concentration values of oxy-inflammation biomarkers obtained during the training sessions (A pre vs B post; T1, T2, T3) and from T0, and T4 in the examined athletes are displayed in </w:t>
      </w:r>
      <w:r w:rsidRPr="00CC3C0D">
        <w:rPr>
          <w:b/>
          <w:bCs/>
          <w:sz w:val="20"/>
          <w:szCs w:val="20"/>
        </w:rPr>
        <w:t>Figure 2</w:t>
      </w:r>
      <w:r w:rsidRPr="00CC3C0D">
        <w:rPr>
          <w:sz w:val="20"/>
          <w:szCs w:val="20"/>
        </w:rPr>
        <w:t>.</w:t>
      </w:r>
    </w:p>
    <w:p w14:paraId="18C8C57D" w14:textId="77777777" w:rsidR="004C5693" w:rsidRDefault="00C25729" w:rsidP="00E76F61">
      <w:pPr>
        <w:pStyle w:val="MDPI52figure"/>
        <w:ind w:left="2608"/>
        <w:jc w:val="left"/>
      </w:pPr>
      <w:r>
        <w:rPr>
          <w:noProof/>
          <w:snapToGrid/>
          <w:lang w:val="it-IT" w:eastAsia="it-IT" w:bidi="ar-SA"/>
        </w:rPr>
        <w:drawing>
          <wp:inline distT="0" distB="0" distL="0" distR="0" wp14:anchorId="1273F9BF" wp14:editId="0640E2B1">
            <wp:extent cx="4969747" cy="4463028"/>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0"/>
                    <a:stretch>
                      <a:fillRect/>
                    </a:stretch>
                  </pic:blipFill>
                  <pic:spPr>
                    <a:xfrm>
                      <a:off x="0" y="0"/>
                      <a:ext cx="4980198" cy="4472414"/>
                    </a:xfrm>
                    <a:prstGeom prst="rect">
                      <a:avLst/>
                    </a:prstGeom>
                  </pic:spPr>
                </pic:pic>
              </a:graphicData>
            </a:graphic>
          </wp:inline>
        </w:drawing>
      </w:r>
    </w:p>
    <w:p w14:paraId="694D0E1F" w14:textId="77777777" w:rsidR="00882C70" w:rsidRDefault="00E76F61" w:rsidP="00E76F61">
      <w:pPr>
        <w:pStyle w:val="MDPI51figurecaption"/>
        <w:rPr>
          <w:i/>
          <w:iCs/>
        </w:rPr>
      </w:pPr>
      <w:r w:rsidRPr="00E76F61">
        <w:rPr>
          <w:b/>
          <w:i/>
          <w:iCs/>
        </w:rPr>
        <w:t xml:space="preserve">Figure 2. </w:t>
      </w:r>
      <w:r w:rsidR="004C5693" w:rsidRPr="004C5693">
        <w:t>Histogram panel plots of the oxy-inflammation biomarkers. Time course of A) reactive</w:t>
      </w:r>
      <w:r w:rsidR="00E63FB9">
        <w:t xml:space="preserve">   </w:t>
      </w:r>
      <w:r w:rsidR="004C5693" w:rsidRPr="004C5693">
        <w:t>oxygen species (ROS), B) interleukin (IL-6), C) total antioxidant capacity (TAC), and D) NO metabolites (NOx) at: T0, basal measure, before the season; T1, at the start of training season T2, the middle period of the season; T3, the end of the season; and T4, two months after the end of the season. Values recorded pre (TA) and post (TB) training sessions are reported too. Data are expressed as mean ± SD. Statistically significant differences comparison are displayed as: *, p &lt; 0.05; **, p &lt; 0.01.</w:t>
      </w:r>
    </w:p>
    <w:p w14:paraId="4C23A090" w14:textId="77777777" w:rsidR="00E63FB9" w:rsidRDefault="00E63FB9" w:rsidP="00E63FB9">
      <w:pPr>
        <w:pStyle w:val="MDPI21heading1"/>
        <w:spacing w:before="0" w:after="0" w:line="240" w:lineRule="auto"/>
        <w:jc w:val="both"/>
        <w:rPr>
          <w:b w:val="0"/>
        </w:rPr>
      </w:pPr>
    </w:p>
    <w:p w14:paraId="0DD3A455" w14:textId="77777777" w:rsidR="00E63FB9" w:rsidRPr="00E96608" w:rsidRDefault="00E63FB9" w:rsidP="00E76F61">
      <w:pPr>
        <w:pStyle w:val="MDPI31text"/>
        <w:rPr>
          <w:b/>
        </w:rPr>
      </w:pPr>
      <w:r w:rsidRPr="000D590B">
        <w:t xml:space="preserve">We found </w:t>
      </w:r>
      <w:r w:rsidR="005A2288" w:rsidRPr="000D590B">
        <w:t xml:space="preserve">a </w:t>
      </w:r>
      <w:r w:rsidRPr="000D590B">
        <w:t>significant increase in ROS production after every training session: T1</w:t>
      </w:r>
      <w:r w:rsidR="00037517" w:rsidRPr="000D590B">
        <w:t>A</w:t>
      </w:r>
      <w:r w:rsidR="00C17F39" w:rsidRPr="000D590B">
        <w:t xml:space="preserve"> vs </w:t>
      </w:r>
      <w:r w:rsidR="00037517" w:rsidRPr="000D590B">
        <w:t>B +71%</w:t>
      </w:r>
      <w:r w:rsidR="0039736C" w:rsidRPr="000D590B">
        <w:t xml:space="preserve">, </w:t>
      </w:r>
      <w:r w:rsidR="0039736C" w:rsidRPr="000D590B">
        <w:rPr>
          <w:color w:val="FF0000"/>
          <w:szCs w:val="20"/>
        </w:rPr>
        <w:t>dCohen=1.</w:t>
      </w:r>
      <w:r w:rsidR="000D5B35" w:rsidRPr="000D590B">
        <w:rPr>
          <w:color w:val="FF0000"/>
          <w:szCs w:val="20"/>
        </w:rPr>
        <w:t>10</w:t>
      </w:r>
      <w:r w:rsidR="0039736C" w:rsidRPr="000D590B">
        <w:rPr>
          <w:color w:val="FF0000"/>
        </w:rPr>
        <w:t>;</w:t>
      </w:r>
      <w:r w:rsidR="00037517" w:rsidRPr="000D590B">
        <w:t xml:space="preserve"> T</w:t>
      </w:r>
      <w:r w:rsidRPr="000D590B">
        <w:t>2</w:t>
      </w:r>
      <w:r w:rsidR="00037517" w:rsidRPr="000D590B">
        <w:t>A</w:t>
      </w:r>
      <w:r w:rsidR="00C17F39" w:rsidRPr="000D590B">
        <w:t xml:space="preserve"> vs </w:t>
      </w:r>
      <w:r w:rsidR="00037517" w:rsidRPr="000D590B">
        <w:t>B +65%</w:t>
      </w:r>
      <w:r w:rsidR="0039736C" w:rsidRPr="000D590B">
        <w:t xml:space="preserve">, </w:t>
      </w:r>
      <w:r w:rsidR="0039736C" w:rsidRPr="000D590B">
        <w:rPr>
          <w:color w:val="FF0000"/>
          <w:szCs w:val="20"/>
        </w:rPr>
        <w:t>dCohen=1.</w:t>
      </w:r>
      <w:r w:rsidR="000D5B35" w:rsidRPr="000D590B">
        <w:rPr>
          <w:color w:val="FF0000"/>
          <w:szCs w:val="20"/>
        </w:rPr>
        <w:t>28</w:t>
      </w:r>
      <w:r w:rsidR="0039736C" w:rsidRPr="000D590B">
        <w:rPr>
          <w:color w:val="FF0000"/>
        </w:rPr>
        <w:t>;</w:t>
      </w:r>
      <w:r w:rsidR="00037517" w:rsidRPr="000D590B">
        <w:t xml:space="preserve"> T</w:t>
      </w:r>
      <w:r w:rsidRPr="000D590B">
        <w:t>3A</w:t>
      </w:r>
      <w:r w:rsidR="00C17F39" w:rsidRPr="000D590B">
        <w:t xml:space="preserve"> vs </w:t>
      </w:r>
      <w:r w:rsidR="00037517" w:rsidRPr="000D590B">
        <w:t>B +49%</w:t>
      </w:r>
      <w:r w:rsidR="0039736C" w:rsidRPr="000D590B">
        <w:t xml:space="preserve">, </w:t>
      </w:r>
      <w:r w:rsidR="0039736C" w:rsidRPr="000D590B">
        <w:rPr>
          <w:color w:val="FF0000"/>
          <w:szCs w:val="20"/>
        </w:rPr>
        <w:t>dCohen=1.</w:t>
      </w:r>
      <w:r w:rsidR="000D5B35" w:rsidRPr="000D590B">
        <w:rPr>
          <w:color w:val="FF0000"/>
          <w:szCs w:val="20"/>
        </w:rPr>
        <w:t>23</w:t>
      </w:r>
      <w:r w:rsidR="0039736C" w:rsidRPr="000D590B">
        <w:rPr>
          <w:color w:val="FF0000"/>
        </w:rPr>
        <w:t>;</w:t>
      </w:r>
      <w:r w:rsidR="0039736C" w:rsidRPr="00E96608">
        <w:t xml:space="preserve"> </w:t>
      </w:r>
      <w:r w:rsidRPr="00E96608">
        <w:t xml:space="preserve"> </w:t>
      </w:r>
      <w:r w:rsidR="00037517" w:rsidRPr="00E96608">
        <w:t xml:space="preserve">mean +61%, </w:t>
      </w:r>
      <w:r w:rsidRPr="00E96608">
        <w:t xml:space="preserve">p&lt;0.05-0.01 (Fig. 2A), and in IL-6 values after training session </w:t>
      </w:r>
      <w:r w:rsidR="00037517" w:rsidRPr="00E96608">
        <w:t>T2A</w:t>
      </w:r>
      <w:r w:rsidR="00C17F39" w:rsidRPr="00E96608">
        <w:t xml:space="preserve"> vs </w:t>
      </w:r>
      <w:r w:rsidR="00037517" w:rsidRPr="00E96608">
        <w:t>B +112%</w:t>
      </w:r>
      <w:r w:rsidR="0039736C">
        <w:t xml:space="preserve">, </w:t>
      </w:r>
      <w:r w:rsidR="0039736C" w:rsidRPr="00076A81">
        <w:rPr>
          <w:color w:val="FF0000"/>
          <w:szCs w:val="20"/>
        </w:rPr>
        <w:t>dCohen=</w:t>
      </w:r>
      <w:r w:rsidR="0039736C">
        <w:rPr>
          <w:color w:val="FF0000"/>
          <w:szCs w:val="20"/>
        </w:rPr>
        <w:t>1.</w:t>
      </w:r>
      <w:r w:rsidR="000D590B">
        <w:rPr>
          <w:color w:val="FF0000"/>
          <w:szCs w:val="20"/>
        </w:rPr>
        <w:t>66</w:t>
      </w:r>
      <w:r w:rsidR="0039736C" w:rsidRPr="00076A81">
        <w:rPr>
          <w:color w:val="FF0000"/>
        </w:rPr>
        <w:t>;</w:t>
      </w:r>
      <w:r w:rsidR="0039736C" w:rsidRPr="00E96608">
        <w:t xml:space="preserve"> </w:t>
      </w:r>
      <w:r w:rsidR="00037517" w:rsidRPr="00E96608">
        <w:t>T3A</w:t>
      </w:r>
      <w:r w:rsidR="00C17F39" w:rsidRPr="00E96608">
        <w:t xml:space="preserve"> vs </w:t>
      </w:r>
      <w:r w:rsidR="00037517" w:rsidRPr="00E96608">
        <w:t>B +133%</w:t>
      </w:r>
      <w:r w:rsidR="0039736C">
        <w:t xml:space="preserve">, </w:t>
      </w:r>
      <w:r w:rsidR="0039736C" w:rsidRPr="00076A81">
        <w:rPr>
          <w:color w:val="FF0000"/>
          <w:szCs w:val="20"/>
        </w:rPr>
        <w:t>dCohen=</w:t>
      </w:r>
      <w:r w:rsidR="000D590B">
        <w:rPr>
          <w:color w:val="FF0000"/>
          <w:szCs w:val="20"/>
        </w:rPr>
        <w:t>2</w:t>
      </w:r>
      <w:r w:rsidR="0039736C">
        <w:rPr>
          <w:color w:val="FF0000"/>
          <w:szCs w:val="20"/>
        </w:rPr>
        <w:t>.</w:t>
      </w:r>
      <w:r w:rsidR="000D590B">
        <w:rPr>
          <w:color w:val="FF0000"/>
          <w:szCs w:val="20"/>
        </w:rPr>
        <w:t>01</w:t>
      </w:r>
      <w:r w:rsidR="0039736C" w:rsidRPr="00076A81">
        <w:rPr>
          <w:color w:val="FF0000"/>
        </w:rPr>
        <w:t>;</w:t>
      </w:r>
      <w:r w:rsidR="0039736C" w:rsidRPr="00E96608">
        <w:t xml:space="preserve"> </w:t>
      </w:r>
      <w:r w:rsidR="00037517" w:rsidRPr="000D590B">
        <w:t>mean +128%,</w:t>
      </w:r>
      <w:r w:rsidR="00037517" w:rsidRPr="00E96608">
        <w:t xml:space="preserve"> </w:t>
      </w:r>
      <w:r w:rsidRPr="00E96608">
        <w:t>p&lt;0.01; (Fig. 2C), while a decrease in TAC was found at training session T1A vs T1B</w:t>
      </w:r>
      <w:r w:rsidR="00037517" w:rsidRPr="00E96608">
        <w:t>: -17%</w:t>
      </w:r>
      <w:r w:rsidR="0039736C">
        <w:t xml:space="preserve">, </w:t>
      </w:r>
      <w:r w:rsidR="0039736C" w:rsidRPr="00076A81">
        <w:rPr>
          <w:color w:val="FF0000"/>
          <w:szCs w:val="20"/>
        </w:rPr>
        <w:t>dCohen=</w:t>
      </w:r>
      <w:r w:rsidR="0039736C">
        <w:rPr>
          <w:color w:val="FF0000"/>
          <w:szCs w:val="20"/>
        </w:rPr>
        <w:t>1.</w:t>
      </w:r>
      <w:r w:rsidR="000D590B">
        <w:rPr>
          <w:color w:val="FF0000"/>
          <w:szCs w:val="20"/>
        </w:rPr>
        <w:t>53</w:t>
      </w:r>
      <w:r w:rsidR="0039736C" w:rsidRPr="00076A81">
        <w:rPr>
          <w:color w:val="FF0000"/>
        </w:rPr>
        <w:t>;</w:t>
      </w:r>
      <w:r w:rsidR="0039736C" w:rsidRPr="00E96608">
        <w:t xml:space="preserve"> </w:t>
      </w:r>
      <w:r w:rsidR="00037517" w:rsidRPr="00E96608">
        <w:t xml:space="preserve"> (</w:t>
      </w:r>
      <w:r w:rsidRPr="00E96608">
        <w:t xml:space="preserve">p&lt;0.05 (Fig. 2B), NO metabolites did not show any statistical difference (Fig. 2D), </w:t>
      </w:r>
    </w:p>
    <w:p w14:paraId="0B541990" w14:textId="77777777" w:rsidR="00E63FB9" w:rsidRPr="00E96608" w:rsidRDefault="00E63FB9" w:rsidP="00E76F61">
      <w:pPr>
        <w:pStyle w:val="MDPI31text"/>
        <w:rPr>
          <w:b/>
        </w:rPr>
      </w:pPr>
      <w:r w:rsidRPr="00E96608">
        <w:t>Furthermore, ROS and IL-6 showed statistically significant difference between T0 and T4 (p&lt;0.05)</w:t>
      </w:r>
      <w:r w:rsidR="00037517" w:rsidRPr="00E96608">
        <w:t>: ROS + 48%,</w:t>
      </w:r>
      <w:r w:rsidR="0039736C" w:rsidRPr="0039736C">
        <w:rPr>
          <w:color w:val="FF0000"/>
          <w:szCs w:val="20"/>
        </w:rPr>
        <w:t xml:space="preserve"> </w:t>
      </w:r>
      <w:r w:rsidR="0039736C" w:rsidRPr="00076A81">
        <w:rPr>
          <w:color w:val="FF0000"/>
          <w:szCs w:val="20"/>
        </w:rPr>
        <w:t>dCohen=</w:t>
      </w:r>
      <w:r w:rsidR="0039736C">
        <w:rPr>
          <w:color w:val="FF0000"/>
          <w:szCs w:val="20"/>
        </w:rPr>
        <w:t>1.</w:t>
      </w:r>
      <w:r w:rsidR="007D0793">
        <w:rPr>
          <w:color w:val="FF0000"/>
          <w:szCs w:val="20"/>
        </w:rPr>
        <w:t>09</w:t>
      </w:r>
      <w:r w:rsidR="0039736C" w:rsidRPr="00076A81">
        <w:rPr>
          <w:color w:val="FF0000"/>
        </w:rPr>
        <w:t>;</w:t>
      </w:r>
      <w:r w:rsidR="0039736C" w:rsidRPr="00E96608">
        <w:t xml:space="preserve"> </w:t>
      </w:r>
      <w:r w:rsidR="00037517" w:rsidRPr="00E96608">
        <w:t xml:space="preserve">IL-6 + 86%; </w:t>
      </w:r>
      <w:r w:rsidR="0039736C" w:rsidRPr="00076A81">
        <w:rPr>
          <w:color w:val="FF0000"/>
          <w:szCs w:val="20"/>
        </w:rPr>
        <w:t>dCohen=</w:t>
      </w:r>
      <w:r w:rsidR="0039736C">
        <w:rPr>
          <w:color w:val="FF0000"/>
          <w:szCs w:val="20"/>
        </w:rPr>
        <w:t>1.</w:t>
      </w:r>
      <w:r w:rsidR="007D0793">
        <w:rPr>
          <w:color w:val="FF0000"/>
          <w:szCs w:val="20"/>
        </w:rPr>
        <w:t>22</w:t>
      </w:r>
      <w:r w:rsidR="0039736C" w:rsidRPr="00076A81">
        <w:rPr>
          <w:color w:val="FF0000"/>
        </w:rPr>
        <w:t>;</w:t>
      </w:r>
      <w:r w:rsidR="0039736C" w:rsidRPr="00E96608">
        <w:t xml:space="preserve"> </w:t>
      </w:r>
      <w:r w:rsidRPr="00E96608">
        <w:t>while TAC only between T0 and T3A</w:t>
      </w:r>
      <w:r w:rsidR="00037517" w:rsidRPr="00E96608">
        <w:t>:</w:t>
      </w:r>
      <w:r w:rsidRPr="00E96608">
        <w:t xml:space="preserve"> </w:t>
      </w:r>
      <w:r w:rsidR="00037517" w:rsidRPr="00E96608">
        <w:t>-12%</w:t>
      </w:r>
      <w:r w:rsidR="0039736C">
        <w:t>,</w:t>
      </w:r>
      <w:r w:rsidR="0039736C" w:rsidRPr="0039736C">
        <w:rPr>
          <w:color w:val="FF0000"/>
          <w:szCs w:val="20"/>
        </w:rPr>
        <w:t xml:space="preserve"> </w:t>
      </w:r>
      <w:r w:rsidR="0039736C" w:rsidRPr="00076A81">
        <w:rPr>
          <w:color w:val="FF0000"/>
          <w:szCs w:val="20"/>
        </w:rPr>
        <w:t>dCohen=</w:t>
      </w:r>
      <w:r w:rsidR="0039736C">
        <w:rPr>
          <w:color w:val="FF0000"/>
          <w:szCs w:val="20"/>
        </w:rPr>
        <w:t>1.</w:t>
      </w:r>
      <w:r w:rsidR="007D0793">
        <w:rPr>
          <w:color w:val="FF0000"/>
          <w:szCs w:val="20"/>
        </w:rPr>
        <w:t>23</w:t>
      </w:r>
      <w:r w:rsidR="0039736C" w:rsidRPr="00076A81">
        <w:rPr>
          <w:color w:val="FF0000"/>
        </w:rPr>
        <w:t>;</w:t>
      </w:r>
      <w:r w:rsidR="0039736C" w:rsidRPr="00E96608">
        <w:t xml:space="preserve"> </w:t>
      </w:r>
      <w:r w:rsidRPr="00E96608">
        <w:t xml:space="preserve">(p&lt;0.05). </w:t>
      </w:r>
    </w:p>
    <w:p w14:paraId="34656422" w14:textId="77777777" w:rsidR="00214D7F" w:rsidRPr="00E96608" w:rsidRDefault="00E63FB9" w:rsidP="00E76F61">
      <w:pPr>
        <w:pStyle w:val="MDPI31text"/>
        <w:rPr>
          <w:b/>
        </w:rPr>
      </w:pPr>
      <w:r w:rsidRPr="00E96608">
        <w:t xml:space="preserve">The values of urea, uric acid, Na, K, Cl, P, Mg, Ca and total proteins, observed during training session, T0 and T4, are reported in </w:t>
      </w:r>
      <w:r w:rsidRPr="00317A4A">
        <w:rPr>
          <w:bCs/>
        </w:rPr>
        <w:t>Table 2</w:t>
      </w:r>
      <w:r w:rsidRPr="00E96608">
        <w:t>. Urea and Uric acid exhibited statistically significant difference between T0 and T4</w:t>
      </w:r>
      <w:r w:rsidR="005F1C9E" w:rsidRPr="005F1C9E">
        <w:rPr>
          <w:color w:val="FF0000"/>
          <w:szCs w:val="20"/>
        </w:rPr>
        <w:t xml:space="preserve"> </w:t>
      </w:r>
      <w:r w:rsidR="005F1C9E" w:rsidRPr="00076A81">
        <w:rPr>
          <w:color w:val="FF0000"/>
          <w:szCs w:val="20"/>
        </w:rPr>
        <w:t>dCohen=</w:t>
      </w:r>
      <w:r w:rsidR="005F1C9E">
        <w:rPr>
          <w:color w:val="FF0000"/>
          <w:szCs w:val="20"/>
        </w:rPr>
        <w:t xml:space="preserve">0.60 and </w:t>
      </w:r>
      <w:r w:rsidR="005F1C9E" w:rsidRPr="00076A81">
        <w:rPr>
          <w:color w:val="FF0000"/>
          <w:szCs w:val="20"/>
        </w:rPr>
        <w:t>dCohen=</w:t>
      </w:r>
      <w:r w:rsidR="005F1C9E">
        <w:rPr>
          <w:color w:val="FF0000"/>
          <w:szCs w:val="20"/>
        </w:rPr>
        <w:t>1.61 re</w:t>
      </w:r>
      <w:r w:rsidR="005F1C9E">
        <w:rPr>
          <w:color w:val="FF0000"/>
          <w:szCs w:val="20"/>
        </w:rPr>
        <w:lastRenderedPageBreak/>
        <w:t>spectively</w:t>
      </w:r>
      <w:r w:rsidRPr="00E96608">
        <w:t xml:space="preserve">. </w:t>
      </w:r>
      <w:r w:rsidRPr="000A0CC1">
        <w:t xml:space="preserve">K showed statistically significant differences in </w:t>
      </w:r>
      <w:r w:rsidR="00987DDB" w:rsidRPr="000A0CC1">
        <w:t xml:space="preserve">post </w:t>
      </w:r>
      <w:r w:rsidRPr="000A0CC1">
        <w:t>session value T2B</w:t>
      </w:r>
      <w:r w:rsidR="00987DDB" w:rsidRPr="000A0CC1">
        <w:t xml:space="preserve"> (+53%)</w:t>
      </w:r>
      <w:r w:rsidRPr="000A0CC1">
        <w:t xml:space="preserve"> </w:t>
      </w:r>
      <w:r w:rsidR="00987DDB" w:rsidRPr="000A0CC1">
        <w:t xml:space="preserve">vs </w:t>
      </w:r>
      <w:r w:rsidRPr="000A0CC1">
        <w:t>T2A</w:t>
      </w:r>
      <w:r w:rsidR="000A0CC1" w:rsidRPr="000A0CC1">
        <w:t xml:space="preserve"> </w:t>
      </w:r>
      <w:r w:rsidR="000A0CC1" w:rsidRPr="000A0CC1">
        <w:rPr>
          <w:color w:val="FF0000"/>
          <w:szCs w:val="20"/>
        </w:rPr>
        <w:t>dCohen=0.91</w:t>
      </w:r>
      <w:r w:rsidRPr="000A0CC1">
        <w:t xml:space="preserve">, while P at T3B </w:t>
      </w:r>
      <w:r w:rsidR="00987DDB" w:rsidRPr="000A0CC1">
        <w:t xml:space="preserve">vs </w:t>
      </w:r>
      <w:r w:rsidRPr="000A0CC1">
        <w:t>T3A</w:t>
      </w:r>
      <w:r w:rsidR="00987DDB" w:rsidRPr="000A0CC1">
        <w:t xml:space="preserve"> (+94%)</w:t>
      </w:r>
      <w:r w:rsidR="000A0CC1" w:rsidRPr="000A0CC1">
        <w:t xml:space="preserve"> </w:t>
      </w:r>
      <w:r w:rsidR="000A0CC1" w:rsidRPr="000A0CC1">
        <w:rPr>
          <w:color w:val="FF0000"/>
          <w:szCs w:val="20"/>
        </w:rPr>
        <w:t>dCohen=0.87</w:t>
      </w:r>
      <w:r w:rsidRPr="000A0CC1">
        <w:t>.</w:t>
      </w:r>
    </w:p>
    <w:p w14:paraId="30BF3662" w14:textId="77777777" w:rsidR="00EF4B1A" w:rsidRDefault="00EF4B1A" w:rsidP="00E76F61">
      <w:pPr>
        <w:pStyle w:val="MDPI31text"/>
      </w:pPr>
    </w:p>
    <w:p w14:paraId="329612C3" w14:textId="77777777" w:rsidR="00EF4B1A" w:rsidRDefault="00E76F61" w:rsidP="00E76F61">
      <w:pPr>
        <w:pStyle w:val="MDPI41tablecaption"/>
      </w:pPr>
      <w:r w:rsidRPr="00E76F61">
        <w:rPr>
          <w:b/>
          <w:i/>
          <w:iCs/>
        </w:rPr>
        <w:t xml:space="preserve">Table 2. </w:t>
      </w:r>
      <w:r w:rsidR="00217161" w:rsidRPr="00217161">
        <w:t>Urea, uric acid, electrolytes (Na, K, Cl, P, Mg, Ca) and total proteins at the baseline (T0), during (T1-T3) and after the season (T4).  Data are displayed as mean ± SD. Statistically significant differences symbols: *p&lt;0.05 respect T0;</w:t>
      </w:r>
      <w:r w:rsidR="00850CD8">
        <w:t xml:space="preserve"> </w:t>
      </w:r>
      <w:r w:rsidR="00217161" w:rsidRPr="00217161">
        <w:t>†</w:t>
      </w:r>
      <w:r w:rsidR="00850CD8">
        <w:t xml:space="preserve"> </w:t>
      </w:r>
      <w:r w:rsidR="00217161" w:rsidRPr="00217161">
        <w:t>p&lt;0.05,</w:t>
      </w:r>
      <w:r w:rsidR="00E96608">
        <w:t xml:space="preserve"> </w:t>
      </w:r>
      <w:r w:rsidR="00217161" w:rsidRPr="00217161">
        <w:t>††p&lt;0.01 post (B) respect to pre (A).</w:t>
      </w:r>
    </w:p>
    <w:p w14:paraId="425A8F6B" w14:textId="77777777" w:rsidR="0039736C" w:rsidRPr="00217161" w:rsidRDefault="0039736C" w:rsidP="00E76F61">
      <w:pPr>
        <w:pStyle w:val="MDPI41tablecaption"/>
        <w:rPr>
          <w:b/>
          <w:i/>
          <w:iCs/>
        </w:rPr>
      </w:pPr>
    </w:p>
    <w:tbl>
      <w:tblPr>
        <w:tblStyle w:val="Grigliatabella1"/>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68"/>
        <w:gridCol w:w="788"/>
        <w:gridCol w:w="843"/>
        <w:gridCol w:w="843"/>
        <w:gridCol w:w="843"/>
        <w:gridCol w:w="841"/>
        <w:gridCol w:w="749"/>
        <w:gridCol w:w="94"/>
        <w:gridCol w:w="843"/>
        <w:gridCol w:w="845"/>
      </w:tblGrid>
      <w:tr w:rsidR="005E10F1" w:rsidRPr="00E76F61" w14:paraId="7000C71B" w14:textId="77777777" w:rsidTr="00E76F61">
        <w:tc>
          <w:tcPr>
            <w:tcW w:w="1660" w:type="dxa"/>
            <w:vMerge w:val="restart"/>
            <w:tcBorders>
              <w:top w:val="single" w:sz="8" w:space="0" w:color="auto"/>
            </w:tcBorders>
            <w:vAlign w:val="center"/>
          </w:tcPr>
          <w:p w14:paraId="273CC7C6" w14:textId="77777777" w:rsidR="005E10F1" w:rsidRPr="00E76F61" w:rsidRDefault="005E10F1" w:rsidP="00E76F61">
            <w:pPr>
              <w:autoSpaceDE w:val="0"/>
              <w:autoSpaceDN w:val="0"/>
              <w:adjustRightInd w:val="0"/>
              <w:snapToGrid w:val="0"/>
              <w:spacing w:line="240" w:lineRule="auto"/>
              <w:jc w:val="center"/>
              <w:rPr>
                <w:rFonts w:ascii="Times New Roman" w:hAnsi="Times New Roman"/>
                <w:b/>
                <w:noProof w:val="0"/>
                <w:color w:val="auto"/>
                <w:sz w:val="16"/>
                <w:lang w:val="en-US"/>
              </w:rPr>
            </w:pPr>
          </w:p>
        </w:tc>
        <w:tc>
          <w:tcPr>
            <w:tcW w:w="9474" w:type="dxa"/>
            <w:gridSpan w:val="9"/>
            <w:tcBorders>
              <w:top w:val="single" w:sz="8" w:space="0" w:color="auto"/>
              <w:bottom w:val="single" w:sz="4" w:space="0" w:color="auto"/>
            </w:tcBorders>
            <w:shd w:val="clear" w:color="auto" w:fill="8496B0" w:themeFill="text2" w:themeFillTint="99"/>
            <w:vAlign w:val="center"/>
          </w:tcPr>
          <w:p w14:paraId="61C8D0D8" w14:textId="77777777" w:rsidR="005E10F1" w:rsidRPr="00E76F61" w:rsidRDefault="005E10F1" w:rsidP="00E76F61">
            <w:pPr>
              <w:autoSpaceDE w:val="0"/>
              <w:autoSpaceDN w:val="0"/>
              <w:adjustRightInd w:val="0"/>
              <w:snapToGrid w:val="0"/>
              <w:spacing w:line="240" w:lineRule="auto"/>
              <w:jc w:val="center"/>
              <w:rPr>
                <w:rFonts w:ascii="Times New Roman" w:hAnsi="Times New Roman"/>
                <w:b/>
                <w:bCs/>
                <w:noProof w:val="0"/>
                <w:color w:val="auto"/>
                <w:sz w:val="16"/>
              </w:rPr>
            </w:pPr>
            <w:r w:rsidRPr="00E76F61">
              <w:rPr>
                <w:rFonts w:cs="Times New Roman"/>
                <w:b/>
                <w:bCs/>
                <w:noProof w:val="0"/>
                <w:snapToGrid w:val="0"/>
                <w:sz w:val="16"/>
                <w:szCs w:val="22"/>
                <w:lang w:val="en-US" w:eastAsia="de-DE" w:bidi="en-US"/>
              </w:rPr>
              <w:t>Time Point</w:t>
            </w:r>
          </w:p>
        </w:tc>
      </w:tr>
      <w:tr w:rsidR="005E10F1" w:rsidRPr="00E76F61" w14:paraId="7CC11413" w14:textId="77777777" w:rsidTr="00E76F61">
        <w:tc>
          <w:tcPr>
            <w:tcW w:w="1660" w:type="dxa"/>
            <w:vMerge/>
            <w:vAlign w:val="center"/>
          </w:tcPr>
          <w:p w14:paraId="68E35270" w14:textId="77777777" w:rsidR="005E10F1" w:rsidRPr="00E76F61" w:rsidRDefault="005E10F1" w:rsidP="00E76F61">
            <w:pPr>
              <w:autoSpaceDE w:val="0"/>
              <w:autoSpaceDN w:val="0"/>
              <w:adjustRightInd w:val="0"/>
              <w:snapToGrid w:val="0"/>
              <w:spacing w:line="240" w:lineRule="auto"/>
              <w:jc w:val="center"/>
              <w:rPr>
                <w:rFonts w:ascii="Times New Roman" w:hAnsi="Times New Roman"/>
                <w:b/>
                <w:noProof w:val="0"/>
                <w:color w:val="auto"/>
                <w:sz w:val="16"/>
              </w:rPr>
            </w:pPr>
          </w:p>
        </w:tc>
        <w:tc>
          <w:tcPr>
            <w:tcW w:w="1116" w:type="dxa"/>
            <w:tcBorders>
              <w:top w:val="single" w:sz="4" w:space="0" w:color="auto"/>
              <w:bottom w:val="single" w:sz="4" w:space="0" w:color="auto"/>
            </w:tcBorders>
            <w:shd w:val="clear" w:color="auto" w:fill="FF0000"/>
            <w:vAlign w:val="center"/>
          </w:tcPr>
          <w:p w14:paraId="73DE87CC"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T0</w:t>
            </w:r>
          </w:p>
        </w:tc>
        <w:tc>
          <w:tcPr>
            <w:tcW w:w="2388" w:type="dxa"/>
            <w:gridSpan w:val="2"/>
            <w:tcBorders>
              <w:top w:val="single" w:sz="4" w:space="0" w:color="auto"/>
              <w:bottom w:val="single" w:sz="4" w:space="0" w:color="auto"/>
            </w:tcBorders>
            <w:shd w:val="clear" w:color="auto" w:fill="9CC2E5" w:themeFill="accent5" w:themeFillTint="99"/>
            <w:vAlign w:val="center"/>
          </w:tcPr>
          <w:p w14:paraId="3B0C99A4"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T1</w:t>
            </w:r>
          </w:p>
        </w:tc>
        <w:tc>
          <w:tcPr>
            <w:tcW w:w="2386" w:type="dxa"/>
            <w:gridSpan w:val="2"/>
            <w:tcBorders>
              <w:top w:val="single" w:sz="4" w:space="0" w:color="auto"/>
              <w:bottom w:val="single" w:sz="4" w:space="0" w:color="auto"/>
            </w:tcBorders>
            <w:shd w:val="clear" w:color="auto" w:fill="9CC2E5" w:themeFill="accent5" w:themeFillTint="99"/>
            <w:vAlign w:val="center"/>
          </w:tcPr>
          <w:p w14:paraId="6D6EFE38"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T2</w:t>
            </w:r>
          </w:p>
        </w:tc>
        <w:tc>
          <w:tcPr>
            <w:tcW w:w="2387" w:type="dxa"/>
            <w:gridSpan w:val="3"/>
            <w:tcBorders>
              <w:top w:val="single" w:sz="4" w:space="0" w:color="auto"/>
              <w:bottom w:val="single" w:sz="4" w:space="0" w:color="auto"/>
            </w:tcBorders>
            <w:shd w:val="clear" w:color="auto" w:fill="9CC2E5" w:themeFill="accent5" w:themeFillTint="99"/>
            <w:vAlign w:val="center"/>
          </w:tcPr>
          <w:p w14:paraId="561B9BC9"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T3</w:t>
            </w:r>
          </w:p>
        </w:tc>
        <w:tc>
          <w:tcPr>
            <w:tcW w:w="1197" w:type="dxa"/>
            <w:tcBorders>
              <w:top w:val="single" w:sz="4" w:space="0" w:color="auto"/>
              <w:bottom w:val="single" w:sz="4" w:space="0" w:color="auto"/>
            </w:tcBorders>
            <w:shd w:val="clear" w:color="auto" w:fill="92D050"/>
            <w:vAlign w:val="center"/>
          </w:tcPr>
          <w:p w14:paraId="7C344828"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T4</w:t>
            </w:r>
          </w:p>
        </w:tc>
      </w:tr>
      <w:tr w:rsidR="005E10F1" w:rsidRPr="00E76F61" w14:paraId="02638E2B" w14:textId="77777777" w:rsidTr="00E76F61">
        <w:tc>
          <w:tcPr>
            <w:tcW w:w="1660" w:type="dxa"/>
            <w:vMerge/>
            <w:tcBorders>
              <w:bottom w:val="single" w:sz="4" w:space="0" w:color="auto"/>
            </w:tcBorders>
            <w:vAlign w:val="center"/>
          </w:tcPr>
          <w:p w14:paraId="162C0C53" w14:textId="77777777" w:rsidR="005E10F1" w:rsidRPr="00E76F61" w:rsidRDefault="005E10F1" w:rsidP="00E76F61">
            <w:pPr>
              <w:autoSpaceDE w:val="0"/>
              <w:autoSpaceDN w:val="0"/>
              <w:adjustRightInd w:val="0"/>
              <w:snapToGrid w:val="0"/>
              <w:spacing w:line="240" w:lineRule="auto"/>
              <w:jc w:val="center"/>
              <w:rPr>
                <w:rFonts w:ascii="Times New Roman" w:hAnsi="Times New Roman"/>
                <w:b/>
                <w:noProof w:val="0"/>
                <w:color w:val="auto"/>
                <w:sz w:val="16"/>
                <w:szCs w:val="20"/>
              </w:rPr>
            </w:pPr>
          </w:p>
        </w:tc>
        <w:tc>
          <w:tcPr>
            <w:tcW w:w="1116" w:type="dxa"/>
            <w:tcBorders>
              <w:top w:val="single" w:sz="4" w:space="0" w:color="auto"/>
              <w:bottom w:val="single" w:sz="4" w:space="0" w:color="auto"/>
            </w:tcBorders>
            <w:vAlign w:val="center"/>
          </w:tcPr>
          <w:p w14:paraId="32E18387" w14:textId="77777777" w:rsidR="005E10F1" w:rsidRPr="00E76F61" w:rsidRDefault="005E10F1" w:rsidP="00E76F61">
            <w:pPr>
              <w:autoSpaceDE w:val="0"/>
              <w:autoSpaceDN w:val="0"/>
              <w:adjustRightInd w:val="0"/>
              <w:snapToGrid w:val="0"/>
              <w:spacing w:line="240" w:lineRule="auto"/>
              <w:jc w:val="center"/>
              <w:rPr>
                <w:rFonts w:ascii="Times New Roman" w:hAnsi="Times New Roman"/>
                <w:b/>
                <w:bCs/>
                <w:noProof w:val="0"/>
                <w:color w:val="auto"/>
                <w:sz w:val="16"/>
                <w:szCs w:val="20"/>
              </w:rPr>
            </w:pPr>
          </w:p>
        </w:tc>
        <w:tc>
          <w:tcPr>
            <w:tcW w:w="1194" w:type="dxa"/>
            <w:tcBorders>
              <w:top w:val="single" w:sz="4" w:space="0" w:color="auto"/>
              <w:bottom w:val="single" w:sz="4" w:space="0" w:color="auto"/>
            </w:tcBorders>
            <w:shd w:val="clear" w:color="auto" w:fill="00B0F0"/>
            <w:vAlign w:val="center"/>
          </w:tcPr>
          <w:p w14:paraId="107F8E70"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A</w:t>
            </w:r>
          </w:p>
        </w:tc>
        <w:tc>
          <w:tcPr>
            <w:tcW w:w="1194" w:type="dxa"/>
            <w:tcBorders>
              <w:top w:val="single" w:sz="4" w:space="0" w:color="auto"/>
              <w:bottom w:val="single" w:sz="4" w:space="0" w:color="auto"/>
            </w:tcBorders>
            <w:shd w:val="clear" w:color="auto" w:fill="0432FF"/>
            <w:vAlign w:val="center"/>
          </w:tcPr>
          <w:p w14:paraId="0888219A"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color w:val="FFFFFF" w:themeColor="background1"/>
                <w:sz w:val="16"/>
                <w:szCs w:val="22"/>
                <w:lang w:val="en-US" w:eastAsia="de-DE" w:bidi="en-US"/>
              </w:rPr>
            </w:pPr>
            <w:r w:rsidRPr="00E76F61">
              <w:rPr>
                <w:rFonts w:cs="Times New Roman"/>
                <w:b/>
                <w:bCs/>
                <w:noProof w:val="0"/>
                <w:snapToGrid w:val="0"/>
                <w:color w:val="FFFFFF" w:themeColor="background1"/>
                <w:sz w:val="16"/>
                <w:szCs w:val="22"/>
                <w:lang w:val="en-US" w:eastAsia="de-DE" w:bidi="en-US"/>
              </w:rPr>
              <w:t>B</w:t>
            </w:r>
          </w:p>
        </w:tc>
        <w:tc>
          <w:tcPr>
            <w:tcW w:w="1194" w:type="dxa"/>
            <w:tcBorders>
              <w:top w:val="single" w:sz="4" w:space="0" w:color="auto"/>
              <w:bottom w:val="single" w:sz="4" w:space="0" w:color="auto"/>
            </w:tcBorders>
            <w:shd w:val="clear" w:color="auto" w:fill="00B0F0"/>
            <w:vAlign w:val="center"/>
          </w:tcPr>
          <w:p w14:paraId="697DCC49"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A</w:t>
            </w:r>
          </w:p>
        </w:tc>
        <w:tc>
          <w:tcPr>
            <w:tcW w:w="1192" w:type="dxa"/>
            <w:tcBorders>
              <w:top w:val="single" w:sz="4" w:space="0" w:color="auto"/>
              <w:bottom w:val="single" w:sz="4" w:space="0" w:color="auto"/>
            </w:tcBorders>
            <w:shd w:val="clear" w:color="auto" w:fill="0432FF"/>
            <w:vAlign w:val="center"/>
          </w:tcPr>
          <w:p w14:paraId="1A130754"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color w:val="FFFFFF" w:themeColor="background1"/>
                <w:sz w:val="16"/>
                <w:szCs w:val="22"/>
                <w:lang w:val="en-US" w:eastAsia="de-DE" w:bidi="en-US"/>
              </w:rPr>
            </w:pPr>
            <w:r w:rsidRPr="00E76F61">
              <w:rPr>
                <w:rFonts w:cs="Times New Roman"/>
                <w:b/>
                <w:bCs/>
                <w:noProof w:val="0"/>
                <w:snapToGrid w:val="0"/>
                <w:color w:val="FFFFFF" w:themeColor="background1"/>
                <w:sz w:val="16"/>
                <w:szCs w:val="22"/>
                <w:lang w:val="en-US" w:eastAsia="de-DE" w:bidi="en-US"/>
              </w:rPr>
              <w:t>B</w:t>
            </w:r>
          </w:p>
        </w:tc>
        <w:tc>
          <w:tcPr>
            <w:tcW w:w="1061" w:type="dxa"/>
            <w:tcBorders>
              <w:top w:val="single" w:sz="4" w:space="0" w:color="auto"/>
              <w:bottom w:val="single" w:sz="4" w:space="0" w:color="auto"/>
            </w:tcBorders>
            <w:shd w:val="clear" w:color="auto" w:fill="00B0F0"/>
            <w:vAlign w:val="center"/>
          </w:tcPr>
          <w:p w14:paraId="670CF030"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sz w:val="16"/>
                <w:szCs w:val="22"/>
                <w:lang w:val="en-US" w:eastAsia="de-DE" w:bidi="en-US"/>
              </w:rPr>
            </w:pPr>
            <w:r w:rsidRPr="00E76F61">
              <w:rPr>
                <w:rFonts w:cs="Times New Roman"/>
                <w:b/>
                <w:bCs/>
                <w:noProof w:val="0"/>
                <w:snapToGrid w:val="0"/>
                <w:sz w:val="16"/>
                <w:szCs w:val="22"/>
                <w:lang w:val="en-US" w:eastAsia="de-DE" w:bidi="en-US"/>
              </w:rPr>
              <w:t>A</w:t>
            </w:r>
          </w:p>
        </w:tc>
        <w:tc>
          <w:tcPr>
            <w:tcW w:w="1326" w:type="dxa"/>
            <w:gridSpan w:val="2"/>
            <w:tcBorders>
              <w:top w:val="single" w:sz="4" w:space="0" w:color="auto"/>
              <w:bottom w:val="single" w:sz="4" w:space="0" w:color="auto"/>
            </w:tcBorders>
            <w:shd w:val="clear" w:color="auto" w:fill="0432FF"/>
            <w:vAlign w:val="center"/>
          </w:tcPr>
          <w:p w14:paraId="766756FF" w14:textId="77777777" w:rsidR="005E10F1" w:rsidRPr="00E76F61" w:rsidRDefault="005E10F1" w:rsidP="00E76F61">
            <w:pPr>
              <w:autoSpaceDE w:val="0"/>
              <w:autoSpaceDN w:val="0"/>
              <w:adjustRightInd w:val="0"/>
              <w:snapToGrid w:val="0"/>
              <w:spacing w:line="240" w:lineRule="auto"/>
              <w:jc w:val="center"/>
              <w:rPr>
                <w:rFonts w:cs="Times New Roman"/>
                <w:b/>
                <w:bCs/>
                <w:noProof w:val="0"/>
                <w:snapToGrid w:val="0"/>
                <w:color w:val="FFFFFF" w:themeColor="background1"/>
                <w:sz w:val="16"/>
                <w:szCs w:val="22"/>
                <w:lang w:val="en-US" w:eastAsia="de-DE" w:bidi="en-US"/>
              </w:rPr>
            </w:pPr>
            <w:r w:rsidRPr="00E76F61">
              <w:rPr>
                <w:rFonts w:cs="Times New Roman"/>
                <w:b/>
                <w:bCs/>
                <w:noProof w:val="0"/>
                <w:snapToGrid w:val="0"/>
                <w:color w:val="FFFFFF" w:themeColor="background1"/>
                <w:sz w:val="16"/>
                <w:szCs w:val="22"/>
                <w:lang w:val="en-US" w:eastAsia="de-DE" w:bidi="en-US"/>
              </w:rPr>
              <w:t>B</w:t>
            </w:r>
          </w:p>
        </w:tc>
        <w:tc>
          <w:tcPr>
            <w:tcW w:w="1197" w:type="dxa"/>
            <w:tcBorders>
              <w:top w:val="single" w:sz="4" w:space="0" w:color="auto"/>
              <w:bottom w:val="single" w:sz="4" w:space="0" w:color="auto"/>
            </w:tcBorders>
            <w:vAlign w:val="center"/>
          </w:tcPr>
          <w:p w14:paraId="7581749C" w14:textId="77777777" w:rsidR="005E10F1" w:rsidRPr="00E76F61" w:rsidRDefault="005E10F1" w:rsidP="00E76F61">
            <w:pPr>
              <w:autoSpaceDE w:val="0"/>
              <w:autoSpaceDN w:val="0"/>
              <w:adjustRightInd w:val="0"/>
              <w:snapToGrid w:val="0"/>
              <w:spacing w:line="240" w:lineRule="auto"/>
              <w:jc w:val="center"/>
              <w:rPr>
                <w:rFonts w:ascii="Times New Roman" w:hAnsi="Times New Roman"/>
                <w:b/>
                <w:bCs/>
                <w:noProof w:val="0"/>
                <w:color w:val="auto"/>
                <w:sz w:val="16"/>
                <w:szCs w:val="20"/>
              </w:rPr>
            </w:pPr>
          </w:p>
        </w:tc>
      </w:tr>
      <w:tr w:rsidR="00EF4B1A" w:rsidRPr="00E76F61" w14:paraId="781CB357" w14:textId="77777777" w:rsidTr="00E76F61">
        <w:tc>
          <w:tcPr>
            <w:tcW w:w="1660" w:type="dxa"/>
            <w:tcBorders>
              <w:top w:val="single" w:sz="4" w:space="0" w:color="auto"/>
            </w:tcBorders>
            <w:vAlign w:val="center"/>
          </w:tcPr>
          <w:p w14:paraId="4051C716" w14:textId="77777777" w:rsidR="00EF4B1A" w:rsidRPr="00E76F61" w:rsidRDefault="00235C7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 xml:space="preserve">Uric </w:t>
            </w:r>
            <w:r w:rsidR="00EF4B1A" w:rsidRPr="00E76F61">
              <w:rPr>
                <w:b/>
                <w:bCs/>
                <w:noProof w:val="0"/>
                <w:color w:val="auto"/>
                <w:sz w:val="16"/>
                <w:szCs w:val="16"/>
              </w:rPr>
              <w:t>Acid (mg/dL)</w:t>
            </w:r>
          </w:p>
        </w:tc>
        <w:tc>
          <w:tcPr>
            <w:tcW w:w="1116" w:type="dxa"/>
            <w:tcBorders>
              <w:top w:val="single" w:sz="4" w:space="0" w:color="auto"/>
            </w:tcBorders>
            <w:vAlign w:val="center"/>
          </w:tcPr>
          <w:p w14:paraId="1C4F6B1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9.3 ± 4.6</w:t>
            </w:r>
          </w:p>
        </w:tc>
        <w:tc>
          <w:tcPr>
            <w:tcW w:w="1194" w:type="dxa"/>
            <w:tcBorders>
              <w:top w:val="single" w:sz="4" w:space="0" w:color="auto"/>
            </w:tcBorders>
            <w:vAlign w:val="center"/>
          </w:tcPr>
          <w:p w14:paraId="2DCB2E03"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16.4 ± 18.5</w:t>
            </w:r>
          </w:p>
        </w:tc>
        <w:tc>
          <w:tcPr>
            <w:tcW w:w="1194" w:type="dxa"/>
            <w:tcBorders>
              <w:top w:val="single" w:sz="4" w:space="0" w:color="auto"/>
            </w:tcBorders>
            <w:vAlign w:val="center"/>
          </w:tcPr>
          <w:p w14:paraId="66B103D3"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32.1 ± 26.1</w:t>
            </w:r>
          </w:p>
        </w:tc>
        <w:tc>
          <w:tcPr>
            <w:tcW w:w="1194" w:type="dxa"/>
            <w:tcBorders>
              <w:top w:val="single" w:sz="4" w:space="0" w:color="auto"/>
            </w:tcBorders>
            <w:vAlign w:val="center"/>
          </w:tcPr>
          <w:p w14:paraId="2FECB495"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21.8 ± 25.0</w:t>
            </w:r>
          </w:p>
        </w:tc>
        <w:tc>
          <w:tcPr>
            <w:tcW w:w="1192" w:type="dxa"/>
            <w:tcBorders>
              <w:top w:val="single" w:sz="4" w:space="0" w:color="auto"/>
            </w:tcBorders>
            <w:vAlign w:val="center"/>
          </w:tcPr>
          <w:p w14:paraId="26D8866E"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30.4 ± 19.5</w:t>
            </w:r>
          </w:p>
        </w:tc>
        <w:tc>
          <w:tcPr>
            <w:tcW w:w="1061" w:type="dxa"/>
            <w:tcBorders>
              <w:top w:val="single" w:sz="4" w:space="0" w:color="auto"/>
            </w:tcBorders>
            <w:vAlign w:val="center"/>
          </w:tcPr>
          <w:p w14:paraId="5BA9FCAE"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25.6 ± 15.1</w:t>
            </w:r>
          </w:p>
        </w:tc>
        <w:tc>
          <w:tcPr>
            <w:tcW w:w="1326" w:type="dxa"/>
            <w:gridSpan w:val="2"/>
            <w:tcBorders>
              <w:top w:val="single" w:sz="4" w:space="0" w:color="auto"/>
            </w:tcBorders>
            <w:vAlign w:val="center"/>
          </w:tcPr>
          <w:p w14:paraId="234F8D6F"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23.4 ± 14.3</w:t>
            </w:r>
          </w:p>
        </w:tc>
        <w:tc>
          <w:tcPr>
            <w:tcW w:w="1197" w:type="dxa"/>
            <w:tcBorders>
              <w:top w:val="single" w:sz="4" w:space="0" w:color="auto"/>
            </w:tcBorders>
            <w:vAlign w:val="center"/>
          </w:tcPr>
          <w:p w14:paraId="3DF19638"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41.9 ± 28.1*</w:t>
            </w:r>
          </w:p>
        </w:tc>
      </w:tr>
      <w:tr w:rsidR="00EF4B1A" w:rsidRPr="00E76F61" w14:paraId="7370EF67" w14:textId="77777777" w:rsidTr="00E76F61">
        <w:tc>
          <w:tcPr>
            <w:tcW w:w="1660" w:type="dxa"/>
            <w:vAlign w:val="center"/>
          </w:tcPr>
          <w:p w14:paraId="0018F803"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Urea (mg/dL)</w:t>
            </w:r>
          </w:p>
        </w:tc>
        <w:tc>
          <w:tcPr>
            <w:tcW w:w="1116" w:type="dxa"/>
            <w:vAlign w:val="center"/>
          </w:tcPr>
          <w:p w14:paraId="58EF31AD"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984.0±346.3</w:t>
            </w:r>
          </w:p>
        </w:tc>
        <w:tc>
          <w:tcPr>
            <w:tcW w:w="1194" w:type="dxa"/>
            <w:vAlign w:val="center"/>
          </w:tcPr>
          <w:p w14:paraId="6B51A897"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1555.0 ± 362.7</w:t>
            </w:r>
          </w:p>
        </w:tc>
        <w:tc>
          <w:tcPr>
            <w:tcW w:w="1194" w:type="dxa"/>
            <w:vAlign w:val="center"/>
          </w:tcPr>
          <w:p w14:paraId="36BDA22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1225.0 ± 184.0</w:t>
            </w:r>
          </w:p>
        </w:tc>
        <w:tc>
          <w:tcPr>
            <w:tcW w:w="1194" w:type="dxa"/>
            <w:vAlign w:val="center"/>
          </w:tcPr>
          <w:p w14:paraId="24030219"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1058.0 ± 255.4</w:t>
            </w:r>
          </w:p>
        </w:tc>
        <w:tc>
          <w:tcPr>
            <w:tcW w:w="1192" w:type="dxa"/>
            <w:vAlign w:val="center"/>
          </w:tcPr>
          <w:p w14:paraId="22742E95"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1040 ± 373.4</w:t>
            </w:r>
          </w:p>
        </w:tc>
        <w:tc>
          <w:tcPr>
            <w:tcW w:w="1193" w:type="dxa"/>
            <w:gridSpan w:val="2"/>
            <w:vAlign w:val="center"/>
          </w:tcPr>
          <w:p w14:paraId="5E2BD82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1426.0 ± 386.3</w:t>
            </w:r>
          </w:p>
        </w:tc>
        <w:tc>
          <w:tcPr>
            <w:tcW w:w="1194" w:type="dxa"/>
            <w:vAlign w:val="center"/>
          </w:tcPr>
          <w:p w14:paraId="530F4733"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1028.0 ± 546.1</w:t>
            </w:r>
          </w:p>
        </w:tc>
        <w:tc>
          <w:tcPr>
            <w:tcW w:w="1197" w:type="dxa"/>
            <w:vAlign w:val="center"/>
          </w:tcPr>
          <w:p w14:paraId="0C2B47DF"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736.9 ± 351.6*</w:t>
            </w:r>
          </w:p>
        </w:tc>
      </w:tr>
      <w:tr w:rsidR="00EF4B1A" w:rsidRPr="00E76F61" w14:paraId="6E917750" w14:textId="77777777" w:rsidTr="00E76F61">
        <w:tc>
          <w:tcPr>
            <w:tcW w:w="1660" w:type="dxa"/>
            <w:vAlign w:val="center"/>
          </w:tcPr>
          <w:p w14:paraId="4E9D47DD"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Na (mmol/L)</w:t>
            </w:r>
          </w:p>
        </w:tc>
        <w:tc>
          <w:tcPr>
            <w:tcW w:w="1116" w:type="dxa"/>
            <w:vAlign w:val="center"/>
          </w:tcPr>
          <w:p w14:paraId="02DAD676"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106.6 ± 39.7</w:t>
            </w:r>
          </w:p>
        </w:tc>
        <w:tc>
          <w:tcPr>
            <w:tcW w:w="1194" w:type="dxa"/>
            <w:vAlign w:val="center"/>
          </w:tcPr>
          <w:p w14:paraId="206212EF"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144.8 ± 17.7</w:t>
            </w:r>
          </w:p>
        </w:tc>
        <w:tc>
          <w:tcPr>
            <w:tcW w:w="1194" w:type="dxa"/>
            <w:vAlign w:val="center"/>
          </w:tcPr>
          <w:p w14:paraId="6D7D18C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191.6 ± 59.7</w:t>
            </w:r>
          </w:p>
        </w:tc>
        <w:tc>
          <w:tcPr>
            <w:tcW w:w="1194" w:type="dxa"/>
            <w:vAlign w:val="center"/>
          </w:tcPr>
          <w:p w14:paraId="732CF68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153.6 ± 60.5</w:t>
            </w:r>
          </w:p>
        </w:tc>
        <w:tc>
          <w:tcPr>
            <w:tcW w:w="1192" w:type="dxa"/>
            <w:vAlign w:val="center"/>
          </w:tcPr>
          <w:p w14:paraId="1EFB0166"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198.6 ± 50.4</w:t>
            </w:r>
          </w:p>
        </w:tc>
        <w:tc>
          <w:tcPr>
            <w:tcW w:w="1193" w:type="dxa"/>
            <w:gridSpan w:val="2"/>
            <w:vAlign w:val="center"/>
          </w:tcPr>
          <w:p w14:paraId="1E7163DF"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148.3 ± 64.1</w:t>
            </w:r>
          </w:p>
        </w:tc>
        <w:tc>
          <w:tcPr>
            <w:tcW w:w="1194" w:type="dxa"/>
            <w:vAlign w:val="center"/>
          </w:tcPr>
          <w:p w14:paraId="7F11363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139.9 ± 95.7</w:t>
            </w:r>
          </w:p>
        </w:tc>
        <w:tc>
          <w:tcPr>
            <w:tcW w:w="1197" w:type="dxa"/>
            <w:vAlign w:val="center"/>
          </w:tcPr>
          <w:p w14:paraId="525A559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131.7 ± 68.2</w:t>
            </w:r>
          </w:p>
        </w:tc>
      </w:tr>
      <w:tr w:rsidR="00EF4B1A" w:rsidRPr="00E76F61" w14:paraId="7F6F9A84" w14:textId="77777777" w:rsidTr="00E76F61">
        <w:tc>
          <w:tcPr>
            <w:tcW w:w="1660" w:type="dxa"/>
            <w:vAlign w:val="center"/>
          </w:tcPr>
          <w:p w14:paraId="5D9B1785"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K (mmol/L)</w:t>
            </w:r>
          </w:p>
        </w:tc>
        <w:tc>
          <w:tcPr>
            <w:tcW w:w="1116" w:type="dxa"/>
            <w:vAlign w:val="center"/>
          </w:tcPr>
          <w:p w14:paraId="21E2330B"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61.5 ± 30.6</w:t>
            </w:r>
          </w:p>
        </w:tc>
        <w:tc>
          <w:tcPr>
            <w:tcW w:w="1194" w:type="dxa"/>
            <w:vAlign w:val="center"/>
          </w:tcPr>
          <w:p w14:paraId="7DCCEBC8"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62.9 ± 22.7</w:t>
            </w:r>
          </w:p>
        </w:tc>
        <w:tc>
          <w:tcPr>
            <w:tcW w:w="1194" w:type="dxa"/>
            <w:vAlign w:val="center"/>
          </w:tcPr>
          <w:p w14:paraId="397E601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95.7 ± 36.9</w:t>
            </w:r>
          </w:p>
        </w:tc>
        <w:tc>
          <w:tcPr>
            <w:tcW w:w="1194" w:type="dxa"/>
            <w:vAlign w:val="center"/>
          </w:tcPr>
          <w:p w14:paraId="4039967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60.5 ± 35.1</w:t>
            </w:r>
          </w:p>
        </w:tc>
        <w:tc>
          <w:tcPr>
            <w:tcW w:w="1192" w:type="dxa"/>
            <w:vAlign w:val="center"/>
          </w:tcPr>
          <w:p w14:paraId="7C4D5473"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92.0 ± 34.0</w:t>
            </w:r>
            <w:r w:rsidRPr="00E76F61">
              <w:rPr>
                <w:bCs/>
                <w:iCs/>
                <w:noProof w:val="0"/>
                <w:color w:val="auto"/>
                <w:position w:val="1"/>
                <w:sz w:val="16"/>
                <w:szCs w:val="16"/>
                <w:vertAlign w:val="superscript"/>
                <w:lang w:val="en-GB"/>
              </w:rPr>
              <w:t>††</w:t>
            </w:r>
          </w:p>
        </w:tc>
        <w:tc>
          <w:tcPr>
            <w:tcW w:w="1193" w:type="dxa"/>
            <w:gridSpan w:val="2"/>
            <w:vAlign w:val="center"/>
          </w:tcPr>
          <w:p w14:paraId="3DADB318"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40.0 ± 9.0</w:t>
            </w:r>
          </w:p>
        </w:tc>
        <w:tc>
          <w:tcPr>
            <w:tcW w:w="1194" w:type="dxa"/>
            <w:vAlign w:val="center"/>
          </w:tcPr>
          <w:p w14:paraId="4BBC682D"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43.7 ± 20.6</w:t>
            </w:r>
          </w:p>
        </w:tc>
        <w:tc>
          <w:tcPr>
            <w:tcW w:w="1197" w:type="dxa"/>
            <w:vAlign w:val="center"/>
          </w:tcPr>
          <w:p w14:paraId="15F552A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62.7 ± 38.1</w:t>
            </w:r>
          </w:p>
        </w:tc>
      </w:tr>
      <w:tr w:rsidR="00EF4B1A" w:rsidRPr="00E76F61" w14:paraId="2FDA38DD" w14:textId="77777777" w:rsidTr="00E76F61">
        <w:tc>
          <w:tcPr>
            <w:tcW w:w="1660" w:type="dxa"/>
            <w:vAlign w:val="center"/>
          </w:tcPr>
          <w:p w14:paraId="7787A459"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Cl (mmol/L)</w:t>
            </w:r>
          </w:p>
        </w:tc>
        <w:tc>
          <w:tcPr>
            <w:tcW w:w="1116" w:type="dxa"/>
            <w:vAlign w:val="center"/>
          </w:tcPr>
          <w:p w14:paraId="29B8E7D7"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124.8 ± 43.5</w:t>
            </w:r>
          </w:p>
        </w:tc>
        <w:tc>
          <w:tcPr>
            <w:tcW w:w="1194" w:type="dxa"/>
            <w:vAlign w:val="center"/>
          </w:tcPr>
          <w:p w14:paraId="35A2E02C"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122.0 ± 44.1</w:t>
            </w:r>
          </w:p>
        </w:tc>
        <w:tc>
          <w:tcPr>
            <w:tcW w:w="1194" w:type="dxa"/>
            <w:vAlign w:val="center"/>
          </w:tcPr>
          <w:p w14:paraId="447ED33F"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204.0 ± 73.9</w:t>
            </w:r>
          </w:p>
        </w:tc>
        <w:tc>
          <w:tcPr>
            <w:tcW w:w="1194" w:type="dxa"/>
            <w:vAlign w:val="center"/>
          </w:tcPr>
          <w:p w14:paraId="507AFADE"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157.0 ± 78.7</w:t>
            </w:r>
          </w:p>
        </w:tc>
        <w:tc>
          <w:tcPr>
            <w:tcW w:w="1192" w:type="dxa"/>
            <w:vAlign w:val="center"/>
          </w:tcPr>
          <w:p w14:paraId="18F6EE78"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224.1 ± 50.1</w:t>
            </w:r>
          </w:p>
        </w:tc>
        <w:tc>
          <w:tcPr>
            <w:tcW w:w="1193" w:type="dxa"/>
            <w:gridSpan w:val="2"/>
            <w:vAlign w:val="center"/>
          </w:tcPr>
          <w:p w14:paraId="54272093"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125.4 ± 53.1</w:t>
            </w:r>
          </w:p>
        </w:tc>
        <w:tc>
          <w:tcPr>
            <w:tcW w:w="1194" w:type="dxa"/>
            <w:vAlign w:val="center"/>
          </w:tcPr>
          <w:p w14:paraId="7C197CF8"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138.0 ± 81.6</w:t>
            </w:r>
          </w:p>
        </w:tc>
        <w:tc>
          <w:tcPr>
            <w:tcW w:w="1197" w:type="dxa"/>
            <w:vAlign w:val="center"/>
          </w:tcPr>
          <w:p w14:paraId="78DC2090"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149.0 ± 58.3</w:t>
            </w:r>
          </w:p>
        </w:tc>
      </w:tr>
      <w:tr w:rsidR="00EF4B1A" w:rsidRPr="00E76F61" w14:paraId="2CDFD78D" w14:textId="77777777" w:rsidTr="00E76F61">
        <w:tc>
          <w:tcPr>
            <w:tcW w:w="1660" w:type="dxa"/>
            <w:vAlign w:val="center"/>
          </w:tcPr>
          <w:p w14:paraId="61C43632"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P (mg/dL)</w:t>
            </w:r>
          </w:p>
        </w:tc>
        <w:tc>
          <w:tcPr>
            <w:tcW w:w="1116" w:type="dxa"/>
            <w:vAlign w:val="center"/>
          </w:tcPr>
          <w:p w14:paraId="3F601A0B"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106.3 ± 58.6</w:t>
            </w:r>
          </w:p>
        </w:tc>
        <w:tc>
          <w:tcPr>
            <w:tcW w:w="1194" w:type="dxa"/>
            <w:vAlign w:val="center"/>
          </w:tcPr>
          <w:p w14:paraId="64D3F7D4"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142.3 ± 71.3</w:t>
            </w:r>
          </w:p>
        </w:tc>
        <w:tc>
          <w:tcPr>
            <w:tcW w:w="1194" w:type="dxa"/>
            <w:vAlign w:val="center"/>
          </w:tcPr>
          <w:p w14:paraId="32D76612"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66.6 ± 41.2</w:t>
            </w:r>
          </w:p>
        </w:tc>
        <w:tc>
          <w:tcPr>
            <w:tcW w:w="1194" w:type="dxa"/>
            <w:vAlign w:val="center"/>
          </w:tcPr>
          <w:p w14:paraId="0C738327"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81.1± 36.6</w:t>
            </w:r>
          </w:p>
        </w:tc>
        <w:tc>
          <w:tcPr>
            <w:tcW w:w="1192" w:type="dxa"/>
            <w:vAlign w:val="center"/>
          </w:tcPr>
          <w:p w14:paraId="467B3500"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50.8 ± 20.4</w:t>
            </w:r>
          </w:p>
        </w:tc>
        <w:tc>
          <w:tcPr>
            <w:tcW w:w="1193" w:type="dxa"/>
            <w:gridSpan w:val="2"/>
            <w:vAlign w:val="center"/>
          </w:tcPr>
          <w:p w14:paraId="7FAD25ED"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105.7 ± 51.6</w:t>
            </w:r>
          </w:p>
        </w:tc>
        <w:tc>
          <w:tcPr>
            <w:tcW w:w="1194" w:type="dxa"/>
            <w:vAlign w:val="center"/>
          </w:tcPr>
          <w:p w14:paraId="3094E8A3"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54.2 ± 65.6</w:t>
            </w:r>
            <w:r w:rsidRPr="00E76F61">
              <w:rPr>
                <w:noProof w:val="0"/>
                <w:color w:val="auto"/>
                <w:sz w:val="16"/>
                <w:szCs w:val="16"/>
                <w:vertAlign w:val="superscript"/>
              </w:rPr>
              <w:t>†</w:t>
            </w:r>
          </w:p>
        </w:tc>
        <w:tc>
          <w:tcPr>
            <w:tcW w:w="1197" w:type="dxa"/>
            <w:vAlign w:val="center"/>
          </w:tcPr>
          <w:p w14:paraId="5BAD92A6"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53.2 ± 35.1</w:t>
            </w:r>
          </w:p>
        </w:tc>
      </w:tr>
      <w:tr w:rsidR="00EF4B1A" w:rsidRPr="00E76F61" w14:paraId="3D84E99A" w14:textId="77777777" w:rsidTr="00E76F61">
        <w:tc>
          <w:tcPr>
            <w:tcW w:w="1660" w:type="dxa"/>
            <w:vAlign w:val="center"/>
          </w:tcPr>
          <w:p w14:paraId="225D0F9F"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Mg (mg/dL)</w:t>
            </w:r>
          </w:p>
        </w:tc>
        <w:tc>
          <w:tcPr>
            <w:tcW w:w="1116" w:type="dxa"/>
            <w:vAlign w:val="center"/>
          </w:tcPr>
          <w:p w14:paraId="672D009B"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5.0 ± 5.1</w:t>
            </w:r>
          </w:p>
        </w:tc>
        <w:tc>
          <w:tcPr>
            <w:tcW w:w="1194" w:type="dxa"/>
            <w:vAlign w:val="center"/>
          </w:tcPr>
          <w:p w14:paraId="447D1CD7"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15.2 ± 8.7</w:t>
            </w:r>
          </w:p>
        </w:tc>
        <w:tc>
          <w:tcPr>
            <w:tcW w:w="1194" w:type="dxa"/>
            <w:vAlign w:val="center"/>
          </w:tcPr>
          <w:p w14:paraId="0EC8387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6.7 ± 4.2</w:t>
            </w:r>
          </w:p>
        </w:tc>
        <w:tc>
          <w:tcPr>
            <w:tcW w:w="1194" w:type="dxa"/>
            <w:vAlign w:val="center"/>
          </w:tcPr>
          <w:p w14:paraId="322B6807"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8.4 ± 3.2</w:t>
            </w:r>
          </w:p>
        </w:tc>
        <w:tc>
          <w:tcPr>
            <w:tcW w:w="1192" w:type="dxa"/>
            <w:vAlign w:val="center"/>
          </w:tcPr>
          <w:p w14:paraId="4642A7DD"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6.3 ± 3.1</w:t>
            </w:r>
          </w:p>
        </w:tc>
        <w:tc>
          <w:tcPr>
            <w:tcW w:w="1193" w:type="dxa"/>
            <w:gridSpan w:val="2"/>
            <w:vAlign w:val="center"/>
          </w:tcPr>
          <w:p w14:paraId="062EA287"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11.9 ± 5.1</w:t>
            </w:r>
          </w:p>
        </w:tc>
        <w:tc>
          <w:tcPr>
            <w:tcW w:w="1194" w:type="dxa"/>
            <w:vAlign w:val="center"/>
          </w:tcPr>
          <w:p w14:paraId="461DD555"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7.9 ± 7.4</w:t>
            </w:r>
          </w:p>
        </w:tc>
        <w:tc>
          <w:tcPr>
            <w:tcW w:w="1197" w:type="dxa"/>
            <w:vAlign w:val="center"/>
          </w:tcPr>
          <w:p w14:paraId="018DF1E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5.8 ± 3.0</w:t>
            </w:r>
          </w:p>
        </w:tc>
      </w:tr>
      <w:tr w:rsidR="00EF4B1A" w:rsidRPr="00E76F61" w14:paraId="382BE936" w14:textId="77777777" w:rsidTr="00E76F61">
        <w:tc>
          <w:tcPr>
            <w:tcW w:w="1660" w:type="dxa"/>
            <w:vAlign w:val="center"/>
          </w:tcPr>
          <w:p w14:paraId="2F02A0E0"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Ca (mg/dL)</w:t>
            </w:r>
          </w:p>
        </w:tc>
        <w:tc>
          <w:tcPr>
            <w:tcW w:w="1116" w:type="dxa"/>
            <w:vAlign w:val="center"/>
          </w:tcPr>
          <w:p w14:paraId="12E26DD8"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7.9 ± 8.0</w:t>
            </w:r>
          </w:p>
        </w:tc>
        <w:tc>
          <w:tcPr>
            <w:tcW w:w="1194" w:type="dxa"/>
            <w:vAlign w:val="center"/>
          </w:tcPr>
          <w:p w14:paraId="139CC15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16.0 ± 5.8</w:t>
            </w:r>
          </w:p>
        </w:tc>
        <w:tc>
          <w:tcPr>
            <w:tcW w:w="1194" w:type="dxa"/>
            <w:vAlign w:val="center"/>
          </w:tcPr>
          <w:p w14:paraId="7FB250E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10.2 ± 7.9</w:t>
            </w:r>
          </w:p>
        </w:tc>
        <w:tc>
          <w:tcPr>
            <w:tcW w:w="1194" w:type="dxa"/>
            <w:vAlign w:val="center"/>
          </w:tcPr>
          <w:p w14:paraId="76D71C30"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13.3 ± 5.0</w:t>
            </w:r>
          </w:p>
        </w:tc>
        <w:tc>
          <w:tcPr>
            <w:tcW w:w="1192" w:type="dxa"/>
            <w:vAlign w:val="center"/>
          </w:tcPr>
          <w:p w14:paraId="35614EF4"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11.6 ± 6.0</w:t>
            </w:r>
          </w:p>
        </w:tc>
        <w:tc>
          <w:tcPr>
            <w:tcW w:w="1193" w:type="dxa"/>
            <w:gridSpan w:val="2"/>
            <w:vAlign w:val="center"/>
          </w:tcPr>
          <w:p w14:paraId="711EC7AC"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15.4 ± 6.6</w:t>
            </w:r>
          </w:p>
        </w:tc>
        <w:tc>
          <w:tcPr>
            <w:tcW w:w="1194" w:type="dxa"/>
            <w:vAlign w:val="center"/>
          </w:tcPr>
          <w:p w14:paraId="44DEF3F1"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10.7 ± 7.1</w:t>
            </w:r>
          </w:p>
        </w:tc>
        <w:tc>
          <w:tcPr>
            <w:tcW w:w="1197" w:type="dxa"/>
            <w:vAlign w:val="center"/>
          </w:tcPr>
          <w:p w14:paraId="3841321A"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9.8 ± 5.1</w:t>
            </w:r>
          </w:p>
        </w:tc>
      </w:tr>
      <w:tr w:rsidR="00EF4B1A" w:rsidRPr="00E76F61" w14:paraId="12DF03A2" w14:textId="77777777" w:rsidTr="00E76F61">
        <w:tc>
          <w:tcPr>
            <w:tcW w:w="1660" w:type="dxa"/>
            <w:tcBorders>
              <w:bottom w:val="single" w:sz="8" w:space="0" w:color="auto"/>
            </w:tcBorders>
            <w:vAlign w:val="center"/>
          </w:tcPr>
          <w:p w14:paraId="079E8753"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 xml:space="preserve">Total proteins </w:t>
            </w:r>
          </w:p>
          <w:p w14:paraId="67BA324C" w14:textId="77777777" w:rsidR="00EF4B1A" w:rsidRPr="00E76F61" w:rsidRDefault="00EF4B1A" w:rsidP="00E76F61">
            <w:pPr>
              <w:autoSpaceDE w:val="0"/>
              <w:autoSpaceDN w:val="0"/>
              <w:adjustRightInd w:val="0"/>
              <w:snapToGrid w:val="0"/>
              <w:spacing w:line="240" w:lineRule="auto"/>
              <w:jc w:val="center"/>
              <w:rPr>
                <w:b/>
                <w:bCs/>
                <w:noProof w:val="0"/>
                <w:color w:val="auto"/>
                <w:sz w:val="16"/>
                <w:szCs w:val="16"/>
              </w:rPr>
            </w:pPr>
            <w:r w:rsidRPr="00E76F61">
              <w:rPr>
                <w:b/>
                <w:bCs/>
                <w:noProof w:val="0"/>
                <w:color w:val="auto"/>
                <w:sz w:val="16"/>
                <w:szCs w:val="16"/>
              </w:rPr>
              <w:t>(mg/dL)</w:t>
            </w:r>
          </w:p>
        </w:tc>
        <w:tc>
          <w:tcPr>
            <w:tcW w:w="1116" w:type="dxa"/>
            <w:tcBorders>
              <w:bottom w:val="single" w:sz="8" w:space="0" w:color="auto"/>
            </w:tcBorders>
            <w:vAlign w:val="center"/>
          </w:tcPr>
          <w:p w14:paraId="6D2881D2"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51.3 ± 3.5</w:t>
            </w:r>
          </w:p>
        </w:tc>
        <w:tc>
          <w:tcPr>
            <w:tcW w:w="1194" w:type="dxa"/>
            <w:tcBorders>
              <w:bottom w:val="single" w:sz="8" w:space="0" w:color="auto"/>
            </w:tcBorders>
            <w:vAlign w:val="center"/>
          </w:tcPr>
          <w:p w14:paraId="46094AED"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50.0 ± 1.0</w:t>
            </w:r>
          </w:p>
        </w:tc>
        <w:tc>
          <w:tcPr>
            <w:tcW w:w="1194" w:type="dxa"/>
            <w:tcBorders>
              <w:bottom w:val="single" w:sz="8" w:space="0" w:color="auto"/>
            </w:tcBorders>
            <w:vAlign w:val="center"/>
          </w:tcPr>
          <w:p w14:paraId="6D8C46D4"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81.2 ± 69.7</w:t>
            </w:r>
          </w:p>
        </w:tc>
        <w:tc>
          <w:tcPr>
            <w:tcW w:w="1194" w:type="dxa"/>
            <w:tcBorders>
              <w:bottom w:val="single" w:sz="8" w:space="0" w:color="auto"/>
            </w:tcBorders>
            <w:vAlign w:val="center"/>
          </w:tcPr>
          <w:p w14:paraId="39861FF6"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50.0 ± 1.0</w:t>
            </w:r>
          </w:p>
        </w:tc>
        <w:tc>
          <w:tcPr>
            <w:tcW w:w="1192" w:type="dxa"/>
            <w:tcBorders>
              <w:bottom w:val="single" w:sz="8" w:space="0" w:color="auto"/>
            </w:tcBorders>
            <w:vAlign w:val="center"/>
          </w:tcPr>
          <w:p w14:paraId="6984FE66"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50.0 ± 1.0</w:t>
            </w:r>
          </w:p>
        </w:tc>
        <w:tc>
          <w:tcPr>
            <w:tcW w:w="1193" w:type="dxa"/>
            <w:gridSpan w:val="2"/>
            <w:tcBorders>
              <w:bottom w:val="single" w:sz="8" w:space="0" w:color="auto"/>
            </w:tcBorders>
            <w:vAlign w:val="center"/>
          </w:tcPr>
          <w:p w14:paraId="2E208DAF"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50.0 ± 1.0</w:t>
            </w:r>
          </w:p>
        </w:tc>
        <w:tc>
          <w:tcPr>
            <w:tcW w:w="1194" w:type="dxa"/>
            <w:tcBorders>
              <w:bottom w:val="single" w:sz="8" w:space="0" w:color="auto"/>
            </w:tcBorders>
            <w:vAlign w:val="center"/>
          </w:tcPr>
          <w:p w14:paraId="31E84B5E"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70.6 ± 30.8</w:t>
            </w:r>
          </w:p>
        </w:tc>
        <w:tc>
          <w:tcPr>
            <w:tcW w:w="1197" w:type="dxa"/>
            <w:tcBorders>
              <w:bottom w:val="single" w:sz="8" w:space="0" w:color="auto"/>
            </w:tcBorders>
            <w:vAlign w:val="center"/>
          </w:tcPr>
          <w:p w14:paraId="37A011FE" w14:textId="77777777" w:rsidR="00EF4B1A" w:rsidRPr="00E76F61" w:rsidRDefault="00EF4B1A" w:rsidP="00E76F61">
            <w:pPr>
              <w:autoSpaceDE w:val="0"/>
              <w:autoSpaceDN w:val="0"/>
              <w:adjustRightInd w:val="0"/>
              <w:snapToGrid w:val="0"/>
              <w:spacing w:line="240" w:lineRule="auto"/>
              <w:jc w:val="center"/>
              <w:rPr>
                <w:noProof w:val="0"/>
                <w:color w:val="auto"/>
                <w:sz w:val="16"/>
                <w:szCs w:val="16"/>
              </w:rPr>
            </w:pPr>
            <w:r w:rsidRPr="00E76F61">
              <w:rPr>
                <w:noProof w:val="0"/>
                <w:color w:val="auto"/>
                <w:sz w:val="16"/>
                <w:szCs w:val="16"/>
              </w:rPr>
              <w:t>66.7 ±19.4</w:t>
            </w:r>
          </w:p>
        </w:tc>
      </w:tr>
    </w:tbl>
    <w:p w14:paraId="109B26D6" w14:textId="77777777" w:rsidR="00E63FB9" w:rsidRDefault="00E63FB9" w:rsidP="00E63FB9">
      <w:pPr>
        <w:pStyle w:val="MDPI21heading1"/>
        <w:spacing w:before="0" w:after="0" w:line="240" w:lineRule="auto"/>
        <w:jc w:val="both"/>
        <w:rPr>
          <w:b w:val="0"/>
        </w:rPr>
      </w:pPr>
    </w:p>
    <w:p w14:paraId="2B2D9013" w14:textId="77777777" w:rsidR="00E63FB9" w:rsidRPr="00E96608" w:rsidRDefault="00082429" w:rsidP="00E76F61">
      <w:pPr>
        <w:pStyle w:val="MDPI31text"/>
        <w:rPr>
          <w:b/>
        </w:rPr>
      </w:pPr>
      <w:r>
        <w:t>Moreover, a</w:t>
      </w:r>
      <w:r w:rsidR="00217161" w:rsidRPr="00E96608">
        <w:t xml:space="preserve">s reported in </w:t>
      </w:r>
      <w:r w:rsidR="00217161" w:rsidRPr="00082429">
        <w:rPr>
          <w:bCs/>
        </w:rPr>
        <w:t>Figure 3</w:t>
      </w:r>
      <w:r w:rsidR="00217161" w:rsidRPr="00E96608">
        <w:t>, we found significant changes in neopterin levels after every training session</w:t>
      </w:r>
      <w:r w:rsidR="00AE037F" w:rsidRPr="00E96608">
        <w:t xml:space="preserve">: </w:t>
      </w:r>
      <w:r w:rsidR="00217161" w:rsidRPr="00E96608">
        <w:t>T1</w:t>
      </w:r>
      <w:r w:rsidR="00AE037F" w:rsidRPr="00E96608">
        <w:t>A</w:t>
      </w:r>
      <w:r w:rsidR="00EA249C" w:rsidRPr="00E96608">
        <w:t xml:space="preserve"> vs </w:t>
      </w:r>
      <w:r w:rsidR="00AE037F" w:rsidRPr="00E96608">
        <w:t>B +</w:t>
      </w:r>
      <w:r w:rsidR="00383291" w:rsidRPr="00E96608">
        <w:t>86</w:t>
      </w:r>
      <w:r w:rsidR="00AE037F" w:rsidRPr="00E96608">
        <w:t>%</w:t>
      </w:r>
      <w:r w:rsidR="00076A81">
        <w:t xml:space="preserve">, </w:t>
      </w:r>
      <w:r w:rsidR="00076A81" w:rsidRPr="00076A81">
        <w:rPr>
          <w:color w:val="FF0000"/>
          <w:szCs w:val="20"/>
        </w:rPr>
        <w:t>dCohen=</w:t>
      </w:r>
      <w:r w:rsidR="00076A81">
        <w:rPr>
          <w:color w:val="FF0000"/>
          <w:szCs w:val="20"/>
        </w:rPr>
        <w:t>1.76</w:t>
      </w:r>
      <w:r w:rsidR="00AE037F" w:rsidRPr="00076A81">
        <w:rPr>
          <w:color w:val="FF0000"/>
        </w:rPr>
        <w:t>;</w:t>
      </w:r>
      <w:r w:rsidR="00AE037F" w:rsidRPr="00E96608">
        <w:t xml:space="preserve"> T</w:t>
      </w:r>
      <w:r w:rsidR="00217161" w:rsidRPr="00E96608">
        <w:t>2</w:t>
      </w:r>
      <w:r w:rsidR="00AE037F" w:rsidRPr="00E96608">
        <w:t>A</w:t>
      </w:r>
      <w:r w:rsidR="00EA249C" w:rsidRPr="00E96608">
        <w:t xml:space="preserve"> vs </w:t>
      </w:r>
      <w:r w:rsidR="00AE037F" w:rsidRPr="00E96608">
        <w:t>B+</w:t>
      </w:r>
      <w:r w:rsidR="00383291" w:rsidRPr="00E96608">
        <w:t>44</w:t>
      </w:r>
      <w:r w:rsidR="00AE037F" w:rsidRPr="00E96608">
        <w:t>%</w:t>
      </w:r>
      <w:r w:rsidR="00076A81">
        <w:t xml:space="preserve">, </w:t>
      </w:r>
      <w:r w:rsidR="00076A81" w:rsidRPr="00076A81">
        <w:rPr>
          <w:color w:val="FF0000"/>
          <w:szCs w:val="20"/>
        </w:rPr>
        <w:t>dCohen=</w:t>
      </w:r>
      <w:r w:rsidR="00076A81">
        <w:rPr>
          <w:color w:val="FF0000"/>
          <w:szCs w:val="20"/>
        </w:rPr>
        <w:t>1.</w:t>
      </w:r>
      <w:r w:rsidR="007C0F93">
        <w:rPr>
          <w:color w:val="FF0000"/>
          <w:szCs w:val="20"/>
        </w:rPr>
        <w:t>29</w:t>
      </w:r>
      <w:r w:rsidR="00076A81" w:rsidRPr="00076A81">
        <w:rPr>
          <w:color w:val="FF0000"/>
        </w:rPr>
        <w:t>;</w:t>
      </w:r>
      <w:r w:rsidR="00076A81" w:rsidRPr="00E96608">
        <w:t xml:space="preserve"> </w:t>
      </w:r>
      <w:r w:rsidR="00AE037F" w:rsidRPr="00E96608">
        <w:t xml:space="preserve"> T</w:t>
      </w:r>
      <w:r w:rsidR="00217161" w:rsidRPr="00E96608">
        <w:t>3A</w:t>
      </w:r>
      <w:r w:rsidR="00EA249C" w:rsidRPr="00E96608">
        <w:t xml:space="preserve"> vs </w:t>
      </w:r>
      <w:r w:rsidR="00AE037F" w:rsidRPr="00E96608">
        <w:t>B</w:t>
      </w:r>
      <w:r w:rsidR="00217161" w:rsidRPr="00E96608">
        <w:t xml:space="preserve"> </w:t>
      </w:r>
      <w:r w:rsidR="00AE037F" w:rsidRPr="00E96608">
        <w:t>+</w:t>
      </w:r>
      <w:r w:rsidR="00383291" w:rsidRPr="00E96608">
        <w:t>46</w:t>
      </w:r>
      <w:r w:rsidR="00AE037F" w:rsidRPr="00E96608">
        <w:t>%</w:t>
      </w:r>
      <w:r w:rsidR="007C0F93">
        <w:t xml:space="preserve">, </w:t>
      </w:r>
      <w:r w:rsidR="007C0F93" w:rsidRPr="00076A81">
        <w:rPr>
          <w:color w:val="FF0000"/>
          <w:szCs w:val="20"/>
        </w:rPr>
        <w:t>dCohen=</w:t>
      </w:r>
      <w:r w:rsidR="007C0F93">
        <w:rPr>
          <w:color w:val="FF0000"/>
          <w:szCs w:val="20"/>
        </w:rPr>
        <w:t>1.26</w:t>
      </w:r>
      <w:r w:rsidR="007C0F93" w:rsidRPr="00076A81">
        <w:rPr>
          <w:color w:val="FF0000"/>
        </w:rPr>
        <w:t>;</w:t>
      </w:r>
      <w:r w:rsidR="00AE037F" w:rsidRPr="00E96608">
        <w:t xml:space="preserve"> </w:t>
      </w:r>
      <w:r w:rsidR="00217161" w:rsidRPr="00E96608">
        <w:t>p&lt;0.05.</w:t>
      </w:r>
    </w:p>
    <w:p w14:paraId="0DFCE273" w14:textId="77777777" w:rsidR="00217161" w:rsidRDefault="00217161" w:rsidP="00E63FB9">
      <w:pPr>
        <w:pStyle w:val="MDPI21heading1"/>
        <w:spacing w:before="0" w:after="0" w:line="240" w:lineRule="auto"/>
        <w:jc w:val="both"/>
        <w:rPr>
          <w:b w:val="0"/>
        </w:rPr>
      </w:pPr>
    </w:p>
    <w:p w14:paraId="39881C6F" w14:textId="77777777" w:rsidR="00217161" w:rsidRDefault="00217161" w:rsidP="00E63FB9">
      <w:pPr>
        <w:pStyle w:val="MDPI21heading1"/>
        <w:spacing w:before="0" w:after="0" w:line="240" w:lineRule="auto"/>
        <w:jc w:val="both"/>
        <w:rPr>
          <w:b w:val="0"/>
        </w:rPr>
      </w:pPr>
    </w:p>
    <w:p w14:paraId="35B7B32E" w14:textId="77777777" w:rsidR="00217161" w:rsidRDefault="00C25729" w:rsidP="00C25729">
      <w:pPr>
        <w:pStyle w:val="MDPI52figure"/>
        <w:ind w:left="2608"/>
      </w:pPr>
      <w:r>
        <w:rPr>
          <w:noProof/>
          <w:snapToGrid/>
          <w:lang w:val="it-IT" w:eastAsia="it-IT" w:bidi="ar-SA"/>
        </w:rPr>
        <w:drawing>
          <wp:inline distT="0" distB="0" distL="0" distR="0" wp14:anchorId="02454CAA" wp14:editId="379AB740">
            <wp:extent cx="2733571" cy="235307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1"/>
                    <a:stretch>
                      <a:fillRect/>
                    </a:stretch>
                  </pic:blipFill>
                  <pic:spPr>
                    <a:xfrm>
                      <a:off x="0" y="0"/>
                      <a:ext cx="2739536" cy="2358209"/>
                    </a:xfrm>
                    <a:prstGeom prst="rect">
                      <a:avLst/>
                    </a:prstGeom>
                  </pic:spPr>
                </pic:pic>
              </a:graphicData>
            </a:graphic>
          </wp:inline>
        </w:drawing>
      </w:r>
    </w:p>
    <w:p w14:paraId="6361B1EB" w14:textId="77777777" w:rsidR="00217161" w:rsidRDefault="00E76F61" w:rsidP="00E76F61">
      <w:pPr>
        <w:pStyle w:val="MDPI51figurecaption"/>
        <w:rPr>
          <w:i/>
          <w:iCs/>
        </w:rPr>
      </w:pPr>
      <w:r w:rsidRPr="00E76F61">
        <w:rPr>
          <w:b/>
          <w:i/>
          <w:iCs/>
        </w:rPr>
        <w:t xml:space="preserve">Figure 3. </w:t>
      </w:r>
      <w:r w:rsidR="00217161" w:rsidRPr="00217161">
        <w:t>Neopterin changes during the training season.  Statistically significant differences symbols: *p&lt;0.05</w:t>
      </w:r>
      <w:r>
        <w:rPr>
          <w:i/>
          <w:iCs/>
        </w:rPr>
        <w:t>.</w:t>
      </w:r>
    </w:p>
    <w:p w14:paraId="35F365C7" w14:textId="77777777" w:rsidR="00217161" w:rsidRDefault="00217161" w:rsidP="00E76F61">
      <w:pPr>
        <w:pStyle w:val="MDPI31text"/>
        <w:rPr>
          <w:b/>
        </w:rPr>
      </w:pPr>
      <w:r w:rsidRPr="00217161">
        <w:t xml:space="preserve">Urine standard parameters are reported in </w:t>
      </w:r>
      <w:r w:rsidRPr="00082429">
        <w:rPr>
          <w:bCs/>
        </w:rPr>
        <w:t>Table 3</w:t>
      </w:r>
      <w:r w:rsidRPr="00217161">
        <w:t>. No significant differences were found during season.</w:t>
      </w:r>
    </w:p>
    <w:p w14:paraId="5594623A" w14:textId="77777777" w:rsidR="00E47B8D" w:rsidRDefault="00E47B8D" w:rsidP="00E76F61">
      <w:pPr>
        <w:pStyle w:val="MDPI31text"/>
      </w:pPr>
    </w:p>
    <w:p w14:paraId="38892A3B" w14:textId="77777777" w:rsidR="007827DE" w:rsidRPr="007827DE" w:rsidRDefault="00E76F61" w:rsidP="00E76F61">
      <w:pPr>
        <w:pStyle w:val="MDPI41tablecaption"/>
        <w:jc w:val="left"/>
        <w:rPr>
          <w:i/>
          <w:iCs/>
        </w:rPr>
      </w:pPr>
      <w:r w:rsidRPr="00E76F61">
        <w:rPr>
          <w:b/>
          <w:i/>
          <w:iCs/>
        </w:rPr>
        <w:t xml:space="preserve">Table 3. </w:t>
      </w:r>
      <w:r w:rsidR="007827DE">
        <w:t xml:space="preserve">Urine </w:t>
      </w:r>
      <w:r w:rsidR="007827DE" w:rsidRPr="007827DE">
        <w:t>standard analysis. Urine test strip data values (mean ±SD) from all subjects</w:t>
      </w:r>
      <w:r>
        <w:rPr>
          <w:i/>
          <w:iCs/>
        </w:rPr>
        <w:t>.</w:t>
      </w:r>
    </w:p>
    <w:tbl>
      <w:tblPr>
        <w:tblStyle w:val="Grigliatabella"/>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50"/>
        <w:gridCol w:w="1234"/>
        <w:gridCol w:w="1111"/>
        <w:gridCol w:w="1181"/>
        <w:gridCol w:w="1060"/>
        <w:gridCol w:w="1421"/>
      </w:tblGrid>
      <w:tr w:rsidR="00E47B8D" w:rsidRPr="00E76F61" w14:paraId="57E63A8C" w14:textId="77777777" w:rsidTr="00E76F61">
        <w:tc>
          <w:tcPr>
            <w:tcW w:w="2388" w:type="dxa"/>
            <w:tcBorders>
              <w:top w:val="single" w:sz="8" w:space="0" w:color="auto"/>
              <w:bottom w:val="single" w:sz="4" w:space="0" w:color="auto"/>
            </w:tcBorders>
            <w:vAlign w:val="center"/>
          </w:tcPr>
          <w:p w14:paraId="0125E723" w14:textId="77777777" w:rsidR="00E47B8D" w:rsidRPr="00E76F61" w:rsidRDefault="00E47B8D" w:rsidP="00E76F61">
            <w:pPr>
              <w:autoSpaceDE w:val="0"/>
              <w:autoSpaceDN w:val="0"/>
              <w:adjustRightInd w:val="0"/>
              <w:snapToGrid w:val="0"/>
              <w:spacing w:line="240" w:lineRule="auto"/>
              <w:jc w:val="center"/>
              <w:rPr>
                <w:rFonts w:asciiTheme="majorBidi" w:hAnsiTheme="majorBidi" w:cstheme="majorBidi"/>
                <w:b/>
                <w:sz w:val="16"/>
              </w:rPr>
            </w:pPr>
          </w:p>
        </w:tc>
        <w:tc>
          <w:tcPr>
            <w:tcW w:w="7741" w:type="dxa"/>
            <w:gridSpan w:val="5"/>
            <w:tcBorders>
              <w:top w:val="single" w:sz="8" w:space="0" w:color="auto"/>
              <w:bottom w:val="single" w:sz="4" w:space="0" w:color="auto"/>
            </w:tcBorders>
            <w:shd w:val="clear" w:color="auto" w:fill="8EAADB" w:themeFill="accent1" w:themeFillTint="99"/>
            <w:vAlign w:val="center"/>
          </w:tcPr>
          <w:p w14:paraId="2620EB0E" w14:textId="77777777" w:rsidR="00E47B8D" w:rsidRPr="00E76F61" w:rsidRDefault="00E47B8D" w:rsidP="00E76F61">
            <w:pPr>
              <w:autoSpaceDE w:val="0"/>
              <w:autoSpaceDN w:val="0"/>
              <w:adjustRightInd w:val="0"/>
              <w:snapToGrid w:val="0"/>
              <w:spacing w:line="240" w:lineRule="auto"/>
              <w:jc w:val="center"/>
              <w:rPr>
                <w:rFonts w:cstheme="majorBidi"/>
                <w:b/>
                <w:i/>
                <w:sz w:val="16"/>
              </w:rPr>
            </w:pPr>
            <w:r w:rsidRPr="00E76F61">
              <w:rPr>
                <w:rFonts w:eastAsia="MS PGothic" w:cstheme="majorBidi"/>
                <w:b/>
                <w:position w:val="1"/>
                <w:sz w:val="16"/>
              </w:rPr>
              <w:t>Subjects</w:t>
            </w:r>
          </w:p>
        </w:tc>
      </w:tr>
      <w:tr w:rsidR="00E47B8D" w:rsidRPr="00E76F61" w14:paraId="3C405F18" w14:textId="77777777" w:rsidTr="00E76F61">
        <w:tc>
          <w:tcPr>
            <w:tcW w:w="2388" w:type="dxa"/>
            <w:tcBorders>
              <w:top w:val="single" w:sz="4" w:space="0" w:color="auto"/>
              <w:bottom w:val="single" w:sz="4" w:space="0" w:color="auto"/>
            </w:tcBorders>
            <w:vAlign w:val="center"/>
          </w:tcPr>
          <w:p w14:paraId="3660F69F" w14:textId="77777777" w:rsidR="00E47B8D" w:rsidRPr="00E76F61" w:rsidRDefault="00E47B8D" w:rsidP="00E76F61">
            <w:pPr>
              <w:autoSpaceDE w:val="0"/>
              <w:autoSpaceDN w:val="0"/>
              <w:adjustRightInd w:val="0"/>
              <w:snapToGrid w:val="0"/>
              <w:spacing w:line="240" w:lineRule="auto"/>
              <w:jc w:val="center"/>
              <w:rPr>
                <w:rFonts w:asciiTheme="majorBidi" w:hAnsiTheme="majorBidi" w:cstheme="majorBidi"/>
                <w:b/>
                <w:sz w:val="16"/>
              </w:rPr>
            </w:pPr>
          </w:p>
        </w:tc>
        <w:tc>
          <w:tcPr>
            <w:tcW w:w="1590" w:type="dxa"/>
            <w:tcBorders>
              <w:top w:val="single" w:sz="4" w:space="0" w:color="auto"/>
              <w:bottom w:val="single" w:sz="4" w:space="0" w:color="auto"/>
            </w:tcBorders>
            <w:vAlign w:val="center"/>
          </w:tcPr>
          <w:p w14:paraId="40E2072E" w14:textId="77777777" w:rsidR="00E47B8D" w:rsidRPr="00E76F61" w:rsidRDefault="00E47B8D" w:rsidP="00E76F61">
            <w:pPr>
              <w:autoSpaceDE w:val="0"/>
              <w:autoSpaceDN w:val="0"/>
              <w:adjustRightInd w:val="0"/>
              <w:snapToGrid w:val="0"/>
              <w:spacing w:line="240" w:lineRule="auto"/>
              <w:jc w:val="center"/>
              <w:rPr>
                <w:rFonts w:cstheme="majorBidi"/>
                <w:b/>
                <w:bCs/>
                <w:color w:val="000000" w:themeColor="text1"/>
                <w:sz w:val="16"/>
              </w:rPr>
            </w:pPr>
            <w:r w:rsidRPr="00E76F61">
              <w:rPr>
                <w:rFonts w:cstheme="majorBidi"/>
                <w:b/>
                <w:bCs/>
                <w:color w:val="000000" w:themeColor="text1"/>
                <w:sz w:val="16"/>
              </w:rPr>
              <w:t>T0</w:t>
            </w:r>
          </w:p>
        </w:tc>
        <w:tc>
          <w:tcPr>
            <w:tcW w:w="1431" w:type="dxa"/>
            <w:tcBorders>
              <w:top w:val="single" w:sz="4" w:space="0" w:color="auto"/>
              <w:bottom w:val="single" w:sz="4" w:space="0" w:color="auto"/>
            </w:tcBorders>
            <w:vAlign w:val="center"/>
          </w:tcPr>
          <w:p w14:paraId="3A3A4C40" w14:textId="77777777" w:rsidR="00E47B8D" w:rsidRPr="00E76F61" w:rsidRDefault="00E47B8D" w:rsidP="00E76F61">
            <w:pPr>
              <w:autoSpaceDE w:val="0"/>
              <w:autoSpaceDN w:val="0"/>
              <w:adjustRightInd w:val="0"/>
              <w:snapToGrid w:val="0"/>
              <w:spacing w:line="240" w:lineRule="auto"/>
              <w:jc w:val="center"/>
              <w:rPr>
                <w:rFonts w:cstheme="majorBidi"/>
                <w:b/>
                <w:bCs/>
                <w:color w:val="000000" w:themeColor="text1"/>
                <w:sz w:val="16"/>
              </w:rPr>
            </w:pPr>
            <w:r w:rsidRPr="00E76F61">
              <w:rPr>
                <w:rFonts w:cstheme="majorBidi"/>
                <w:b/>
                <w:bCs/>
                <w:color w:val="000000" w:themeColor="text1"/>
                <w:sz w:val="16"/>
              </w:rPr>
              <w:t>T1</w:t>
            </w:r>
          </w:p>
        </w:tc>
        <w:tc>
          <w:tcPr>
            <w:tcW w:w="1522" w:type="dxa"/>
            <w:tcBorders>
              <w:top w:val="single" w:sz="4" w:space="0" w:color="auto"/>
              <w:bottom w:val="single" w:sz="4" w:space="0" w:color="auto"/>
            </w:tcBorders>
            <w:vAlign w:val="center"/>
          </w:tcPr>
          <w:p w14:paraId="698BF33D"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i/>
                <w:sz w:val="16"/>
              </w:rPr>
              <w:t>T2</w:t>
            </w:r>
          </w:p>
        </w:tc>
        <w:tc>
          <w:tcPr>
            <w:tcW w:w="1366" w:type="dxa"/>
            <w:tcBorders>
              <w:top w:val="single" w:sz="4" w:space="0" w:color="auto"/>
              <w:bottom w:val="single" w:sz="4" w:space="0" w:color="auto"/>
            </w:tcBorders>
            <w:vAlign w:val="center"/>
          </w:tcPr>
          <w:p w14:paraId="38FF49A5"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i/>
                <w:sz w:val="16"/>
              </w:rPr>
              <w:t>T3</w:t>
            </w:r>
          </w:p>
        </w:tc>
        <w:tc>
          <w:tcPr>
            <w:tcW w:w="1832" w:type="dxa"/>
            <w:tcBorders>
              <w:top w:val="single" w:sz="4" w:space="0" w:color="auto"/>
              <w:bottom w:val="single" w:sz="4" w:space="0" w:color="auto"/>
            </w:tcBorders>
            <w:vAlign w:val="center"/>
          </w:tcPr>
          <w:p w14:paraId="34B91AA8"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i/>
                <w:sz w:val="16"/>
              </w:rPr>
              <w:t>T4</w:t>
            </w:r>
          </w:p>
        </w:tc>
      </w:tr>
      <w:tr w:rsidR="00E47B8D" w:rsidRPr="00E76F61" w14:paraId="79F68B39" w14:textId="77777777" w:rsidTr="00E76F61">
        <w:tc>
          <w:tcPr>
            <w:tcW w:w="2388" w:type="dxa"/>
            <w:tcBorders>
              <w:top w:val="single" w:sz="4" w:space="0" w:color="auto"/>
            </w:tcBorders>
            <w:vAlign w:val="center"/>
          </w:tcPr>
          <w:p w14:paraId="0C8D012D"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sz w:val="16"/>
              </w:rPr>
              <w:t>Bilirubin (μmol</w:t>
            </w:r>
            <w:r w:rsidRPr="00E76F61">
              <w:rPr>
                <w:rFonts w:cstheme="majorBidi"/>
                <w:b/>
                <w:bCs/>
                <w:sz w:val="16"/>
                <w:vertAlign w:val="superscript"/>
              </w:rPr>
              <w:t>.</w:t>
            </w:r>
            <w:r w:rsidRPr="00E76F61">
              <w:rPr>
                <w:rFonts w:cstheme="majorBidi"/>
                <w:b/>
                <w:bCs/>
                <w:sz w:val="16"/>
              </w:rPr>
              <w:t>L</w:t>
            </w:r>
            <w:r w:rsidRPr="00E76F61">
              <w:rPr>
                <w:rFonts w:cstheme="majorBidi"/>
                <w:b/>
                <w:bCs/>
                <w:sz w:val="16"/>
                <w:vertAlign w:val="superscript"/>
              </w:rPr>
              <w:t>-1</w:t>
            </w:r>
            <w:r w:rsidRPr="00E76F61">
              <w:rPr>
                <w:rFonts w:cstheme="majorBidi"/>
                <w:b/>
                <w:bCs/>
                <w:sz w:val="16"/>
              </w:rPr>
              <w:t>)</w:t>
            </w:r>
          </w:p>
        </w:tc>
        <w:tc>
          <w:tcPr>
            <w:tcW w:w="1590" w:type="dxa"/>
            <w:tcBorders>
              <w:top w:val="single" w:sz="4" w:space="0" w:color="auto"/>
            </w:tcBorders>
            <w:vAlign w:val="center"/>
          </w:tcPr>
          <w:p w14:paraId="1872CC94"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4.3±12.37</w:t>
            </w:r>
          </w:p>
        </w:tc>
        <w:tc>
          <w:tcPr>
            <w:tcW w:w="1431" w:type="dxa"/>
            <w:tcBorders>
              <w:top w:val="single" w:sz="4" w:space="0" w:color="auto"/>
            </w:tcBorders>
            <w:vAlign w:val="center"/>
          </w:tcPr>
          <w:p w14:paraId="071F0A35"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3.1±7.8</w:t>
            </w:r>
          </w:p>
        </w:tc>
        <w:tc>
          <w:tcPr>
            <w:tcW w:w="1522" w:type="dxa"/>
            <w:tcBorders>
              <w:top w:val="single" w:sz="4" w:space="0" w:color="auto"/>
            </w:tcBorders>
            <w:vAlign w:val="center"/>
          </w:tcPr>
          <w:p w14:paraId="4CD74ED2"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highlight w:val="yellow"/>
              </w:rPr>
            </w:pPr>
            <w:r w:rsidRPr="00E76F61">
              <w:rPr>
                <w:rFonts w:cstheme="majorBidi"/>
                <w:color w:val="000000" w:themeColor="text1"/>
                <w:sz w:val="16"/>
              </w:rPr>
              <w:t>3.9±7.5</w:t>
            </w:r>
          </w:p>
        </w:tc>
        <w:tc>
          <w:tcPr>
            <w:tcW w:w="1366" w:type="dxa"/>
            <w:tcBorders>
              <w:top w:val="single" w:sz="4" w:space="0" w:color="auto"/>
            </w:tcBorders>
            <w:vAlign w:val="center"/>
          </w:tcPr>
          <w:p w14:paraId="7AF7B7A3"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4.1±6.6</w:t>
            </w:r>
          </w:p>
        </w:tc>
        <w:tc>
          <w:tcPr>
            <w:tcW w:w="1832" w:type="dxa"/>
            <w:tcBorders>
              <w:top w:val="single" w:sz="4" w:space="0" w:color="auto"/>
            </w:tcBorders>
            <w:vAlign w:val="center"/>
          </w:tcPr>
          <w:p w14:paraId="0C4CD0E5"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4.9±8.7</w:t>
            </w:r>
          </w:p>
        </w:tc>
      </w:tr>
      <w:tr w:rsidR="00E47B8D" w:rsidRPr="00E76F61" w14:paraId="2E58365F" w14:textId="77777777" w:rsidTr="00E76F61">
        <w:tc>
          <w:tcPr>
            <w:tcW w:w="2388" w:type="dxa"/>
            <w:vAlign w:val="center"/>
          </w:tcPr>
          <w:p w14:paraId="02480618"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sz w:val="16"/>
              </w:rPr>
              <w:t>Urobilinogen (μmol</w:t>
            </w:r>
            <w:r w:rsidRPr="00E76F61">
              <w:rPr>
                <w:rFonts w:cstheme="majorBidi"/>
                <w:b/>
                <w:bCs/>
                <w:sz w:val="16"/>
                <w:vertAlign w:val="superscript"/>
              </w:rPr>
              <w:t>.</w:t>
            </w:r>
            <w:r w:rsidRPr="00E76F61">
              <w:rPr>
                <w:rFonts w:cstheme="majorBidi"/>
                <w:b/>
                <w:bCs/>
                <w:sz w:val="16"/>
              </w:rPr>
              <w:t>L</w:t>
            </w:r>
            <w:r w:rsidRPr="00E76F61">
              <w:rPr>
                <w:rFonts w:cstheme="majorBidi"/>
                <w:b/>
                <w:bCs/>
                <w:sz w:val="16"/>
                <w:vertAlign w:val="superscript"/>
              </w:rPr>
              <w:t>-1</w:t>
            </w:r>
            <w:r w:rsidRPr="00E76F61">
              <w:rPr>
                <w:rFonts w:cstheme="majorBidi"/>
                <w:b/>
                <w:bCs/>
                <w:sz w:val="16"/>
              </w:rPr>
              <w:t xml:space="preserve">) </w:t>
            </w:r>
          </w:p>
        </w:tc>
        <w:tc>
          <w:tcPr>
            <w:tcW w:w="1590" w:type="dxa"/>
            <w:vAlign w:val="center"/>
          </w:tcPr>
          <w:p w14:paraId="201E67EA"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0.1±0.07</w:t>
            </w:r>
          </w:p>
        </w:tc>
        <w:tc>
          <w:tcPr>
            <w:tcW w:w="1431" w:type="dxa"/>
            <w:vAlign w:val="center"/>
          </w:tcPr>
          <w:p w14:paraId="49854165"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0.2±0.2</w:t>
            </w:r>
          </w:p>
        </w:tc>
        <w:tc>
          <w:tcPr>
            <w:tcW w:w="1522" w:type="dxa"/>
            <w:vAlign w:val="center"/>
          </w:tcPr>
          <w:p w14:paraId="182A91D1"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highlight w:val="yellow"/>
              </w:rPr>
            </w:pPr>
            <w:r w:rsidRPr="00E76F61">
              <w:rPr>
                <w:rFonts w:cstheme="majorBidi"/>
                <w:color w:val="000000" w:themeColor="text1"/>
                <w:sz w:val="16"/>
              </w:rPr>
              <w:t>0.2±0.0</w:t>
            </w:r>
          </w:p>
        </w:tc>
        <w:tc>
          <w:tcPr>
            <w:tcW w:w="1366" w:type="dxa"/>
            <w:vAlign w:val="center"/>
          </w:tcPr>
          <w:p w14:paraId="3428B566"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0.2±0.0</w:t>
            </w:r>
          </w:p>
        </w:tc>
        <w:tc>
          <w:tcPr>
            <w:tcW w:w="1832" w:type="dxa"/>
            <w:vAlign w:val="center"/>
          </w:tcPr>
          <w:p w14:paraId="18C3E5EB"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0.1±0.8</w:t>
            </w:r>
          </w:p>
        </w:tc>
      </w:tr>
      <w:tr w:rsidR="00E47B8D" w:rsidRPr="00E76F61" w14:paraId="50EF8BFC" w14:textId="77777777" w:rsidTr="00E76F61">
        <w:tc>
          <w:tcPr>
            <w:tcW w:w="2388" w:type="dxa"/>
            <w:vAlign w:val="center"/>
          </w:tcPr>
          <w:p w14:paraId="092AB7BA"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sz w:val="16"/>
              </w:rPr>
              <w:t>Ketones (mmol</w:t>
            </w:r>
            <w:r w:rsidRPr="00E76F61">
              <w:rPr>
                <w:rFonts w:cstheme="majorBidi"/>
                <w:b/>
                <w:bCs/>
                <w:sz w:val="16"/>
                <w:vertAlign w:val="superscript"/>
              </w:rPr>
              <w:t>.</w:t>
            </w:r>
            <w:r w:rsidRPr="00E76F61">
              <w:rPr>
                <w:rFonts w:cstheme="majorBidi"/>
                <w:b/>
                <w:bCs/>
                <w:sz w:val="16"/>
              </w:rPr>
              <w:t>L</w:t>
            </w:r>
            <w:r w:rsidRPr="00E76F61">
              <w:rPr>
                <w:rFonts w:cstheme="majorBidi"/>
                <w:b/>
                <w:bCs/>
                <w:sz w:val="16"/>
                <w:vertAlign w:val="superscript"/>
              </w:rPr>
              <w:t>-1</w:t>
            </w:r>
            <w:r w:rsidRPr="00E76F61">
              <w:rPr>
                <w:rFonts w:cstheme="majorBidi"/>
                <w:b/>
                <w:bCs/>
                <w:sz w:val="16"/>
              </w:rPr>
              <w:t>)</w:t>
            </w:r>
          </w:p>
        </w:tc>
        <w:tc>
          <w:tcPr>
            <w:tcW w:w="1590" w:type="dxa"/>
            <w:vAlign w:val="center"/>
          </w:tcPr>
          <w:p w14:paraId="46D70C8C"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1.0±5.3</w:t>
            </w:r>
          </w:p>
        </w:tc>
        <w:tc>
          <w:tcPr>
            <w:tcW w:w="1431" w:type="dxa"/>
            <w:vAlign w:val="center"/>
          </w:tcPr>
          <w:p w14:paraId="4309369E"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1.3±4.4</w:t>
            </w:r>
          </w:p>
        </w:tc>
        <w:tc>
          <w:tcPr>
            <w:tcW w:w="1522" w:type="dxa"/>
            <w:vAlign w:val="center"/>
          </w:tcPr>
          <w:p w14:paraId="53812A7B"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2.5±2.5</w:t>
            </w:r>
          </w:p>
        </w:tc>
        <w:tc>
          <w:tcPr>
            <w:tcW w:w="1366" w:type="dxa"/>
            <w:vAlign w:val="center"/>
          </w:tcPr>
          <w:p w14:paraId="1D479DC8"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2.9±3.6</w:t>
            </w:r>
          </w:p>
        </w:tc>
        <w:tc>
          <w:tcPr>
            <w:tcW w:w="1832" w:type="dxa"/>
            <w:vAlign w:val="center"/>
          </w:tcPr>
          <w:p w14:paraId="5F7CC71D"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2.6±3.3</w:t>
            </w:r>
          </w:p>
        </w:tc>
      </w:tr>
      <w:tr w:rsidR="00E47B8D" w:rsidRPr="00E76F61" w14:paraId="2239AE29" w14:textId="77777777" w:rsidTr="00E76F61">
        <w:tc>
          <w:tcPr>
            <w:tcW w:w="2388" w:type="dxa"/>
            <w:vAlign w:val="center"/>
          </w:tcPr>
          <w:p w14:paraId="10DA2455"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sz w:val="16"/>
              </w:rPr>
              <w:t>pH</w:t>
            </w:r>
          </w:p>
        </w:tc>
        <w:tc>
          <w:tcPr>
            <w:tcW w:w="1590" w:type="dxa"/>
            <w:vAlign w:val="center"/>
          </w:tcPr>
          <w:p w14:paraId="1BB085EE"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5.9±0.6</w:t>
            </w:r>
          </w:p>
        </w:tc>
        <w:tc>
          <w:tcPr>
            <w:tcW w:w="1431" w:type="dxa"/>
            <w:vAlign w:val="center"/>
          </w:tcPr>
          <w:p w14:paraId="5E0EC603"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6.3±0.5</w:t>
            </w:r>
          </w:p>
        </w:tc>
        <w:tc>
          <w:tcPr>
            <w:tcW w:w="1522" w:type="dxa"/>
            <w:vAlign w:val="center"/>
          </w:tcPr>
          <w:p w14:paraId="77CF5706"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6.3±0.5</w:t>
            </w:r>
          </w:p>
        </w:tc>
        <w:tc>
          <w:tcPr>
            <w:tcW w:w="1366" w:type="dxa"/>
            <w:vAlign w:val="center"/>
          </w:tcPr>
          <w:p w14:paraId="684A7DA2"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6.2±0.5</w:t>
            </w:r>
          </w:p>
        </w:tc>
        <w:tc>
          <w:tcPr>
            <w:tcW w:w="1832" w:type="dxa"/>
            <w:vAlign w:val="center"/>
          </w:tcPr>
          <w:p w14:paraId="0CC2A4D1"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6.2±0.5</w:t>
            </w:r>
          </w:p>
        </w:tc>
      </w:tr>
      <w:tr w:rsidR="00E47B8D" w:rsidRPr="00E76F61" w14:paraId="5979876D" w14:textId="77777777" w:rsidTr="00E76F61">
        <w:tc>
          <w:tcPr>
            <w:tcW w:w="2388" w:type="dxa"/>
            <w:vAlign w:val="center"/>
          </w:tcPr>
          <w:p w14:paraId="19DB1245" w14:textId="77777777" w:rsidR="00E47B8D" w:rsidRPr="00E76F61" w:rsidRDefault="00E47B8D" w:rsidP="00E76F61">
            <w:pPr>
              <w:autoSpaceDE w:val="0"/>
              <w:autoSpaceDN w:val="0"/>
              <w:adjustRightInd w:val="0"/>
              <w:snapToGrid w:val="0"/>
              <w:spacing w:line="240" w:lineRule="auto"/>
              <w:jc w:val="center"/>
              <w:rPr>
                <w:rFonts w:cstheme="majorBidi"/>
                <w:b/>
                <w:bCs/>
                <w:sz w:val="16"/>
              </w:rPr>
            </w:pPr>
            <w:r w:rsidRPr="00E76F61">
              <w:rPr>
                <w:rFonts w:cstheme="majorBidi"/>
                <w:b/>
                <w:bCs/>
                <w:sz w:val="16"/>
              </w:rPr>
              <w:t>Leucocytes (Leuko.</w:t>
            </w:r>
            <w:r w:rsidRPr="00E76F61">
              <w:rPr>
                <w:rFonts w:cstheme="majorBidi"/>
                <w:b/>
                <w:bCs/>
                <w:sz w:val="16"/>
                <w:lang w:val="en-GB"/>
              </w:rPr>
              <w:t>μ</w:t>
            </w:r>
            <w:r w:rsidRPr="00E76F61">
              <w:rPr>
                <w:rFonts w:cstheme="majorBidi"/>
                <w:b/>
                <w:bCs/>
                <w:sz w:val="16"/>
              </w:rPr>
              <w:t>L</w:t>
            </w:r>
            <w:r w:rsidRPr="00E76F61">
              <w:rPr>
                <w:rFonts w:cstheme="majorBidi"/>
                <w:b/>
                <w:bCs/>
                <w:sz w:val="16"/>
                <w:vertAlign w:val="superscript"/>
              </w:rPr>
              <w:t>-1</w:t>
            </w:r>
            <w:r w:rsidRPr="00E76F61">
              <w:rPr>
                <w:rFonts w:cstheme="majorBidi"/>
                <w:b/>
                <w:bCs/>
                <w:sz w:val="16"/>
              </w:rPr>
              <w:t>)</w:t>
            </w:r>
          </w:p>
        </w:tc>
        <w:tc>
          <w:tcPr>
            <w:tcW w:w="1590" w:type="dxa"/>
            <w:vAlign w:val="center"/>
          </w:tcPr>
          <w:p w14:paraId="04589D76"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0.0±0.0</w:t>
            </w:r>
          </w:p>
        </w:tc>
        <w:tc>
          <w:tcPr>
            <w:tcW w:w="1431" w:type="dxa"/>
            <w:vAlign w:val="center"/>
          </w:tcPr>
          <w:p w14:paraId="569D7AC7"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0.0±0.0</w:t>
            </w:r>
          </w:p>
        </w:tc>
        <w:tc>
          <w:tcPr>
            <w:tcW w:w="1522" w:type="dxa"/>
            <w:vAlign w:val="center"/>
          </w:tcPr>
          <w:p w14:paraId="727C05FF"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0.0±0.0</w:t>
            </w:r>
          </w:p>
        </w:tc>
        <w:tc>
          <w:tcPr>
            <w:tcW w:w="1366" w:type="dxa"/>
            <w:vAlign w:val="center"/>
          </w:tcPr>
          <w:p w14:paraId="1AFF0272"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0.0±0.0</w:t>
            </w:r>
          </w:p>
        </w:tc>
        <w:tc>
          <w:tcPr>
            <w:tcW w:w="1832" w:type="dxa"/>
            <w:vAlign w:val="center"/>
          </w:tcPr>
          <w:p w14:paraId="440D9E2A"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0.0±0.0</w:t>
            </w:r>
          </w:p>
        </w:tc>
      </w:tr>
      <w:tr w:rsidR="00E47B8D" w:rsidRPr="00E76F61" w14:paraId="65A18480" w14:textId="77777777" w:rsidTr="00E76F61">
        <w:tc>
          <w:tcPr>
            <w:tcW w:w="2388" w:type="dxa"/>
            <w:tcBorders>
              <w:bottom w:val="single" w:sz="8" w:space="0" w:color="auto"/>
            </w:tcBorders>
            <w:vAlign w:val="center"/>
          </w:tcPr>
          <w:p w14:paraId="264D3618" w14:textId="77777777" w:rsidR="00E47B8D" w:rsidRPr="00E76F61" w:rsidRDefault="00E47B8D" w:rsidP="00E76F61">
            <w:pPr>
              <w:autoSpaceDE w:val="0"/>
              <w:autoSpaceDN w:val="0"/>
              <w:adjustRightInd w:val="0"/>
              <w:snapToGrid w:val="0"/>
              <w:spacing w:line="240" w:lineRule="auto"/>
              <w:jc w:val="center"/>
              <w:rPr>
                <w:rFonts w:cstheme="majorBidi"/>
                <w:b/>
                <w:bCs/>
                <w:color w:val="000000" w:themeColor="text1"/>
                <w:sz w:val="16"/>
              </w:rPr>
            </w:pPr>
            <w:r w:rsidRPr="00E76F61">
              <w:rPr>
                <w:rFonts w:cstheme="majorBidi"/>
                <w:b/>
                <w:bCs/>
                <w:color w:val="000000" w:themeColor="text1"/>
                <w:sz w:val="16"/>
              </w:rPr>
              <w:t>Specific gravity</w:t>
            </w:r>
          </w:p>
        </w:tc>
        <w:tc>
          <w:tcPr>
            <w:tcW w:w="1590" w:type="dxa"/>
            <w:tcBorders>
              <w:bottom w:val="single" w:sz="8" w:space="0" w:color="auto"/>
            </w:tcBorders>
            <w:vAlign w:val="center"/>
          </w:tcPr>
          <w:p w14:paraId="7B20F3DB"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1.02±0.0</w:t>
            </w:r>
          </w:p>
        </w:tc>
        <w:tc>
          <w:tcPr>
            <w:tcW w:w="1431" w:type="dxa"/>
            <w:tcBorders>
              <w:bottom w:val="single" w:sz="8" w:space="0" w:color="auto"/>
            </w:tcBorders>
            <w:vAlign w:val="center"/>
          </w:tcPr>
          <w:p w14:paraId="3A382127"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1.02±0.0</w:t>
            </w:r>
          </w:p>
        </w:tc>
        <w:tc>
          <w:tcPr>
            <w:tcW w:w="1522" w:type="dxa"/>
            <w:tcBorders>
              <w:bottom w:val="single" w:sz="8" w:space="0" w:color="auto"/>
            </w:tcBorders>
            <w:vAlign w:val="center"/>
          </w:tcPr>
          <w:p w14:paraId="165CB41B"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1.02±0.0</w:t>
            </w:r>
          </w:p>
        </w:tc>
        <w:tc>
          <w:tcPr>
            <w:tcW w:w="1366" w:type="dxa"/>
            <w:tcBorders>
              <w:bottom w:val="single" w:sz="8" w:space="0" w:color="auto"/>
            </w:tcBorders>
            <w:vAlign w:val="center"/>
          </w:tcPr>
          <w:p w14:paraId="7D76289A"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1.02±0.0</w:t>
            </w:r>
          </w:p>
        </w:tc>
        <w:tc>
          <w:tcPr>
            <w:tcW w:w="1832" w:type="dxa"/>
            <w:tcBorders>
              <w:bottom w:val="single" w:sz="8" w:space="0" w:color="auto"/>
            </w:tcBorders>
            <w:vAlign w:val="center"/>
          </w:tcPr>
          <w:p w14:paraId="39009003" w14:textId="77777777" w:rsidR="00E47B8D" w:rsidRPr="00E76F61" w:rsidRDefault="00E47B8D" w:rsidP="00E76F61">
            <w:pPr>
              <w:autoSpaceDE w:val="0"/>
              <w:autoSpaceDN w:val="0"/>
              <w:adjustRightInd w:val="0"/>
              <w:snapToGrid w:val="0"/>
              <w:spacing w:line="240" w:lineRule="auto"/>
              <w:jc w:val="center"/>
              <w:rPr>
                <w:rFonts w:cstheme="majorBidi"/>
                <w:color w:val="000000" w:themeColor="text1"/>
                <w:sz w:val="16"/>
              </w:rPr>
            </w:pPr>
            <w:r w:rsidRPr="00E76F61">
              <w:rPr>
                <w:rFonts w:cstheme="majorBidi"/>
                <w:color w:val="000000" w:themeColor="text1"/>
                <w:sz w:val="16"/>
              </w:rPr>
              <w:t>1.02±0.0</w:t>
            </w:r>
          </w:p>
        </w:tc>
      </w:tr>
    </w:tbl>
    <w:p w14:paraId="0065124C" w14:textId="77777777" w:rsidR="00E47B8D" w:rsidRDefault="00E47B8D" w:rsidP="00217161">
      <w:pPr>
        <w:pStyle w:val="MDPI21heading1"/>
        <w:spacing w:before="0" w:after="0" w:line="240" w:lineRule="auto"/>
        <w:jc w:val="both"/>
        <w:rPr>
          <w:b w:val="0"/>
        </w:rPr>
      </w:pPr>
    </w:p>
    <w:p w14:paraId="407BA163" w14:textId="77777777" w:rsidR="00D80B3E" w:rsidRPr="00D80B3E" w:rsidRDefault="00D80B3E" w:rsidP="00E76F61">
      <w:pPr>
        <w:pStyle w:val="MDPI31text"/>
        <w:rPr>
          <w:b/>
        </w:rPr>
      </w:pPr>
      <w:r w:rsidRPr="00D80B3E">
        <w:t xml:space="preserve">In the </w:t>
      </w:r>
      <w:r w:rsidRPr="00082429">
        <w:rPr>
          <w:bCs/>
        </w:rPr>
        <w:t>Figure 4</w:t>
      </w:r>
      <w:r w:rsidRPr="00D80B3E">
        <w:t xml:space="preserve"> are reported a significant change in BORG, and TQR score. No significant differences are reported intra-season for measuring physical activity intensity level (Figure 4A) with a mean of 12-13 score during the season that correspond to HR max 65-70% and a VO</w:t>
      </w:r>
      <w:r w:rsidRPr="00C81166">
        <w:rPr>
          <w:vertAlign w:val="subscript"/>
        </w:rPr>
        <w:t>2</w:t>
      </w:r>
      <w:r w:rsidRPr="00D80B3E">
        <w:t xml:space="preserve"> max 50-75%; on the other hand, significant differences (p&lt;0.05- 0.01) were found intra-season in the TQR score at T1</w:t>
      </w:r>
      <w:r w:rsidR="001D0A06" w:rsidRPr="001D0A06">
        <w:rPr>
          <w:color w:val="FF0000"/>
        </w:rPr>
        <w:t>,</w:t>
      </w:r>
      <w:r w:rsidR="001D0A06">
        <w:t xml:space="preserve"> </w:t>
      </w:r>
      <w:r w:rsidRPr="001D0A06">
        <w:rPr>
          <w:strike/>
          <w:highlight w:val="yellow"/>
        </w:rPr>
        <w:t>and</w:t>
      </w:r>
      <w:r w:rsidRPr="00D80B3E">
        <w:t xml:space="preserve"> T2</w:t>
      </w:r>
      <w:r w:rsidR="001D0A06" w:rsidRPr="001D0A06">
        <w:rPr>
          <w:color w:val="FF0000"/>
        </w:rPr>
        <w:t>,</w:t>
      </w:r>
      <w:r w:rsidR="001D0A06">
        <w:t xml:space="preserve"> </w:t>
      </w:r>
      <w:r w:rsidRPr="00D80B3E">
        <w:t>and T3</w:t>
      </w:r>
      <w:r w:rsidR="001D0A06" w:rsidRPr="001D0A06">
        <w:rPr>
          <w:color w:val="FF0000"/>
        </w:rPr>
        <w:t>,</w:t>
      </w:r>
      <w:r w:rsidR="001D0A06">
        <w:t xml:space="preserve"> </w:t>
      </w:r>
      <w:r w:rsidRPr="00D80B3E">
        <w:t>respect to T0</w:t>
      </w:r>
      <w:r w:rsidR="001D0A06">
        <w:t xml:space="preserve">, </w:t>
      </w:r>
      <w:r w:rsidR="001D0A06" w:rsidRPr="00076A81">
        <w:rPr>
          <w:color w:val="FF0000"/>
          <w:szCs w:val="20"/>
        </w:rPr>
        <w:t>dCohen=</w:t>
      </w:r>
      <w:r w:rsidR="001D0A06">
        <w:rPr>
          <w:color w:val="FF0000"/>
          <w:szCs w:val="20"/>
        </w:rPr>
        <w:t>1.26</w:t>
      </w:r>
      <w:r w:rsidRPr="00D80B3E">
        <w:t>.</w:t>
      </w:r>
    </w:p>
    <w:p w14:paraId="61EB1A25" w14:textId="77777777" w:rsidR="0038489D" w:rsidRPr="00217161" w:rsidRDefault="00D80B3E" w:rsidP="00E76F61">
      <w:pPr>
        <w:pStyle w:val="MDPI31text"/>
        <w:rPr>
          <w:b/>
        </w:rPr>
      </w:pPr>
      <w:r w:rsidRPr="00D80B3E">
        <w:t>Finally, no significant differences were found in total mood score of POMS scale and in VAS item score during single training session (A vs B) and during all training season. Particularly, we observed percentage changes in item general wellness respect to T0: T1A +79%, T2A +100%, T3A -47%, T4A -2% (Figure 4C); item pain respect to T0: T1A -10%, T2A -25%, T3A -65%, T4A -65% (Figure 4D); item anxiety to T0: T1A -12%, T2A -40%, T3A -96%, T4A -33% (data not shown).</w:t>
      </w:r>
    </w:p>
    <w:p w14:paraId="1356FB19" w14:textId="77777777" w:rsidR="00851396" w:rsidRDefault="00A27523" w:rsidP="00A27523">
      <w:pPr>
        <w:pStyle w:val="MDPI52figure"/>
        <w:jc w:val="right"/>
      </w:pPr>
      <w:r>
        <w:rPr>
          <w:noProof/>
          <w:snapToGrid/>
          <w:lang w:val="it-IT" w:eastAsia="it-IT" w:bidi="ar-SA"/>
        </w:rPr>
        <w:drawing>
          <wp:inline distT="0" distB="0" distL="0" distR="0" wp14:anchorId="4574F382" wp14:editId="32AEAA3A">
            <wp:extent cx="4899837" cy="4404048"/>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2"/>
                    <a:stretch>
                      <a:fillRect/>
                    </a:stretch>
                  </pic:blipFill>
                  <pic:spPr>
                    <a:xfrm>
                      <a:off x="0" y="0"/>
                      <a:ext cx="4918485" cy="4420809"/>
                    </a:xfrm>
                    <a:prstGeom prst="rect">
                      <a:avLst/>
                    </a:prstGeom>
                  </pic:spPr>
                </pic:pic>
              </a:graphicData>
            </a:graphic>
          </wp:inline>
        </w:drawing>
      </w:r>
    </w:p>
    <w:p w14:paraId="0AEBB904" w14:textId="77777777" w:rsidR="00DE171A" w:rsidRDefault="00E76F61" w:rsidP="00C81166">
      <w:pPr>
        <w:pStyle w:val="MDPI51figurecaption"/>
      </w:pPr>
      <w:r w:rsidRPr="00E76F61">
        <w:rPr>
          <w:b/>
          <w:i/>
          <w:iCs/>
        </w:rPr>
        <w:t xml:space="preserve">Figure 4. </w:t>
      </w:r>
      <w:r w:rsidR="004D6170" w:rsidRPr="004D6170">
        <w:t>Borg and TQR scales and VAS score from all subjects. Borg scale (A) was assessed after every training session while TQR scale (B) at the baseline (T0), before every training session and after the season (T4). VAS score for General wellness(C) and pain item (D) was assessed at the baseline (T0), before(A) and after(B) every training session and after the season (T4). Stati</w:t>
      </w:r>
      <w:r w:rsidR="004D6170">
        <w:t>stically significant difference</w:t>
      </w:r>
      <w:r w:rsidR="004D6170" w:rsidRPr="004D6170">
        <w:t xml:space="preserve"> comparison</w:t>
      </w:r>
      <w:r w:rsidR="004D6170">
        <w:t>s</w:t>
      </w:r>
      <w:r w:rsidR="004D6170" w:rsidRPr="004D6170">
        <w:t xml:space="preserve"> are displayed as: *, p &lt; 0.05; **, p &lt; 0.01.</w:t>
      </w:r>
    </w:p>
    <w:p w14:paraId="10257425" w14:textId="1C28CF34" w:rsidR="001A1B8D" w:rsidRPr="0094406C" w:rsidRDefault="00AA58A9" w:rsidP="00DC596D">
      <w:pPr>
        <w:pStyle w:val="MDPI51figurecaption"/>
        <w:rPr>
          <w:color w:val="FF0000"/>
          <w:sz w:val="20"/>
        </w:rPr>
      </w:pPr>
      <w:r w:rsidRPr="00AA58A9">
        <w:rPr>
          <w:color w:val="FF0000"/>
          <w:sz w:val="20"/>
        </w:rPr>
        <w:lastRenderedPageBreak/>
        <w:t>In order to understand the results obtained, and then evaluate the effects of training vs. seasonality in freeskiers</w:t>
      </w:r>
      <w:r>
        <w:rPr>
          <w:color w:val="FF0000"/>
          <w:sz w:val="20"/>
        </w:rPr>
        <w:t xml:space="preserve">, </w:t>
      </w:r>
      <w:r w:rsidRPr="00AA58A9">
        <w:rPr>
          <w:color w:val="FF0000"/>
          <w:sz w:val="20"/>
        </w:rPr>
        <w:t xml:space="preserve">we applied the </w:t>
      </w:r>
      <w:r w:rsidR="00A43601" w:rsidRPr="00A43601">
        <w:rPr>
          <w:color w:val="FF0000"/>
          <w:sz w:val="20"/>
        </w:rPr>
        <w:t>Hopkin scale</w:t>
      </w:r>
      <w:r w:rsidR="00A43601">
        <w:rPr>
          <w:i/>
          <w:iCs/>
          <w:color w:val="FF0000"/>
          <w:sz w:val="20"/>
        </w:rPr>
        <w:t xml:space="preserve"> </w:t>
      </w:r>
      <w:r w:rsidR="00A43601">
        <w:rPr>
          <w:color w:val="FF0000"/>
          <w:sz w:val="20"/>
        </w:rPr>
        <w:t>as showed in</w:t>
      </w:r>
      <w:r>
        <w:rPr>
          <w:color w:val="FF0000"/>
          <w:sz w:val="20"/>
        </w:rPr>
        <w:t xml:space="preserve"> Figure 5. S</w:t>
      </w:r>
      <w:r w:rsidRPr="00AA58A9">
        <w:rPr>
          <w:color w:val="FF0000"/>
          <w:sz w:val="20"/>
        </w:rPr>
        <w:t>ignificant group differences and large effect sizes were found for uric acid, TAC and IL-6 in the season</w:t>
      </w:r>
      <w:r>
        <w:rPr>
          <w:color w:val="FF0000"/>
          <w:sz w:val="20"/>
        </w:rPr>
        <w:t xml:space="preserve">; </w:t>
      </w:r>
      <w:r w:rsidR="002759DC">
        <w:rPr>
          <w:color w:val="FF0000"/>
          <w:sz w:val="20"/>
        </w:rPr>
        <w:t>while moderate effect size</w:t>
      </w:r>
      <w:r w:rsidR="008A7B12">
        <w:rPr>
          <w:color w:val="FF0000"/>
          <w:sz w:val="20"/>
        </w:rPr>
        <w:t>s</w:t>
      </w:r>
      <w:r w:rsidR="002759DC">
        <w:rPr>
          <w:color w:val="FF0000"/>
          <w:sz w:val="20"/>
        </w:rPr>
        <w:t xml:space="preserve"> were found for ROS</w:t>
      </w:r>
      <w:r w:rsidR="00DC596D">
        <w:rPr>
          <w:color w:val="FF0000"/>
          <w:sz w:val="20"/>
        </w:rPr>
        <w:t>, SBP</w:t>
      </w:r>
      <w:r w:rsidR="002759DC">
        <w:rPr>
          <w:color w:val="FF0000"/>
          <w:sz w:val="20"/>
        </w:rPr>
        <w:t xml:space="preserve"> and </w:t>
      </w:r>
      <w:r w:rsidR="00FC0C83">
        <w:rPr>
          <w:color w:val="FF0000"/>
          <w:sz w:val="20"/>
        </w:rPr>
        <w:t>urea at the end of the freeski</w:t>
      </w:r>
      <w:r w:rsidR="002759DC">
        <w:rPr>
          <w:color w:val="FF0000"/>
          <w:sz w:val="20"/>
        </w:rPr>
        <w:t xml:space="preserve"> season.</w:t>
      </w:r>
      <w:r w:rsidR="00DC596D">
        <w:rPr>
          <w:color w:val="FF0000"/>
          <w:sz w:val="20"/>
        </w:rPr>
        <w:t xml:space="preserve"> </w:t>
      </w:r>
      <w:r w:rsidR="002759DC">
        <w:rPr>
          <w:color w:val="FF0000"/>
          <w:sz w:val="20"/>
        </w:rPr>
        <w:t>S</w:t>
      </w:r>
      <w:r w:rsidR="002759DC" w:rsidRPr="00AA58A9">
        <w:rPr>
          <w:color w:val="FF0000"/>
          <w:sz w:val="20"/>
        </w:rPr>
        <w:t>i</w:t>
      </w:r>
      <w:r w:rsidR="00FC0C83">
        <w:rPr>
          <w:color w:val="FF0000"/>
          <w:sz w:val="20"/>
        </w:rPr>
        <w:t>gnificant group difference and a</w:t>
      </w:r>
      <w:r w:rsidR="002759DC">
        <w:rPr>
          <w:color w:val="FF0000"/>
          <w:sz w:val="20"/>
        </w:rPr>
        <w:t xml:space="preserve"> very </w:t>
      </w:r>
      <w:r w:rsidR="002759DC" w:rsidRPr="00AA58A9">
        <w:rPr>
          <w:color w:val="FF0000"/>
          <w:sz w:val="20"/>
        </w:rPr>
        <w:t>l</w:t>
      </w:r>
      <w:r w:rsidR="00FC0C83">
        <w:rPr>
          <w:color w:val="FF0000"/>
          <w:sz w:val="20"/>
        </w:rPr>
        <w:t>arge effect size</w:t>
      </w:r>
      <w:r w:rsidR="002759DC" w:rsidRPr="00AA58A9">
        <w:rPr>
          <w:color w:val="FF0000"/>
          <w:sz w:val="20"/>
        </w:rPr>
        <w:t xml:space="preserve"> w</w:t>
      </w:r>
      <w:r w:rsidR="00FC0C83">
        <w:rPr>
          <w:color w:val="FF0000"/>
          <w:sz w:val="20"/>
        </w:rPr>
        <w:t>as</w:t>
      </w:r>
      <w:r w:rsidR="002759DC" w:rsidRPr="00AA58A9">
        <w:rPr>
          <w:color w:val="FF0000"/>
          <w:sz w:val="20"/>
        </w:rPr>
        <w:t xml:space="preserve"> found for </w:t>
      </w:r>
      <w:r w:rsidR="002759DC">
        <w:rPr>
          <w:color w:val="FF0000"/>
          <w:sz w:val="20"/>
        </w:rPr>
        <w:t xml:space="preserve">IL-6 </w:t>
      </w:r>
      <w:r>
        <w:rPr>
          <w:color w:val="FF0000"/>
          <w:sz w:val="20"/>
        </w:rPr>
        <w:t xml:space="preserve">after T3 </w:t>
      </w:r>
      <w:r w:rsidR="002759DC">
        <w:rPr>
          <w:color w:val="FF0000"/>
          <w:sz w:val="20"/>
        </w:rPr>
        <w:t xml:space="preserve">training session; </w:t>
      </w:r>
      <w:r w:rsidR="00FC0C83">
        <w:rPr>
          <w:color w:val="FF0000"/>
          <w:sz w:val="20"/>
        </w:rPr>
        <w:t>and</w:t>
      </w:r>
      <w:r>
        <w:rPr>
          <w:color w:val="FF0000"/>
          <w:sz w:val="20"/>
        </w:rPr>
        <w:t xml:space="preserve"> large </w:t>
      </w:r>
      <w:r w:rsidRPr="00AA58A9">
        <w:rPr>
          <w:color w:val="FF0000"/>
          <w:sz w:val="20"/>
        </w:rPr>
        <w:t>effect size</w:t>
      </w:r>
      <w:r w:rsidR="00FC0C83">
        <w:rPr>
          <w:color w:val="FF0000"/>
          <w:sz w:val="20"/>
        </w:rPr>
        <w:t>s</w:t>
      </w:r>
      <w:r w:rsidRPr="00AA58A9">
        <w:rPr>
          <w:color w:val="FF0000"/>
          <w:sz w:val="20"/>
        </w:rPr>
        <w:t xml:space="preserve"> were found for</w:t>
      </w:r>
      <w:r>
        <w:rPr>
          <w:color w:val="FF0000"/>
          <w:sz w:val="20"/>
        </w:rPr>
        <w:t xml:space="preserve"> neopterin, IL-6, TAC, ROS, and TQR during </w:t>
      </w:r>
      <w:r w:rsidR="00FC0C83">
        <w:rPr>
          <w:color w:val="FF0000"/>
          <w:sz w:val="20"/>
        </w:rPr>
        <w:t>the training session. Finally,</w:t>
      </w:r>
      <w:r>
        <w:rPr>
          <w:color w:val="FF0000"/>
          <w:sz w:val="20"/>
        </w:rPr>
        <w:t xml:space="preserve"> moderate </w:t>
      </w:r>
      <w:r w:rsidRPr="00AA58A9">
        <w:rPr>
          <w:color w:val="FF0000"/>
          <w:sz w:val="20"/>
        </w:rPr>
        <w:t xml:space="preserve">effect sizes were found for </w:t>
      </w:r>
      <w:r>
        <w:rPr>
          <w:color w:val="FF0000"/>
          <w:sz w:val="20"/>
        </w:rPr>
        <w:t>ROS at T1</w:t>
      </w:r>
      <w:r w:rsidR="00FC0C83">
        <w:rPr>
          <w:color w:val="FF0000"/>
          <w:sz w:val="20"/>
        </w:rPr>
        <w:t>,</w:t>
      </w:r>
      <w:r>
        <w:rPr>
          <w:color w:val="FF0000"/>
          <w:sz w:val="20"/>
        </w:rPr>
        <w:t xml:space="preserve"> K</w:t>
      </w:r>
      <w:r w:rsidR="002759DC">
        <w:rPr>
          <w:color w:val="FF0000"/>
          <w:sz w:val="20"/>
        </w:rPr>
        <w:t xml:space="preserve"> at T2</w:t>
      </w:r>
      <w:r>
        <w:rPr>
          <w:color w:val="FF0000"/>
          <w:sz w:val="20"/>
        </w:rPr>
        <w:t>, P</w:t>
      </w:r>
      <w:r w:rsidR="002759DC">
        <w:rPr>
          <w:color w:val="FF0000"/>
          <w:sz w:val="20"/>
        </w:rPr>
        <w:t xml:space="preserve"> at T3</w:t>
      </w:r>
      <w:r w:rsidR="00DC596D">
        <w:rPr>
          <w:color w:val="FF0000"/>
          <w:sz w:val="20"/>
        </w:rPr>
        <w:t xml:space="preserve"> training session.</w:t>
      </w:r>
    </w:p>
    <w:p w14:paraId="07E570EF" w14:textId="77777777" w:rsidR="001A1B8D" w:rsidRPr="004D6170" w:rsidRDefault="00A43601" w:rsidP="00A43601">
      <w:pPr>
        <w:pStyle w:val="MDPI51figurecaption"/>
        <w:rPr>
          <w:i/>
          <w:iCs/>
        </w:rPr>
      </w:pPr>
      <w:r w:rsidRPr="00A43601">
        <w:rPr>
          <w:i/>
          <w:iCs/>
          <w:noProof/>
          <w:lang w:val="it-IT" w:eastAsia="it-IT" w:bidi="ar-SA"/>
        </w:rPr>
        <w:drawing>
          <wp:inline distT="0" distB="0" distL="0" distR="0" wp14:anchorId="71C55167" wp14:editId="39D0D08F">
            <wp:extent cx="4722220" cy="3101974"/>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29317" cy="3106636"/>
                    </a:xfrm>
                    <a:prstGeom prst="rect">
                      <a:avLst/>
                    </a:prstGeom>
                  </pic:spPr>
                </pic:pic>
              </a:graphicData>
            </a:graphic>
          </wp:inline>
        </w:drawing>
      </w:r>
    </w:p>
    <w:p w14:paraId="082A2ADD" w14:textId="6AA5A24A" w:rsidR="00B90ADC" w:rsidRPr="00A81295" w:rsidRDefault="00A81295" w:rsidP="00E76F61">
      <w:pPr>
        <w:pStyle w:val="MDPI21heading1"/>
        <w:rPr>
          <w:color w:val="FF0000"/>
        </w:rPr>
      </w:pPr>
      <w:bookmarkStart w:id="0" w:name="page3"/>
      <w:bookmarkEnd w:id="0"/>
      <w:r w:rsidRPr="00A81295">
        <w:rPr>
          <w:i/>
          <w:iCs/>
          <w:color w:val="FF0000"/>
        </w:rPr>
        <w:t xml:space="preserve">Figure 5. </w:t>
      </w:r>
      <w:r w:rsidRPr="00A81295">
        <w:rPr>
          <w:b w:val="0"/>
          <w:bCs/>
          <w:color w:val="FF0000"/>
        </w:rPr>
        <w:t>Relative difference among selected measures in athletes during season and during training session.</w:t>
      </w:r>
    </w:p>
    <w:p w14:paraId="54BB0FF0" w14:textId="77777777" w:rsidR="00522304" w:rsidRPr="00325902" w:rsidRDefault="00E76F61" w:rsidP="00E76F61">
      <w:pPr>
        <w:pStyle w:val="MDPI21heading1"/>
      </w:pPr>
      <w:r>
        <w:t xml:space="preserve">4. </w:t>
      </w:r>
      <w:r w:rsidR="00522304" w:rsidRPr="00325902">
        <w:t>Discussion</w:t>
      </w:r>
    </w:p>
    <w:p w14:paraId="275F581C" w14:textId="77777777" w:rsidR="00F03CD6" w:rsidRPr="00DE171A" w:rsidRDefault="00F03CD6" w:rsidP="00E76F61">
      <w:pPr>
        <w:pStyle w:val="MDPI31text"/>
        <w:rPr>
          <w:color w:val="FF0000"/>
        </w:rPr>
      </w:pPr>
      <w:r>
        <w:t>This was the first study attempted to investigate the evolution of oxy-inflammation and hydration parameters among freeskiers during a training season</w:t>
      </w:r>
      <w:r w:rsidR="00A356BB">
        <w:t xml:space="preserve"> </w:t>
      </w:r>
      <w:r w:rsidR="00A356BB" w:rsidRPr="00DE171A">
        <w:rPr>
          <w:color w:val="FF0000"/>
        </w:rPr>
        <w:t>and by noninvasive measurement</w:t>
      </w:r>
      <w:r w:rsidR="003703B1" w:rsidRPr="00DE171A">
        <w:rPr>
          <w:color w:val="FF0000"/>
        </w:rPr>
        <w:t>s</w:t>
      </w:r>
      <w:r w:rsidRPr="00DE171A">
        <w:rPr>
          <w:color w:val="FF0000"/>
        </w:rPr>
        <w:t>.</w:t>
      </w:r>
    </w:p>
    <w:p w14:paraId="0FC3EF8F" w14:textId="77777777" w:rsidR="00F03CD6" w:rsidRDefault="00F03CD6" w:rsidP="00E76F61">
      <w:pPr>
        <w:pStyle w:val="MDPI31text"/>
      </w:pPr>
      <w:r>
        <w:t>Exercise-induced ROS generation is typical of prolonged and/or high training loads such as those of endurance activities [</w:t>
      </w:r>
      <w:r w:rsidRPr="00A87E4B">
        <w:rPr>
          <w:strike/>
          <w:highlight w:val="yellow"/>
        </w:rPr>
        <w:t>42, 49-51</w:t>
      </w:r>
      <w:r w:rsidR="00837447">
        <w:t xml:space="preserve"> </w:t>
      </w:r>
      <w:r w:rsidR="00837447" w:rsidRPr="00A87E4B">
        <w:rPr>
          <w:color w:val="FF0000"/>
        </w:rPr>
        <w:t>36, 43-45</w:t>
      </w:r>
      <w:r>
        <w:t>]. In muscle fiber, during physical effort, the rate of ROS generation such as O2</w:t>
      </w:r>
      <w:r w:rsidR="00EC16A5">
        <w:t>•</w:t>
      </w:r>
      <w:r>
        <w:t xml:space="preserve"> is increased influencing fiber contraction [</w:t>
      </w:r>
      <w:r w:rsidRPr="00A87E4B">
        <w:rPr>
          <w:strike/>
          <w:highlight w:val="yellow"/>
        </w:rPr>
        <w:t>52</w:t>
      </w:r>
      <w:r w:rsidR="00837447">
        <w:t xml:space="preserve"> </w:t>
      </w:r>
      <w:r w:rsidR="00837447" w:rsidRPr="00A87E4B">
        <w:rPr>
          <w:color w:val="FF0000"/>
        </w:rPr>
        <w:t>46</w:t>
      </w:r>
      <w:r>
        <w:t>]. An excess of ROS in skeletal muscle results in a decrease in the ability to generate force, leading to a fatigue condition [</w:t>
      </w:r>
      <w:r w:rsidRPr="00A87E4B">
        <w:rPr>
          <w:strike/>
          <w:highlight w:val="yellow"/>
        </w:rPr>
        <w:t>53</w:t>
      </w:r>
      <w:r w:rsidR="00837447">
        <w:t xml:space="preserve"> </w:t>
      </w:r>
      <w:r w:rsidR="00837447" w:rsidRPr="00A87E4B">
        <w:rPr>
          <w:color w:val="FF0000"/>
        </w:rPr>
        <w:t>47</w:t>
      </w:r>
      <w:r>
        <w:t>].</w:t>
      </w:r>
    </w:p>
    <w:p w14:paraId="6AC9FC11" w14:textId="37B0F17C" w:rsidR="00F03CD6" w:rsidRDefault="00F03CD6" w:rsidP="00E76F61">
      <w:pPr>
        <w:pStyle w:val="MDPI31text"/>
      </w:pPr>
      <w:r>
        <w:t xml:space="preserve">We observed a significant increase in ROS production after every training session as result of the </w:t>
      </w:r>
      <w:r w:rsidRPr="00784132">
        <w:t xml:space="preserve">physical effort. </w:t>
      </w:r>
      <w:r w:rsidR="00AF177B" w:rsidRPr="00784132">
        <w:t>Anyway,</w:t>
      </w:r>
      <w:r w:rsidR="00AC0167">
        <w:t xml:space="preserve"> </w:t>
      </w:r>
      <w:r>
        <w:t>ROS play a key role in cell signaling pathways involved in muscle adaptation to effort [</w:t>
      </w:r>
      <w:r w:rsidRPr="00A87E4B">
        <w:rPr>
          <w:strike/>
          <w:highlight w:val="yellow"/>
        </w:rPr>
        <w:t>54</w:t>
      </w:r>
      <w:r w:rsidR="00AA1D11">
        <w:t xml:space="preserve"> </w:t>
      </w:r>
      <w:r w:rsidR="00AA1D11" w:rsidRPr="00A87E4B">
        <w:rPr>
          <w:color w:val="FF0000"/>
        </w:rPr>
        <w:t>48</w:t>
      </w:r>
      <w:r>
        <w:t xml:space="preserve">] with multi-protein pathways and signaling </w:t>
      </w:r>
      <w:r w:rsidRPr="00A87E4B">
        <w:rPr>
          <w:strike/>
          <w:highlight w:val="yellow"/>
        </w:rPr>
        <w:t>[55</w:t>
      </w:r>
      <w:r w:rsidR="00AA1D11">
        <w:t xml:space="preserve"> </w:t>
      </w:r>
      <w:r w:rsidR="00AA1D11" w:rsidRPr="00A87E4B">
        <w:rPr>
          <w:color w:val="FF0000"/>
        </w:rPr>
        <w:t>49</w:t>
      </w:r>
      <w:r>
        <w:t xml:space="preserve">] </w:t>
      </w:r>
      <w:r w:rsidRPr="00B22D11">
        <w:rPr>
          <w:strike/>
          <w:shd w:val="clear" w:color="auto" w:fill="FFFF00"/>
        </w:rPr>
        <w:t>through the nuclear factor-kappa B (NF-kB) and peroxisome proliferator-activated receptor gamma coactivator 1-alpha (PGC-1α) in skeletal muscle [56].</w:t>
      </w:r>
      <w:r>
        <w:t xml:space="preserve"> Furthermore, we found an increase of ROS basal value at </w:t>
      </w:r>
      <w:r w:rsidRPr="003703B1">
        <w:rPr>
          <w:strike/>
          <w:highlight w:val="yellow"/>
        </w:rPr>
        <w:t>end (</w:t>
      </w:r>
      <w:r>
        <w:t>T3A</w:t>
      </w:r>
      <w:r w:rsidRPr="003703B1">
        <w:rPr>
          <w:strike/>
          <w:highlight w:val="yellow"/>
        </w:rPr>
        <w:t>)</w:t>
      </w:r>
      <w:r>
        <w:t xml:space="preserve"> and at the end of the training season (T4), probably due to a decrease in the efficiency of the endogenous antioxidant defenses and a risen soreness </w:t>
      </w:r>
      <w:r w:rsidRPr="00001CF0">
        <w:rPr>
          <w:strike/>
          <w:highlight w:val="yellow"/>
        </w:rPr>
        <w:t>[5]</w:t>
      </w:r>
      <w:r>
        <w:t xml:space="preserve">. </w:t>
      </w:r>
      <w:r w:rsidRPr="00A356BB">
        <w:rPr>
          <w:strike/>
          <w:highlight w:val="yellow"/>
        </w:rPr>
        <w:t>To evaluate the antioxidant defense, we investigated the total antioxidant capacity (TAC), an index of non-enzymatic antioxidant activity.</w:t>
      </w:r>
      <w:r>
        <w:t xml:space="preserve"> Athletes can activate the endogenous antioxidant system to control exercise-induced oxidative stress avoiding the macromolecules damage [</w:t>
      </w:r>
      <w:r w:rsidRPr="00A87E4B">
        <w:rPr>
          <w:strike/>
          <w:highlight w:val="yellow"/>
        </w:rPr>
        <w:t>57-61</w:t>
      </w:r>
      <w:r w:rsidR="00AA1D11">
        <w:t xml:space="preserve"> </w:t>
      </w:r>
      <w:r w:rsidR="00AA1D11" w:rsidRPr="00A87E4B">
        <w:rPr>
          <w:color w:val="FF0000"/>
        </w:rPr>
        <w:t>50-54</w:t>
      </w:r>
      <w:r>
        <w:t xml:space="preserve">]. </w:t>
      </w:r>
      <w:r w:rsidRPr="001868BB">
        <w:rPr>
          <w:strike/>
          <w:highlight w:val="yellow"/>
        </w:rPr>
        <w:t>We found</w:t>
      </w:r>
      <w:r>
        <w:t xml:space="preserve"> </w:t>
      </w:r>
      <w:r w:rsidR="001868BB">
        <w:t>A</w:t>
      </w:r>
      <w:r>
        <w:t xml:space="preserve"> significant decrease</w:t>
      </w:r>
      <w:r w:rsidR="001868BB">
        <w:t xml:space="preserve"> in TAC </w:t>
      </w:r>
      <w:r w:rsidR="001868BB" w:rsidRPr="001868BB">
        <w:rPr>
          <w:color w:val="FF0000"/>
        </w:rPr>
        <w:t>was measured</w:t>
      </w:r>
      <w:r w:rsidR="001868BB">
        <w:t xml:space="preserve"> </w:t>
      </w:r>
      <w:r>
        <w:t>only after the first training session (T 3B) while other sessions did not exhibit significant change despite a reduction of TAC level. During the first training ses</w:t>
      </w:r>
      <w:r>
        <w:lastRenderedPageBreak/>
        <w:t>sion, TAC value was higher than the other sessions resulting in a higher starting antioxidant defense level. This may explain this significant training-induced decrease of TAC value, attributable to a higher baseline, as observed by some authors [</w:t>
      </w:r>
      <w:r w:rsidRPr="00A87E4B">
        <w:rPr>
          <w:strike/>
          <w:highlight w:val="yellow"/>
        </w:rPr>
        <w:t>62</w:t>
      </w:r>
      <w:r w:rsidR="00A86128">
        <w:rPr>
          <w:strike/>
        </w:rPr>
        <w:t xml:space="preserve"> </w:t>
      </w:r>
      <w:r w:rsidR="00A86128" w:rsidRPr="00A86128">
        <w:rPr>
          <w:color w:val="FF0000"/>
        </w:rPr>
        <w:t>55</w:t>
      </w:r>
      <w:r>
        <w:t xml:space="preserve">]. Training may also induce a converging of TAC values towards an optimal level, adapting the body to the exercise-related fatigue and leading to a smaller variation after the successive session. </w:t>
      </w:r>
    </w:p>
    <w:p w14:paraId="61D7FE14" w14:textId="65140C15" w:rsidR="00F03CD6" w:rsidRDefault="00F03CD6" w:rsidP="00E76F61">
      <w:pPr>
        <w:pStyle w:val="MDPI31text"/>
      </w:pPr>
      <w:r w:rsidRPr="00A356BB">
        <w:rPr>
          <w:strike/>
          <w:highlight w:val="yellow"/>
        </w:rPr>
        <w:t>A prolonged physical activity leads to IL-6 increase which is released in greater amounts than any other cytokine [63].</w:t>
      </w:r>
      <w:r>
        <w:t xml:space="preserve"> IL-6 is mainly produced within the working skeletal muscles [</w:t>
      </w:r>
      <w:r w:rsidRPr="00A87E4B">
        <w:rPr>
          <w:strike/>
          <w:highlight w:val="yellow"/>
        </w:rPr>
        <w:t>64</w:t>
      </w:r>
      <w:r w:rsidR="00202626">
        <w:t xml:space="preserve"> </w:t>
      </w:r>
      <w:r w:rsidR="00202626" w:rsidRPr="00A87E4B">
        <w:rPr>
          <w:color w:val="FF0000"/>
        </w:rPr>
        <w:t>56</w:t>
      </w:r>
      <w:r>
        <w:t>] with its released amount strongly related to the exercise duration and intensity and the mass of muscle recruited and endurance capacity [</w:t>
      </w:r>
      <w:r w:rsidRPr="00A87E4B">
        <w:rPr>
          <w:strike/>
          <w:highlight w:val="yellow"/>
        </w:rPr>
        <w:t>65, 66</w:t>
      </w:r>
      <w:r w:rsidR="00202626">
        <w:t xml:space="preserve"> </w:t>
      </w:r>
      <w:r w:rsidR="00202626" w:rsidRPr="00A87E4B">
        <w:rPr>
          <w:color w:val="FF0000"/>
        </w:rPr>
        <w:t>57, 58</w:t>
      </w:r>
      <w:r>
        <w:t>]. We found raised IL-6 value after physical exercise in every training session, according to other authors [</w:t>
      </w:r>
      <w:r w:rsidRPr="00F331F0">
        <w:rPr>
          <w:strike/>
          <w:highlight w:val="yellow"/>
        </w:rPr>
        <w:t>67-69</w:t>
      </w:r>
      <w:r w:rsidR="00F331F0" w:rsidRPr="00F331F0">
        <w:rPr>
          <w:color w:val="FF0000"/>
        </w:rPr>
        <w:t xml:space="preserve"> 59</w:t>
      </w:r>
      <w:r>
        <w:t xml:space="preserve">]. IL-6 increases significantly after </w:t>
      </w:r>
      <w:r w:rsidRPr="00F331F0">
        <w:t>eccentric exercise [</w:t>
      </w:r>
      <w:r w:rsidR="00F331F0" w:rsidRPr="00F331F0">
        <w:rPr>
          <w:color w:val="FF0000"/>
        </w:rPr>
        <w:t>60</w:t>
      </w:r>
      <w:r w:rsidR="00F331F0" w:rsidRPr="00F331F0">
        <w:rPr>
          <w:strike/>
        </w:rPr>
        <w:t xml:space="preserve"> </w:t>
      </w:r>
      <w:r w:rsidRPr="00F331F0">
        <w:rPr>
          <w:strike/>
          <w:highlight w:val="yellow"/>
        </w:rPr>
        <w:t>70</w:t>
      </w:r>
      <w:r w:rsidRPr="00F331F0">
        <w:t>],</w:t>
      </w:r>
      <w:r>
        <w:t xml:space="preserve"> in response to long-duration exercise independently of muscle damage. IL-6 release in relation to muscle fiber damage occurs later and is of smaller magnitude than IL-6 production related to muscle contractions </w:t>
      </w:r>
      <w:r w:rsidRPr="00612F15">
        <w:rPr>
          <w:color w:val="FF0000"/>
        </w:rPr>
        <w:t>[</w:t>
      </w:r>
      <w:r w:rsidR="00612F15" w:rsidRPr="00612F15">
        <w:rPr>
          <w:color w:val="FF0000"/>
        </w:rPr>
        <w:t>57</w:t>
      </w:r>
      <w:r w:rsidR="00612F15">
        <w:t xml:space="preserve"> </w:t>
      </w:r>
      <w:r w:rsidRPr="00612F15">
        <w:rPr>
          <w:strike/>
          <w:highlight w:val="yellow"/>
        </w:rPr>
        <w:t>65</w:t>
      </w:r>
      <w:r w:rsidRPr="00612F15">
        <w:t>]. Skiing</w:t>
      </w:r>
      <w:r>
        <w:t xml:space="preserve"> requires a lot of eccentric contractions that occur when the muscle lengthens </w:t>
      </w:r>
      <w:r w:rsidR="00784132">
        <w:t>at the same time</w:t>
      </w:r>
      <w:r>
        <w:t xml:space="preserve"> it contracts. In our case, freeskiing implies muscle eccentric contractions associated to concentric contraction during jump execution. </w:t>
      </w:r>
    </w:p>
    <w:p w14:paraId="363B204E" w14:textId="77777777" w:rsidR="00F03CD6" w:rsidRDefault="00F03CD6" w:rsidP="00E76F61">
      <w:pPr>
        <w:pStyle w:val="MDPI31text"/>
      </w:pPr>
      <w:r>
        <w:t>We did not find any difference in NOx level after any training session. In our case, we did not give any NO</w:t>
      </w:r>
      <w:r w:rsidRPr="00F03CD6">
        <w:rPr>
          <w:vertAlign w:val="subscript"/>
        </w:rPr>
        <w:t>2</w:t>
      </w:r>
      <w:r>
        <w:t xml:space="preserve"> and/or NO</w:t>
      </w:r>
      <w:r w:rsidRPr="00F03CD6">
        <w:rPr>
          <w:vertAlign w:val="subscript"/>
        </w:rPr>
        <w:t>3</w:t>
      </w:r>
      <w:r>
        <w:t xml:space="preserve"> supplementation to the athletes. NO derivatives may improve exercise </w:t>
      </w:r>
      <w:r w:rsidRPr="00E20665">
        <w:t>tolerance reducing O</w:t>
      </w:r>
      <w:r w:rsidRPr="00E20665">
        <w:rPr>
          <w:vertAlign w:val="subscript"/>
        </w:rPr>
        <w:t>2</w:t>
      </w:r>
      <w:r w:rsidRPr="00E20665">
        <w:t xml:space="preserve"> consumption</w:t>
      </w:r>
      <w:r>
        <w:t xml:space="preserve"> and optimizing muscle contraction efficiency [</w:t>
      </w:r>
      <w:r w:rsidRPr="00612F15">
        <w:rPr>
          <w:strike/>
          <w:highlight w:val="yellow"/>
        </w:rPr>
        <w:t>71, 72</w:t>
      </w:r>
      <w:r w:rsidR="00202626">
        <w:t xml:space="preserve"> </w:t>
      </w:r>
      <w:r w:rsidR="00202626" w:rsidRPr="00612F15">
        <w:rPr>
          <w:color w:val="FF0000"/>
        </w:rPr>
        <w:t>61, 62</w:t>
      </w:r>
      <w:r>
        <w:t>] through their role in the regulation of blood flow, contractility, glucose and Ca</w:t>
      </w:r>
      <w:r w:rsidRPr="00F03CD6">
        <w:rPr>
          <w:vertAlign w:val="superscript"/>
        </w:rPr>
        <w:t>2+</w:t>
      </w:r>
      <w:r>
        <w:t xml:space="preserve"> homeostasis, mitochondrial respiration and biogenesis [</w:t>
      </w:r>
      <w:r w:rsidRPr="00612F15">
        <w:rPr>
          <w:strike/>
          <w:highlight w:val="yellow"/>
        </w:rPr>
        <w:t>73</w:t>
      </w:r>
      <w:r w:rsidR="00202626">
        <w:t xml:space="preserve"> </w:t>
      </w:r>
      <w:r w:rsidR="00202626" w:rsidRPr="00612F15">
        <w:rPr>
          <w:color w:val="FF0000"/>
        </w:rPr>
        <w:t>63</w:t>
      </w:r>
      <w:r w:rsidRPr="00612F15">
        <w:t>].</w:t>
      </w:r>
      <w:r>
        <w:t xml:space="preserve"> </w:t>
      </w:r>
    </w:p>
    <w:p w14:paraId="15531E6A" w14:textId="77777777" w:rsidR="00F03CD6" w:rsidRPr="00E20665" w:rsidRDefault="00F03CD6" w:rsidP="00E76F61">
      <w:pPr>
        <w:pStyle w:val="MDPI31text"/>
      </w:pPr>
      <w:r>
        <w:t xml:space="preserve">Despite the increase, uric acid did not change significantly after every session similarly to the data of some </w:t>
      </w:r>
      <w:r w:rsidRPr="00A86128">
        <w:rPr>
          <w:color w:val="000000" w:themeColor="text1"/>
        </w:rPr>
        <w:t>authors [</w:t>
      </w:r>
      <w:r w:rsidR="00F80BAC" w:rsidRPr="00F80BAC">
        <w:rPr>
          <w:color w:val="FF0000"/>
        </w:rPr>
        <w:t>64</w:t>
      </w:r>
      <w:r w:rsidR="00F80BAC">
        <w:t xml:space="preserve"> </w:t>
      </w:r>
      <w:r w:rsidRPr="00612F15">
        <w:rPr>
          <w:strike/>
          <w:highlight w:val="yellow"/>
        </w:rPr>
        <w:t>74</w:t>
      </w:r>
      <w:r>
        <w:t>]. Exercise-related changes of uric acid are contrasting. During intense exercise, uric acid excretion is reduced [</w:t>
      </w:r>
      <w:r w:rsidR="00612F15" w:rsidRPr="00612F15">
        <w:rPr>
          <w:color w:val="FF0000"/>
        </w:rPr>
        <w:t>65, 66</w:t>
      </w:r>
      <w:r w:rsidR="00612F15">
        <w:t xml:space="preserve"> </w:t>
      </w:r>
      <w:r w:rsidRPr="00612F15">
        <w:rPr>
          <w:strike/>
          <w:highlight w:val="yellow"/>
        </w:rPr>
        <w:t>75, 76</w:t>
      </w:r>
      <w:r>
        <w:t xml:space="preserve">] as consequence of antidiuretic hormone increase </w:t>
      </w:r>
      <w:r w:rsidRPr="00612F15">
        <w:rPr>
          <w:strike/>
          <w:highlight w:val="yellow"/>
        </w:rPr>
        <w:t>[77</w:t>
      </w:r>
      <w:r w:rsidR="00202626" w:rsidRPr="00612F15">
        <w:rPr>
          <w:color w:val="FF0000"/>
        </w:rPr>
        <w:t xml:space="preserve"> 67</w:t>
      </w:r>
      <w:r w:rsidRPr="00612F15">
        <w:t>]</w:t>
      </w:r>
      <w:r>
        <w:t xml:space="preserve"> and risen lactate production that leads to a decrease in the urinary excretion of oxypurines [</w:t>
      </w:r>
      <w:r w:rsidR="00612F15" w:rsidRPr="00612F15">
        <w:rPr>
          <w:color w:val="FF0000"/>
        </w:rPr>
        <w:t>68, 69</w:t>
      </w:r>
      <w:r w:rsidR="00612F15">
        <w:t xml:space="preserve"> </w:t>
      </w:r>
      <w:r w:rsidRPr="00612F15">
        <w:rPr>
          <w:strike/>
          <w:highlight w:val="yellow"/>
        </w:rPr>
        <w:t>78, 79</w:t>
      </w:r>
      <w:r>
        <w:t>]. On the other hand, other research groups found an increase of urinary uric acid [</w:t>
      </w:r>
      <w:r w:rsidR="00612F15" w:rsidRPr="00612F15">
        <w:rPr>
          <w:color w:val="FF0000"/>
        </w:rPr>
        <w:t>70, 71</w:t>
      </w:r>
      <w:r w:rsidR="00612F15">
        <w:t xml:space="preserve"> </w:t>
      </w:r>
      <w:r w:rsidRPr="00612F15">
        <w:rPr>
          <w:strike/>
          <w:highlight w:val="yellow"/>
        </w:rPr>
        <w:t>80, 81</w:t>
      </w:r>
      <w:r>
        <w:t>] that may be the consequence of purine release from the muscle after prolonged exercise, rather than a decrease in plasma purine removal rates [</w:t>
      </w:r>
      <w:r w:rsidRPr="00612F15">
        <w:rPr>
          <w:strike/>
          <w:highlight w:val="yellow"/>
        </w:rPr>
        <w:t>82</w:t>
      </w:r>
      <w:r w:rsidR="00A13477">
        <w:t xml:space="preserve"> </w:t>
      </w:r>
      <w:r w:rsidR="00A13477" w:rsidRPr="00612F15">
        <w:rPr>
          <w:color w:val="FF0000"/>
        </w:rPr>
        <w:t>72</w:t>
      </w:r>
      <w:r>
        <w:t xml:space="preserve">]. In muscle, ATP </w:t>
      </w:r>
      <w:r w:rsidRPr="00E20665">
        <w:t>consumption can trigger cascade of nucleotide degradation to purine catabolic intermediates that increase uric acid level after the physical activity [</w:t>
      </w:r>
      <w:r w:rsidRPr="00612F15">
        <w:rPr>
          <w:strike/>
          <w:highlight w:val="yellow"/>
        </w:rPr>
        <w:t>75</w:t>
      </w:r>
      <w:r w:rsidR="008F0690">
        <w:t xml:space="preserve"> </w:t>
      </w:r>
      <w:r w:rsidR="008F0690" w:rsidRPr="00612F15">
        <w:rPr>
          <w:color w:val="FF0000"/>
        </w:rPr>
        <w:t>65</w:t>
      </w:r>
      <w:r w:rsidRPr="00E20665">
        <w:t>].</w:t>
      </w:r>
    </w:p>
    <w:p w14:paraId="30C28653" w14:textId="77777777" w:rsidR="00F03CD6" w:rsidRDefault="00F03CD6" w:rsidP="00E76F61">
      <w:pPr>
        <w:pStyle w:val="MDPI31text"/>
      </w:pPr>
      <w:r w:rsidRPr="00E20665">
        <w:t>We evaluated the hydration status of the freeskiers without any drink supplementation.  We did not find deep changes in electrolyte</w:t>
      </w:r>
      <w:r w:rsidR="00D970C0" w:rsidRPr="00E20665">
        <w:t>s</w:t>
      </w:r>
      <w:r>
        <w:t xml:space="preserve"> balance probably because all volunteers were well trained and very experienced. Urea value did not change significantly after every training session, probably to reduce exercise-related water loss. Urea is reabsorbed during passage of the filtrate through the tubule of the nephron activating a mechanism of water-conserving action [</w:t>
      </w:r>
      <w:r w:rsidRPr="00612F15">
        <w:rPr>
          <w:strike/>
          <w:highlight w:val="yellow"/>
        </w:rPr>
        <w:t>83</w:t>
      </w:r>
      <w:r w:rsidR="008D757C">
        <w:t xml:space="preserve"> </w:t>
      </w:r>
      <w:r w:rsidR="008D757C" w:rsidRPr="00612F15">
        <w:rPr>
          <w:color w:val="FF0000"/>
        </w:rPr>
        <w:t>73</w:t>
      </w:r>
      <w:r>
        <w:t xml:space="preserve">]. </w:t>
      </w:r>
    </w:p>
    <w:p w14:paraId="31A7F25F" w14:textId="77777777" w:rsidR="00F03CD6" w:rsidRDefault="00F03CD6" w:rsidP="00E76F61">
      <w:pPr>
        <w:pStyle w:val="MDPI31text"/>
      </w:pPr>
      <w:r>
        <w:t>Despite their risen values, Na and K level did not show significant variation during the season with the exception of K variation after the second training session (T2B). K is involved in the regulation of osmotic pressure and plays an important role in nerve stimulation and muscle contraction during exercise [</w:t>
      </w:r>
      <w:r w:rsidR="00612F15" w:rsidRPr="00612F15">
        <w:rPr>
          <w:color w:val="FF0000"/>
        </w:rPr>
        <w:t>74</w:t>
      </w:r>
      <w:r w:rsidR="00612F15">
        <w:t xml:space="preserve"> </w:t>
      </w:r>
      <w:r w:rsidRPr="00612F15">
        <w:rPr>
          <w:strike/>
          <w:highlight w:val="yellow"/>
        </w:rPr>
        <w:t>84</w:t>
      </w:r>
      <w:r w:rsidRPr="00BD6D05">
        <w:rPr>
          <w:color w:val="000000" w:themeColor="text1"/>
          <w:highlight w:val="yellow"/>
        </w:rPr>
        <w:t>].</w:t>
      </w:r>
      <w:r>
        <w:t xml:space="preserve"> </w:t>
      </w:r>
    </w:p>
    <w:p w14:paraId="130A06A6" w14:textId="77777777" w:rsidR="00F03CD6" w:rsidRDefault="00F03CD6" w:rsidP="00E76F61">
      <w:pPr>
        <w:pStyle w:val="MDPI31text"/>
      </w:pPr>
      <w:r>
        <w:t>Urinary P decrease after every training session but significantly after the third session (T 3B) only. This phosphorus excretion reduction may reflect a slight respiratory alkalosis caused by hyperventilation during exercise [</w:t>
      </w:r>
      <w:r w:rsidRPr="00BD6D05">
        <w:rPr>
          <w:strike/>
          <w:highlight w:val="yellow"/>
        </w:rPr>
        <w:t>85</w:t>
      </w:r>
      <w:r w:rsidR="008D757C">
        <w:t xml:space="preserve"> </w:t>
      </w:r>
      <w:r w:rsidR="008D757C" w:rsidRPr="00BD6D05">
        <w:rPr>
          <w:color w:val="FF0000"/>
        </w:rPr>
        <w:t>75</w:t>
      </w:r>
      <w:r>
        <w:t xml:space="preserve">]. </w:t>
      </w:r>
    </w:p>
    <w:p w14:paraId="02ADC382" w14:textId="2F3B5A3F" w:rsidR="00F03CD6" w:rsidRPr="00E20665" w:rsidRDefault="00F03CD6" w:rsidP="00E76F61">
      <w:pPr>
        <w:pStyle w:val="MDPI31text"/>
      </w:pPr>
      <w:r>
        <w:t xml:space="preserve">Cl, Mg and Ca did not change significantly during the season. Our findings seem to indicate freeskiing might be not enough intense to induce significant differences in electrolytes concentrations between urine samples taken before and after the physical activity. </w:t>
      </w:r>
      <w:r w:rsidRPr="00E20665">
        <w:t>Furthermore, the absence of fluid intake may also be a possible reason for a major stability in concentration of circulating electrolytes, reducing their loss trough urine [</w:t>
      </w:r>
      <w:r w:rsidRPr="00BD6D05">
        <w:rPr>
          <w:strike/>
          <w:highlight w:val="yellow"/>
        </w:rPr>
        <w:t>86</w:t>
      </w:r>
      <w:r w:rsidR="008D757C">
        <w:t xml:space="preserve"> </w:t>
      </w:r>
      <w:r w:rsidR="008D757C" w:rsidRPr="00BD6D05">
        <w:rPr>
          <w:color w:val="FF0000"/>
        </w:rPr>
        <w:t>76</w:t>
      </w:r>
      <w:r w:rsidRPr="00E20665">
        <w:t xml:space="preserve">]. </w:t>
      </w:r>
    </w:p>
    <w:p w14:paraId="5F32045A" w14:textId="77777777" w:rsidR="00F03CD6" w:rsidRPr="00E20665" w:rsidRDefault="00F03CD6" w:rsidP="00E76F61">
      <w:pPr>
        <w:pStyle w:val="MDPI31text"/>
      </w:pPr>
      <w:r w:rsidRPr="00E20665">
        <w:lastRenderedPageBreak/>
        <w:t>Neopterin can raise during systemic oxidative stress as reported by some authors [</w:t>
      </w:r>
      <w:r w:rsidR="00BD6D05" w:rsidRPr="00BD6D05">
        <w:rPr>
          <w:color w:val="FF0000"/>
        </w:rPr>
        <w:t>7, 32,</w:t>
      </w:r>
      <w:r w:rsidR="00BD6D05">
        <w:rPr>
          <w:color w:val="FF0000"/>
        </w:rPr>
        <w:t xml:space="preserve"> 77 </w:t>
      </w:r>
      <w:r w:rsidRPr="00BD6D05">
        <w:rPr>
          <w:strike/>
          <w:highlight w:val="yellow"/>
        </w:rPr>
        <w:t>16, 37, 87</w:t>
      </w:r>
      <w:r w:rsidRPr="00BD6D05">
        <w:t>].</w:t>
      </w:r>
      <w:r w:rsidRPr="00E20665">
        <w:t xml:space="preserve"> In our </w:t>
      </w:r>
      <w:r w:rsidR="00D970C0" w:rsidRPr="00E20665">
        <w:t>freeskiers</w:t>
      </w:r>
      <w:r w:rsidRPr="00E20665">
        <w:t>, neopterin increase can be associated to ROS production similarly to other studies [</w:t>
      </w:r>
      <w:r w:rsidRPr="00BD6D05">
        <w:rPr>
          <w:strike/>
          <w:highlight w:val="yellow"/>
        </w:rPr>
        <w:t>39, 88</w:t>
      </w:r>
      <w:r w:rsidR="008D757C">
        <w:t xml:space="preserve"> </w:t>
      </w:r>
      <w:r w:rsidR="008F0690" w:rsidRPr="00BD6D05">
        <w:rPr>
          <w:color w:val="FF0000"/>
        </w:rPr>
        <w:t>29,</w:t>
      </w:r>
      <w:r w:rsidR="00895EB1">
        <w:rPr>
          <w:color w:val="FF0000"/>
        </w:rPr>
        <w:t>78</w:t>
      </w:r>
      <w:r w:rsidRPr="00E20665">
        <w:t>].</w:t>
      </w:r>
    </w:p>
    <w:p w14:paraId="1CDDDE65" w14:textId="77777777" w:rsidR="00F03CD6" w:rsidRPr="00E20665" w:rsidRDefault="00F03CD6" w:rsidP="00E76F61">
      <w:pPr>
        <w:pStyle w:val="MDPI31text"/>
      </w:pPr>
      <w:r w:rsidRPr="00E20665">
        <w:t>Prolonged physical activity can impair kidney function as consequence of several physiological mechanisms to manage stress [</w:t>
      </w:r>
      <w:r w:rsidR="00895EB1" w:rsidRPr="00895EB1">
        <w:rPr>
          <w:color w:val="FF0000"/>
        </w:rPr>
        <w:t>33, 79</w:t>
      </w:r>
      <w:r w:rsidR="00895EB1">
        <w:t xml:space="preserve"> </w:t>
      </w:r>
      <w:r w:rsidRPr="00895EB1">
        <w:rPr>
          <w:strike/>
          <w:highlight w:val="yellow"/>
        </w:rPr>
        <w:t>38, 89</w:t>
      </w:r>
      <w:r w:rsidRPr="00E20665">
        <w:t>]. We did not find any difference in urine standards parameters, probably due to good health and high experience of the</w:t>
      </w:r>
      <w:r w:rsidR="00D970C0" w:rsidRPr="00E20665">
        <w:t xml:space="preserve"> subjects</w:t>
      </w:r>
      <w:r w:rsidRPr="00E20665">
        <w:t xml:space="preserve"> to adapt to the freeskiing related physical effort.</w:t>
      </w:r>
    </w:p>
    <w:p w14:paraId="06A9902D" w14:textId="77777777" w:rsidR="00F03CD6" w:rsidRPr="00E20665" w:rsidRDefault="00F03CD6" w:rsidP="00E76F61">
      <w:pPr>
        <w:pStyle w:val="MDPI31text"/>
      </w:pPr>
      <w:r w:rsidRPr="00E20665">
        <w:t>We observed a progressive decrease in TQR score along the training season. This decrease may be due to the body adaptation to exercise-induced fatigue, which has a beneficial effect on the athletes' psychological condition [</w:t>
      </w:r>
      <w:r w:rsidR="00895EB1" w:rsidRPr="00895EB1">
        <w:rPr>
          <w:color w:val="FF0000"/>
        </w:rPr>
        <w:t>80</w:t>
      </w:r>
      <w:r w:rsidR="00895EB1">
        <w:t xml:space="preserve"> </w:t>
      </w:r>
      <w:r w:rsidRPr="00895EB1">
        <w:rPr>
          <w:strike/>
          <w:highlight w:val="yellow"/>
        </w:rPr>
        <w:t>9</w:t>
      </w:r>
      <w:r w:rsidR="00895EB1" w:rsidRPr="00895EB1">
        <w:rPr>
          <w:strike/>
          <w:highlight w:val="yellow"/>
        </w:rPr>
        <w:t>0</w:t>
      </w:r>
      <w:r w:rsidRPr="00E20665">
        <w:t xml:space="preserve">]. Freeskiers showed an increase of general wellness and a decrease of pain score at the end of the training season as evidence of the fact </w:t>
      </w:r>
      <w:r w:rsidR="00D520F9" w:rsidRPr="00E20665">
        <w:t xml:space="preserve">that </w:t>
      </w:r>
      <w:r w:rsidRPr="00E20665">
        <w:t xml:space="preserve">physical activity improves the psychophysical status of athletes. </w:t>
      </w:r>
    </w:p>
    <w:p w14:paraId="320CCCC4" w14:textId="77777777" w:rsidR="00522304" w:rsidRDefault="00E20665" w:rsidP="00E76F61">
      <w:pPr>
        <w:pStyle w:val="MDPI31text"/>
      </w:pPr>
      <w:r w:rsidRPr="00E20665">
        <w:t>Indeed,</w:t>
      </w:r>
      <w:r w:rsidR="00D520F9" w:rsidRPr="00E20665">
        <w:t xml:space="preserve"> i</w:t>
      </w:r>
      <w:r w:rsidR="00F03CD6" w:rsidRPr="00E20665">
        <w:t>t is well known physical activity can improve mental health reducing symptoms of psychological distress such as depression, anxiety [</w:t>
      </w:r>
      <w:r w:rsidR="00F03CD6" w:rsidRPr="00895EB1">
        <w:rPr>
          <w:strike/>
          <w:color w:val="000000" w:themeColor="text1"/>
          <w:highlight w:val="yellow"/>
        </w:rPr>
        <w:t>91, 92</w:t>
      </w:r>
      <w:r w:rsidR="008D757C">
        <w:t xml:space="preserve"> </w:t>
      </w:r>
      <w:r w:rsidR="008D757C" w:rsidRPr="00895EB1">
        <w:rPr>
          <w:color w:val="FF0000"/>
        </w:rPr>
        <w:t>81, 82</w:t>
      </w:r>
      <w:r w:rsidR="00F03CD6" w:rsidRPr="00895EB1">
        <w:t>],</w:t>
      </w:r>
      <w:r w:rsidR="00F03CD6">
        <w:t xml:space="preserve"> failure after competition [</w:t>
      </w:r>
      <w:r w:rsidR="00F03CD6" w:rsidRPr="00895EB1">
        <w:rPr>
          <w:strike/>
          <w:highlight w:val="yellow"/>
        </w:rPr>
        <w:t>93</w:t>
      </w:r>
      <w:r w:rsidR="008D757C">
        <w:t xml:space="preserve"> </w:t>
      </w:r>
      <w:r w:rsidR="008D757C" w:rsidRPr="00895EB1">
        <w:rPr>
          <w:color w:val="FF0000"/>
        </w:rPr>
        <w:t>83</w:t>
      </w:r>
      <w:r w:rsidR="00F03CD6">
        <w:t>] and increasing self-esteem and cognitive functions [</w:t>
      </w:r>
      <w:r w:rsidR="00F03CD6" w:rsidRPr="00895EB1">
        <w:rPr>
          <w:strike/>
          <w:highlight w:val="yellow"/>
        </w:rPr>
        <w:t>94</w:t>
      </w:r>
      <w:r w:rsidR="008D757C">
        <w:t xml:space="preserve"> </w:t>
      </w:r>
      <w:r w:rsidR="008D757C" w:rsidRPr="00895EB1">
        <w:rPr>
          <w:color w:val="FF0000"/>
        </w:rPr>
        <w:t>84</w:t>
      </w:r>
      <w:r w:rsidR="00F03CD6" w:rsidRPr="00895EB1">
        <w:t>].</w:t>
      </w:r>
    </w:p>
    <w:p w14:paraId="30183A72" w14:textId="77777777" w:rsidR="00997C57" w:rsidRDefault="00997C57" w:rsidP="00E76F61">
      <w:pPr>
        <w:pStyle w:val="MDPI31text"/>
      </w:pPr>
    </w:p>
    <w:p w14:paraId="2C86E695" w14:textId="77777777" w:rsidR="00997C57" w:rsidRPr="00997C57" w:rsidRDefault="00997C57" w:rsidP="00E76F61">
      <w:pPr>
        <w:pStyle w:val="MDPI31text"/>
        <w:rPr>
          <w:b/>
          <w:bCs/>
          <w:color w:val="FF0000"/>
        </w:rPr>
      </w:pPr>
      <w:r>
        <w:rPr>
          <w:b/>
          <w:bCs/>
          <w:color w:val="FF0000"/>
        </w:rPr>
        <w:t xml:space="preserve">5. </w:t>
      </w:r>
      <w:r w:rsidRPr="00997C57">
        <w:rPr>
          <w:b/>
          <w:bCs/>
          <w:color w:val="FF0000"/>
        </w:rPr>
        <w:t>Limitation</w:t>
      </w:r>
    </w:p>
    <w:p w14:paraId="4E489A53" w14:textId="77777777" w:rsidR="00997C57" w:rsidRPr="00997C57" w:rsidRDefault="00997C57" w:rsidP="00997C57">
      <w:pPr>
        <w:pStyle w:val="MDPI31text"/>
        <w:rPr>
          <w:color w:val="FF0000"/>
        </w:rPr>
      </w:pPr>
      <w:r w:rsidRPr="00997C57">
        <w:rPr>
          <w:color w:val="FF0000"/>
        </w:rPr>
        <w:t>The main limitation of our study is the small sample</w:t>
      </w:r>
      <w:r w:rsidR="00C81166">
        <w:rPr>
          <w:color w:val="FF0000"/>
        </w:rPr>
        <w:t xml:space="preserve"> size</w:t>
      </w:r>
      <w:r w:rsidRPr="00997C57">
        <w:rPr>
          <w:color w:val="FF0000"/>
        </w:rPr>
        <w:t xml:space="preserve">. We have included all team </w:t>
      </w:r>
      <w:r>
        <w:rPr>
          <w:color w:val="FF0000"/>
        </w:rPr>
        <w:t xml:space="preserve">of </w:t>
      </w:r>
      <w:r w:rsidRPr="00997C57">
        <w:rPr>
          <w:color w:val="FF0000"/>
        </w:rPr>
        <w:t>P</w:t>
      </w:r>
      <w:r>
        <w:rPr>
          <w:color w:val="FF0000"/>
        </w:rPr>
        <w:t>ratonevoso</w:t>
      </w:r>
      <w:r w:rsidRPr="00997C57">
        <w:rPr>
          <w:color w:val="FF0000"/>
        </w:rPr>
        <w:t xml:space="preserve"> freeskiers.</w:t>
      </w:r>
      <w:r w:rsidRPr="00997C57">
        <w:t xml:space="preserve"> </w:t>
      </w:r>
      <w:r>
        <w:rPr>
          <w:color w:val="FF0000"/>
        </w:rPr>
        <w:t>I</w:t>
      </w:r>
      <w:r w:rsidRPr="00997C57">
        <w:rPr>
          <w:color w:val="FF0000"/>
        </w:rPr>
        <w:t>t should be emphasized that</w:t>
      </w:r>
      <w:r>
        <w:rPr>
          <w:color w:val="FF0000"/>
        </w:rPr>
        <w:t xml:space="preserve"> the freesk</w:t>
      </w:r>
      <w:r w:rsidR="00C81166">
        <w:rPr>
          <w:color w:val="FF0000"/>
        </w:rPr>
        <w:t xml:space="preserve">i </w:t>
      </w:r>
      <w:r w:rsidRPr="00997C57">
        <w:rPr>
          <w:color w:val="FF0000"/>
        </w:rPr>
        <w:t>is not a very popular sport, unlike alpine skiing</w:t>
      </w:r>
      <w:r>
        <w:rPr>
          <w:color w:val="FF0000"/>
        </w:rPr>
        <w:t xml:space="preserve">. </w:t>
      </w:r>
      <w:r w:rsidRPr="00997C57">
        <w:rPr>
          <w:color w:val="FF0000"/>
        </w:rPr>
        <w:t xml:space="preserve">Therefore, results have to be interpreted carefully. </w:t>
      </w:r>
      <w:r>
        <w:rPr>
          <w:color w:val="FF0000"/>
        </w:rPr>
        <w:t>I</w:t>
      </w:r>
      <w:r w:rsidRPr="00997C57">
        <w:rPr>
          <w:color w:val="FF0000"/>
        </w:rPr>
        <w:t xml:space="preserve">n </w:t>
      </w:r>
      <w:r w:rsidR="00EE77A6" w:rsidRPr="00997C57">
        <w:rPr>
          <w:color w:val="FF0000"/>
        </w:rPr>
        <w:t>fact,</w:t>
      </w:r>
      <w:r w:rsidRPr="00997C57">
        <w:rPr>
          <w:color w:val="FF0000"/>
        </w:rPr>
        <w:t xml:space="preserve"> we studied both young and non-professional subjects.</w:t>
      </w:r>
      <w:r w:rsidR="00EE77A6">
        <w:rPr>
          <w:color w:val="FF0000"/>
        </w:rPr>
        <w:t xml:space="preserve"> </w:t>
      </w:r>
      <w:r w:rsidR="00EE77A6" w:rsidRPr="00EE77A6">
        <w:rPr>
          <w:color w:val="FF0000"/>
        </w:rPr>
        <w:t xml:space="preserve">This being a pilot study, we plan to set professional </w:t>
      </w:r>
      <w:r w:rsidR="00C81166">
        <w:rPr>
          <w:color w:val="FF0000"/>
        </w:rPr>
        <w:t>and</w:t>
      </w:r>
      <w:r w:rsidR="00EE77A6" w:rsidRPr="00EE77A6">
        <w:rPr>
          <w:color w:val="FF0000"/>
        </w:rPr>
        <w:t xml:space="preserve"> non/professional national/ international </w:t>
      </w:r>
      <w:r w:rsidR="00DE2DAC" w:rsidRPr="00EE77A6">
        <w:rPr>
          <w:color w:val="FF0000"/>
        </w:rPr>
        <w:t>athlete’s</w:t>
      </w:r>
      <w:r w:rsidR="00EE77A6" w:rsidRPr="00EE77A6">
        <w:rPr>
          <w:color w:val="FF0000"/>
        </w:rPr>
        <w:t xml:space="preserve"> collaborations in the future to increase the number of subjects studied. Nevertheless, this is the first study to assess ROS production, antioxidant capacity, nitric oxide</w:t>
      </w:r>
      <w:r w:rsidR="00C81166">
        <w:rPr>
          <w:color w:val="FF0000"/>
        </w:rPr>
        <w:t xml:space="preserve"> metabolites</w:t>
      </w:r>
      <w:r w:rsidR="00EE77A6" w:rsidRPr="00EE77A6">
        <w:rPr>
          <w:color w:val="FF0000"/>
        </w:rPr>
        <w:t xml:space="preserve"> levels</w:t>
      </w:r>
      <w:r w:rsidR="00EE77A6">
        <w:rPr>
          <w:color w:val="FF0000"/>
        </w:rPr>
        <w:t xml:space="preserve">, inflammatory status and electrolytes levels, </w:t>
      </w:r>
      <w:r w:rsidR="00EE77A6" w:rsidRPr="00EE77A6">
        <w:rPr>
          <w:color w:val="FF0000"/>
        </w:rPr>
        <w:t xml:space="preserve">in </w:t>
      </w:r>
      <w:r w:rsidR="00EE77A6">
        <w:rPr>
          <w:color w:val="FF0000"/>
        </w:rPr>
        <w:t xml:space="preserve">a </w:t>
      </w:r>
      <w:r w:rsidR="00EE77A6" w:rsidRPr="00EE77A6">
        <w:rPr>
          <w:color w:val="FF0000"/>
        </w:rPr>
        <w:t xml:space="preserve">freeskiers </w:t>
      </w:r>
      <w:r w:rsidR="00EE77A6">
        <w:rPr>
          <w:color w:val="FF0000"/>
        </w:rPr>
        <w:t xml:space="preserve">athletes </w:t>
      </w:r>
      <w:r w:rsidR="00EE77A6" w:rsidRPr="00EE77A6">
        <w:rPr>
          <w:color w:val="FF0000"/>
        </w:rPr>
        <w:t>in a real</w:t>
      </w:r>
      <w:r w:rsidR="00EE77A6">
        <w:rPr>
          <w:color w:val="FF0000"/>
        </w:rPr>
        <w:t xml:space="preserve"> field</w:t>
      </w:r>
      <w:r w:rsidR="00EE77A6" w:rsidRPr="00EE77A6">
        <w:rPr>
          <w:color w:val="FF0000"/>
        </w:rPr>
        <w:t xml:space="preserve"> environment.</w:t>
      </w:r>
    </w:p>
    <w:p w14:paraId="525544D5" w14:textId="77777777" w:rsidR="00522304" w:rsidRPr="00325902" w:rsidRDefault="00997C57" w:rsidP="00E76F61">
      <w:pPr>
        <w:pStyle w:val="MDPI21heading1"/>
      </w:pPr>
      <w:r w:rsidRPr="00997C57">
        <w:rPr>
          <w:color w:val="FF0000"/>
        </w:rPr>
        <w:t>6</w:t>
      </w:r>
      <w:r w:rsidR="00E76F61" w:rsidRPr="00997C57">
        <w:rPr>
          <w:color w:val="FF0000"/>
        </w:rPr>
        <w:t>.</w:t>
      </w:r>
      <w:r w:rsidR="00E76F61">
        <w:t xml:space="preserve"> </w:t>
      </w:r>
      <w:r w:rsidR="00522304">
        <w:t>Conclusions</w:t>
      </w:r>
    </w:p>
    <w:p w14:paraId="2C3E81B0" w14:textId="77777777" w:rsidR="00F03CD6" w:rsidRPr="00E20665" w:rsidRDefault="00F03CD6" w:rsidP="00E76F61">
      <w:pPr>
        <w:pStyle w:val="MDPI31text"/>
      </w:pPr>
      <w:r>
        <w:t xml:space="preserve">Freeskiing induced an increase of ROS production that can be contained by antioxidant defense activation. Neopterin raised as consequence of ROS generation while IL-6 as consequence of physical </w:t>
      </w:r>
      <w:r w:rsidRPr="00E20665">
        <w:t>activity and muscular contraction type.</w:t>
      </w:r>
    </w:p>
    <w:p w14:paraId="7501FC66" w14:textId="5A47BBB0" w:rsidR="00522304" w:rsidRPr="00C71BB7" w:rsidRDefault="00F03CD6" w:rsidP="004B1DF0">
      <w:pPr>
        <w:pStyle w:val="MDPI31text"/>
        <w:rPr>
          <w:strike/>
        </w:rPr>
      </w:pPr>
      <w:r w:rsidRPr="00E20665">
        <w:t>We did not find deep changes in electrolyte</w:t>
      </w:r>
      <w:r w:rsidR="00D520F9" w:rsidRPr="00E20665">
        <w:t>s</w:t>
      </w:r>
      <w:r w:rsidRPr="00E20665">
        <w:t xml:space="preserve"> balance probably because all</w:t>
      </w:r>
      <w:r w:rsidR="00D520F9" w:rsidRPr="00E20665">
        <w:t xml:space="preserve"> subjects examined</w:t>
      </w:r>
      <w:r w:rsidRPr="00E20665">
        <w:t xml:space="preserve"> were well trained and very experienced</w:t>
      </w:r>
      <w:r w:rsidR="00B660B6">
        <w:t>.</w:t>
      </w:r>
      <w:r w:rsidR="00BC65EB">
        <w:t xml:space="preserve"> </w:t>
      </w:r>
      <w:r w:rsidRPr="00BC65EB">
        <w:rPr>
          <w:strike/>
          <w:highlight w:val="yellow"/>
        </w:rPr>
        <w:t>Finally,</w:t>
      </w:r>
      <w:r>
        <w:t xml:space="preserve"> </w:t>
      </w:r>
      <w:r w:rsidR="00B660B6" w:rsidRPr="00B660B6">
        <w:rPr>
          <w:color w:val="FF0000"/>
        </w:rPr>
        <w:t>Moreoever,</w:t>
      </w:r>
      <w:r w:rsidR="00B660B6">
        <w:t xml:space="preserve"> </w:t>
      </w:r>
      <w:r>
        <w:t>freeskiing-related physical activity can improve body adaptation to exercise-induced fatigue and mental health reducing symptoms of psychological distress including anxiety.</w:t>
      </w:r>
      <w:r w:rsidR="00BC65EB" w:rsidRPr="00BC65EB">
        <w:t xml:space="preserve"> </w:t>
      </w:r>
      <w:r w:rsidR="00BC65EB" w:rsidRPr="00BC65EB">
        <w:rPr>
          <w:color w:val="FF0000"/>
        </w:rPr>
        <w:t>Finally,</w:t>
      </w:r>
      <w:r w:rsidR="00BC65EB">
        <w:t xml:space="preserve"> </w:t>
      </w:r>
      <w:r w:rsidR="00BC65EB" w:rsidRPr="00BC65EB">
        <w:rPr>
          <w:color w:val="FF0000"/>
        </w:rPr>
        <w:t xml:space="preserve">despite a small sample size, current </w:t>
      </w:r>
      <w:r w:rsidR="00B660B6" w:rsidRPr="00BC65EB">
        <w:rPr>
          <w:color w:val="FF0000"/>
        </w:rPr>
        <w:t>findings show</w:t>
      </w:r>
      <w:r w:rsidR="00BC65EB" w:rsidRPr="00BC65EB">
        <w:rPr>
          <w:color w:val="FF0000"/>
        </w:rPr>
        <w:t xml:space="preserve"> a large effect size</w:t>
      </w:r>
      <w:r w:rsidR="00C71BB7">
        <w:rPr>
          <w:color w:val="FF0000"/>
        </w:rPr>
        <w:t xml:space="preserve"> so that pilot study may have presumably a</w:t>
      </w:r>
      <w:r w:rsidR="00BC65EB" w:rsidRPr="00BC65EB">
        <w:rPr>
          <w:color w:val="FF0000"/>
        </w:rPr>
        <w:t xml:space="preserve"> </w:t>
      </w:r>
      <w:r w:rsidR="00C71BB7">
        <w:rPr>
          <w:color w:val="FF0000"/>
        </w:rPr>
        <w:t xml:space="preserve">practical significance. </w:t>
      </w:r>
    </w:p>
    <w:p w14:paraId="683CCF7C" w14:textId="77777777" w:rsidR="00F03CD6" w:rsidRPr="003703B1" w:rsidRDefault="00F03CD6" w:rsidP="00E76F61">
      <w:pPr>
        <w:pStyle w:val="MDPI31text"/>
        <w:rPr>
          <w:strike/>
        </w:rPr>
      </w:pPr>
      <w:r w:rsidRPr="003703B1">
        <w:rPr>
          <w:strike/>
          <w:highlight w:val="yellow"/>
        </w:rPr>
        <w:t xml:space="preserve">The main limitation of this study was the small sample size. </w:t>
      </w:r>
      <w:r w:rsidR="00E20665" w:rsidRPr="003703B1">
        <w:rPr>
          <w:strike/>
          <w:highlight w:val="yellow"/>
        </w:rPr>
        <w:t>Unfortunately,</w:t>
      </w:r>
      <w:r w:rsidR="00D520F9" w:rsidRPr="003703B1">
        <w:rPr>
          <w:strike/>
          <w:highlight w:val="yellow"/>
        </w:rPr>
        <w:t xml:space="preserve"> t</w:t>
      </w:r>
      <w:r w:rsidRPr="003703B1">
        <w:rPr>
          <w:strike/>
          <w:highlight w:val="yellow"/>
        </w:rPr>
        <w:t>he space for medical devices and sample collection in</w:t>
      </w:r>
      <w:r w:rsidR="00D520F9" w:rsidRPr="003703B1">
        <w:rPr>
          <w:strike/>
          <w:highlight w:val="yellow"/>
        </w:rPr>
        <w:t xml:space="preserve"> the location (</w:t>
      </w:r>
      <w:r w:rsidRPr="003703B1">
        <w:rPr>
          <w:strike/>
          <w:highlight w:val="yellow"/>
        </w:rPr>
        <w:t>Prato Nevoso ski resort</w:t>
      </w:r>
      <w:r w:rsidR="00D520F9" w:rsidRPr="003703B1">
        <w:rPr>
          <w:strike/>
          <w:highlight w:val="yellow"/>
        </w:rPr>
        <w:t>)</w:t>
      </w:r>
      <w:r w:rsidRPr="003703B1">
        <w:rPr>
          <w:strike/>
          <w:highlight w:val="yellow"/>
        </w:rPr>
        <w:t xml:space="preserve"> was limited.</w:t>
      </w:r>
    </w:p>
    <w:p w14:paraId="7FF0C0C1" w14:textId="77777777" w:rsidR="00522304" w:rsidRDefault="00522304" w:rsidP="00E76F61">
      <w:pPr>
        <w:pStyle w:val="MDPI31text"/>
      </w:pPr>
    </w:p>
    <w:p w14:paraId="521F9DDB" w14:textId="77777777" w:rsidR="00412BFA" w:rsidRPr="00412BFA" w:rsidRDefault="00E76F61" w:rsidP="00E76F61">
      <w:pPr>
        <w:pStyle w:val="MDPI62BackMatter"/>
        <w:spacing w:before="240"/>
        <w:rPr>
          <w:color w:val="FF0000"/>
        </w:rPr>
      </w:pPr>
      <w:r w:rsidRPr="00E76F61">
        <w:rPr>
          <w:b/>
        </w:rPr>
        <w:t>Supplementary Material</w:t>
      </w:r>
      <w:r w:rsidR="00522304" w:rsidRPr="00E76F61">
        <w:rPr>
          <w:b/>
        </w:rPr>
        <w:t>s:</w:t>
      </w:r>
      <w:r w:rsidR="001059AA" w:rsidRPr="00E76F61">
        <w:rPr>
          <w:b/>
        </w:rPr>
        <w:t xml:space="preserve"> </w:t>
      </w:r>
      <w:r w:rsidR="00F612D5">
        <w:t>not applicable</w:t>
      </w:r>
    </w:p>
    <w:p w14:paraId="21F7AA36" w14:textId="77777777" w:rsidR="00522304" w:rsidRPr="00613B31" w:rsidRDefault="00E76F61" w:rsidP="00E76F61">
      <w:pPr>
        <w:pStyle w:val="MDPI62BackMatter"/>
      </w:pPr>
      <w:r w:rsidRPr="00E76F61">
        <w:rPr>
          <w:b/>
        </w:rPr>
        <w:t>Author Contribution</w:t>
      </w:r>
      <w:r w:rsidR="00522304" w:rsidRPr="00E76F61">
        <w:rPr>
          <w:b/>
        </w:rPr>
        <w:t xml:space="preserve">s: </w:t>
      </w:r>
      <w:r w:rsidR="00412BFA">
        <w:t>All authors listed have made a substantial, direct and intellectual contribution to the work and approved it for publication.</w:t>
      </w:r>
      <w:r w:rsidR="00412BFA" w:rsidRPr="00613B31">
        <w:t xml:space="preserve"> </w:t>
      </w:r>
      <w:r w:rsidR="00522304" w:rsidRPr="00613B31">
        <w:t>Conceptualization</w:t>
      </w:r>
      <w:r w:rsidR="00412BFA">
        <w:t>:  A.B. and S.M.-S.</w:t>
      </w:r>
      <w:r w:rsidR="00B12FD9">
        <w:t>; methodology, A.B., A.V. and S.M-S.</w:t>
      </w:r>
      <w:r w:rsidR="00522304" w:rsidRPr="00613B31">
        <w:t>;</w:t>
      </w:r>
      <w:r w:rsidR="00B12FD9">
        <w:t xml:space="preserve"> investigation: </w:t>
      </w:r>
      <w:r w:rsidR="00B12FD9" w:rsidRPr="00B12FD9">
        <w:t>A.B., A.V.,</w:t>
      </w:r>
      <w:r w:rsidR="00B12FD9">
        <w:t xml:space="preserve"> C.D.</w:t>
      </w:r>
      <w:r w:rsidR="00B12FD9" w:rsidRPr="00B12FD9">
        <w:t xml:space="preserve"> and S.M-S</w:t>
      </w:r>
      <w:r w:rsidR="00522304" w:rsidRPr="00613B31">
        <w:t>;</w:t>
      </w:r>
      <w:r w:rsidR="00B12FD9">
        <w:t xml:space="preserve"> formal analysis; A.B. and S.M.-S..; data curation: A.B., A.V. and S.M-S.</w:t>
      </w:r>
      <w:r w:rsidR="00522304" w:rsidRPr="00613B31">
        <w:t>; writi</w:t>
      </w:r>
      <w:r w:rsidR="00B12FD9">
        <w:t>ng—original draft preparation, A.B</w:t>
      </w:r>
      <w:r w:rsidR="00522304" w:rsidRPr="00613B31">
        <w:t>.</w:t>
      </w:r>
      <w:r w:rsidR="00E96608">
        <w:t>, S.M-S.</w:t>
      </w:r>
      <w:r w:rsidR="00E96608" w:rsidRPr="00613B31">
        <w:t>;</w:t>
      </w:r>
      <w:r w:rsidR="00B12FD9">
        <w:t xml:space="preserve"> writing—review and editing, A.V., A.Ba., M.P., D.C., G.B. and S.M.-S</w:t>
      </w:r>
      <w:r w:rsidR="00522304" w:rsidRPr="00613B31">
        <w:t xml:space="preserve">.; </w:t>
      </w:r>
      <w:r w:rsidR="00B12FD9">
        <w:t>supervision, S.M.-S.</w:t>
      </w:r>
      <w:r w:rsidR="00522304" w:rsidRPr="00613B31">
        <w:t xml:space="preserve"> </w:t>
      </w:r>
      <w:r w:rsidR="00E96608">
        <w:t xml:space="preserve">and G.B. </w:t>
      </w:r>
      <w:r w:rsidR="00522304" w:rsidRPr="00613B31">
        <w:t>All authors have read and agreed to the published version of the</w:t>
      </w:r>
      <w:r w:rsidR="00540C68">
        <w:t xml:space="preserve"> manuscript.</w:t>
      </w:r>
      <w:r w:rsidR="00CB597B">
        <w:t xml:space="preserve"> </w:t>
      </w:r>
    </w:p>
    <w:p w14:paraId="35499051" w14:textId="77777777" w:rsidR="00522304" w:rsidRPr="00613B31" w:rsidRDefault="00522304" w:rsidP="00E76F61">
      <w:pPr>
        <w:pStyle w:val="MDPI62BackMatter"/>
      </w:pPr>
      <w:r w:rsidRPr="00E76F61">
        <w:rPr>
          <w:b/>
        </w:rPr>
        <w:t xml:space="preserve">Funding: </w:t>
      </w:r>
      <w:r w:rsidRPr="00613B31">
        <w:t>This resear</w:t>
      </w:r>
      <w:r w:rsidR="00B12FD9">
        <w:t xml:space="preserve">ch received no external funding. </w:t>
      </w:r>
      <w:r w:rsidR="00B12FD9" w:rsidRPr="00B12FD9">
        <w:t>The research was funded by internal funding</w:t>
      </w:r>
      <w:r w:rsidR="00B12FD9">
        <w:t xml:space="preserve"> from Environmental Physiology &amp; Medicine Lab, Department of Biomedical Sciences, University of Padova, Italy. </w:t>
      </w:r>
      <w:r w:rsidR="00B12FD9" w:rsidRPr="00B12FD9">
        <w:t>Institute of Clinical Physiology, National Research Council (IFC-CNR)</w:t>
      </w:r>
      <w:r w:rsidR="00B12FD9">
        <w:t>.</w:t>
      </w:r>
    </w:p>
    <w:p w14:paraId="62323DD4" w14:textId="77777777" w:rsidR="00262314" w:rsidRPr="00B27433" w:rsidRDefault="00262314" w:rsidP="00E76F61">
      <w:pPr>
        <w:pStyle w:val="MDPI62BackMatter"/>
        <w:rPr>
          <w:b/>
        </w:rPr>
      </w:pPr>
      <w:bookmarkStart w:id="1" w:name="_Hlk89945590"/>
      <w:bookmarkStart w:id="2" w:name="_Hlk60054323"/>
      <w:r w:rsidRPr="00E76F61">
        <w:rPr>
          <w:b/>
        </w:rPr>
        <w:lastRenderedPageBreak/>
        <w:t xml:space="preserve">Institutional Review Board Statement: </w:t>
      </w:r>
      <w:bookmarkStart w:id="3" w:name="OLE_LINK4"/>
      <w:bookmarkStart w:id="4" w:name="OLE_LINK5"/>
      <w:r w:rsidRPr="00B27433">
        <w:t xml:space="preserve">The study was conducted in accordance with the Declaration of Helsinki, and approved by the </w:t>
      </w:r>
      <w:r w:rsidR="00B12FD9">
        <w:t>Ethics Committee</w:t>
      </w:r>
      <w:r w:rsidRPr="00B27433">
        <w:t xml:space="preserve"> of </w:t>
      </w:r>
      <w:r w:rsidR="00E6056A" w:rsidRPr="00E6056A">
        <w:t>Università degli Studi di Milano, Italy (Aut. n 37/17</w:t>
      </w:r>
      <w:bookmarkEnd w:id="3"/>
      <w:bookmarkEnd w:id="4"/>
      <w:r w:rsidR="00E6056A" w:rsidRPr="00E6056A">
        <w:t>).</w:t>
      </w:r>
    </w:p>
    <w:bookmarkEnd w:id="1"/>
    <w:p w14:paraId="3C7AD604" w14:textId="77777777" w:rsidR="00484C66" w:rsidRPr="007D75A8" w:rsidRDefault="00484C66" w:rsidP="00E76F61">
      <w:pPr>
        <w:pStyle w:val="MDPI62BackMatter"/>
      </w:pPr>
      <w:r w:rsidRPr="00E76F61">
        <w:rPr>
          <w:b/>
        </w:rPr>
        <w:t>Informed Consent Statement:</w:t>
      </w:r>
      <w:r w:rsidR="00E6056A" w:rsidRPr="00E76F61">
        <w:rPr>
          <w:b/>
        </w:rPr>
        <w:t xml:space="preserve"> </w:t>
      </w:r>
      <w:r w:rsidR="00E6056A" w:rsidRPr="00E6056A">
        <w:t>Informed consent was obtained from all subjects involved in the study.</w:t>
      </w:r>
    </w:p>
    <w:bookmarkEnd w:id="2"/>
    <w:p w14:paraId="4F7135CA" w14:textId="77777777" w:rsidR="007F1B92" w:rsidRPr="007F1B92" w:rsidRDefault="007F1B92" w:rsidP="00E76F61">
      <w:pPr>
        <w:pStyle w:val="MDPI62BackMatter"/>
      </w:pPr>
      <w:r w:rsidRPr="00E76F61">
        <w:rPr>
          <w:b/>
        </w:rPr>
        <w:t xml:space="preserve">Data Availability Statement: </w:t>
      </w:r>
      <w:r w:rsidR="00E6056A" w:rsidRPr="00E6056A">
        <w:t>Data are available at request from the authors.</w:t>
      </w:r>
    </w:p>
    <w:p w14:paraId="45295429" w14:textId="77777777" w:rsidR="00E6056A" w:rsidRDefault="00522304" w:rsidP="00E76F61">
      <w:pPr>
        <w:pStyle w:val="MDPI62BackMatter"/>
      </w:pPr>
      <w:r w:rsidRPr="00E76F61">
        <w:rPr>
          <w:b/>
        </w:rPr>
        <w:t>Acknowledgments:</w:t>
      </w:r>
      <w:r w:rsidRPr="00613B31">
        <w:t xml:space="preserve"> </w:t>
      </w:r>
      <w:r w:rsidR="00E6056A" w:rsidRPr="00E6056A">
        <w:t>The authors are grateful to volunteer participants</w:t>
      </w:r>
      <w:r w:rsidR="00E6056A">
        <w:t xml:space="preserve"> and for the kind logistic</w:t>
      </w:r>
    </w:p>
    <w:p w14:paraId="5D8E7133" w14:textId="77777777" w:rsidR="00522304" w:rsidRDefault="00E6056A" w:rsidP="00E76F61">
      <w:pPr>
        <w:pStyle w:val="MDPI62BackMatter"/>
      </w:pPr>
      <w:r w:rsidRPr="00E76F61">
        <w:rPr>
          <w:b/>
        </w:rPr>
        <w:t>s</w:t>
      </w:r>
      <w:r>
        <w:t>upport given by Prato Nevoso Ski Resort.</w:t>
      </w:r>
    </w:p>
    <w:p w14:paraId="3C99963B" w14:textId="77777777" w:rsidR="00522304" w:rsidRPr="00613B31" w:rsidRDefault="00522304" w:rsidP="00E76F61">
      <w:pPr>
        <w:pStyle w:val="MDPI62BackMatter"/>
      </w:pPr>
      <w:r w:rsidRPr="00E76F61">
        <w:rPr>
          <w:b/>
        </w:rPr>
        <w:t xml:space="preserve">Conflicts of Interest: </w:t>
      </w:r>
      <w:r w:rsidRPr="00613B31">
        <w:t>The authors d</w:t>
      </w:r>
      <w:r w:rsidR="00E6056A">
        <w:t>eclare no conflict of interest.</w:t>
      </w:r>
      <w:r w:rsidRPr="00613B31">
        <w:t xml:space="preserve"> </w:t>
      </w:r>
    </w:p>
    <w:p w14:paraId="6B253411" w14:textId="77777777" w:rsidR="00522304" w:rsidRDefault="00E6056A" w:rsidP="00522304">
      <w:pPr>
        <w:adjustRightInd w:val="0"/>
        <w:snapToGrid w:val="0"/>
        <w:spacing w:before="240" w:after="60" w:line="228" w:lineRule="auto"/>
        <w:ind w:left="2608"/>
        <w:rPr>
          <w:b/>
          <w:bCs/>
          <w:szCs w:val="18"/>
          <w:lang w:bidi="en-US"/>
        </w:rPr>
      </w:pPr>
      <w:r>
        <w:rPr>
          <w:b/>
          <w:bCs/>
          <w:szCs w:val="18"/>
          <w:lang w:bidi="en-US"/>
        </w:rPr>
        <w:t>Abbreviations</w:t>
      </w:r>
    </w:p>
    <w:p w14:paraId="0D4B59D4" w14:textId="77777777" w:rsidR="006B65FC" w:rsidRPr="006B65FC" w:rsidRDefault="006B65FC" w:rsidP="00F62CC6">
      <w:pPr>
        <w:adjustRightInd w:val="0"/>
        <w:snapToGrid w:val="0"/>
        <w:spacing w:line="240" w:lineRule="auto"/>
        <w:ind w:left="2608"/>
        <w:rPr>
          <w:bCs/>
          <w:szCs w:val="18"/>
          <w:vertAlign w:val="superscript"/>
          <w:lang w:bidi="en-US"/>
        </w:rPr>
      </w:pPr>
      <w:r>
        <w:rPr>
          <w:bCs/>
          <w:szCs w:val="18"/>
          <w:lang w:bidi="en-US"/>
        </w:rPr>
        <w:t>Ca</w:t>
      </w:r>
      <w:r>
        <w:rPr>
          <w:bCs/>
          <w:szCs w:val="18"/>
          <w:vertAlign w:val="superscript"/>
          <w:lang w:bidi="en-US"/>
        </w:rPr>
        <w:t>2+</w:t>
      </w:r>
      <w:r>
        <w:rPr>
          <w:bCs/>
          <w:szCs w:val="18"/>
          <w:lang w:bidi="en-US"/>
        </w:rPr>
        <w:tab/>
      </w:r>
      <w:r>
        <w:rPr>
          <w:bCs/>
          <w:szCs w:val="18"/>
          <w:lang w:bidi="en-US"/>
        </w:rPr>
        <w:tab/>
      </w:r>
      <w:r>
        <w:rPr>
          <w:bCs/>
          <w:szCs w:val="18"/>
          <w:lang w:bidi="en-US"/>
        </w:rPr>
        <w:tab/>
        <w:t>Calcium</w:t>
      </w:r>
    </w:p>
    <w:p w14:paraId="1EC1D1FD" w14:textId="77777777" w:rsidR="006B65FC" w:rsidRDefault="006B65FC" w:rsidP="006B65FC">
      <w:pPr>
        <w:adjustRightInd w:val="0"/>
        <w:snapToGrid w:val="0"/>
        <w:spacing w:line="240" w:lineRule="auto"/>
        <w:rPr>
          <w:bCs/>
          <w:szCs w:val="18"/>
          <w:lang w:bidi="en-US"/>
        </w:rPr>
      </w:pPr>
      <w:r>
        <w:rPr>
          <w:bCs/>
          <w:szCs w:val="18"/>
          <w:lang w:bidi="en-US"/>
        </w:rPr>
        <w:tab/>
      </w:r>
      <w:r>
        <w:rPr>
          <w:bCs/>
          <w:szCs w:val="18"/>
          <w:lang w:bidi="en-US"/>
        </w:rPr>
        <w:tab/>
      </w:r>
      <w:r>
        <w:rPr>
          <w:bCs/>
          <w:szCs w:val="18"/>
          <w:lang w:bidi="en-US"/>
        </w:rPr>
        <w:tab/>
      </w:r>
      <w:r>
        <w:rPr>
          <w:bCs/>
          <w:szCs w:val="18"/>
          <w:lang w:bidi="en-US"/>
        </w:rPr>
        <w:tab/>
      </w:r>
      <w:r>
        <w:rPr>
          <w:bCs/>
          <w:szCs w:val="18"/>
          <w:lang w:bidi="en-US"/>
        </w:rPr>
        <w:tab/>
        <w:t>Cl</w:t>
      </w:r>
      <w:r>
        <w:rPr>
          <w:bCs/>
          <w:szCs w:val="18"/>
          <w:vertAlign w:val="superscript"/>
          <w:lang w:bidi="en-US"/>
        </w:rPr>
        <w:t>-</w:t>
      </w:r>
      <w:r>
        <w:rPr>
          <w:bCs/>
          <w:szCs w:val="18"/>
          <w:vertAlign w:val="superscript"/>
          <w:lang w:bidi="en-US"/>
        </w:rPr>
        <w:tab/>
      </w:r>
      <w:r>
        <w:rPr>
          <w:bCs/>
          <w:szCs w:val="18"/>
          <w:vertAlign w:val="superscript"/>
          <w:lang w:bidi="en-US"/>
        </w:rPr>
        <w:tab/>
      </w:r>
      <w:r>
        <w:rPr>
          <w:bCs/>
          <w:szCs w:val="18"/>
          <w:vertAlign w:val="superscript"/>
          <w:lang w:bidi="en-US"/>
        </w:rPr>
        <w:tab/>
      </w:r>
      <w:r>
        <w:rPr>
          <w:bCs/>
          <w:szCs w:val="18"/>
          <w:lang w:bidi="en-US"/>
        </w:rPr>
        <w:t>Chlorine</w:t>
      </w:r>
    </w:p>
    <w:p w14:paraId="0CA1A4B0" w14:textId="77777777" w:rsidR="00DC6E77" w:rsidRPr="006B65FC" w:rsidRDefault="00DC6E77" w:rsidP="006B65FC">
      <w:pPr>
        <w:adjustRightInd w:val="0"/>
        <w:snapToGrid w:val="0"/>
        <w:spacing w:line="240" w:lineRule="auto"/>
        <w:rPr>
          <w:bCs/>
          <w:szCs w:val="18"/>
          <w:lang w:bidi="en-US"/>
        </w:rPr>
      </w:pPr>
      <w:r>
        <w:rPr>
          <w:bCs/>
          <w:szCs w:val="18"/>
          <w:lang w:bidi="en-US"/>
        </w:rPr>
        <w:tab/>
      </w:r>
      <w:r>
        <w:rPr>
          <w:bCs/>
          <w:szCs w:val="18"/>
          <w:lang w:bidi="en-US"/>
        </w:rPr>
        <w:tab/>
      </w:r>
      <w:r>
        <w:rPr>
          <w:bCs/>
          <w:szCs w:val="18"/>
          <w:lang w:bidi="en-US"/>
        </w:rPr>
        <w:tab/>
      </w:r>
      <w:r>
        <w:rPr>
          <w:bCs/>
          <w:szCs w:val="18"/>
          <w:lang w:bidi="en-US"/>
        </w:rPr>
        <w:tab/>
      </w:r>
      <w:r>
        <w:rPr>
          <w:bCs/>
          <w:szCs w:val="18"/>
          <w:lang w:bidi="en-US"/>
        </w:rPr>
        <w:tab/>
        <w:t>EPR</w:t>
      </w:r>
      <w:r>
        <w:rPr>
          <w:bCs/>
          <w:szCs w:val="18"/>
          <w:lang w:bidi="en-US"/>
        </w:rPr>
        <w:tab/>
      </w:r>
      <w:r>
        <w:rPr>
          <w:bCs/>
          <w:szCs w:val="18"/>
          <w:lang w:bidi="en-US"/>
        </w:rPr>
        <w:tab/>
      </w:r>
      <w:r>
        <w:rPr>
          <w:bCs/>
          <w:szCs w:val="18"/>
          <w:lang w:bidi="en-US"/>
        </w:rPr>
        <w:tab/>
        <w:t>Electron Paramagnetic Resonance</w:t>
      </w:r>
    </w:p>
    <w:p w14:paraId="3037BC3F" w14:textId="77777777" w:rsidR="00E6056A" w:rsidRDefault="00743917" w:rsidP="00F62CC6">
      <w:pPr>
        <w:adjustRightInd w:val="0"/>
        <w:snapToGrid w:val="0"/>
        <w:spacing w:line="240" w:lineRule="auto"/>
        <w:ind w:left="2608"/>
        <w:rPr>
          <w:bCs/>
          <w:szCs w:val="18"/>
          <w:lang w:bidi="en-US"/>
        </w:rPr>
      </w:pPr>
      <w:r w:rsidRPr="00743917">
        <w:rPr>
          <w:bCs/>
          <w:szCs w:val="18"/>
          <w:lang w:bidi="en-US"/>
        </w:rPr>
        <w:t>HPLC</w:t>
      </w:r>
      <w:r>
        <w:rPr>
          <w:bCs/>
          <w:szCs w:val="18"/>
          <w:lang w:bidi="en-US"/>
        </w:rPr>
        <w:t xml:space="preserve">   </w:t>
      </w:r>
      <w:r w:rsidR="006B65FC">
        <w:rPr>
          <w:bCs/>
          <w:szCs w:val="18"/>
          <w:lang w:bidi="en-US"/>
        </w:rPr>
        <w:tab/>
      </w:r>
      <w:r w:rsidR="006B65FC">
        <w:rPr>
          <w:bCs/>
          <w:szCs w:val="18"/>
          <w:lang w:bidi="en-US"/>
        </w:rPr>
        <w:tab/>
      </w:r>
      <w:r>
        <w:rPr>
          <w:bCs/>
          <w:szCs w:val="18"/>
          <w:lang w:bidi="en-US"/>
        </w:rPr>
        <w:t>H</w:t>
      </w:r>
      <w:r w:rsidRPr="00743917">
        <w:rPr>
          <w:bCs/>
          <w:szCs w:val="18"/>
          <w:lang w:bidi="en-US"/>
        </w:rPr>
        <w:t>igh-pressure liquid chromatography</w:t>
      </w:r>
    </w:p>
    <w:p w14:paraId="653D7B3A" w14:textId="77777777" w:rsidR="006B65FC" w:rsidRPr="001A1334" w:rsidRDefault="00F62CC6" w:rsidP="006B65FC">
      <w:pPr>
        <w:adjustRightInd w:val="0"/>
        <w:snapToGrid w:val="0"/>
        <w:spacing w:line="240" w:lineRule="auto"/>
        <w:ind w:left="2608"/>
        <w:rPr>
          <w:bCs/>
          <w:szCs w:val="18"/>
          <w:lang w:bidi="en-US"/>
        </w:rPr>
      </w:pPr>
      <w:r w:rsidRPr="001A1334">
        <w:rPr>
          <w:bCs/>
          <w:szCs w:val="18"/>
          <w:lang w:bidi="en-US"/>
        </w:rPr>
        <w:t xml:space="preserve">IL-6    </w:t>
      </w:r>
      <w:r w:rsidR="00743917" w:rsidRPr="001A1334">
        <w:rPr>
          <w:bCs/>
          <w:szCs w:val="18"/>
          <w:lang w:bidi="en-US"/>
        </w:rPr>
        <w:t xml:space="preserve"> </w:t>
      </w:r>
      <w:r w:rsidR="006B65FC" w:rsidRPr="001A1334">
        <w:rPr>
          <w:bCs/>
          <w:szCs w:val="18"/>
          <w:lang w:bidi="en-US"/>
        </w:rPr>
        <w:tab/>
      </w:r>
      <w:r w:rsidR="006B65FC" w:rsidRPr="001A1334">
        <w:rPr>
          <w:bCs/>
          <w:szCs w:val="18"/>
          <w:lang w:bidi="en-US"/>
        </w:rPr>
        <w:tab/>
      </w:r>
      <w:r w:rsidRPr="001A1334">
        <w:rPr>
          <w:bCs/>
          <w:szCs w:val="18"/>
          <w:lang w:bidi="en-US"/>
        </w:rPr>
        <w:t>I</w:t>
      </w:r>
      <w:r w:rsidR="006B65FC" w:rsidRPr="001A1334">
        <w:rPr>
          <w:bCs/>
          <w:szCs w:val="18"/>
          <w:lang w:bidi="en-US"/>
        </w:rPr>
        <w:t>nterleukin-6</w:t>
      </w:r>
    </w:p>
    <w:p w14:paraId="02AD3EB5" w14:textId="77777777" w:rsidR="006B65FC" w:rsidRPr="00F612D5" w:rsidRDefault="006B65FC" w:rsidP="006B65FC">
      <w:pPr>
        <w:adjustRightInd w:val="0"/>
        <w:snapToGrid w:val="0"/>
        <w:spacing w:line="240" w:lineRule="auto"/>
        <w:ind w:left="2608"/>
        <w:rPr>
          <w:bCs/>
          <w:szCs w:val="18"/>
          <w:lang w:val="it-IT" w:bidi="en-US"/>
        </w:rPr>
      </w:pPr>
      <w:r w:rsidRPr="00F612D5">
        <w:rPr>
          <w:bCs/>
          <w:szCs w:val="18"/>
          <w:lang w:val="it-IT" w:bidi="en-US"/>
        </w:rPr>
        <w:t>K</w:t>
      </w:r>
      <w:r w:rsidRPr="00F612D5">
        <w:rPr>
          <w:bCs/>
          <w:szCs w:val="18"/>
          <w:vertAlign w:val="superscript"/>
          <w:lang w:val="it-IT" w:bidi="en-US"/>
        </w:rPr>
        <w:t>+</w:t>
      </w:r>
      <w:r w:rsidRPr="00F612D5">
        <w:rPr>
          <w:bCs/>
          <w:szCs w:val="18"/>
          <w:lang w:val="it-IT" w:bidi="en-US"/>
        </w:rPr>
        <w:tab/>
      </w:r>
      <w:r w:rsidRPr="00F612D5">
        <w:rPr>
          <w:bCs/>
          <w:szCs w:val="18"/>
          <w:lang w:val="it-IT" w:bidi="en-US"/>
        </w:rPr>
        <w:tab/>
      </w:r>
      <w:r w:rsidRPr="00F612D5">
        <w:rPr>
          <w:bCs/>
          <w:szCs w:val="18"/>
          <w:lang w:val="it-IT" w:bidi="en-US"/>
        </w:rPr>
        <w:tab/>
        <w:t>Potassium</w:t>
      </w:r>
    </w:p>
    <w:p w14:paraId="4B4B690A" w14:textId="77777777" w:rsidR="006B65FC" w:rsidRPr="00F612D5" w:rsidRDefault="006B65FC" w:rsidP="00F62CC6">
      <w:pPr>
        <w:adjustRightInd w:val="0"/>
        <w:snapToGrid w:val="0"/>
        <w:spacing w:line="240" w:lineRule="auto"/>
        <w:ind w:left="2608"/>
        <w:rPr>
          <w:bCs/>
          <w:szCs w:val="18"/>
          <w:lang w:val="it-IT" w:bidi="en-US"/>
        </w:rPr>
      </w:pPr>
      <w:r w:rsidRPr="00F612D5">
        <w:rPr>
          <w:bCs/>
          <w:szCs w:val="18"/>
          <w:lang w:val="it-IT" w:bidi="en-US"/>
        </w:rPr>
        <w:t>Mg</w:t>
      </w:r>
      <w:r w:rsidRPr="00F612D5">
        <w:rPr>
          <w:bCs/>
          <w:szCs w:val="18"/>
          <w:vertAlign w:val="superscript"/>
          <w:lang w:val="it-IT" w:bidi="en-US"/>
        </w:rPr>
        <w:t>2+</w:t>
      </w:r>
      <w:r w:rsidRPr="00F612D5">
        <w:rPr>
          <w:bCs/>
          <w:szCs w:val="18"/>
          <w:lang w:val="it-IT" w:bidi="en-US"/>
        </w:rPr>
        <w:tab/>
      </w:r>
      <w:r w:rsidRPr="00F612D5">
        <w:rPr>
          <w:bCs/>
          <w:szCs w:val="18"/>
          <w:lang w:val="it-IT" w:bidi="en-US"/>
        </w:rPr>
        <w:tab/>
      </w:r>
      <w:r w:rsidRPr="00F612D5">
        <w:rPr>
          <w:bCs/>
          <w:szCs w:val="18"/>
          <w:lang w:val="it-IT" w:bidi="en-US"/>
        </w:rPr>
        <w:tab/>
        <w:t>Magnesium</w:t>
      </w:r>
    </w:p>
    <w:p w14:paraId="270982D2" w14:textId="77777777" w:rsidR="006B65FC" w:rsidRPr="00F612D5" w:rsidRDefault="006B65FC" w:rsidP="00F62CC6">
      <w:pPr>
        <w:adjustRightInd w:val="0"/>
        <w:snapToGrid w:val="0"/>
        <w:spacing w:line="240" w:lineRule="auto"/>
        <w:ind w:left="2608"/>
        <w:rPr>
          <w:bCs/>
          <w:szCs w:val="18"/>
          <w:vertAlign w:val="superscript"/>
          <w:lang w:val="it-IT" w:bidi="en-US"/>
        </w:rPr>
      </w:pPr>
      <w:r w:rsidRPr="00F612D5">
        <w:rPr>
          <w:bCs/>
          <w:szCs w:val="18"/>
          <w:lang w:val="it-IT" w:bidi="en-US"/>
        </w:rPr>
        <w:t>Na</w:t>
      </w:r>
      <w:r w:rsidRPr="00F612D5">
        <w:rPr>
          <w:bCs/>
          <w:szCs w:val="18"/>
          <w:vertAlign w:val="superscript"/>
          <w:lang w:val="it-IT" w:bidi="en-US"/>
        </w:rPr>
        <w:t>+</w:t>
      </w:r>
      <w:r w:rsidRPr="00F612D5">
        <w:rPr>
          <w:bCs/>
          <w:szCs w:val="18"/>
          <w:lang w:val="it-IT" w:bidi="en-US"/>
        </w:rPr>
        <w:tab/>
      </w:r>
      <w:r w:rsidRPr="00F612D5">
        <w:rPr>
          <w:bCs/>
          <w:szCs w:val="18"/>
          <w:lang w:val="it-IT" w:bidi="en-US"/>
        </w:rPr>
        <w:tab/>
      </w:r>
      <w:r w:rsidRPr="00F612D5">
        <w:rPr>
          <w:bCs/>
          <w:szCs w:val="18"/>
          <w:lang w:val="it-IT" w:bidi="en-US"/>
        </w:rPr>
        <w:tab/>
        <w:t>Sodium</w:t>
      </w:r>
    </w:p>
    <w:p w14:paraId="32EC8922" w14:textId="77777777" w:rsidR="00F612D5" w:rsidRDefault="00F62CC6" w:rsidP="00F612D5">
      <w:pPr>
        <w:adjustRightInd w:val="0"/>
        <w:snapToGrid w:val="0"/>
        <w:spacing w:line="240" w:lineRule="auto"/>
        <w:ind w:left="2608"/>
        <w:rPr>
          <w:bCs/>
          <w:szCs w:val="18"/>
          <w:lang w:val="it-IT" w:bidi="en-US"/>
        </w:rPr>
      </w:pPr>
      <w:r w:rsidRPr="00F612D5">
        <w:rPr>
          <w:bCs/>
          <w:szCs w:val="18"/>
          <w:lang w:val="it-IT" w:bidi="en-US"/>
        </w:rPr>
        <w:t xml:space="preserve">NO   </w:t>
      </w:r>
      <w:r w:rsidR="00743917" w:rsidRPr="00F612D5">
        <w:rPr>
          <w:bCs/>
          <w:szCs w:val="18"/>
          <w:lang w:val="it-IT" w:bidi="en-US"/>
        </w:rPr>
        <w:t xml:space="preserve"> </w:t>
      </w:r>
      <w:r w:rsidRPr="00F612D5">
        <w:rPr>
          <w:bCs/>
          <w:szCs w:val="18"/>
          <w:lang w:val="it-IT" w:bidi="en-US"/>
        </w:rPr>
        <w:t xml:space="preserve"> </w:t>
      </w:r>
      <w:r w:rsidR="006B65FC" w:rsidRPr="00F612D5">
        <w:rPr>
          <w:bCs/>
          <w:szCs w:val="18"/>
          <w:lang w:val="it-IT" w:bidi="en-US"/>
        </w:rPr>
        <w:tab/>
      </w:r>
      <w:r w:rsidR="006B65FC" w:rsidRPr="00F612D5">
        <w:rPr>
          <w:bCs/>
          <w:szCs w:val="18"/>
          <w:lang w:val="it-IT" w:bidi="en-US"/>
        </w:rPr>
        <w:tab/>
      </w:r>
      <w:r w:rsidRPr="00F612D5">
        <w:rPr>
          <w:bCs/>
          <w:szCs w:val="18"/>
          <w:lang w:val="it-IT" w:bidi="en-US"/>
        </w:rPr>
        <w:t>Nitric Oxide</w:t>
      </w:r>
    </w:p>
    <w:p w14:paraId="3755A4D6" w14:textId="77777777" w:rsidR="00F612D5" w:rsidRDefault="00F612D5" w:rsidP="00F62CC6">
      <w:pPr>
        <w:adjustRightInd w:val="0"/>
        <w:snapToGrid w:val="0"/>
        <w:spacing w:line="240" w:lineRule="auto"/>
        <w:ind w:left="2608"/>
        <w:rPr>
          <w:bCs/>
          <w:szCs w:val="18"/>
          <w:lang w:val="it-IT" w:bidi="en-US"/>
        </w:rPr>
      </w:pPr>
      <w:r>
        <w:rPr>
          <w:bCs/>
          <w:szCs w:val="18"/>
          <w:lang w:val="it-IT" w:bidi="en-US"/>
        </w:rPr>
        <w:t>NO</w:t>
      </w:r>
      <w:r>
        <w:rPr>
          <w:bCs/>
          <w:szCs w:val="18"/>
          <w:vertAlign w:val="subscript"/>
          <w:lang w:val="it-IT" w:bidi="en-US"/>
        </w:rPr>
        <w:t>2</w:t>
      </w:r>
      <w:r>
        <w:rPr>
          <w:bCs/>
          <w:szCs w:val="18"/>
          <w:lang w:val="it-IT" w:bidi="en-US"/>
        </w:rPr>
        <w:tab/>
      </w:r>
      <w:r>
        <w:rPr>
          <w:bCs/>
          <w:szCs w:val="18"/>
          <w:lang w:val="it-IT" w:bidi="en-US"/>
        </w:rPr>
        <w:tab/>
      </w:r>
      <w:r>
        <w:rPr>
          <w:bCs/>
          <w:szCs w:val="18"/>
          <w:lang w:val="it-IT" w:bidi="en-US"/>
        </w:rPr>
        <w:tab/>
        <w:t>Nitrite</w:t>
      </w:r>
    </w:p>
    <w:p w14:paraId="6BA16428" w14:textId="77777777" w:rsidR="00F612D5" w:rsidRPr="00F612D5" w:rsidRDefault="00F612D5" w:rsidP="00F62CC6">
      <w:pPr>
        <w:adjustRightInd w:val="0"/>
        <w:snapToGrid w:val="0"/>
        <w:spacing w:line="240" w:lineRule="auto"/>
        <w:ind w:left="2608"/>
        <w:rPr>
          <w:bCs/>
          <w:szCs w:val="18"/>
          <w:lang w:val="it-IT" w:bidi="en-US"/>
        </w:rPr>
      </w:pPr>
      <w:r>
        <w:rPr>
          <w:bCs/>
          <w:szCs w:val="18"/>
          <w:lang w:val="it-IT" w:bidi="en-US"/>
        </w:rPr>
        <w:t>NO</w:t>
      </w:r>
      <w:r>
        <w:rPr>
          <w:bCs/>
          <w:szCs w:val="18"/>
          <w:vertAlign w:val="subscript"/>
          <w:lang w:val="it-IT" w:bidi="en-US"/>
        </w:rPr>
        <w:t>3</w:t>
      </w:r>
      <w:r>
        <w:rPr>
          <w:bCs/>
          <w:szCs w:val="18"/>
          <w:lang w:val="it-IT" w:bidi="en-US"/>
        </w:rPr>
        <w:tab/>
      </w:r>
      <w:r>
        <w:rPr>
          <w:bCs/>
          <w:szCs w:val="18"/>
          <w:lang w:val="it-IT" w:bidi="en-US"/>
        </w:rPr>
        <w:tab/>
      </w:r>
      <w:r>
        <w:rPr>
          <w:bCs/>
          <w:szCs w:val="18"/>
          <w:lang w:val="it-IT" w:bidi="en-US"/>
        </w:rPr>
        <w:tab/>
        <w:t>Nitrate</w:t>
      </w:r>
    </w:p>
    <w:p w14:paraId="298C3823" w14:textId="77777777" w:rsidR="00F62CC6" w:rsidRPr="001A1334" w:rsidRDefault="00F62CC6" w:rsidP="00F62CC6">
      <w:pPr>
        <w:adjustRightInd w:val="0"/>
        <w:snapToGrid w:val="0"/>
        <w:spacing w:line="240" w:lineRule="auto"/>
        <w:ind w:left="2608"/>
        <w:rPr>
          <w:bCs/>
          <w:szCs w:val="18"/>
          <w:lang w:bidi="en-US"/>
        </w:rPr>
      </w:pPr>
      <w:r w:rsidRPr="001A1334">
        <w:rPr>
          <w:bCs/>
          <w:szCs w:val="18"/>
          <w:lang w:bidi="en-US"/>
        </w:rPr>
        <w:t xml:space="preserve">NOx   </w:t>
      </w:r>
      <w:r w:rsidR="00743917" w:rsidRPr="001A1334">
        <w:rPr>
          <w:bCs/>
          <w:szCs w:val="18"/>
          <w:lang w:bidi="en-US"/>
        </w:rPr>
        <w:t xml:space="preserve"> </w:t>
      </w:r>
      <w:r w:rsidR="006B65FC" w:rsidRPr="001A1334">
        <w:rPr>
          <w:bCs/>
          <w:szCs w:val="18"/>
          <w:lang w:bidi="en-US"/>
        </w:rPr>
        <w:tab/>
      </w:r>
      <w:r w:rsidR="006B65FC" w:rsidRPr="001A1334">
        <w:rPr>
          <w:bCs/>
          <w:szCs w:val="18"/>
          <w:lang w:bidi="en-US"/>
        </w:rPr>
        <w:tab/>
      </w:r>
      <w:r w:rsidR="00BF76A6" w:rsidRPr="001A1334">
        <w:rPr>
          <w:bCs/>
          <w:szCs w:val="18"/>
          <w:lang w:bidi="en-US"/>
        </w:rPr>
        <w:t>NO  metabolites</w:t>
      </w:r>
    </w:p>
    <w:p w14:paraId="035255E2" w14:textId="77777777" w:rsidR="006B65FC" w:rsidRPr="001A1334" w:rsidRDefault="006B65FC" w:rsidP="00F62CC6">
      <w:pPr>
        <w:adjustRightInd w:val="0"/>
        <w:snapToGrid w:val="0"/>
        <w:spacing w:line="240" w:lineRule="auto"/>
        <w:ind w:left="2608"/>
        <w:rPr>
          <w:bCs/>
          <w:szCs w:val="18"/>
          <w:lang w:bidi="en-US"/>
        </w:rPr>
      </w:pPr>
      <w:r w:rsidRPr="001A1334">
        <w:rPr>
          <w:bCs/>
          <w:szCs w:val="18"/>
          <w:lang w:bidi="en-US"/>
        </w:rPr>
        <w:t>P</w:t>
      </w:r>
      <w:r w:rsidRPr="001A1334">
        <w:rPr>
          <w:bCs/>
          <w:szCs w:val="18"/>
          <w:lang w:bidi="en-US"/>
        </w:rPr>
        <w:tab/>
      </w:r>
      <w:r w:rsidRPr="001A1334">
        <w:rPr>
          <w:bCs/>
          <w:szCs w:val="18"/>
          <w:lang w:bidi="en-US"/>
        </w:rPr>
        <w:tab/>
      </w:r>
      <w:r w:rsidRPr="001A1334">
        <w:rPr>
          <w:bCs/>
          <w:szCs w:val="18"/>
          <w:lang w:bidi="en-US"/>
        </w:rPr>
        <w:tab/>
        <w:t>Phosphorus</w:t>
      </w:r>
    </w:p>
    <w:p w14:paraId="08B5774D" w14:textId="77777777" w:rsidR="006B65FC" w:rsidRPr="006B65FC" w:rsidRDefault="00743917" w:rsidP="006B65FC">
      <w:pPr>
        <w:adjustRightInd w:val="0"/>
        <w:snapToGrid w:val="0"/>
        <w:spacing w:line="240" w:lineRule="auto"/>
        <w:ind w:left="2608"/>
        <w:rPr>
          <w:bCs/>
          <w:szCs w:val="18"/>
          <w:lang w:bidi="en-US"/>
        </w:rPr>
      </w:pPr>
      <w:r>
        <w:rPr>
          <w:bCs/>
          <w:szCs w:val="18"/>
          <w:lang w:bidi="en-US"/>
        </w:rPr>
        <w:t xml:space="preserve">POMS  </w:t>
      </w:r>
      <w:r w:rsidR="006B65FC">
        <w:rPr>
          <w:bCs/>
          <w:szCs w:val="18"/>
          <w:lang w:bidi="en-US"/>
        </w:rPr>
        <w:tab/>
      </w:r>
      <w:r w:rsidR="006B65FC">
        <w:rPr>
          <w:bCs/>
          <w:szCs w:val="18"/>
          <w:lang w:bidi="en-US"/>
        </w:rPr>
        <w:tab/>
      </w:r>
      <w:r w:rsidRPr="00743917">
        <w:rPr>
          <w:bCs/>
          <w:szCs w:val="18"/>
          <w:lang w:bidi="en-US"/>
        </w:rPr>
        <w:t>Profile of Mood States</w:t>
      </w:r>
    </w:p>
    <w:p w14:paraId="34AE814B" w14:textId="77777777" w:rsidR="00F62CC6" w:rsidRDefault="00F62CC6" w:rsidP="00F62CC6">
      <w:pPr>
        <w:adjustRightInd w:val="0"/>
        <w:snapToGrid w:val="0"/>
        <w:spacing w:line="240" w:lineRule="auto"/>
        <w:ind w:left="2608"/>
        <w:rPr>
          <w:bCs/>
          <w:szCs w:val="18"/>
          <w:lang w:bidi="en-US"/>
        </w:rPr>
      </w:pPr>
      <w:r w:rsidRPr="00F62CC6">
        <w:rPr>
          <w:bCs/>
          <w:szCs w:val="18"/>
          <w:lang w:bidi="en-US"/>
        </w:rPr>
        <w:t xml:space="preserve">ROS   </w:t>
      </w:r>
      <w:r w:rsidR="00743917">
        <w:rPr>
          <w:bCs/>
          <w:szCs w:val="18"/>
          <w:lang w:bidi="en-US"/>
        </w:rPr>
        <w:t xml:space="preserve"> </w:t>
      </w:r>
      <w:r w:rsidR="006B65FC">
        <w:rPr>
          <w:bCs/>
          <w:szCs w:val="18"/>
          <w:lang w:bidi="en-US"/>
        </w:rPr>
        <w:tab/>
      </w:r>
      <w:r w:rsidR="006B65FC">
        <w:rPr>
          <w:bCs/>
          <w:szCs w:val="18"/>
          <w:lang w:bidi="en-US"/>
        </w:rPr>
        <w:tab/>
      </w:r>
      <w:r w:rsidRPr="00F62CC6">
        <w:rPr>
          <w:bCs/>
          <w:szCs w:val="18"/>
          <w:lang w:bidi="en-US"/>
        </w:rPr>
        <w:t>Reactive oxygen species</w:t>
      </w:r>
    </w:p>
    <w:p w14:paraId="25A2ED2F" w14:textId="77777777" w:rsidR="00743917" w:rsidRDefault="00743917" w:rsidP="00F62CC6">
      <w:pPr>
        <w:adjustRightInd w:val="0"/>
        <w:snapToGrid w:val="0"/>
        <w:spacing w:line="240" w:lineRule="auto"/>
        <w:ind w:left="2608"/>
        <w:rPr>
          <w:bCs/>
          <w:szCs w:val="18"/>
          <w:lang w:bidi="en-US"/>
        </w:rPr>
      </w:pPr>
      <w:r>
        <w:rPr>
          <w:bCs/>
          <w:szCs w:val="18"/>
          <w:lang w:bidi="en-US"/>
        </w:rPr>
        <w:t xml:space="preserve">RPE    </w:t>
      </w:r>
      <w:r w:rsidR="006B65FC">
        <w:rPr>
          <w:bCs/>
          <w:szCs w:val="18"/>
          <w:lang w:bidi="en-US"/>
        </w:rPr>
        <w:tab/>
      </w:r>
      <w:r w:rsidR="006B65FC">
        <w:rPr>
          <w:bCs/>
          <w:szCs w:val="18"/>
          <w:lang w:bidi="en-US"/>
        </w:rPr>
        <w:tab/>
      </w:r>
      <w:r w:rsidRPr="00743917">
        <w:rPr>
          <w:bCs/>
          <w:szCs w:val="18"/>
          <w:lang w:bidi="en-US"/>
        </w:rPr>
        <w:t>Rate of Perceived Exertion</w:t>
      </w:r>
    </w:p>
    <w:p w14:paraId="7671F196" w14:textId="77777777" w:rsidR="00F62CC6" w:rsidRDefault="00F62CC6" w:rsidP="00F62CC6">
      <w:pPr>
        <w:adjustRightInd w:val="0"/>
        <w:snapToGrid w:val="0"/>
        <w:spacing w:line="240" w:lineRule="auto"/>
        <w:ind w:left="2608"/>
        <w:rPr>
          <w:bCs/>
          <w:szCs w:val="18"/>
          <w:lang w:bidi="en-US"/>
        </w:rPr>
      </w:pPr>
      <w:r w:rsidRPr="00F62CC6">
        <w:rPr>
          <w:bCs/>
          <w:szCs w:val="18"/>
          <w:lang w:bidi="en-US"/>
        </w:rPr>
        <w:t>SpO</w:t>
      </w:r>
      <w:r w:rsidRPr="00F62CC6">
        <w:rPr>
          <w:bCs/>
          <w:szCs w:val="18"/>
          <w:vertAlign w:val="subscript"/>
          <w:lang w:bidi="en-US"/>
        </w:rPr>
        <w:t>2</w:t>
      </w:r>
      <w:r>
        <w:rPr>
          <w:bCs/>
          <w:szCs w:val="18"/>
          <w:lang w:bidi="en-US"/>
        </w:rPr>
        <w:t xml:space="preserve">  </w:t>
      </w:r>
      <w:r w:rsidR="00743917">
        <w:rPr>
          <w:bCs/>
          <w:szCs w:val="18"/>
          <w:lang w:bidi="en-US"/>
        </w:rPr>
        <w:t xml:space="preserve"> </w:t>
      </w:r>
      <w:r w:rsidR="006B65FC">
        <w:rPr>
          <w:bCs/>
          <w:szCs w:val="18"/>
          <w:lang w:bidi="en-US"/>
        </w:rPr>
        <w:tab/>
      </w:r>
      <w:r w:rsidR="006B65FC">
        <w:rPr>
          <w:bCs/>
          <w:szCs w:val="18"/>
          <w:lang w:bidi="en-US"/>
        </w:rPr>
        <w:tab/>
      </w:r>
      <w:r>
        <w:rPr>
          <w:bCs/>
          <w:szCs w:val="18"/>
          <w:lang w:bidi="en-US"/>
        </w:rPr>
        <w:t>P</w:t>
      </w:r>
      <w:r w:rsidRPr="00F62CC6">
        <w:rPr>
          <w:bCs/>
          <w:szCs w:val="18"/>
          <w:lang w:bidi="en-US"/>
        </w:rPr>
        <w:t>eripheral arterial oxygen saturation</w:t>
      </w:r>
    </w:p>
    <w:p w14:paraId="0C4DF0F5" w14:textId="77777777" w:rsidR="00743917" w:rsidRDefault="00743917" w:rsidP="00F62CC6">
      <w:pPr>
        <w:adjustRightInd w:val="0"/>
        <w:snapToGrid w:val="0"/>
        <w:spacing w:line="240" w:lineRule="auto"/>
        <w:ind w:left="2608"/>
        <w:rPr>
          <w:bCs/>
          <w:szCs w:val="18"/>
          <w:lang w:bidi="en-US"/>
        </w:rPr>
      </w:pPr>
      <w:r>
        <w:rPr>
          <w:bCs/>
          <w:szCs w:val="18"/>
          <w:lang w:bidi="en-US"/>
        </w:rPr>
        <w:t xml:space="preserve">TAC   </w:t>
      </w:r>
      <w:r w:rsidR="006B65FC">
        <w:rPr>
          <w:bCs/>
          <w:szCs w:val="18"/>
          <w:lang w:bidi="en-US"/>
        </w:rPr>
        <w:tab/>
      </w:r>
      <w:r w:rsidR="006B65FC">
        <w:rPr>
          <w:bCs/>
          <w:szCs w:val="18"/>
          <w:lang w:bidi="en-US"/>
        </w:rPr>
        <w:tab/>
      </w:r>
      <w:r>
        <w:rPr>
          <w:bCs/>
          <w:szCs w:val="18"/>
          <w:lang w:bidi="en-US"/>
        </w:rPr>
        <w:t>Total antioxidant capacity</w:t>
      </w:r>
    </w:p>
    <w:p w14:paraId="2521A0A0" w14:textId="77777777" w:rsidR="00743917" w:rsidRDefault="00743917" w:rsidP="00743917">
      <w:pPr>
        <w:adjustRightInd w:val="0"/>
        <w:snapToGrid w:val="0"/>
        <w:spacing w:line="240" w:lineRule="auto"/>
        <w:ind w:left="2608"/>
        <w:rPr>
          <w:bCs/>
          <w:szCs w:val="18"/>
          <w:lang w:bidi="en-US"/>
        </w:rPr>
      </w:pPr>
      <w:r>
        <w:rPr>
          <w:bCs/>
          <w:szCs w:val="18"/>
          <w:lang w:bidi="en-US"/>
        </w:rPr>
        <w:t xml:space="preserve">TQR   </w:t>
      </w:r>
      <w:r w:rsidR="006B65FC">
        <w:rPr>
          <w:bCs/>
          <w:szCs w:val="18"/>
          <w:lang w:bidi="en-US"/>
        </w:rPr>
        <w:tab/>
      </w:r>
      <w:r w:rsidR="006B65FC">
        <w:rPr>
          <w:bCs/>
          <w:szCs w:val="18"/>
          <w:lang w:bidi="en-US"/>
        </w:rPr>
        <w:tab/>
      </w:r>
      <w:r w:rsidRPr="00743917">
        <w:rPr>
          <w:bCs/>
          <w:szCs w:val="18"/>
          <w:lang w:bidi="en-US"/>
        </w:rPr>
        <w:t>Total Quality of Recovery</w:t>
      </w:r>
    </w:p>
    <w:p w14:paraId="161BE7C1" w14:textId="77777777" w:rsidR="00BF76A6" w:rsidRPr="00743917" w:rsidRDefault="00BF76A6" w:rsidP="00743917">
      <w:pPr>
        <w:adjustRightInd w:val="0"/>
        <w:snapToGrid w:val="0"/>
        <w:spacing w:line="240" w:lineRule="auto"/>
        <w:ind w:left="2608"/>
        <w:rPr>
          <w:bCs/>
          <w:szCs w:val="18"/>
          <w:lang w:bidi="en-US"/>
        </w:rPr>
      </w:pPr>
      <w:r>
        <w:rPr>
          <w:bCs/>
          <w:szCs w:val="18"/>
          <w:lang w:bidi="en-US"/>
        </w:rPr>
        <w:t>VAS</w:t>
      </w:r>
      <w:r>
        <w:rPr>
          <w:bCs/>
          <w:szCs w:val="18"/>
          <w:lang w:bidi="en-US"/>
        </w:rPr>
        <w:tab/>
      </w:r>
      <w:r>
        <w:rPr>
          <w:bCs/>
          <w:szCs w:val="18"/>
          <w:lang w:bidi="en-US"/>
        </w:rPr>
        <w:tab/>
      </w:r>
      <w:r>
        <w:rPr>
          <w:bCs/>
          <w:szCs w:val="18"/>
          <w:lang w:bidi="en-US"/>
        </w:rPr>
        <w:tab/>
        <w:t>Visual Analog Scale</w:t>
      </w:r>
    </w:p>
    <w:p w14:paraId="4796917B" w14:textId="77777777" w:rsidR="00522304" w:rsidRPr="00FA04F1" w:rsidRDefault="00522304" w:rsidP="00183AB8">
      <w:pPr>
        <w:pStyle w:val="MDPI21heading1"/>
        <w:ind w:left="0"/>
      </w:pPr>
      <w:r w:rsidRPr="00FA04F1">
        <w:t>References</w:t>
      </w:r>
    </w:p>
    <w:p w14:paraId="765808A0" w14:textId="77777777" w:rsidR="006B65FC" w:rsidRPr="006B65FC" w:rsidRDefault="00F75D65" w:rsidP="006B65FC">
      <w:pPr>
        <w:spacing w:line="240" w:lineRule="auto"/>
        <w:ind w:left="720" w:hanging="720"/>
        <w:rPr>
          <w:rFonts w:cs="Calibri"/>
        </w:rPr>
      </w:pPr>
      <w:r>
        <w:rPr>
          <w:rFonts w:ascii="Times New Roman" w:hAnsi="Times New Roman"/>
          <w:sz w:val="24"/>
          <w:szCs w:val="24"/>
        </w:rPr>
        <w:fldChar w:fldCharType="begin"/>
      </w:r>
      <w:r w:rsidR="006B65FC" w:rsidRPr="008518B5">
        <w:rPr>
          <w:rFonts w:ascii="Times New Roman" w:hAnsi="Times New Roman"/>
          <w:sz w:val="24"/>
          <w:szCs w:val="24"/>
        </w:rPr>
        <w:instrText xml:space="preserve"> ADDIN EN.REFLIST </w:instrText>
      </w:r>
      <w:r>
        <w:rPr>
          <w:rFonts w:ascii="Times New Roman" w:hAnsi="Times New Roman"/>
          <w:sz w:val="24"/>
          <w:szCs w:val="24"/>
        </w:rPr>
        <w:fldChar w:fldCharType="separate"/>
      </w:r>
      <w:bookmarkStart w:id="5" w:name="_ENREF_1"/>
      <w:r w:rsidR="006B65FC" w:rsidRPr="006B65FC">
        <w:rPr>
          <w:rFonts w:cs="Calibri"/>
        </w:rPr>
        <w:t>1.</w:t>
      </w:r>
      <w:r w:rsidR="006B65FC" w:rsidRPr="006B65FC">
        <w:rPr>
          <w:rFonts w:cs="Calibri"/>
        </w:rPr>
        <w:tab/>
        <w:t xml:space="preserve">Kurpiers, N.; McAlpine, P. R.; Kersting, U. G., Perspectives for comprehensive biomechanical analyses in Mogul skiing. </w:t>
      </w:r>
      <w:r w:rsidR="006B65FC" w:rsidRPr="006B65FC">
        <w:rPr>
          <w:rFonts w:cs="Calibri"/>
          <w:i/>
        </w:rPr>
        <w:t xml:space="preserve">Res Sports Med </w:t>
      </w:r>
      <w:r w:rsidR="006B65FC" w:rsidRPr="006B65FC">
        <w:rPr>
          <w:rFonts w:cs="Calibri"/>
          <w:b/>
        </w:rPr>
        <w:t>2009,</w:t>
      </w:r>
      <w:r w:rsidR="006B65FC" w:rsidRPr="006B65FC">
        <w:rPr>
          <w:rFonts w:cs="Calibri"/>
        </w:rPr>
        <w:t xml:space="preserve"> 17, (4), 231-44.</w:t>
      </w:r>
      <w:bookmarkEnd w:id="5"/>
    </w:p>
    <w:p w14:paraId="2A4FE660" w14:textId="77777777" w:rsidR="006B65FC" w:rsidRPr="006824B2" w:rsidRDefault="006B65FC" w:rsidP="006B65FC">
      <w:pPr>
        <w:spacing w:line="240" w:lineRule="auto"/>
        <w:ind w:left="720" w:hanging="720"/>
        <w:rPr>
          <w:rFonts w:cs="Calibri"/>
          <w:color w:val="FF0000"/>
        </w:rPr>
      </w:pPr>
      <w:bookmarkStart w:id="6" w:name="_ENREF_2"/>
      <w:r w:rsidRPr="006B65FC">
        <w:rPr>
          <w:rFonts w:cs="Calibri"/>
        </w:rPr>
        <w:t>2.</w:t>
      </w:r>
      <w:r w:rsidRPr="006B65FC">
        <w:rPr>
          <w:rFonts w:cs="Calibri"/>
        </w:rPr>
        <w:tab/>
      </w:r>
      <w:bookmarkEnd w:id="6"/>
      <w:r w:rsidR="005F1AF6" w:rsidRPr="006B65FC">
        <w:rPr>
          <w:rFonts w:cs="Calibri"/>
        </w:rPr>
        <w:t xml:space="preserve">Nikolaidis, M. G.; Jamurtas, A. Z., Blood as a reactive species generator and redox status regulator during exercise. </w:t>
      </w:r>
      <w:r w:rsidR="005F1AF6" w:rsidRPr="006B65FC">
        <w:rPr>
          <w:rFonts w:cs="Calibri"/>
          <w:i/>
        </w:rPr>
        <w:t xml:space="preserve">Archives of biochemistry and biophysics </w:t>
      </w:r>
      <w:r w:rsidR="005F1AF6" w:rsidRPr="006B65FC">
        <w:rPr>
          <w:rFonts w:cs="Calibri"/>
          <w:b/>
        </w:rPr>
        <w:t>2009,</w:t>
      </w:r>
      <w:r w:rsidR="005F1AF6" w:rsidRPr="006B65FC">
        <w:rPr>
          <w:rFonts w:cs="Calibri"/>
        </w:rPr>
        <w:t xml:space="preserve"> 490, (2), 77-84.</w:t>
      </w:r>
    </w:p>
    <w:p w14:paraId="5645BB47" w14:textId="77777777" w:rsidR="006B65FC" w:rsidRPr="006B65FC" w:rsidRDefault="005B26B2" w:rsidP="006B65FC">
      <w:pPr>
        <w:spacing w:line="240" w:lineRule="auto"/>
        <w:ind w:left="720" w:hanging="720"/>
        <w:rPr>
          <w:rFonts w:cs="Calibri"/>
        </w:rPr>
      </w:pPr>
      <w:bookmarkStart w:id="7" w:name="_ENREF_3"/>
      <w:r>
        <w:rPr>
          <w:rFonts w:cs="Calibri"/>
        </w:rPr>
        <w:t>3.</w:t>
      </w:r>
      <w:r>
        <w:rPr>
          <w:rFonts w:cs="Calibri"/>
        </w:rPr>
        <w:tab/>
      </w:r>
      <w:bookmarkEnd w:id="7"/>
      <w:r w:rsidR="005F1AF6" w:rsidRPr="006B65FC">
        <w:rPr>
          <w:rFonts w:cs="Calibri"/>
        </w:rPr>
        <w:t xml:space="preserve">Schieber, M.; Chandel, N. S., ROS function in redox signaling and oxidative stress. </w:t>
      </w:r>
      <w:r w:rsidR="005F1AF6" w:rsidRPr="006B65FC">
        <w:rPr>
          <w:rFonts w:cs="Calibri"/>
          <w:i/>
        </w:rPr>
        <w:t xml:space="preserve">Current biology : CB </w:t>
      </w:r>
      <w:r w:rsidR="005F1AF6" w:rsidRPr="006B65FC">
        <w:rPr>
          <w:rFonts w:cs="Calibri"/>
          <w:b/>
        </w:rPr>
        <w:t>2014,</w:t>
      </w:r>
      <w:r w:rsidR="005F1AF6" w:rsidRPr="006B65FC">
        <w:rPr>
          <w:rFonts w:cs="Calibri"/>
        </w:rPr>
        <w:t xml:space="preserve"> 24, (10), R453-62.</w:t>
      </w:r>
    </w:p>
    <w:p w14:paraId="4C2E7ACB" w14:textId="77777777" w:rsidR="005F1AF6" w:rsidRDefault="006B65FC" w:rsidP="006B65FC">
      <w:pPr>
        <w:spacing w:line="240" w:lineRule="auto"/>
        <w:ind w:left="720" w:hanging="720"/>
        <w:rPr>
          <w:rFonts w:cs="Calibri"/>
        </w:rPr>
      </w:pPr>
      <w:bookmarkStart w:id="8" w:name="_ENREF_4"/>
      <w:r w:rsidRPr="006B65FC">
        <w:rPr>
          <w:rFonts w:cs="Calibri"/>
        </w:rPr>
        <w:t>4.</w:t>
      </w:r>
      <w:r w:rsidRPr="006B65FC">
        <w:rPr>
          <w:rFonts w:cs="Calibri"/>
        </w:rPr>
        <w:tab/>
      </w:r>
      <w:bookmarkStart w:id="9" w:name="_ENREF_5"/>
      <w:bookmarkEnd w:id="8"/>
      <w:r w:rsidR="005F1AF6" w:rsidRPr="006B65FC">
        <w:rPr>
          <w:rFonts w:cs="Calibri"/>
        </w:rPr>
        <w:t xml:space="preserve">Checa, J.; Aran, J. M., Reactive Oxygen Species: Drivers of Physiological and Pathological Processes. </w:t>
      </w:r>
      <w:r w:rsidR="005F1AF6" w:rsidRPr="006B65FC">
        <w:rPr>
          <w:rFonts w:cs="Calibri"/>
          <w:i/>
        </w:rPr>
        <w:t xml:space="preserve">Journal of inflammation research </w:t>
      </w:r>
      <w:r w:rsidR="005F1AF6" w:rsidRPr="006B65FC">
        <w:rPr>
          <w:rFonts w:cs="Calibri"/>
          <w:b/>
        </w:rPr>
        <w:t>2020,</w:t>
      </w:r>
      <w:r w:rsidR="005F1AF6" w:rsidRPr="006B65FC">
        <w:rPr>
          <w:rFonts w:cs="Calibri"/>
        </w:rPr>
        <w:t xml:space="preserve"> 13, 1057-1073.</w:t>
      </w:r>
    </w:p>
    <w:p w14:paraId="2E299C15" w14:textId="77777777" w:rsidR="006B65FC" w:rsidRPr="00163817" w:rsidRDefault="006B65FC" w:rsidP="006B65FC">
      <w:pPr>
        <w:spacing w:line="240" w:lineRule="auto"/>
        <w:ind w:left="720" w:hanging="720"/>
        <w:rPr>
          <w:rFonts w:cs="Calibri"/>
          <w:strike/>
        </w:rPr>
      </w:pPr>
      <w:r w:rsidRPr="006B65FC">
        <w:rPr>
          <w:rFonts w:cs="Calibri"/>
        </w:rPr>
        <w:t>5.</w:t>
      </w:r>
      <w:r w:rsidRPr="006B65FC">
        <w:rPr>
          <w:rFonts w:cs="Calibri"/>
        </w:rPr>
        <w:tab/>
      </w:r>
      <w:bookmarkEnd w:id="9"/>
      <w:r w:rsidR="005F1AF6" w:rsidRPr="006B65FC">
        <w:rPr>
          <w:rFonts w:cs="Calibri"/>
        </w:rPr>
        <w:t xml:space="preserve">Powers, S. K.; Jackson, M. J., Exercise-induced oxidative stress: cellular mechanisms and impact on muscle force production. </w:t>
      </w:r>
      <w:r w:rsidR="005F1AF6" w:rsidRPr="006B65FC">
        <w:rPr>
          <w:rFonts w:cs="Calibri"/>
          <w:i/>
        </w:rPr>
        <w:t xml:space="preserve">Physiological reviews </w:t>
      </w:r>
      <w:r w:rsidR="005F1AF6" w:rsidRPr="006B65FC">
        <w:rPr>
          <w:rFonts w:cs="Calibri"/>
          <w:b/>
        </w:rPr>
        <w:t>2008,</w:t>
      </w:r>
      <w:r w:rsidR="005F1AF6" w:rsidRPr="006B65FC">
        <w:rPr>
          <w:rFonts w:cs="Calibri"/>
        </w:rPr>
        <w:t xml:space="preserve"> 88, (4), 1243-76.</w:t>
      </w:r>
    </w:p>
    <w:p w14:paraId="0D559F68" w14:textId="77777777" w:rsidR="006B65FC" w:rsidRPr="006B65FC" w:rsidRDefault="006B65FC" w:rsidP="006B65FC">
      <w:pPr>
        <w:spacing w:line="240" w:lineRule="auto"/>
        <w:ind w:left="720" w:hanging="720"/>
        <w:rPr>
          <w:rFonts w:cs="Calibri"/>
        </w:rPr>
      </w:pPr>
      <w:bookmarkStart w:id="10" w:name="_ENREF_6"/>
      <w:r w:rsidRPr="006B65FC">
        <w:rPr>
          <w:rFonts w:cs="Calibri"/>
        </w:rPr>
        <w:t>6.</w:t>
      </w:r>
      <w:r w:rsidRPr="006B65FC">
        <w:rPr>
          <w:rFonts w:cs="Calibri"/>
        </w:rPr>
        <w:tab/>
      </w:r>
      <w:bookmarkEnd w:id="10"/>
      <w:r w:rsidR="005F1AF6" w:rsidRPr="006B65FC">
        <w:rPr>
          <w:rFonts w:cs="Calibri"/>
        </w:rPr>
        <w:t xml:space="preserve">Mrakic-Sposta, S.; Gussoni, M.; Montorsi, M.; Porcelli, S.; Vezzoli, A., Assessment of a standardized ROS production profile in humans by electron paramagnetic resonance. </w:t>
      </w:r>
      <w:r w:rsidR="005F1AF6" w:rsidRPr="006B65FC">
        <w:rPr>
          <w:rFonts w:cs="Calibri"/>
          <w:i/>
        </w:rPr>
        <w:t xml:space="preserve">Oxidative medicine and cellular longevity </w:t>
      </w:r>
      <w:r w:rsidR="005F1AF6" w:rsidRPr="006B65FC">
        <w:rPr>
          <w:rFonts w:cs="Calibri"/>
          <w:b/>
        </w:rPr>
        <w:t>2012,</w:t>
      </w:r>
      <w:r w:rsidR="005F1AF6" w:rsidRPr="006B65FC">
        <w:rPr>
          <w:rFonts w:cs="Calibri"/>
        </w:rPr>
        <w:t xml:space="preserve"> 2012, 973927.</w:t>
      </w:r>
    </w:p>
    <w:p w14:paraId="28D12117" w14:textId="77777777" w:rsidR="005F1AF6" w:rsidRPr="006B65FC" w:rsidRDefault="006B65FC" w:rsidP="005F1AF6">
      <w:pPr>
        <w:spacing w:line="240" w:lineRule="auto"/>
        <w:ind w:left="720" w:hanging="720"/>
        <w:rPr>
          <w:rFonts w:cs="Calibri"/>
        </w:rPr>
      </w:pPr>
      <w:bookmarkStart w:id="11" w:name="_ENREF_7"/>
      <w:r w:rsidRPr="006B65FC">
        <w:rPr>
          <w:rFonts w:cs="Calibri"/>
        </w:rPr>
        <w:lastRenderedPageBreak/>
        <w:t>7.</w:t>
      </w:r>
      <w:r w:rsidRPr="006B65FC">
        <w:rPr>
          <w:rFonts w:cs="Calibri"/>
        </w:rPr>
        <w:tab/>
      </w:r>
      <w:bookmarkEnd w:id="11"/>
      <w:r w:rsidR="005F1AF6" w:rsidRPr="006B65FC">
        <w:rPr>
          <w:rFonts w:cs="Calibri"/>
        </w:rPr>
        <w:t xml:space="preserve">Mrakic-Sposta, S.; Gussoni, M.; Porcelli, S.; Pugliese, L.; Pavei, G.; Bellistri, G.; Montorsi, M.; Tacchini, P.; Vezzoli, A., Training effects on ROS production determined by electron paramagnetic resonance in master swimmers. </w:t>
      </w:r>
      <w:r w:rsidR="005F1AF6" w:rsidRPr="006B65FC">
        <w:rPr>
          <w:rFonts w:cs="Calibri"/>
          <w:i/>
        </w:rPr>
        <w:t xml:space="preserve">Oxidative medicine and cellular longevity </w:t>
      </w:r>
      <w:r w:rsidR="005F1AF6" w:rsidRPr="006B65FC">
        <w:rPr>
          <w:rFonts w:cs="Calibri"/>
          <w:b/>
        </w:rPr>
        <w:t>2015,</w:t>
      </w:r>
      <w:r w:rsidR="005F1AF6" w:rsidRPr="006B65FC">
        <w:rPr>
          <w:rFonts w:cs="Calibri"/>
        </w:rPr>
        <w:t xml:space="preserve"> 2015, 804794.</w:t>
      </w:r>
    </w:p>
    <w:p w14:paraId="79EF2DB1" w14:textId="77777777" w:rsidR="006B65FC" w:rsidRPr="006B65FC" w:rsidRDefault="006B65FC" w:rsidP="005F1AF6">
      <w:pPr>
        <w:spacing w:line="240" w:lineRule="auto"/>
        <w:ind w:left="720" w:hanging="720"/>
        <w:rPr>
          <w:rFonts w:cs="Calibri"/>
        </w:rPr>
      </w:pPr>
      <w:bookmarkStart w:id="12" w:name="_ENREF_8"/>
      <w:r w:rsidRPr="006B65FC">
        <w:rPr>
          <w:rFonts w:cs="Calibri"/>
        </w:rPr>
        <w:t>8.</w:t>
      </w:r>
      <w:r w:rsidRPr="006B65FC">
        <w:rPr>
          <w:rFonts w:cs="Calibri"/>
        </w:rPr>
        <w:tab/>
      </w:r>
      <w:bookmarkEnd w:id="12"/>
      <w:r w:rsidR="005F1AF6" w:rsidRPr="006B65FC">
        <w:rPr>
          <w:rFonts w:cs="Calibri"/>
        </w:rPr>
        <w:t xml:space="preserve">Souissi, W.; Bouzid, M. A.; Farjallah, M. A.; Ben Mahmoud, L.; Boudaya, M.; Engel, F. A.; Sahnoun, Z., Effect of Different Running Exercise Modalities on Post-Exercise Oxidative Stress Markers in Trained Athletes. </w:t>
      </w:r>
      <w:r w:rsidR="005F1AF6" w:rsidRPr="006B65FC">
        <w:rPr>
          <w:rFonts w:cs="Calibri"/>
          <w:i/>
        </w:rPr>
        <w:t xml:space="preserve">International journal of environmental research and public health </w:t>
      </w:r>
      <w:r w:rsidR="005F1AF6" w:rsidRPr="006B65FC">
        <w:rPr>
          <w:rFonts w:cs="Calibri"/>
          <w:b/>
        </w:rPr>
        <w:t>2020,</w:t>
      </w:r>
      <w:r w:rsidR="005F1AF6" w:rsidRPr="006B65FC">
        <w:rPr>
          <w:rFonts w:cs="Calibri"/>
        </w:rPr>
        <w:t xml:space="preserve"> 17, (10).</w:t>
      </w:r>
    </w:p>
    <w:p w14:paraId="67B8E44C" w14:textId="77777777" w:rsidR="006B65FC" w:rsidRPr="00F85D8D" w:rsidRDefault="006B65FC" w:rsidP="006B65FC">
      <w:pPr>
        <w:spacing w:line="240" w:lineRule="auto"/>
        <w:ind w:left="720" w:hanging="720"/>
        <w:rPr>
          <w:rFonts w:cs="Calibri"/>
          <w:strike/>
        </w:rPr>
      </w:pPr>
      <w:bookmarkStart w:id="13" w:name="_ENREF_9"/>
      <w:r w:rsidRPr="006B65FC">
        <w:rPr>
          <w:rFonts w:cs="Calibri"/>
        </w:rPr>
        <w:t>9.</w:t>
      </w:r>
      <w:r w:rsidRPr="006B65FC">
        <w:rPr>
          <w:rFonts w:cs="Calibri"/>
        </w:rPr>
        <w:tab/>
      </w:r>
      <w:r w:rsidR="005F1AF6" w:rsidRPr="006B65FC">
        <w:rPr>
          <w:rFonts w:cs="Calibri"/>
        </w:rPr>
        <w:t xml:space="preserve">Done, A. J.; Traustadottir, T., Nrf2 mediates redox adaptations to exercise. </w:t>
      </w:r>
      <w:r w:rsidR="005F1AF6" w:rsidRPr="006B65FC">
        <w:rPr>
          <w:rFonts w:cs="Calibri"/>
          <w:i/>
        </w:rPr>
        <w:t xml:space="preserve">Redox biology </w:t>
      </w:r>
      <w:r w:rsidR="005F1AF6" w:rsidRPr="006B65FC">
        <w:rPr>
          <w:rFonts w:cs="Calibri"/>
          <w:b/>
        </w:rPr>
        <w:t>2016,</w:t>
      </w:r>
      <w:r w:rsidR="005F1AF6" w:rsidRPr="006B65FC">
        <w:rPr>
          <w:rFonts w:cs="Calibri"/>
        </w:rPr>
        <w:t xml:space="preserve"> 10, 191-199.</w:t>
      </w:r>
      <w:bookmarkEnd w:id="13"/>
    </w:p>
    <w:p w14:paraId="3B1B2155" w14:textId="77777777" w:rsidR="005F1AF6" w:rsidRPr="006B65FC" w:rsidRDefault="006B65FC" w:rsidP="005F1AF6">
      <w:pPr>
        <w:spacing w:line="240" w:lineRule="auto"/>
        <w:ind w:left="720" w:hanging="720"/>
        <w:rPr>
          <w:rFonts w:cs="Calibri"/>
        </w:rPr>
      </w:pPr>
      <w:bookmarkStart w:id="14" w:name="_ENREF_10"/>
      <w:r w:rsidRPr="006B65FC">
        <w:rPr>
          <w:rFonts w:cs="Calibri"/>
        </w:rPr>
        <w:t>10.</w:t>
      </w:r>
      <w:r w:rsidRPr="006B65FC">
        <w:rPr>
          <w:rFonts w:cs="Calibri"/>
        </w:rPr>
        <w:tab/>
      </w:r>
      <w:r w:rsidR="005F1AF6" w:rsidRPr="00EF4647">
        <w:rPr>
          <w:rFonts w:cs="Calibri"/>
        </w:rPr>
        <w:t xml:space="preserve">Steller, H., Mechanisms and genes of cellular suicide. </w:t>
      </w:r>
      <w:r w:rsidR="005F1AF6" w:rsidRPr="00EF4647">
        <w:rPr>
          <w:rFonts w:cs="Calibri"/>
          <w:i/>
        </w:rPr>
        <w:t xml:space="preserve">Science </w:t>
      </w:r>
      <w:r w:rsidR="005F1AF6" w:rsidRPr="00EF4647">
        <w:rPr>
          <w:rFonts w:cs="Calibri"/>
          <w:b/>
        </w:rPr>
        <w:t>1995,</w:t>
      </w:r>
      <w:r w:rsidR="005F1AF6" w:rsidRPr="00EF4647">
        <w:rPr>
          <w:rFonts w:cs="Calibri"/>
        </w:rPr>
        <w:t xml:space="preserve"> 267, (5203), 1445-9.</w:t>
      </w:r>
    </w:p>
    <w:p w14:paraId="1ADA9F09" w14:textId="77777777" w:rsidR="006B65FC" w:rsidRPr="006B65FC" w:rsidRDefault="006B65FC" w:rsidP="006B65FC">
      <w:pPr>
        <w:spacing w:line="240" w:lineRule="auto"/>
        <w:ind w:left="720" w:hanging="720"/>
        <w:rPr>
          <w:rFonts w:cs="Calibri"/>
        </w:rPr>
      </w:pPr>
      <w:bookmarkStart w:id="15" w:name="_ENREF_11"/>
      <w:bookmarkEnd w:id="14"/>
      <w:r w:rsidRPr="006B65FC">
        <w:rPr>
          <w:rFonts w:cs="Calibri"/>
        </w:rPr>
        <w:t>11.</w:t>
      </w:r>
      <w:r w:rsidRPr="006B65FC">
        <w:rPr>
          <w:rFonts w:cs="Calibri"/>
        </w:rPr>
        <w:tab/>
        <w:t xml:space="preserve">Liu, J. F.; Chang, W. Y.; Chan, K. H.; Tsai, W. Y.; Lin, C. L.; Hsu, M. C., Blood lipid peroxides and muscle damage increased following intensive resistance training of female weightlifters. </w:t>
      </w:r>
      <w:r w:rsidRPr="006B65FC">
        <w:rPr>
          <w:rFonts w:cs="Calibri"/>
          <w:i/>
        </w:rPr>
        <w:t xml:space="preserve">Ann N Y Acad Sci </w:t>
      </w:r>
      <w:r w:rsidRPr="006B65FC">
        <w:rPr>
          <w:rFonts w:cs="Calibri"/>
          <w:b/>
        </w:rPr>
        <w:t>2005,</w:t>
      </w:r>
      <w:r w:rsidRPr="006B65FC">
        <w:rPr>
          <w:rFonts w:cs="Calibri"/>
        </w:rPr>
        <w:t xml:space="preserve"> 1042, 255-61.</w:t>
      </w:r>
      <w:bookmarkEnd w:id="15"/>
    </w:p>
    <w:p w14:paraId="5013D7FD" w14:textId="77777777" w:rsidR="006B65FC" w:rsidRPr="006B65FC" w:rsidRDefault="006B65FC" w:rsidP="00613162">
      <w:pPr>
        <w:spacing w:line="240" w:lineRule="auto"/>
        <w:ind w:left="720" w:hanging="720"/>
        <w:rPr>
          <w:rFonts w:cs="Calibri"/>
        </w:rPr>
      </w:pPr>
      <w:bookmarkStart w:id="16" w:name="_ENREF_12"/>
      <w:r w:rsidRPr="006B65FC">
        <w:rPr>
          <w:rFonts w:cs="Calibri"/>
        </w:rPr>
        <w:t>12.</w:t>
      </w:r>
      <w:r w:rsidRPr="006B65FC">
        <w:rPr>
          <w:rFonts w:cs="Calibri"/>
        </w:rPr>
        <w:tab/>
      </w:r>
      <w:bookmarkEnd w:id="16"/>
      <w:r w:rsidR="00613162" w:rsidRPr="006B65FC">
        <w:rPr>
          <w:rFonts w:cs="Calibri"/>
        </w:rPr>
        <w:t xml:space="preserve">Araneda, O. F.; Garcia, C.; Lagos, N.; Quiroga, G.; Cajigal, J.; Salazar, M. P.; Behn, C., Lung oxidative stress as related to exercise and altitude. Lipid peroxidation evidence in exhaled breath condensate: a possible predictor of acute mountain sickness. </w:t>
      </w:r>
      <w:r w:rsidR="00613162" w:rsidRPr="006B65FC">
        <w:rPr>
          <w:rFonts w:cs="Calibri"/>
          <w:i/>
        </w:rPr>
        <w:t xml:space="preserve">Eur J Appl Physiol </w:t>
      </w:r>
      <w:r w:rsidR="00613162" w:rsidRPr="006B65FC">
        <w:rPr>
          <w:rFonts w:cs="Calibri"/>
          <w:b/>
        </w:rPr>
        <w:t>2005,</w:t>
      </w:r>
      <w:r w:rsidR="00613162" w:rsidRPr="006B65FC">
        <w:rPr>
          <w:rFonts w:cs="Calibri"/>
        </w:rPr>
        <w:t xml:space="preserve"> 95, (5-6), 383-90.</w:t>
      </w:r>
    </w:p>
    <w:p w14:paraId="2451D5D6" w14:textId="77777777" w:rsidR="006B65FC" w:rsidRPr="006B65FC" w:rsidRDefault="006B65FC" w:rsidP="006B65FC">
      <w:pPr>
        <w:spacing w:line="240" w:lineRule="auto"/>
        <w:ind w:left="720" w:hanging="720"/>
        <w:rPr>
          <w:rFonts w:cs="Calibri"/>
        </w:rPr>
      </w:pPr>
      <w:bookmarkStart w:id="17" w:name="_ENREF_13"/>
      <w:r w:rsidRPr="006B65FC">
        <w:rPr>
          <w:rFonts w:cs="Calibri"/>
        </w:rPr>
        <w:t>13.</w:t>
      </w:r>
      <w:r w:rsidRPr="006B65FC">
        <w:rPr>
          <w:rFonts w:cs="Calibri"/>
        </w:rPr>
        <w:tab/>
      </w:r>
      <w:bookmarkEnd w:id="17"/>
      <w:r w:rsidR="00613162" w:rsidRPr="006B65FC">
        <w:rPr>
          <w:rFonts w:cs="Calibri"/>
        </w:rPr>
        <w:t xml:space="preserve">Pialoux, V.; Mounier, R.; Ponsot, E.; Rock, E.; Mazur, A.; Dufour, S.; Richard, R.; Richalet, J. P.; Coudert, J.; Fellmann, N., Effects of exercise and training in hypoxia on antioxidant/pro-oxidant balance. </w:t>
      </w:r>
      <w:r w:rsidR="00613162" w:rsidRPr="006B65FC">
        <w:rPr>
          <w:rFonts w:cs="Calibri"/>
          <w:i/>
        </w:rPr>
        <w:t xml:space="preserve">Eur J Clin Nutr </w:t>
      </w:r>
      <w:r w:rsidR="00613162" w:rsidRPr="006B65FC">
        <w:rPr>
          <w:rFonts w:cs="Calibri"/>
          <w:b/>
        </w:rPr>
        <w:t>2006,</w:t>
      </w:r>
      <w:r w:rsidR="00613162" w:rsidRPr="006B65FC">
        <w:rPr>
          <w:rFonts w:cs="Calibri"/>
        </w:rPr>
        <w:t xml:space="preserve"> 60, (12), 1345-54.</w:t>
      </w:r>
    </w:p>
    <w:p w14:paraId="72852CCF" w14:textId="77777777" w:rsidR="006B65FC" w:rsidRPr="006B65FC" w:rsidRDefault="006B65FC" w:rsidP="00613162">
      <w:pPr>
        <w:spacing w:line="240" w:lineRule="auto"/>
        <w:ind w:left="720" w:hanging="720"/>
        <w:rPr>
          <w:rFonts w:cs="Calibri"/>
        </w:rPr>
      </w:pPr>
      <w:bookmarkStart w:id="18" w:name="_ENREF_14"/>
      <w:r w:rsidRPr="006B65FC">
        <w:rPr>
          <w:rFonts w:cs="Calibri"/>
        </w:rPr>
        <w:t>14.</w:t>
      </w:r>
      <w:r w:rsidRPr="006B65FC">
        <w:rPr>
          <w:rFonts w:cs="Calibri"/>
        </w:rPr>
        <w:tab/>
      </w:r>
      <w:bookmarkEnd w:id="18"/>
      <w:r w:rsidR="00613162" w:rsidRPr="006B65FC">
        <w:rPr>
          <w:rFonts w:cs="Calibri"/>
        </w:rPr>
        <w:t xml:space="preserve">Schippinger, G.; Fankhauser, F.; Abuja, P. M.; Winklhofer-Roob, B. M.; Nadlinger, K.; Halwachs-Baumann, G.; Wonisch, W., Competitive and seasonal oxidative stress in elite alpine ski racers. </w:t>
      </w:r>
      <w:r w:rsidR="00613162" w:rsidRPr="006B65FC">
        <w:rPr>
          <w:rFonts w:cs="Calibri"/>
          <w:i/>
        </w:rPr>
        <w:t xml:space="preserve">Scandinavian journal of medicine &amp; science in sports </w:t>
      </w:r>
      <w:r w:rsidR="00613162" w:rsidRPr="006B65FC">
        <w:rPr>
          <w:rFonts w:cs="Calibri"/>
          <w:b/>
        </w:rPr>
        <w:t>2009,</w:t>
      </w:r>
      <w:r w:rsidR="00613162" w:rsidRPr="006B65FC">
        <w:rPr>
          <w:rFonts w:cs="Calibri"/>
        </w:rPr>
        <w:t xml:space="preserve"> 19, (2), 206-12.</w:t>
      </w:r>
    </w:p>
    <w:p w14:paraId="7A14F8A2" w14:textId="77777777" w:rsidR="006B65FC" w:rsidRPr="006B65FC" w:rsidRDefault="006B65FC" w:rsidP="006B65FC">
      <w:pPr>
        <w:spacing w:line="240" w:lineRule="auto"/>
        <w:ind w:left="720" w:hanging="720"/>
        <w:rPr>
          <w:rFonts w:cs="Calibri"/>
        </w:rPr>
      </w:pPr>
      <w:bookmarkStart w:id="19" w:name="_ENREF_15"/>
      <w:r w:rsidRPr="006B65FC">
        <w:rPr>
          <w:rFonts w:cs="Calibri"/>
        </w:rPr>
        <w:t>15.</w:t>
      </w:r>
      <w:r w:rsidRPr="006B65FC">
        <w:rPr>
          <w:rFonts w:cs="Calibri"/>
        </w:rPr>
        <w:tab/>
      </w:r>
      <w:bookmarkEnd w:id="19"/>
      <w:r w:rsidR="00613162" w:rsidRPr="006B65FC">
        <w:rPr>
          <w:rFonts w:cs="Calibri"/>
        </w:rPr>
        <w:t xml:space="preserve">Wonisch, W.; Uhl, K.; Schimetta, W.; Rabl, H., Pre-operative delivery of a vitamin cocktail diminished oxidative stress after vascular surgery in PAD patients - a pilot investigation. </w:t>
      </w:r>
      <w:r w:rsidR="00613162" w:rsidRPr="006B65FC">
        <w:rPr>
          <w:rFonts w:cs="Calibri"/>
          <w:i/>
        </w:rPr>
        <w:t xml:space="preserve">Biofactors </w:t>
      </w:r>
      <w:r w:rsidR="00613162" w:rsidRPr="006B65FC">
        <w:rPr>
          <w:rFonts w:cs="Calibri"/>
          <w:b/>
        </w:rPr>
        <w:t>2005,</w:t>
      </w:r>
      <w:r w:rsidR="00613162" w:rsidRPr="006B65FC">
        <w:rPr>
          <w:rFonts w:cs="Calibri"/>
        </w:rPr>
        <w:t xml:space="preserve"> 24, (1-4), 299-303.</w:t>
      </w:r>
    </w:p>
    <w:p w14:paraId="11934D60" w14:textId="77777777" w:rsidR="005F1AF6" w:rsidRDefault="006B65FC" w:rsidP="006B65FC">
      <w:pPr>
        <w:spacing w:line="240" w:lineRule="auto"/>
        <w:ind w:left="720" w:hanging="720"/>
        <w:rPr>
          <w:rFonts w:cs="Calibri"/>
        </w:rPr>
      </w:pPr>
      <w:bookmarkStart w:id="20" w:name="_ENREF_16"/>
      <w:r w:rsidRPr="006B65FC">
        <w:rPr>
          <w:rFonts w:cs="Calibri"/>
        </w:rPr>
        <w:t>16.</w:t>
      </w:r>
      <w:r w:rsidRPr="006B65FC">
        <w:rPr>
          <w:rFonts w:cs="Calibri"/>
        </w:rPr>
        <w:tab/>
      </w:r>
      <w:bookmarkStart w:id="21" w:name="_ENREF_17"/>
      <w:bookmarkEnd w:id="20"/>
      <w:r w:rsidR="00613162">
        <w:rPr>
          <w:rFonts w:cs="Calibri"/>
        </w:rPr>
        <w:t>Oral O.;</w:t>
      </w:r>
      <w:r w:rsidR="00613162" w:rsidRPr="00FE5EDA">
        <w:rPr>
          <w:rFonts w:cs="Calibri"/>
        </w:rPr>
        <w:t xml:space="preserve"> Nitric oxide and its role in exercise physiology. </w:t>
      </w:r>
      <w:r w:rsidR="00613162" w:rsidRPr="00FE5EDA">
        <w:rPr>
          <w:rFonts w:cs="Calibri"/>
          <w:i/>
        </w:rPr>
        <w:t xml:space="preserve">Journal of </w:t>
      </w:r>
      <w:r w:rsidR="00613162">
        <w:rPr>
          <w:rFonts w:cs="Calibri"/>
          <w:i/>
        </w:rPr>
        <w:t>Sports Medicine Physical Fitness</w:t>
      </w:r>
      <w:r w:rsidR="00613162" w:rsidRPr="00FE5EDA">
        <w:rPr>
          <w:rFonts w:cs="Calibri"/>
          <w:i/>
        </w:rPr>
        <w:t xml:space="preserve"> </w:t>
      </w:r>
      <w:r w:rsidR="00613162">
        <w:rPr>
          <w:rFonts w:cs="Calibri"/>
          <w:b/>
        </w:rPr>
        <w:t>2021</w:t>
      </w:r>
      <w:r w:rsidR="00613162" w:rsidRPr="00FE5EDA">
        <w:rPr>
          <w:rFonts w:cs="Calibri"/>
          <w:b/>
        </w:rPr>
        <w:t>,</w:t>
      </w:r>
      <w:r w:rsidR="00613162" w:rsidRPr="00FE5EDA">
        <w:rPr>
          <w:rFonts w:cs="Calibri"/>
        </w:rPr>
        <w:t xml:space="preserve"> </w:t>
      </w:r>
      <w:r w:rsidR="00613162">
        <w:rPr>
          <w:rFonts w:cs="Calibri"/>
        </w:rPr>
        <w:t>61</w:t>
      </w:r>
      <w:r w:rsidR="00613162" w:rsidRPr="00FE5EDA">
        <w:rPr>
          <w:rFonts w:cs="Calibri"/>
        </w:rPr>
        <w:t>, (</w:t>
      </w:r>
      <w:r w:rsidR="00613162">
        <w:rPr>
          <w:rFonts w:cs="Calibri"/>
        </w:rPr>
        <w:t>9</w:t>
      </w:r>
      <w:r w:rsidR="00613162" w:rsidRPr="00FE5EDA">
        <w:rPr>
          <w:rFonts w:cs="Calibri"/>
        </w:rPr>
        <w:t>), 1</w:t>
      </w:r>
      <w:r w:rsidR="00613162">
        <w:rPr>
          <w:rFonts w:cs="Calibri"/>
        </w:rPr>
        <w:t>208</w:t>
      </w:r>
      <w:r w:rsidR="00613162" w:rsidRPr="00FE5EDA">
        <w:rPr>
          <w:rFonts w:cs="Calibri"/>
        </w:rPr>
        <w:t>-</w:t>
      </w:r>
      <w:r w:rsidR="00613162">
        <w:rPr>
          <w:rFonts w:cs="Calibri"/>
        </w:rPr>
        <w:t>1211</w:t>
      </w:r>
      <w:r w:rsidR="00613162" w:rsidRPr="00FE5EDA">
        <w:rPr>
          <w:rFonts w:cs="Calibri"/>
        </w:rPr>
        <w:t>.</w:t>
      </w:r>
    </w:p>
    <w:p w14:paraId="5B0C0C5A" w14:textId="77777777" w:rsidR="005F1AF6" w:rsidRDefault="006B65FC" w:rsidP="006B65FC">
      <w:pPr>
        <w:spacing w:line="240" w:lineRule="auto"/>
        <w:ind w:left="720" w:hanging="720"/>
        <w:rPr>
          <w:rFonts w:cs="Calibri"/>
        </w:rPr>
      </w:pPr>
      <w:r w:rsidRPr="006B65FC">
        <w:rPr>
          <w:rFonts w:cs="Calibri"/>
        </w:rPr>
        <w:t>17.</w:t>
      </w:r>
      <w:r w:rsidRPr="006B65FC">
        <w:rPr>
          <w:rFonts w:cs="Calibri"/>
        </w:rPr>
        <w:tab/>
      </w:r>
      <w:bookmarkStart w:id="22" w:name="_ENREF_18"/>
      <w:bookmarkEnd w:id="21"/>
      <w:r w:rsidR="00613162" w:rsidRPr="00EF4647">
        <w:rPr>
          <w:rFonts w:cs="Calibri"/>
        </w:rPr>
        <w:t xml:space="preserve">Elliott, S. N.; Wallace, J. L., Nitric oxide: a regulator of mucosal defense and injury. </w:t>
      </w:r>
      <w:r w:rsidR="00613162" w:rsidRPr="00EF4647">
        <w:rPr>
          <w:rFonts w:cs="Calibri"/>
          <w:i/>
        </w:rPr>
        <w:t xml:space="preserve">Journal of gastroenterology </w:t>
      </w:r>
      <w:r w:rsidR="00613162" w:rsidRPr="00EF4647">
        <w:rPr>
          <w:rFonts w:cs="Calibri"/>
          <w:b/>
        </w:rPr>
        <w:t>1998,</w:t>
      </w:r>
      <w:r w:rsidR="00613162" w:rsidRPr="00EF4647">
        <w:rPr>
          <w:rFonts w:cs="Calibri"/>
        </w:rPr>
        <w:t xml:space="preserve"> 33, (6), 792-803</w:t>
      </w:r>
    </w:p>
    <w:p w14:paraId="7842C689" w14:textId="77777777" w:rsidR="006B65FC" w:rsidRPr="006B65FC" w:rsidRDefault="006B65FC" w:rsidP="006B65FC">
      <w:pPr>
        <w:spacing w:line="240" w:lineRule="auto"/>
        <w:ind w:left="720" w:hanging="720"/>
        <w:rPr>
          <w:rFonts w:cs="Calibri"/>
        </w:rPr>
      </w:pPr>
      <w:r w:rsidRPr="006B65FC">
        <w:rPr>
          <w:rFonts w:cs="Calibri"/>
        </w:rPr>
        <w:t>18.</w:t>
      </w:r>
      <w:r w:rsidRPr="006B65FC">
        <w:rPr>
          <w:rFonts w:cs="Calibri"/>
        </w:rPr>
        <w:tab/>
      </w:r>
      <w:bookmarkEnd w:id="22"/>
      <w:r w:rsidR="00065E32" w:rsidRPr="006B65FC">
        <w:rPr>
          <w:rFonts w:cs="Calibri"/>
        </w:rPr>
        <w:t xml:space="preserve">Munzel, T.; Gori, T.; Bruno, R. M.; Taddei, S., Is oxidative stress a therapeutic target in cardiovascular disease? </w:t>
      </w:r>
      <w:r w:rsidR="00065E32" w:rsidRPr="006B65FC">
        <w:rPr>
          <w:rFonts w:cs="Calibri"/>
          <w:i/>
        </w:rPr>
        <w:t xml:space="preserve">European heart journal </w:t>
      </w:r>
      <w:r w:rsidR="00065E32" w:rsidRPr="006B65FC">
        <w:rPr>
          <w:rFonts w:cs="Calibri"/>
          <w:b/>
        </w:rPr>
        <w:t>2010,</w:t>
      </w:r>
      <w:r w:rsidR="00065E32" w:rsidRPr="006B65FC">
        <w:rPr>
          <w:rFonts w:cs="Calibri"/>
        </w:rPr>
        <w:t xml:space="preserve"> 31, (22), 2741-8.</w:t>
      </w:r>
    </w:p>
    <w:p w14:paraId="34C780EA" w14:textId="77777777" w:rsidR="00613162" w:rsidRPr="00B753F1" w:rsidRDefault="006B65FC" w:rsidP="00065E32">
      <w:pPr>
        <w:spacing w:line="240" w:lineRule="auto"/>
        <w:ind w:left="720" w:hanging="720"/>
        <w:rPr>
          <w:rFonts w:cs="Calibri"/>
        </w:rPr>
      </w:pPr>
      <w:bookmarkStart w:id="23" w:name="_ENREF_19"/>
      <w:r w:rsidRPr="006B65FC">
        <w:rPr>
          <w:rFonts w:cs="Calibri"/>
        </w:rPr>
        <w:t>19.</w:t>
      </w:r>
      <w:r w:rsidRPr="006B65FC">
        <w:rPr>
          <w:rFonts w:cs="Calibri"/>
        </w:rPr>
        <w:tab/>
      </w:r>
      <w:bookmarkStart w:id="24" w:name="_ENREF_20"/>
      <w:bookmarkEnd w:id="23"/>
      <w:r w:rsidR="00B753F1" w:rsidRPr="00B753F1">
        <w:rPr>
          <w:rFonts w:cs="Segoe UI"/>
          <w:color w:val="212121"/>
          <w:shd w:val="clear" w:color="auto" w:fill="FFFFFF"/>
        </w:rPr>
        <w:t>Mrakic-Sposta</w:t>
      </w:r>
      <w:r w:rsidR="00B753F1">
        <w:rPr>
          <w:rFonts w:cs="Segoe UI"/>
          <w:color w:val="212121"/>
          <w:shd w:val="clear" w:color="auto" w:fill="FFFFFF"/>
        </w:rPr>
        <w:t>,</w:t>
      </w:r>
      <w:r w:rsidR="00B753F1" w:rsidRPr="00B753F1">
        <w:rPr>
          <w:rFonts w:cs="Segoe UI"/>
          <w:color w:val="212121"/>
          <w:shd w:val="clear" w:color="auto" w:fill="FFFFFF"/>
        </w:rPr>
        <w:t xml:space="preserve"> S</w:t>
      </w:r>
      <w:r w:rsidR="00B753F1">
        <w:rPr>
          <w:rFonts w:cs="Segoe UI"/>
          <w:color w:val="212121"/>
          <w:shd w:val="clear" w:color="auto" w:fill="FFFFFF"/>
        </w:rPr>
        <w:t>.</w:t>
      </w:r>
      <w:r w:rsidR="00B753F1" w:rsidRPr="00B753F1">
        <w:rPr>
          <w:rFonts w:cs="Segoe UI"/>
          <w:color w:val="212121"/>
          <w:shd w:val="clear" w:color="auto" w:fill="FFFFFF"/>
        </w:rPr>
        <w:t>, Gussoni</w:t>
      </w:r>
      <w:r w:rsidR="00B753F1">
        <w:rPr>
          <w:rFonts w:cs="Segoe UI"/>
          <w:color w:val="212121"/>
          <w:shd w:val="clear" w:color="auto" w:fill="FFFFFF"/>
        </w:rPr>
        <w:t>,</w:t>
      </w:r>
      <w:r w:rsidR="00B753F1" w:rsidRPr="00B753F1">
        <w:rPr>
          <w:rFonts w:cs="Segoe UI"/>
          <w:color w:val="212121"/>
          <w:shd w:val="clear" w:color="auto" w:fill="FFFFFF"/>
        </w:rPr>
        <w:t xml:space="preserve"> M</w:t>
      </w:r>
      <w:r w:rsidR="00B753F1">
        <w:rPr>
          <w:rFonts w:cs="Segoe UI"/>
          <w:color w:val="212121"/>
          <w:shd w:val="clear" w:color="auto" w:fill="FFFFFF"/>
        </w:rPr>
        <w:t>.</w:t>
      </w:r>
      <w:r w:rsidR="00B753F1" w:rsidRPr="00B753F1">
        <w:rPr>
          <w:rFonts w:cs="Segoe UI"/>
          <w:color w:val="212121"/>
          <w:shd w:val="clear" w:color="auto" w:fill="FFFFFF"/>
        </w:rPr>
        <w:t>, </w:t>
      </w:r>
      <w:r w:rsidR="00B753F1" w:rsidRPr="00B753F1">
        <w:rPr>
          <w:rFonts w:cs="Segoe UI"/>
          <w:bCs/>
          <w:color w:val="212121"/>
          <w:shd w:val="clear" w:color="auto" w:fill="FFFFFF"/>
        </w:rPr>
        <w:t>Porcelli</w:t>
      </w:r>
      <w:r w:rsidR="00B753F1">
        <w:rPr>
          <w:rFonts w:cs="Segoe UI"/>
          <w:b/>
          <w:bCs/>
          <w:color w:val="212121"/>
          <w:shd w:val="clear" w:color="auto" w:fill="FFFFFF"/>
        </w:rPr>
        <w:t>,</w:t>
      </w:r>
      <w:r w:rsidR="00B753F1" w:rsidRPr="00B753F1">
        <w:rPr>
          <w:rFonts w:cs="Segoe UI"/>
          <w:b/>
          <w:bCs/>
          <w:color w:val="212121"/>
          <w:shd w:val="clear" w:color="auto" w:fill="FFFFFF"/>
        </w:rPr>
        <w:t xml:space="preserve"> </w:t>
      </w:r>
      <w:r w:rsidR="00B753F1" w:rsidRPr="003B779F">
        <w:rPr>
          <w:rFonts w:cs="Segoe UI"/>
          <w:bCs/>
          <w:color w:val="212121"/>
          <w:shd w:val="clear" w:color="auto" w:fill="FFFFFF"/>
        </w:rPr>
        <w:t>S.</w:t>
      </w:r>
      <w:r w:rsidR="00B753F1" w:rsidRPr="00B753F1">
        <w:rPr>
          <w:rFonts w:cs="Segoe UI"/>
          <w:color w:val="212121"/>
          <w:shd w:val="clear" w:color="auto" w:fill="FFFFFF"/>
        </w:rPr>
        <w:t>, Pugliese</w:t>
      </w:r>
      <w:r w:rsidR="00B753F1">
        <w:rPr>
          <w:rFonts w:cs="Segoe UI"/>
          <w:color w:val="212121"/>
          <w:shd w:val="clear" w:color="auto" w:fill="FFFFFF"/>
        </w:rPr>
        <w:t>,</w:t>
      </w:r>
      <w:r w:rsidR="00B753F1" w:rsidRPr="00B753F1">
        <w:rPr>
          <w:rFonts w:cs="Segoe UI"/>
          <w:color w:val="212121"/>
          <w:shd w:val="clear" w:color="auto" w:fill="FFFFFF"/>
        </w:rPr>
        <w:t xml:space="preserve"> L</w:t>
      </w:r>
      <w:r w:rsidR="00B753F1">
        <w:rPr>
          <w:rFonts w:cs="Segoe UI"/>
          <w:color w:val="212121"/>
          <w:shd w:val="clear" w:color="auto" w:fill="FFFFFF"/>
        </w:rPr>
        <w:t>.</w:t>
      </w:r>
      <w:r w:rsidR="00B753F1" w:rsidRPr="00B753F1">
        <w:rPr>
          <w:rFonts w:cs="Segoe UI"/>
          <w:color w:val="212121"/>
          <w:shd w:val="clear" w:color="auto" w:fill="FFFFFF"/>
        </w:rPr>
        <w:t>, Pavei</w:t>
      </w:r>
      <w:r w:rsidR="00B753F1">
        <w:rPr>
          <w:rFonts w:cs="Segoe UI"/>
          <w:color w:val="212121"/>
          <w:shd w:val="clear" w:color="auto" w:fill="FFFFFF"/>
        </w:rPr>
        <w:t>,</w:t>
      </w:r>
      <w:r w:rsidR="00B753F1" w:rsidRPr="00B753F1">
        <w:rPr>
          <w:rFonts w:cs="Segoe UI"/>
          <w:color w:val="212121"/>
          <w:shd w:val="clear" w:color="auto" w:fill="FFFFFF"/>
        </w:rPr>
        <w:t xml:space="preserve"> G</w:t>
      </w:r>
      <w:r w:rsidR="00B753F1">
        <w:rPr>
          <w:rFonts w:cs="Segoe UI"/>
          <w:color w:val="212121"/>
          <w:shd w:val="clear" w:color="auto" w:fill="FFFFFF"/>
        </w:rPr>
        <w:t>.</w:t>
      </w:r>
      <w:r w:rsidR="00B753F1" w:rsidRPr="00B753F1">
        <w:rPr>
          <w:rFonts w:cs="Segoe UI"/>
          <w:color w:val="212121"/>
          <w:shd w:val="clear" w:color="auto" w:fill="FFFFFF"/>
        </w:rPr>
        <w:t>, Bellistri</w:t>
      </w:r>
      <w:r w:rsidR="00B753F1">
        <w:rPr>
          <w:rFonts w:cs="Segoe UI"/>
          <w:color w:val="212121"/>
          <w:shd w:val="clear" w:color="auto" w:fill="FFFFFF"/>
        </w:rPr>
        <w:t>,</w:t>
      </w:r>
      <w:r w:rsidR="00B753F1" w:rsidRPr="00B753F1">
        <w:rPr>
          <w:rFonts w:cs="Segoe UI"/>
          <w:color w:val="212121"/>
          <w:shd w:val="clear" w:color="auto" w:fill="FFFFFF"/>
        </w:rPr>
        <w:t xml:space="preserve"> G</w:t>
      </w:r>
      <w:r w:rsidR="00B753F1">
        <w:rPr>
          <w:rFonts w:cs="Segoe UI"/>
          <w:color w:val="212121"/>
          <w:shd w:val="clear" w:color="auto" w:fill="FFFFFF"/>
        </w:rPr>
        <w:t>.</w:t>
      </w:r>
      <w:r w:rsidR="00B753F1" w:rsidRPr="00B753F1">
        <w:rPr>
          <w:rFonts w:cs="Segoe UI"/>
          <w:color w:val="212121"/>
          <w:shd w:val="clear" w:color="auto" w:fill="FFFFFF"/>
        </w:rPr>
        <w:t>, Montorsi</w:t>
      </w:r>
      <w:r w:rsidR="00B753F1">
        <w:rPr>
          <w:rFonts w:cs="Segoe UI"/>
          <w:color w:val="212121"/>
          <w:shd w:val="clear" w:color="auto" w:fill="FFFFFF"/>
        </w:rPr>
        <w:t>,</w:t>
      </w:r>
      <w:r w:rsidR="00B753F1" w:rsidRPr="00B753F1">
        <w:rPr>
          <w:rFonts w:cs="Segoe UI"/>
          <w:color w:val="212121"/>
          <w:shd w:val="clear" w:color="auto" w:fill="FFFFFF"/>
        </w:rPr>
        <w:t xml:space="preserve"> M</w:t>
      </w:r>
      <w:r w:rsidR="00B753F1">
        <w:rPr>
          <w:rFonts w:cs="Segoe UI"/>
          <w:color w:val="212121"/>
          <w:shd w:val="clear" w:color="auto" w:fill="FFFFFF"/>
        </w:rPr>
        <w:t>.</w:t>
      </w:r>
      <w:r w:rsidR="00B753F1" w:rsidRPr="00B753F1">
        <w:rPr>
          <w:rFonts w:cs="Segoe UI"/>
          <w:color w:val="212121"/>
          <w:shd w:val="clear" w:color="auto" w:fill="FFFFFF"/>
        </w:rPr>
        <w:t>, Tacchini</w:t>
      </w:r>
      <w:r w:rsidR="00B753F1">
        <w:rPr>
          <w:rFonts w:cs="Segoe UI"/>
          <w:color w:val="212121"/>
          <w:shd w:val="clear" w:color="auto" w:fill="FFFFFF"/>
        </w:rPr>
        <w:t>,</w:t>
      </w:r>
      <w:r w:rsidR="00B753F1" w:rsidRPr="00B753F1">
        <w:rPr>
          <w:rFonts w:cs="Segoe UI"/>
          <w:color w:val="212121"/>
          <w:shd w:val="clear" w:color="auto" w:fill="FFFFFF"/>
        </w:rPr>
        <w:t xml:space="preserve"> P</w:t>
      </w:r>
      <w:r w:rsidR="00B753F1">
        <w:rPr>
          <w:rFonts w:cs="Segoe UI"/>
          <w:color w:val="212121"/>
          <w:shd w:val="clear" w:color="auto" w:fill="FFFFFF"/>
        </w:rPr>
        <w:t>.</w:t>
      </w:r>
      <w:r w:rsidR="00B753F1" w:rsidRPr="00B753F1">
        <w:rPr>
          <w:rFonts w:cs="Segoe UI"/>
          <w:color w:val="212121"/>
          <w:shd w:val="clear" w:color="auto" w:fill="FFFFFF"/>
        </w:rPr>
        <w:t>, </w:t>
      </w:r>
      <w:r w:rsidR="00B753F1" w:rsidRPr="00B753F1">
        <w:rPr>
          <w:rFonts w:cs="Segoe UI"/>
          <w:bCs/>
          <w:color w:val="212121"/>
          <w:shd w:val="clear" w:color="auto" w:fill="FFFFFF"/>
        </w:rPr>
        <w:t>Vezzoli</w:t>
      </w:r>
      <w:r w:rsidR="00B753F1">
        <w:rPr>
          <w:rFonts w:cs="Segoe UI"/>
          <w:b/>
          <w:bCs/>
          <w:color w:val="212121"/>
          <w:shd w:val="clear" w:color="auto" w:fill="FFFFFF"/>
        </w:rPr>
        <w:t>,</w:t>
      </w:r>
      <w:r w:rsidR="00B753F1" w:rsidRPr="00B753F1">
        <w:rPr>
          <w:rFonts w:cs="Segoe UI"/>
          <w:b/>
          <w:bCs/>
          <w:color w:val="212121"/>
          <w:shd w:val="clear" w:color="auto" w:fill="FFFFFF"/>
        </w:rPr>
        <w:t xml:space="preserve"> </w:t>
      </w:r>
      <w:r w:rsidR="00B753F1" w:rsidRPr="003B779F">
        <w:rPr>
          <w:rFonts w:cs="Segoe UI"/>
          <w:bCs/>
          <w:color w:val="auto"/>
          <w:shd w:val="clear" w:color="auto" w:fill="FFFFFF"/>
        </w:rPr>
        <w:t>A.</w:t>
      </w:r>
      <w:r w:rsidR="003B779F">
        <w:rPr>
          <w:rFonts w:cs="Segoe UI"/>
          <w:bCs/>
          <w:color w:val="auto"/>
          <w:shd w:val="clear" w:color="auto" w:fill="FFFFFF"/>
        </w:rPr>
        <w:t>, Training effects on ROS production determined by electron paramagnetic resonance in master swimmers.</w:t>
      </w:r>
      <w:r w:rsidR="00B753F1" w:rsidRPr="00B753F1">
        <w:rPr>
          <w:rFonts w:cs="Segoe UI"/>
          <w:color w:val="auto"/>
          <w:shd w:val="clear" w:color="auto" w:fill="FFFFFF"/>
        </w:rPr>
        <w:t xml:space="preserve"> </w:t>
      </w:r>
      <w:r w:rsidR="00B753F1" w:rsidRPr="003B779F">
        <w:rPr>
          <w:rFonts w:cs="Segoe UI"/>
          <w:i/>
          <w:color w:val="auto"/>
          <w:shd w:val="clear" w:color="auto" w:fill="FFFFFF"/>
        </w:rPr>
        <w:t>Oxidative Med</w:t>
      </w:r>
      <w:r w:rsidR="003B779F" w:rsidRPr="003B779F">
        <w:rPr>
          <w:rFonts w:cs="Segoe UI"/>
          <w:i/>
          <w:color w:val="auto"/>
          <w:shd w:val="clear" w:color="auto" w:fill="FFFFFF"/>
        </w:rPr>
        <w:t>icine</w:t>
      </w:r>
      <w:r w:rsidR="00B753F1" w:rsidRPr="003B779F">
        <w:rPr>
          <w:rFonts w:cs="Segoe UI"/>
          <w:i/>
          <w:color w:val="auto"/>
          <w:shd w:val="clear" w:color="auto" w:fill="FFFFFF"/>
        </w:rPr>
        <w:t xml:space="preserve"> </w:t>
      </w:r>
      <w:r w:rsidR="003B779F">
        <w:rPr>
          <w:rFonts w:cs="Segoe UI"/>
          <w:i/>
          <w:color w:val="auto"/>
          <w:shd w:val="clear" w:color="auto" w:fill="FFFFFF"/>
        </w:rPr>
        <w:t xml:space="preserve">and </w:t>
      </w:r>
      <w:r w:rsidR="00B753F1" w:rsidRPr="003B779F">
        <w:rPr>
          <w:rFonts w:cs="Segoe UI"/>
          <w:i/>
          <w:color w:val="auto"/>
          <w:shd w:val="clear" w:color="auto" w:fill="FFFFFF"/>
        </w:rPr>
        <w:t>Cell Longev</w:t>
      </w:r>
      <w:r w:rsidR="003B779F" w:rsidRPr="003B779F">
        <w:rPr>
          <w:rFonts w:cs="Segoe UI"/>
          <w:i/>
          <w:color w:val="auto"/>
          <w:shd w:val="clear" w:color="auto" w:fill="FFFFFF"/>
        </w:rPr>
        <w:t>ity</w:t>
      </w:r>
      <w:r w:rsidR="00B753F1" w:rsidRPr="001C5C50">
        <w:rPr>
          <w:rFonts w:cs="Segoe UI"/>
          <w:b/>
          <w:color w:val="auto"/>
          <w:shd w:val="clear" w:color="auto" w:fill="FFFFFF"/>
        </w:rPr>
        <w:t xml:space="preserve"> 2015</w:t>
      </w:r>
      <w:r w:rsidR="00B753F1" w:rsidRPr="00B753F1">
        <w:rPr>
          <w:rFonts w:cs="Segoe UI"/>
          <w:color w:val="auto"/>
          <w:shd w:val="clear" w:color="auto" w:fill="FFFFFF"/>
        </w:rPr>
        <w:t>;</w:t>
      </w:r>
      <w:r w:rsidR="003B779F">
        <w:rPr>
          <w:rFonts w:cs="Segoe UI"/>
          <w:color w:val="auto"/>
          <w:shd w:val="clear" w:color="auto" w:fill="FFFFFF"/>
        </w:rPr>
        <w:t xml:space="preserve"> </w:t>
      </w:r>
      <w:r w:rsidR="00B753F1" w:rsidRPr="00B753F1">
        <w:rPr>
          <w:rFonts w:cs="Segoe UI"/>
          <w:color w:val="auto"/>
          <w:shd w:val="clear" w:color="auto" w:fill="FFFFFF"/>
        </w:rPr>
        <w:t>2015:804794.</w:t>
      </w:r>
    </w:p>
    <w:p w14:paraId="64A95052" w14:textId="77777777" w:rsidR="00613162" w:rsidRDefault="006B65FC" w:rsidP="006B65FC">
      <w:pPr>
        <w:spacing w:line="240" w:lineRule="auto"/>
        <w:ind w:left="720" w:hanging="720"/>
        <w:rPr>
          <w:rFonts w:cs="Calibri"/>
        </w:rPr>
      </w:pPr>
      <w:r w:rsidRPr="006B65FC">
        <w:rPr>
          <w:rFonts w:cs="Calibri"/>
        </w:rPr>
        <w:t>20.</w:t>
      </w:r>
      <w:r w:rsidRPr="006B65FC">
        <w:rPr>
          <w:rFonts w:cs="Calibri"/>
        </w:rPr>
        <w:tab/>
      </w:r>
      <w:bookmarkStart w:id="25" w:name="_ENREF_21"/>
      <w:bookmarkEnd w:id="24"/>
      <w:r w:rsidR="00065E32">
        <w:rPr>
          <w:rFonts w:cs="Calibri"/>
        </w:rPr>
        <w:t>Miyazaki, H.; Oh</w:t>
      </w:r>
      <w:r w:rsidR="00065E32" w:rsidRPr="006B65FC">
        <w:rPr>
          <w:rFonts w:cs="Calibri"/>
        </w:rPr>
        <w:t xml:space="preserve">ishi, S.; Ookawara, T.; Kizaki, T.; Toshinai, K.; Ha, S.; Haga, S.; Ji, L. L.; Ohno, H., Strenuous endurance training in humans reduces oxidative stress following exhausting exercise. </w:t>
      </w:r>
      <w:r w:rsidR="00065E32" w:rsidRPr="006B65FC">
        <w:rPr>
          <w:rFonts w:cs="Calibri"/>
          <w:i/>
        </w:rPr>
        <w:t xml:space="preserve">Eur J Appl Physiol </w:t>
      </w:r>
      <w:r w:rsidR="00065E32" w:rsidRPr="006B65FC">
        <w:rPr>
          <w:rFonts w:cs="Calibri"/>
          <w:b/>
        </w:rPr>
        <w:t>2001,</w:t>
      </w:r>
      <w:r w:rsidR="00065E32" w:rsidRPr="006B65FC">
        <w:rPr>
          <w:rFonts w:cs="Calibri"/>
        </w:rPr>
        <w:t xml:space="preserve"> 84, (1-2), 1-6.</w:t>
      </w:r>
    </w:p>
    <w:p w14:paraId="4E7B4649" w14:textId="77777777" w:rsidR="006B65FC" w:rsidRPr="006B65FC" w:rsidRDefault="006B65FC" w:rsidP="006B65FC">
      <w:pPr>
        <w:spacing w:line="240" w:lineRule="auto"/>
        <w:ind w:left="720" w:hanging="720"/>
        <w:rPr>
          <w:rFonts w:cs="Calibri"/>
        </w:rPr>
      </w:pPr>
      <w:r w:rsidRPr="006B65FC">
        <w:rPr>
          <w:rFonts w:cs="Calibri"/>
        </w:rPr>
        <w:t>21.</w:t>
      </w:r>
      <w:r w:rsidRPr="006B65FC">
        <w:rPr>
          <w:rFonts w:cs="Calibri"/>
        </w:rPr>
        <w:tab/>
      </w:r>
      <w:bookmarkEnd w:id="25"/>
      <w:r w:rsidR="00065E32" w:rsidRPr="006B65FC">
        <w:rPr>
          <w:rFonts w:cs="Calibri"/>
        </w:rPr>
        <w:t xml:space="preserve">McKenzie, D. C., Markers of excessive exercise. </w:t>
      </w:r>
      <w:r w:rsidR="00065E32" w:rsidRPr="006B65FC">
        <w:rPr>
          <w:rFonts w:cs="Calibri"/>
          <w:i/>
        </w:rPr>
        <w:t xml:space="preserve">Can J Appl Physiol </w:t>
      </w:r>
      <w:r w:rsidR="00065E32" w:rsidRPr="006B65FC">
        <w:rPr>
          <w:rFonts w:cs="Calibri"/>
          <w:b/>
        </w:rPr>
        <w:t>1999,</w:t>
      </w:r>
      <w:r w:rsidR="00065E32" w:rsidRPr="006B65FC">
        <w:rPr>
          <w:rFonts w:cs="Calibri"/>
        </w:rPr>
        <w:t xml:space="preserve"> 24, (1), 66-73.</w:t>
      </w:r>
    </w:p>
    <w:p w14:paraId="6A4438F5" w14:textId="77777777" w:rsidR="00613162" w:rsidRDefault="006B65FC" w:rsidP="006B65FC">
      <w:pPr>
        <w:spacing w:line="240" w:lineRule="auto"/>
        <w:ind w:left="720" w:hanging="720"/>
        <w:rPr>
          <w:rFonts w:cs="Calibri"/>
        </w:rPr>
      </w:pPr>
      <w:bookmarkStart w:id="26" w:name="_ENREF_22"/>
      <w:r w:rsidRPr="006B65FC">
        <w:rPr>
          <w:rFonts w:cs="Calibri"/>
        </w:rPr>
        <w:t>22.</w:t>
      </w:r>
      <w:r w:rsidRPr="006B65FC">
        <w:rPr>
          <w:rFonts w:cs="Calibri"/>
        </w:rPr>
        <w:tab/>
      </w:r>
      <w:bookmarkStart w:id="27" w:name="_ENREF_23"/>
      <w:bookmarkEnd w:id="26"/>
      <w:r w:rsidR="00065E32" w:rsidRPr="006B65FC">
        <w:rPr>
          <w:rFonts w:cs="Calibri"/>
        </w:rPr>
        <w:t xml:space="preserve">Tiidus, P. M., Radical species in inflammation and overtraining. </w:t>
      </w:r>
      <w:r w:rsidR="00065E32" w:rsidRPr="006B65FC">
        <w:rPr>
          <w:rFonts w:cs="Calibri"/>
          <w:i/>
        </w:rPr>
        <w:t xml:space="preserve">Canadian journal of physiology and pharmacology </w:t>
      </w:r>
      <w:r w:rsidR="00065E32" w:rsidRPr="006B65FC">
        <w:rPr>
          <w:rFonts w:cs="Calibri"/>
          <w:b/>
        </w:rPr>
        <w:t>1998,</w:t>
      </w:r>
      <w:r w:rsidR="00065E32" w:rsidRPr="006B65FC">
        <w:rPr>
          <w:rFonts w:cs="Calibri"/>
        </w:rPr>
        <w:t xml:space="preserve"> 76, (5), 533-8.</w:t>
      </w:r>
    </w:p>
    <w:p w14:paraId="5649F20F" w14:textId="77777777" w:rsidR="006B65FC" w:rsidRPr="006B65FC" w:rsidRDefault="006B65FC" w:rsidP="006B65FC">
      <w:pPr>
        <w:spacing w:line="240" w:lineRule="auto"/>
        <w:ind w:left="720" w:hanging="720"/>
        <w:rPr>
          <w:rFonts w:cs="Calibri"/>
        </w:rPr>
      </w:pPr>
      <w:r w:rsidRPr="006B65FC">
        <w:rPr>
          <w:rFonts w:cs="Calibri"/>
        </w:rPr>
        <w:t>23.</w:t>
      </w:r>
      <w:r w:rsidRPr="006B65FC">
        <w:rPr>
          <w:rFonts w:cs="Calibri"/>
        </w:rPr>
        <w:tab/>
      </w:r>
      <w:bookmarkEnd w:id="27"/>
      <w:r w:rsidR="00E5363D" w:rsidRPr="006B65FC">
        <w:rPr>
          <w:rFonts w:cs="Calibri"/>
        </w:rPr>
        <w:t xml:space="preserve">Meyer, N. L.; Manore, M. M.; Helle, C., Nutrition for winter sports. </w:t>
      </w:r>
      <w:r w:rsidR="00E5363D" w:rsidRPr="006B65FC">
        <w:rPr>
          <w:rFonts w:cs="Calibri"/>
          <w:i/>
        </w:rPr>
        <w:t xml:space="preserve">Journal of sports sciences </w:t>
      </w:r>
      <w:r w:rsidR="00E5363D" w:rsidRPr="006B65FC">
        <w:rPr>
          <w:rFonts w:cs="Calibri"/>
          <w:b/>
        </w:rPr>
        <w:t>2011,</w:t>
      </w:r>
      <w:r w:rsidR="00E5363D" w:rsidRPr="006B65FC">
        <w:rPr>
          <w:rFonts w:cs="Calibri"/>
        </w:rPr>
        <w:t xml:space="preserve"> 29 Suppl 1, S127-36.</w:t>
      </w:r>
    </w:p>
    <w:p w14:paraId="6DD8083B" w14:textId="77777777" w:rsidR="006B65FC" w:rsidRPr="006B65FC" w:rsidRDefault="006B65FC" w:rsidP="006B65FC">
      <w:pPr>
        <w:spacing w:line="240" w:lineRule="auto"/>
        <w:ind w:left="720" w:hanging="720"/>
        <w:rPr>
          <w:rFonts w:cs="Calibri"/>
        </w:rPr>
      </w:pPr>
      <w:bookmarkStart w:id="28" w:name="_ENREF_24"/>
      <w:r w:rsidRPr="006B65FC">
        <w:rPr>
          <w:rFonts w:cs="Calibri"/>
        </w:rPr>
        <w:t>24.</w:t>
      </w:r>
      <w:r w:rsidRPr="006B65FC">
        <w:rPr>
          <w:rFonts w:cs="Calibri"/>
        </w:rPr>
        <w:tab/>
      </w:r>
      <w:bookmarkEnd w:id="28"/>
      <w:r w:rsidR="00E5363D" w:rsidRPr="006B65FC">
        <w:rPr>
          <w:rFonts w:cs="Calibri"/>
        </w:rPr>
        <w:t xml:space="preserve">O'Brien, C.; Young, A. J.; Sawka, M. N., Hypohydration and thermoregulation in cold air. </w:t>
      </w:r>
      <w:r w:rsidR="00E5363D" w:rsidRPr="006B65FC">
        <w:rPr>
          <w:rFonts w:cs="Calibri"/>
          <w:i/>
        </w:rPr>
        <w:t xml:space="preserve">J Appl Physiol (1985) </w:t>
      </w:r>
      <w:r w:rsidR="00E5363D" w:rsidRPr="006B65FC">
        <w:rPr>
          <w:rFonts w:cs="Calibri"/>
          <w:b/>
        </w:rPr>
        <w:t>1998,</w:t>
      </w:r>
      <w:r w:rsidR="00E5363D" w:rsidRPr="006B65FC">
        <w:rPr>
          <w:rFonts w:cs="Calibri"/>
        </w:rPr>
        <w:t xml:space="preserve"> 84, (1), 185-9.</w:t>
      </w:r>
    </w:p>
    <w:p w14:paraId="13C0B706" w14:textId="77777777" w:rsidR="006B65FC" w:rsidRPr="006B65FC" w:rsidRDefault="006B65FC" w:rsidP="006B65FC">
      <w:pPr>
        <w:spacing w:line="240" w:lineRule="auto"/>
        <w:ind w:left="720" w:hanging="720"/>
        <w:rPr>
          <w:rFonts w:cs="Calibri"/>
        </w:rPr>
      </w:pPr>
      <w:bookmarkStart w:id="29" w:name="_ENREF_25"/>
      <w:r w:rsidRPr="006B65FC">
        <w:rPr>
          <w:rFonts w:cs="Calibri"/>
        </w:rPr>
        <w:lastRenderedPageBreak/>
        <w:t>25.</w:t>
      </w:r>
      <w:r w:rsidRPr="006B65FC">
        <w:rPr>
          <w:rFonts w:cs="Calibri"/>
        </w:rPr>
        <w:tab/>
      </w:r>
      <w:bookmarkEnd w:id="29"/>
      <w:r w:rsidR="00E5363D" w:rsidRPr="00EF4647">
        <w:rPr>
          <w:rFonts w:cs="Calibri"/>
        </w:rPr>
        <w:t xml:space="preserve">Radomski, M. W.; Boutelier, C., Hormone response of normal and intermittent cold-preadapted humans to continuous cold. </w:t>
      </w:r>
      <w:r w:rsidR="00E5363D" w:rsidRPr="00EF4647">
        <w:rPr>
          <w:rFonts w:cs="Calibri"/>
          <w:i/>
        </w:rPr>
        <w:t xml:space="preserve">Journal of applied physiology: respiratory, environmental and exercise physiology </w:t>
      </w:r>
      <w:r w:rsidR="00E5363D" w:rsidRPr="00EF4647">
        <w:rPr>
          <w:rFonts w:cs="Calibri"/>
          <w:b/>
        </w:rPr>
        <w:t>1982,</w:t>
      </w:r>
      <w:r w:rsidR="00E5363D" w:rsidRPr="00EF4647">
        <w:rPr>
          <w:rFonts w:cs="Calibri"/>
        </w:rPr>
        <w:t xml:space="preserve"> 53, (3), 610-6.</w:t>
      </w:r>
    </w:p>
    <w:p w14:paraId="633A10C2" w14:textId="77777777" w:rsidR="006B65FC" w:rsidRPr="006B65FC" w:rsidRDefault="006B65FC" w:rsidP="006B65FC">
      <w:pPr>
        <w:spacing w:line="240" w:lineRule="auto"/>
        <w:ind w:left="720" w:hanging="720"/>
        <w:rPr>
          <w:rFonts w:cs="Calibri"/>
        </w:rPr>
      </w:pPr>
      <w:bookmarkStart w:id="30" w:name="_ENREF_26"/>
      <w:r w:rsidRPr="006B65FC">
        <w:rPr>
          <w:rFonts w:cs="Calibri"/>
        </w:rPr>
        <w:t>26.</w:t>
      </w:r>
      <w:r w:rsidRPr="006B65FC">
        <w:rPr>
          <w:rFonts w:cs="Calibri"/>
        </w:rPr>
        <w:tab/>
      </w:r>
      <w:bookmarkEnd w:id="30"/>
      <w:r w:rsidR="00E5363D" w:rsidRPr="006B65FC">
        <w:rPr>
          <w:rFonts w:cs="Calibri"/>
        </w:rPr>
        <w:t xml:space="preserve">Seifert, J. G.; Burke, E. R.; White, A.; Luetkemeier, M. J., The effects of ad libitum fluid ingestion on fluid balance during alpine skiing in recreational skiers. </w:t>
      </w:r>
      <w:r w:rsidR="00E5363D" w:rsidRPr="006B65FC">
        <w:rPr>
          <w:rFonts w:cs="Calibri"/>
          <w:i/>
        </w:rPr>
        <w:t xml:space="preserve">Journal of sports sciences </w:t>
      </w:r>
      <w:r w:rsidR="00E5363D" w:rsidRPr="006B65FC">
        <w:rPr>
          <w:rFonts w:cs="Calibri"/>
          <w:b/>
        </w:rPr>
        <w:t>2006,</w:t>
      </w:r>
      <w:r w:rsidR="00E5363D" w:rsidRPr="006B65FC">
        <w:rPr>
          <w:rFonts w:cs="Calibri"/>
        </w:rPr>
        <w:t xml:space="preserve"> 24, (2), 137-42.</w:t>
      </w:r>
    </w:p>
    <w:p w14:paraId="45A1C96E" w14:textId="77777777" w:rsidR="006B65FC" w:rsidRPr="006B65FC" w:rsidRDefault="006B65FC" w:rsidP="006B65FC">
      <w:pPr>
        <w:spacing w:line="240" w:lineRule="auto"/>
        <w:ind w:left="720" w:hanging="720"/>
        <w:rPr>
          <w:rFonts w:cs="Calibri"/>
        </w:rPr>
      </w:pPr>
      <w:bookmarkStart w:id="31" w:name="_ENREF_27"/>
      <w:r w:rsidRPr="006B65FC">
        <w:rPr>
          <w:rFonts w:cs="Calibri"/>
        </w:rPr>
        <w:t>27.</w:t>
      </w:r>
      <w:r w:rsidRPr="006B65FC">
        <w:rPr>
          <w:rFonts w:cs="Calibri"/>
        </w:rPr>
        <w:tab/>
      </w:r>
      <w:bookmarkEnd w:id="31"/>
      <w:r w:rsidR="00E5363D" w:rsidRPr="006B65FC">
        <w:rPr>
          <w:rFonts w:cs="Calibri"/>
        </w:rPr>
        <w:t xml:space="preserve">Keller, U.; Szinnai, G.; Bilz, S.; Berneis, K., Effects of changes in hydration on protein, glucose and lipid metabolism in man: impact on health. </w:t>
      </w:r>
      <w:r w:rsidR="00E5363D" w:rsidRPr="006B65FC">
        <w:rPr>
          <w:rFonts w:cs="Calibri"/>
          <w:i/>
        </w:rPr>
        <w:t xml:space="preserve">European journal of clinical nutrition </w:t>
      </w:r>
      <w:r w:rsidR="00E5363D" w:rsidRPr="006B65FC">
        <w:rPr>
          <w:rFonts w:cs="Calibri"/>
          <w:b/>
        </w:rPr>
        <w:t>2003,</w:t>
      </w:r>
      <w:r w:rsidR="00E5363D" w:rsidRPr="006B65FC">
        <w:rPr>
          <w:rFonts w:cs="Calibri"/>
        </w:rPr>
        <w:t xml:space="preserve"> 57 Suppl 2, S69-74.</w:t>
      </w:r>
    </w:p>
    <w:p w14:paraId="6AB94A77" w14:textId="77777777" w:rsidR="006B65FC" w:rsidRPr="006B65FC" w:rsidRDefault="006B65FC" w:rsidP="006B65FC">
      <w:pPr>
        <w:spacing w:line="240" w:lineRule="auto"/>
        <w:ind w:left="720" w:hanging="720"/>
        <w:rPr>
          <w:rFonts w:cs="Calibri"/>
        </w:rPr>
      </w:pPr>
      <w:bookmarkStart w:id="32" w:name="_ENREF_28"/>
      <w:r w:rsidRPr="006B65FC">
        <w:rPr>
          <w:rFonts w:cs="Calibri"/>
        </w:rPr>
        <w:t>28.</w:t>
      </w:r>
      <w:r w:rsidRPr="006B65FC">
        <w:rPr>
          <w:rFonts w:cs="Calibri"/>
        </w:rPr>
        <w:tab/>
      </w:r>
      <w:bookmarkEnd w:id="32"/>
      <w:r w:rsidR="00E5363D" w:rsidRPr="006B65FC">
        <w:rPr>
          <w:rFonts w:cs="Calibri"/>
        </w:rPr>
        <w:t xml:space="preserve">Murray, B.; Rosenbloom, C., Fundamentals of glycogen metabolism for coaches and athletes. </w:t>
      </w:r>
      <w:r w:rsidR="00E5363D" w:rsidRPr="006B65FC">
        <w:rPr>
          <w:rFonts w:cs="Calibri"/>
          <w:i/>
        </w:rPr>
        <w:t xml:space="preserve">Nutrition reviews </w:t>
      </w:r>
      <w:r w:rsidR="00E5363D" w:rsidRPr="006B65FC">
        <w:rPr>
          <w:rFonts w:cs="Calibri"/>
          <w:b/>
        </w:rPr>
        <w:t>2018,</w:t>
      </w:r>
      <w:r w:rsidR="00E5363D" w:rsidRPr="006B65FC">
        <w:rPr>
          <w:rFonts w:cs="Calibri"/>
        </w:rPr>
        <w:t xml:space="preserve"> 76, (4), 243-259.</w:t>
      </w:r>
    </w:p>
    <w:p w14:paraId="616A9856" w14:textId="77777777" w:rsidR="00E5363D" w:rsidRDefault="006B65FC" w:rsidP="006B65FC">
      <w:pPr>
        <w:spacing w:line="240" w:lineRule="auto"/>
        <w:ind w:left="720" w:hanging="720"/>
        <w:rPr>
          <w:color w:val="000000" w:themeColor="text1"/>
        </w:rPr>
      </w:pPr>
      <w:bookmarkStart w:id="33" w:name="_ENREF_29"/>
      <w:r w:rsidRPr="006B65FC">
        <w:rPr>
          <w:rFonts w:cs="Calibri"/>
        </w:rPr>
        <w:t>29.</w:t>
      </w:r>
      <w:r w:rsidRPr="006B65FC">
        <w:rPr>
          <w:rFonts w:cs="Calibri"/>
        </w:rPr>
        <w:tab/>
      </w:r>
      <w:bookmarkStart w:id="34" w:name="_ENREF_30"/>
      <w:bookmarkEnd w:id="33"/>
      <w:r w:rsidR="00897EBE" w:rsidRPr="001A6B52">
        <w:rPr>
          <w:rFonts w:cs="Calibri"/>
        </w:rPr>
        <w:t xml:space="preserve">Giacon, T. A.; Bosco, G.; Vezzoli, A.; Dellanoce, C.; Cialoni, D.; Paganini, M.; Mrakic-Sposta, S., Oxidative stress and motion sickness in one crew during competitive offshore sailing. </w:t>
      </w:r>
      <w:r w:rsidR="00897EBE" w:rsidRPr="001A6B52">
        <w:rPr>
          <w:rFonts w:cs="Calibri"/>
          <w:i/>
        </w:rPr>
        <w:t xml:space="preserve">Scientific reports </w:t>
      </w:r>
      <w:r w:rsidR="00897EBE" w:rsidRPr="001A6B52">
        <w:rPr>
          <w:rFonts w:cs="Calibri"/>
          <w:b/>
        </w:rPr>
        <w:t>2022,</w:t>
      </w:r>
      <w:r w:rsidR="00897EBE" w:rsidRPr="001A6B52">
        <w:rPr>
          <w:rFonts w:cs="Calibri"/>
        </w:rPr>
        <w:t xml:space="preserve"> 12, (1), 1142.</w:t>
      </w:r>
    </w:p>
    <w:p w14:paraId="516304AA" w14:textId="77777777" w:rsidR="006B65FC" w:rsidRPr="006B65FC" w:rsidRDefault="006B65FC" w:rsidP="00E5363D">
      <w:pPr>
        <w:spacing w:line="240" w:lineRule="auto"/>
        <w:ind w:left="720" w:hanging="720"/>
        <w:rPr>
          <w:rFonts w:cs="Calibri"/>
        </w:rPr>
      </w:pPr>
      <w:r w:rsidRPr="006B65FC">
        <w:rPr>
          <w:rFonts w:cs="Calibri"/>
        </w:rPr>
        <w:t>30.</w:t>
      </w:r>
      <w:r w:rsidRPr="006B65FC">
        <w:rPr>
          <w:rFonts w:cs="Calibri"/>
        </w:rPr>
        <w:tab/>
      </w:r>
      <w:bookmarkEnd w:id="34"/>
      <w:r w:rsidR="00897EBE" w:rsidRPr="006B65FC">
        <w:rPr>
          <w:rFonts w:cs="Calibri"/>
        </w:rPr>
        <w:t xml:space="preserve">Mrakic-Sposta, S.; Vezzoli, A.; D'Alessandro, F.; Paganini, M.; Dellanoce, C.; Cialoni, D.; Bosco, G., Change in Oxidative Stress Biomarkers During 30 Days in Saturation Dive: A Pilot Study. </w:t>
      </w:r>
      <w:r w:rsidR="00897EBE" w:rsidRPr="006B65FC">
        <w:rPr>
          <w:rFonts w:cs="Calibri"/>
          <w:i/>
        </w:rPr>
        <w:t xml:space="preserve">International journal of environmental research and public health </w:t>
      </w:r>
      <w:r w:rsidR="00897EBE" w:rsidRPr="006B65FC">
        <w:rPr>
          <w:rFonts w:cs="Calibri"/>
          <w:b/>
        </w:rPr>
        <w:t>2020,</w:t>
      </w:r>
      <w:r w:rsidR="00897EBE" w:rsidRPr="006B65FC">
        <w:rPr>
          <w:rFonts w:cs="Calibri"/>
        </w:rPr>
        <w:t xml:space="preserve"> 17, (19).</w:t>
      </w:r>
    </w:p>
    <w:p w14:paraId="5EB6DD66" w14:textId="77777777" w:rsidR="006B65FC" w:rsidRPr="006B65FC" w:rsidRDefault="006B65FC" w:rsidP="00897EBE">
      <w:pPr>
        <w:spacing w:line="240" w:lineRule="auto"/>
        <w:ind w:left="720" w:hanging="720"/>
        <w:rPr>
          <w:rFonts w:cs="Calibri"/>
        </w:rPr>
      </w:pPr>
      <w:bookmarkStart w:id="35" w:name="_ENREF_31"/>
      <w:r w:rsidRPr="006B65FC">
        <w:rPr>
          <w:rFonts w:cs="Calibri"/>
        </w:rPr>
        <w:t>31.</w:t>
      </w:r>
      <w:r w:rsidRPr="006B65FC">
        <w:rPr>
          <w:rFonts w:cs="Calibri"/>
        </w:rPr>
        <w:tab/>
      </w:r>
      <w:bookmarkEnd w:id="35"/>
      <w:r w:rsidR="00897EBE" w:rsidRPr="006B65FC">
        <w:rPr>
          <w:rFonts w:cs="Calibri"/>
        </w:rPr>
        <w:t xml:space="preserve">Mrakic-Sposta, S.; Gussoni, M.; Montorsi, M.; Porcelli, S.; Vezzoli, A., A quantitative method to monitor reactive oxygen species production by electron paramagnetic resonance in physiological and pathological conditions. </w:t>
      </w:r>
      <w:r w:rsidR="00897EBE" w:rsidRPr="006B65FC">
        <w:rPr>
          <w:rFonts w:cs="Calibri"/>
          <w:i/>
        </w:rPr>
        <w:t xml:space="preserve">Oxidative medicine and cellular longevity </w:t>
      </w:r>
      <w:r w:rsidR="00897EBE" w:rsidRPr="006B65FC">
        <w:rPr>
          <w:rFonts w:cs="Calibri"/>
          <w:b/>
        </w:rPr>
        <w:t>2014,</w:t>
      </w:r>
      <w:r w:rsidR="00897EBE" w:rsidRPr="006B65FC">
        <w:rPr>
          <w:rFonts w:cs="Calibri"/>
        </w:rPr>
        <w:t xml:space="preserve"> 2014, 306179.</w:t>
      </w:r>
    </w:p>
    <w:p w14:paraId="2858849F" w14:textId="77777777" w:rsidR="00897EBE" w:rsidRPr="001A6B52" w:rsidRDefault="006B65FC" w:rsidP="006B65FC">
      <w:pPr>
        <w:spacing w:line="240" w:lineRule="auto"/>
        <w:ind w:left="720" w:hanging="720"/>
        <w:rPr>
          <w:rFonts w:cs="Calibri"/>
          <w:lang w:val="it-IT"/>
        </w:rPr>
      </w:pPr>
      <w:bookmarkStart w:id="36" w:name="_ENREF_32"/>
      <w:r w:rsidRPr="006B65FC">
        <w:rPr>
          <w:rFonts w:cs="Calibri"/>
        </w:rPr>
        <w:t>32.</w:t>
      </w:r>
      <w:r w:rsidRPr="006B65FC">
        <w:rPr>
          <w:rFonts w:cs="Calibri"/>
        </w:rPr>
        <w:tab/>
      </w:r>
      <w:bookmarkStart w:id="37" w:name="_ENREF_33"/>
      <w:bookmarkEnd w:id="36"/>
      <w:r w:rsidR="00897EBE" w:rsidRPr="006B65FC">
        <w:rPr>
          <w:rFonts w:cs="Calibri"/>
        </w:rPr>
        <w:t xml:space="preserve">Mrakic-Sposta, S.; Vezzoli, A.; Rizzato, A.; Della Noce, C.; Malacrida, S.; Montorsi, M.; Paganini, M.; Cancellara, P.; Bosco, G., Oxidative stress assessment in breath-hold diving. </w:t>
      </w:r>
      <w:r w:rsidR="00897EBE" w:rsidRPr="006B65FC">
        <w:rPr>
          <w:rFonts w:cs="Calibri"/>
          <w:i/>
          <w:lang w:val="it-IT"/>
        </w:rPr>
        <w:t xml:space="preserve">Eur J Appl Physiol </w:t>
      </w:r>
      <w:r w:rsidR="00897EBE" w:rsidRPr="006B65FC">
        <w:rPr>
          <w:rFonts w:cs="Calibri"/>
          <w:b/>
          <w:lang w:val="it-IT"/>
        </w:rPr>
        <w:t>2019,</w:t>
      </w:r>
      <w:r w:rsidR="00897EBE" w:rsidRPr="006B65FC">
        <w:rPr>
          <w:rFonts w:cs="Calibri"/>
          <w:lang w:val="it-IT"/>
        </w:rPr>
        <w:t xml:space="preserve"> 119, (11-12), 2449-2456.</w:t>
      </w:r>
    </w:p>
    <w:p w14:paraId="66E4972F" w14:textId="77777777" w:rsidR="006B65FC" w:rsidRPr="001A6B52" w:rsidRDefault="006B65FC" w:rsidP="006B65FC">
      <w:pPr>
        <w:spacing w:line="240" w:lineRule="auto"/>
        <w:ind w:left="720" w:hanging="720"/>
        <w:rPr>
          <w:rFonts w:cs="Calibri"/>
          <w:lang w:val="it-IT"/>
        </w:rPr>
      </w:pPr>
      <w:r w:rsidRPr="001A6B52">
        <w:rPr>
          <w:rFonts w:cs="Calibri"/>
          <w:lang w:val="it-IT"/>
        </w:rPr>
        <w:t>33.</w:t>
      </w:r>
      <w:r w:rsidRPr="001A6B52">
        <w:rPr>
          <w:rFonts w:cs="Calibri"/>
          <w:lang w:val="it-IT"/>
        </w:rPr>
        <w:tab/>
      </w:r>
      <w:bookmarkEnd w:id="37"/>
      <w:r w:rsidR="00897EBE" w:rsidRPr="006B65FC">
        <w:rPr>
          <w:rFonts w:cs="Calibri"/>
          <w:lang w:val="it-IT"/>
        </w:rPr>
        <w:t xml:space="preserve">Mrakic-Sposta, S.; Gussoni, M.; Vezzoli, A.; Dellanoce, C.; Comassi, M.; Giardini, G.; Bruno, R. M.; Montorsi, M.; Corciu, A.; Greco, F.; Pratali, L., Acute Effects of Triathlon Race on Oxidative Stress Biomarkers. </w:t>
      </w:r>
      <w:r w:rsidR="00897EBE" w:rsidRPr="006B65FC">
        <w:rPr>
          <w:rFonts w:cs="Calibri"/>
          <w:i/>
          <w:lang w:val="it-IT"/>
        </w:rPr>
        <w:t xml:space="preserve">Oxidative medicine and cellular longevity </w:t>
      </w:r>
      <w:r w:rsidR="00897EBE" w:rsidRPr="006B65FC">
        <w:rPr>
          <w:rFonts w:cs="Calibri"/>
          <w:b/>
          <w:lang w:val="it-IT"/>
        </w:rPr>
        <w:t>2020,</w:t>
      </w:r>
      <w:r w:rsidR="00897EBE" w:rsidRPr="006B65FC">
        <w:rPr>
          <w:rFonts w:cs="Calibri"/>
          <w:lang w:val="it-IT"/>
        </w:rPr>
        <w:t xml:space="preserve"> 2020, 3062807.</w:t>
      </w:r>
    </w:p>
    <w:p w14:paraId="6A88D497" w14:textId="77777777" w:rsidR="006B65FC" w:rsidRPr="006B65FC" w:rsidRDefault="006B65FC" w:rsidP="006B65FC">
      <w:pPr>
        <w:spacing w:line="240" w:lineRule="auto"/>
        <w:ind w:left="720" w:hanging="720"/>
        <w:rPr>
          <w:rFonts w:cs="Calibri"/>
        </w:rPr>
      </w:pPr>
      <w:bookmarkStart w:id="38" w:name="_ENREF_34"/>
      <w:r w:rsidRPr="001A6B52">
        <w:rPr>
          <w:rFonts w:cs="Calibri"/>
          <w:lang w:val="it-IT"/>
        </w:rPr>
        <w:t>34.</w:t>
      </w:r>
      <w:r w:rsidRPr="001A6B52">
        <w:rPr>
          <w:rFonts w:cs="Calibri"/>
          <w:lang w:val="it-IT"/>
        </w:rPr>
        <w:tab/>
      </w:r>
      <w:bookmarkEnd w:id="38"/>
      <w:r w:rsidR="00897EBE" w:rsidRPr="006B65FC">
        <w:rPr>
          <w:rFonts w:cs="Calibri"/>
          <w:lang w:val="it-IT"/>
        </w:rPr>
        <w:t xml:space="preserve">Bosco, G.; Giacon, T. A.; Paolocci, N.; Vezzoli, A.; Noce, C. D.; Paganini, M.; Agrimi, J.; Garetto, G.; Cialoni, D.; D'Alessandro, N.; Camporesi, E. M.; Mrakic-Sposta, S., Dopamine/BDNF loss underscores narcosis cognitive impairment in divers: a proof of concept in a dry condition. </w:t>
      </w:r>
      <w:r w:rsidR="00897EBE" w:rsidRPr="006B65FC">
        <w:rPr>
          <w:rFonts w:cs="Calibri"/>
          <w:i/>
        </w:rPr>
        <w:t xml:space="preserve">European journal of applied physiology </w:t>
      </w:r>
      <w:r w:rsidR="00897EBE" w:rsidRPr="006B65FC">
        <w:rPr>
          <w:rFonts w:cs="Calibri"/>
          <w:b/>
        </w:rPr>
        <w:t>2022</w:t>
      </w:r>
      <w:r w:rsidR="00897EBE" w:rsidRPr="006B65FC">
        <w:rPr>
          <w:rFonts w:cs="Calibri"/>
        </w:rPr>
        <w:t>.</w:t>
      </w:r>
    </w:p>
    <w:p w14:paraId="1E50A1FD" w14:textId="77777777" w:rsidR="006B65FC" w:rsidRPr="006B65FC" w:rsidRDefault="006B65FC" w:rsidP="006B65FC">
      <w:pPr>
        <w:spacing w:line="240" w:lineRule="auto"/>
        <w:ind w:left="720" w:hanging="720"/>
        <w:rPr>
          <w:rFonts w:cs="Calibri"/>
        </w:rPr>
      </w:pPr>
      <w:bookmarkStart w:id="39" w:name="_ENREF_35"/>
      <w:r w:rsidRPr="006B65FC">
        <w:rPr>
          <w:rFonts w:cs="Calibri"/>
        </w:rPr>
        <w:t>35.</w:t>
      </w:r>
      <w:r w:rsidRPr="006B65FC">
        <w:rPr>
          <w:rFonts w:cs="Calibri"/>
        </w:rPr>
        <w:tab/>
      </w:r>
      <w:bookmarkEnd w:id="39"/>
      <w:r w:rsidR="003A149D">
        <w:rPr>
          <w:rFonts w:cs="Calibri"/>
        </w:rPr>
        <w:t>G</w:t>
      </w:r>
      <w:r w:rsidR="003A149D" w:rsidRPr="003A149D">
        <w:rPr>
          <w:rFonts w:cs="Calibri"/>
        </w:rPr>
        <w:t>reen</w:t>
      </w:r>
      <w:r w:rsidR="003A149D">
        <w:rPr>
          <w:rFonts w:cs="Calibri"/>
        </w:rPr>
        <w:t>,</w:t>
      </w:r>
      <w:r w:rsidR="003A149D" w:rsidRPr="003A149D">
        <w:rPr>
          <w:rFonts w:cs="Calibri"/>
        </w:rPr>
        <w:t xml:space="preserve"> L</w:t>
      </w:r>
      <w:r w:rsidR="003A149D">
        <w:rPr>
          <w:rFonts w:cs="Calibri"/>
        </w:rPr>
        <w:t>.</w:t>
      </w:r>
      <w:r w:rsidR="003A149D" w:rsidRPr="003A149D">
        <w:rPr>
          <w:rFonts w:cs="Calibri"/>
        </w:rPr>
        <w:t>C</w:t>
      </w:r>
      <w:r w:rsidR="003A149D">
        <w:rPr>
          <w:rFonts w:cs="Calibri"/>
        </w:rPr>
        <w:t>.;</w:t>
      </w:r>
      <w:r w:rsidR="003A149D" w:rsidRPr="003A149D">
        <w:rPr>
          <w:rFonts w:cs="Calibri"/>
        </w:rPr>
        <w:t xml:space="preserve"> Wagner</w:t>
      </w:r>
      <w:r w:rsidR="003A149D">
        <w:rPr>
          <w:rFonts w:cs="Calibri"/>
        </w:rPr>
        <w:t>,</w:t>
      </w:r>
      <w:r w:rsidR="003A149D" w:rsidRPr="003A149D">
        <w:rPr>
          <w:rFonts w:cs="Calibri"/>
        </w:rPr>
        <w:t xml:space="preserve"> D</w:t>
      </w:r>
      <w:r w:rsidR="003A149D">
        <w:rPr>
          <w:rFonts w:cs="Calibri"/>
        </w:rPr>
        <w:t>.</w:t>
      </w:r>
      <w:r w:rsidR="003A149D" w:rsidRPr="003A149D">
        <w:rPr>
          <w:rFonts w:cs="Calibri"/>
        </w:rPr>
        <w:t>A</w:t>
      </w:r>
      <w:r w:rsidR="003A149D">
        <w:rPr>
          <w:rFonts w:cs="Calibri"/>
        </w:rPr>
        <w:t>.;</w:t>
      </w:r>
      <w:r w:rsidR="003A149D" w:rsidRPr="003A149D">
        <w:rPr>
          <w:rFonts w:cs="Calibri"/>
        </w:rPr>
        <w:t xml:space="preserve"> Glogowski</w:t>
      </w:r>
      <w:r w:rsidR="003A149D">
        <w:rPr>
          <w:rFonts w:cs="Calibri"/>
        </w:rPr>
        <w:t>,</w:t>
      </w:r>
      <w:r w:rsidR="003A149D" w:rsidRPr="003A149D">
        <w:rPr>
          <w:rFonts w:cs="Calibri"/>
        </w:rPr>
        <w:t xml:space="preserve"> J</w:t>
      </w:r>
      <w:r w:rsidR="003A149D">
        <w:rPr>
          <w:rFonts w:cs="Calibri"/>
        </w:rPr>
        <w:t>.;</w:t>
      </w:r>
      <w:r w:rsidR="003A149D" w:rsidRPr="003A149D">
        <w:rPr>
          <w:rFonts w:cs="Calibri"/>
        </w:rPr>
        <w:t xml:space="preserve"> Skipper</w:t>
      </w:r>
      <w:r w:rsidR="003A149D">
        <w:rPr>
          <w:rFonts w:cs="Calibri"/>
        </w:rPr>
        <w:t>,</w:t>
      </w:r>
      <w:r w:rsidR="003A149D" w:rsidRPr="003A149D">
        <w:rPr>
          <w:rFonts w:cs="Calibri"/>
        </w:rPr>
        <w:t xml:space="preserve"> P</w:t>
      </w:r>
      <w:r w:rsidR="003A149D">
        <w:rPr>
          <w:rFonts w:cs="Calibri"/>
        </w:rPr>
        <w:t>.</w:t>
      </w:r>
      <w:r w:rsidR="003A149D" w:rsidRPr="003A149D">
        <w:rPr>
          <w:rFonts w:cs="Calibri"/>
        </w:rPr>
        <w:t>L</w:t>
      </w:r>
      <w:r w:rsidR="003A149D">
        <w:rPr>
          <w:rFonts w:cs="Calibri"/>
        </w:rPr>
        <w:t>.;</w:t>
      </w:r>
      <w:r w:rsidR="003A149D" w:rsidRPr="003A149D">
        <w:rPr>
          <w:rFonts w:cs="Calibri"/>
        </w:rPr>
        <w:t xml:space="preserve"> Wishnok</w:t>
      </w:r>
      <w:r w:rsidR="003A149D">
        <w:rPr>
          <w:rFonts w:cs="Calibri"/>
        </w:rPr>
        <w:t>,</w:t>
      </w:r>
      <w:r w:rsidR="003A149D" w:rsidRPr="003A149D">
        <w:rPr>
          <w:rFonts w:cs="Calibri"/>
        </w:rPr>
        <w:t xml:space="preserve"> J</w:t>
      </w:r>
      <w:r w:rsidR="003A149D">
        <w:rPr>
          <w:rFonts w:cs="Calibri"/>
        </w:rPr>
        <w:t>.</w:t>
      </w:r>
      <w:r w:rsidR="003A149D" w:rsidRPr="003A149D">
        <w:rPr>
          <w:rFonts w:cs="Calibri"/>
        </w:rPr>
        <w:t>S</w:t>
      </w:r>
      <w:r w:rsidR="003A149D">
        <w:rPr>
          <w:rFonts w:cs="Calibri"/>
        </w:rPr>
        <w:t>.;</w:t>
      </w:r>
      <w:r w:rsidR="003A149D" w:rsidRPr="003A149D">
        <w:rPr>
          <w:rFonts w:cs="Calibri"/>
        </w:rPr>
        <w:t xml:space="preserve"> Tannenbaum</w:t>
      </w:r>
      <w:r w:rsidR="003A149D">
        <w:rPr>
          <w:rFonts w:cs="Calibri"/>
        </w:rPr>
        <w:t>,</w:t>
      </w:r>
      <w:r w:rsidR="003A149D" w:rsidRPr="003A149D">
        <w:rPr>
          <w:rFonts w:cs="Calibri"/>
        </w:rPr>
        <w:t xml:space="preserve"> S</w:t>
      </w:r>
      <w:r w:rsidR="003A149D">
        <w:rPr>
          <w:rFonts w:cs="Calibri"/>
        </w:rPr>
        <w:t>.</w:t>
      </w:r>
      <w:r w:rsidR="003A149D" w:rsidRPr="003A149D">
        <w:rPr>
          <w:rFonts w:cs="Calibri"/>
        </w:rPr>
        <w:t>R</w:t>
      </w:r>
      <w:r w:rsidR="003A149D">
        <w:rPr>
          <w:rFonts w:cs="Calibri"/>
        </w:rPr>
        <w:t>.,</w:t>
      </w:r>
      <w:r w:rsidR="003A149D" w:rsidRPr="003A149D">
        <w:rPr>
          <w:rFonts w:cs="Calibri"/>
        </w:rPr>
        <w:t xml:space="preserve"> Analysis of nitrate, nitrite, and [15N]nitrate in biological fluids. Anal. Biochem. </w:t>
      </w:r>
      <w:r w:rsidR="003A149D" w:rsidRPr="003A149D">
        <w:rPr>
          <w:rFonts w:cs="Calibri"/>
          <w:b/>
          <w:bCs/>
        </w:rPr>
        <w:t>1982</w:t>
      </w:r>
      <w:r w:rsidR="003A149D" w:rsidRPr="003A149D">
        <w:rPr>
          <w:rFonts w:cs="Calibri"/>
        </w:rPr>
        <w:t>;126(1):131–138</w:t>
      </w:r>
    </w:p>
    <w:p w14:paraId="1663276D" w14:textId="77777777" w:rsidR="006B65FC" w:rsidRPr="00E575FE" w:rsidRDefault="006B65FC" w:rsidP="00E575FE">
      <w:pPr>
        <w:spacing w:line="240" w:lineRule="auto"/>
        <w:ind w:left="720" w:hanging="720"/>
        <w:rPr>
          <w:rFonts w:cs="Calibri"/>
        </w:rPr>
      </w:pPr>
      <w:bookmarkStart w:id="40" w:name="_ENREF_36"/>
      <w:r w:rsidRPr="006B65FC">
        <w:rPr>
          <w:rFonts w:cs="Calibri"/>
        </w:rPr>
        <w:t>36.</w:t>
      </w:r>
      <w:r w:rsidRPr="006B65FC">
        <w:rPr>
          <w:rFonts w:cs="Calibri"/>
        </w:rPr>
        <w:tab/>
      </w:r>
      <w:bookmarkEnd w:id="40"/>
      <w:r w:rsidR="00E575FE" w:rsidRPr="006B65FC">
        <w:rPr>
          <w:rFonts w:cs="Calibri"/>
        </w:rPr>
        <w:t xml:space="preserve">Mrakic-Sposta, S.; Gussoni, M.; Moretti, S.; Pratali, L.; Giardini, G.; Tacchini, P.; Dellanoce, C.; Tonacci, A.; Mastorci, F.; Borghini, A.; Montorsi, M.; Vezzoli, A., Effects of Mountain Ultra-Marathon Running on ROS Production and Oxidative Damage by Micro-Invasive Analytic Techniques. </w:t>
      </w:r>
      <w:r w:rsidR="00E575FE" w:rsidRPr="006B65FC">
        <w:rPr>
          <w:rFonts w:cs="Calibri"/>
          <w:i/>
        </w:rPr>
        <w:t xml:space="preserve">PloS one </w:t>
      </w:r>
      <w:r w:rsidR="00E575FE" w:rsidRPr="006B65FC">
        <w:rPr>
          <w:rFonts w:cs="Calibri"/>
          <w:b/>
        </w:rPr>
        <w:t>2015,</w:t>
      </w:r>
      <w:r w:rsidR="00E575FE" w:rsidRPr="006B65FC">
        <w:rPr>
          <w:rFonts w:cs="Calibri"/>
        </w:rPr>
        <w:t xml:space="preserve"> 10, (11), e0141780.</w:t>
      </w:r>
    </w:p>
    <w:p w14:paraId="74EC4322" w14:textId="77777777" w:rsidR="006B65FC" w:rsidRPr="001A6B52" w:rsidRDefault="006B65FC" w:rsidP="006B65FC">
      <w:pPr>
        <w:spacing w:line="240" w:lineRule="auto"/>
        <w:ind w:left="720" w:hanging="720"/>
        <w:rPr>
          <w:rFonts w:cs="Calibri"/>
        </w:rPr>
      </w:pPr>
      <w:bookmarkStart w:id="41" w:name="_ENREF_37"/>
      <w:r w:rsidRPr="006B65FC">
        <w:rPr>
          <w:rFonts w:cs="Calibri"/>
        </w:rPr>
        <w:t>37.</w:t>
      </w:r>
      <w:r w:rsidRPr="006B65FC">
        <w:rPr>
          <w:rFonts w:cs="Calibri"/>
        </w:rPr>
        <w:tab/>
      </w:r>
      <w:bookmarkEnd w:id="41"/>
      <w:r w:rsidR="00825AF2" w:rsidRPr="006B65FC">
        <w:rPr>
          <w:rFonts w:cs="Calibri"/>
        </w:rPr>
        <w:t xml:space="preserve">Borg, G. A., Psychophysical bases of perceived exertion. </w:t>
      </w:r>
      <w:r w:rsidR="00825AF2" w:rsidRPr="006B65FC">
        <w:rPr>
          <w:rFonts w:cs="Calibri"/>
          <w:i/>
        </w:rPr>
        <w:t xml:space="preserve">Medicine and science in sports and exercise </w:t>
      </w:r>
      <w:r w:rsidR="00825AF2" w:rsidRPr="006B65FC">
        <w:rPr>
          <w:rFonts w:cs="Calibri"/>
          <w:b/>
        </w:rPr>
        <w:t>1982,</w:t>
      </w:r>
      <w:r w:rsidR="00825AF2" w:rsidRPr="006B65FC">
        <w:rPr>
          <w:rFonts w:cs="Calibri"/>
        </w:rPr>
        <w:t xml:space="preserve"> 14, (5), 377-81.</w:t>
      </w:r>
    </w:p>
    <w:p w14:paraId="26D85495" w14:textId="77777777" w:rsidR="006B65FC" w:rsidRPr="00825AF2" w:rsidRDefault="006B65FC" w:rsidP="00825AF2">
      <w:pPr>
        <w:spacing w:line="240" w:lineRule="auto"/>
        <w:ind w:left="720" w:hanging="720"/>
        <w:rPr>
          <w:rFonts w:cs="Calibri"/>
        </w:rPr>
      </w:pPr>
      <w:bookmarkStart w:id="42" w:name="_ENREF_38"/>
      <w:r w:rsidRPr="001A6B52">
        <w:rPr>
          <w:rFonts w:cs="Calibri"/>
        </w:rPr>
        <w:t>38.</w:t>
      </w:r>
      <w:r w:rsidRPr="001A6B52">
        <w:rPr>
          <w:rFonts w:cs="Calibri"/>
        </w:rPr>
        <w:tab/>
      </w:r>
      <w:bookmarkEnd w:id="42"/>
      <w:r w:rsidR="00825AF2" w:rsidRPr="006B65FC">
        <w:rPr>
          <w:rFonts w:cs="Calibri"/>
        </w:rPr>
        <w:t xml:space="preserve">Kentta, G.; Hassmen, P., Overtraining and recovery. A conceptual model. </w:t>
      </w:r>
      <w:r w:rsidR="00825AF2" w:rsidRPr="006B65FC">
        <w:rPr>
          <w:rFonts w:cs="Calibri"/>
          <w:i/>
        </w:rPr>
        <w:t xml:space="preserve">Sports Med </w:t>
      </w:r>
      <w:r w:rsidR="00825AF2" w:rsidRPr="006B65FC">
        <w:rPr>
          <w:rFonts w:cs="Calibri"/>
          <w:b/>
        </w:rPr>
        <w:t>1998,</w:t>
      </w:r>
      <w:r w:rsidR="00825AF2" w:rsidRPr="006B65FC">
        <w:rPr>
          <w:rFonts w:cs="Calibri"/>
        </w:rPr>
        <w:t xml:space="preserve"> 26, (1), 1-16.</w:t>
      </w:r>
    </w:p>
    <w:p w14:paraId="54319AE4" w14:textId="77777777" w:rsidR="006B65FC" w:rsidRPr="001A6B52" w:rsidRDefault="006B65FC" w:rsidP="006B65FC">
      <w:pPr>
        <w:spacing w:line="240" w:lineRule="auto"/>
        <w:ind w:left="720" w:hanging="720"/>
        <w:rPr>
          <w:rFonts w:cs="Calibri"/>
        </w:rPr>
      </w:pPr>
      <w:bookmarkStart w:id="43" w:name="_ENREF_39"/>
      <w:r w:rsidRPr="001A6B52">
        <w:rPr>
          <w:rFonts w:cs="Calibri"/>
        </w:rPr>
        <w:t>39.</w:t>
      </w:r>
      <w:r w:rsidRPr="001A6B52">
        <w:rPr>
          <w:rFonts w:cs="Calibri"/>
        </w:rPr>
        <w:tab/>
      </w:r>
      <w:bookmarkEnd w:id="43"/>
      <w:r w:rsidR="00825AF2" w:rsidRPr="006B65FC">
        <w:rPr>
          <w:rFonts w:cs="Calibri"/>
        </w:rPr>
        <w:t xml:space="preserve">Mrakic-Sposta, S.; Vezzoli, A.; Maderna, L.; Gregorini, F.; Montorsi, M.; Moretti, S.; Greco, F.; Cova, E.; Gussoni, M., R(+)-Thioctic Acid Effects on Oxidative Stress and Peripheral Neuropathy in Type II Diabetic Patients: Preliminary Results by Electron Paramagnetic Resonance and Electroneurography. </w:t>
      </w:r>
      <w:r w:rsidR="00825AF2" w:rsidRPr="006B65FC">
        <w:rPr>
          <w:rFonts w:cs="Calibri"/>
          <w:i/>
        </w:rPr>
        <w:t xml:space="preserve">Oxidative medicine and cellular longevity </w:t>
      </w:r>
      <w:r w:rsidR="00825AF2" w:rsidRPr="006B65FC">
        <w:rPr>
          <w:rFonts w:cs="Calibri"/>
          <w:b/>
        </w:rPr>
        <w:t>2018,</w:t>
      </w:r>
      <w:r w:rsidR="00825AF2" w:rsidRPr="006B65FC">
        <w:rPr>
          <w:rFonts w:cs="Calibri"/>
        </w:rPr>
        <w:t xml:space="preserve"> 2018, 1767265.</w:t>
      </w:r>
    </w:p>
    <w:p w14:paraId="0E0FF09A" w14:textId="77777777" w:rsidR="006B65FC" w:rsidRPr="006B65FC" w:rsidRDefault="006B65FC" w:rsidP="006B65FC">
      <w:pPr>
        <w:spacing w:line="240" w:lineRule="auto"/>
        <w:ind w:left="720" w:hanging="720"/>
        <w:rPr>
          <w:rFonts w:cs="Calibri"/>
        </w:rPr>
      </w:pPr>
      <w:bookmarkStart w:id="44" w:name="_ENREF_40"/>
      <w:r w:rsidRPr="001A6B52">
        <w:rPr>
          <w:rFonts w:cs="Calibri"/>
        </w:rPr>
        <w:t>40.</w:t>
      </w:r>
      <w:r w:rsidRPr="001A6B52">
        <w:rPr>
          <w:rFonts w:cs="Calibri"/>
        </w:rPr>
        <w:tab/>
      </w:r>
      <w:bookmarkEnd w:id="44"/>
      <w:r w:rsidR="00825AF2" w:rsidRPr="006B65FC">
        <w:rPr>
          <w:rFonts w:cs="Calibri"/>
        </w:rPr>
        <w:t xml:space="preserve">Morfeld, M.; Petersen, C.; Kruger-Bodeker, A.; von Mackensen, S.; Bullinger, M., The assessment of mood at workplace - psychometric analyses of the revised Profile of Mood States (POMS) questionnaire. </w:t>
      </w:r>
      <w:r w:rsidR="00825AF2" w:rsidRPr="006B65FC">
        <w:rPr>
          <w:rFonts w:cs="Calibri"/>
          <w:i/>
        </w:rPr>
        <w:t xml:space="preserve">Psychosoc Med </w:t>
      </w:r>
      <w:r w:rsidR="00825AF2" w:rsidRPr="006B65FC">
        <w:rPr>
          <w:rFonts w:cs="Calibri"/>
          <w:b/>
        </w:rPr>
        <w:t>2007,</w:t>
      </w:r>
      <w:r w:rsidR="00825AF2" w:rsidRPr="006B65FC">
        <w:rPr>
          <w:rFonts w:cs="Calibri"/>
        </w:rPr>
        <w:t xml:space="preserve"> 4, Doc06.</w:t>
      </w:r>
    </w:p>
    <w:p w14:paraId="148DFA45" w14:textId="77777777" w:rsidR="00825AF2" w:rsidRDefault="006B65FC" w:rsidP="006B65FC">
      <w:pPr>
        <w:spacing w:line="240" w:lineRule="auto"/>
        <w:ind w:left="720" w:hanging="720"/>
        <w:rPr>
          <w:rFonts w:cs="Calibri"/>
        </w:rPr>
      </w:pPr>
      <w:bookmarkStart w:id="45" w:name="_ENREF_41"/>
      <w:r w:rsidRPr="006B65FC">
        <w:rPr>
          <w:rFonts w:cs="Calibri"/>
        </w:rPr>
        <w:lastRenderedPageBreak/>
        <w:t>41.</w:t>
      </w:r>
      <w:r w:rsidRPr="006B65FC">
        <w:rPr>
          <w:rFonts w:cs="Calibri"/>
        </w:rPr>
        <w:tab/>
      </w:r>
      <w:bookmarkStart w:id="46" w:name="_ENREF_42"/>
      <w:bookmarkEnd w:id="45"/>
      <w:r w:rsidR="00825AF2">
        <w:rPr>
          <w:rFonts w:cs="Calibri"/>
        </w:rPr>
        <w:t>McNair D.; Lorr M.;</w:t>
      </w:r>
      <w:r w:rsidR="00825AF2" w:rsidRPr="006B65FC">
        <w:rPr>
          <w:rFonts w:cs="Calibri"/>
        </w:rPr>
        <w:t xml:space="preserve"> Droppleman, L. F., </w:t>
      </w:r>
      <w:r w:rsidR="00825AF2" w:rsidRPr="006B65FC">
        <w:rPr>
          <w:rFonts w:cs="Calibri"/>
          <w:i/>
        </w:rPr>
        <w:t>Manual for the Profile of Mood States</w:t>
      </w:r>
      <w:r w:rsidR="00825AF2" w:rsidRPr="006B65FC">
        <w:rPr>
          <w:rFonts w:cs="Calibri"/>
        </w:rPr>
        <w:t xml:space="preserve">. </w:t>
      </w:r>
      <w:r w:rsidR="00825AF2">
        <w:rPr>
          <w:rFonts w:cs="Calibri"/>
        </w:rPr>
        <w:t xml:space="preserve">Educational and Industrial Testing Service, </w:t>
      </w:r>
      <w:r w:rsidR="00825AF2" w:rsidRPr="006B65FC">
        <w:rPr>
          <w:rFonts w:cs="Calibri"/>
        </w:rPr>
        <w:t>San Diego (USA), 1971.</w:t>
      </w:r>
    </w:p>
    <w:p w14:paraId="25C6F6FE" w14:textId="77777777" w:rsidR="00825AF2" w:rsidRDefault="006B65FC" w:rsidP="00825AF2">
      <w:pPr>
        <w:spacing w:line="240" w:lineRule="auto"/>
        <w:ind w:left="720" w:hanging="720"/>
        <w:rPr>
          <w:rFonts w:cs="Calibri"/>
        </w:rPr>
      </w:pPr>
      <w:r w:rsidRPr="006B65FC">
        <w:rPr>
          <w:rFonts w:cs="Calibri"/>
        </w:rPr>
        <w:t>42.</w:t>
      </w:r>
      <w:r w:rsidRPr="006B65FC">
        <w:rPr>
          <w:rFonts w:cs="Calibri"/>
        </w:rPr>
        <w:tab/>
      </w:r>
      <w:bookmarkStart w:id="47" w:name="_ENREF_43"/>
      <w:bookmarkEnd w:id="46"/>
      <w:r w:rsidR="00825AF2" w:rsidRPr="006B65FC">
        <w:rPr>
          <w:rFonts w:cs="Calibri"/>
        </w:rPr>
        <w:t xml:space="preserve">Meeusen, R.; Duclos, M.; Foster, C.; Fry, A.; Gleeson, M.; Nieman, D.; Raglin, J.; Rietjens, G.; Steinacker, J.; Urhausen, A.; European College of Sport, S.; American College of Sports, M., Prevention, diagnosis, and treatment of the overtraining syndrome: joint consensus statement of the European College of Sport Science and the American College of Sports Medicine. </w:t>
      </w:r>
      <w:r w:rsidR="00825AF2" w:rsidRPr="006B65FC">
        <w:rPr>
          <w:rFonts w:cs="Calibri"/>
          <w:i/>
        </w:rPr>
        <w:t xml:space="preserve">Med Sci Sports Exerc </w:t>
      </w:r>
      <w:r w:rsidR="00825AF2" w:rsidRPr="006B65FC">
        <w:rPr>
          <w:rFonts w:cs="Calibri"/>
          <w:b/>
        </w:rPr>
        <w:t>2013,</w:t>
      </w:r>
      <w:r w:rsidR="00825AF2" w:rsidRPr="006B65FC">
        <w:rPr>
          <w:rFonts w:cs="Calibri"/>
        </w:rPr>
        <w:t xml:space="preserve"> 45, (1), 186-205.</w:t>
      </w:r>
    </w:p>
    <w:p w14:paraId="5CFE4484" w14:textId="77777777" w:rsidR="006B65FC" w:rsidRPr="006B65FC" w:rsidRDefault="006B65FC" w:rsidP="006B65FC">
      <w:pPr>
        <w:spacing w:line="240" w:lineRule="auto"/>
        <w:ind w:left="720" w:hanging="720"/>
        <w:rPr>
          <w:rFonts w:cs="Calibri"/>
        </w:rPr>
      </w:pPr>
      <w:r w:rsidRPr="006B65FC">
        <w:rPr>
          <w:rFonts w:cs="Calibri"/>
        </w:rPr>
        <w:t>43.</w:t>
      </w:r>
      <w:r w:rsidRPr="006B65FC">
        <w:rPr>
          <w:rFonts w:cs="Calibri"/>
        </w:rPr>
        <w:tab/>
      </w:r>
      <w:bookmarkEnd w:id="47"/>
      <w:r w:rsidR="00837447" w:rsidRPr="006B65FC">
        <w:rPr>
          <w:rFonts w:cs="Calibri"/>
        </w:rPr>
        <w:t xml:space="preserve">Knez, W. L.; Jenkins, D. G.; Coombes, J. S., Oxidative stress in half and full Ironman triathletes. </w:t>
      </w:r>
      <w:r w:rsidR="00837447" w:rsidRPr="006B65FC">
        <w:rPr>
          <w:rFonts w:cs="Calibri"/>
          <w:i/>
        </w:rPr>
        <w:t xml:space="preserve">Medicine and science in sports and exercise </w:t>
      </w:r>
      <w:r w:rsidR="00837447" w:rsidRPr="006B65FC">
        <w:rPr>
          <w:rFonts w:cs="Calibri"/>
          <w:b/>
        </w:rPr>
        <w:t>2007,</w:t>
      </w:r>
      <w:r w:rsidR="00837447" w:rsidRPr="006B65FC">
        <w:rPr>
          <w:rFonts w:cs="Calibri"/>
        </w:rPr>
        <w:t xml:space="preserve"> 39, (2), 283-8.</w:t>
      </w:r>
    </w:p>
    <w:p w14:paraId="2197586B" w14:textId="77777777" w:rsidR="00825AF2" w:rsidRDefault="006B65FC" w:rsidP="006B65FC">
      <w:pPr>
        <w:spacing w:line="240" w:lineRule="auto"/>
        <w:ind w:left="720" w:hanging="720"/>
        <w:rPr>
          <w:rFonts w:cs="Calibri"/>
        </w:rPr>
      </w:pPr>
      <w:bookmarkStart w:id="48" w:name="_ENREF_44"/>
      <w:r w:rsidRPr="006B65FC">
        <w:rPr>
          <w:rFonts w:cs="Calibri"/>
        </w:rPr>
        <w:t>44.</w:t>
      </w:r>
      <w:r w:rsidRPr="006B65FC">
        <w:rPr>
          <w:rFonts w:cs="Calibri"/>
        </w:rPr>
        <w:tab/>
      </w:r>
      <w:bookmarkStart w:id="49" w:name="_ENREF_45"/>
      <w:bookmarkEnd w:id="48"/>
      <w:r w:rsidR="00837447" w:rsidRPr="006B65FC">
        <w:rPr>
          <w:rFonts w:cs="Calibri"/>
        </w:rPr>
        <w:t xml:space="preserve">Palazzetti, S.; Richard, M. J.; Favier, A.; Margaritis, I., Overloaded training increases exercise-induced oxidative stress and damage. </w:t>
      </w:r>
      <w:r w:rsidR="00837447" w:rsidRPr="006B65FC">
        <w:rPr>
          <w:rFonts w:cs="Calibri"/>
          <w:i/>
        </w:rPr>
        <w:t xml:space="preserve">Canadian journal of applied physiology = Revue canadienne de physiologie appliquee </w:t>
      </w:r>
      <w:r w:rsidR="00837447" w:rsidRPr="006B65FC">
        <w:rPr>
          <w:rFonts w:cs="Calibri"/>
          <w:b/>
        </w:rPr>
        <w:t>2003,</w:t>
      </w:r>
      <w:r w:rsidR="00837447" w:rsidRPr="006B65FC">
        <w:rPr>
          <w:rFonts w:cs="Calibri"/>
        </w:rPr>
        <w:t xml:space="preserve"> 28, (4), 588-604.</w:t>
      </w:r>
    </w:p>
    <w:p w14:paraId="4627B9E4" w14:textId="77777777" w:rsidR="006B65FC" w:rsidRPr="006B65FC" w:rsidRDefault="006B65FC" w:rsidP="00837447">
      <w:pPr>
        <w:spacing w:line="240" w:lineRule="auto"/>
        <w:ind w:left="720" w:hanging="720"/>
        <w:rPr>
          <w:rFonts w:cs="Calibri"/>
        </w:rPr>
      </w:pPr>
      <w:r w:rsidRPr="006B65FC">
        <w:rPr>
          <w:rFonts w:cs="Calibri"/>
        </w:rPr>
        <w:t>45.</w:t>
      </w:r>
      <w:r w:rsidRPr="006B65FC">
        <w:rPr>
          <w:rFonts w:cs="Calibri"/>
        </w:rPr>
        <w:tab/>
      </w:r>
      <w:bookmarkEnd w:id="49"/>
      <w:r w:rsidR="00837447" w:rsidRPr="006B65FC">
        <w:rPr>
          <w:rFonts w:cs="Calibri"/>
        </w:rPr>
        <w:t xml:space="preserve">Schippinger, G.; Wonisch, W.; Abuja, P. M.; Fankhauser, F.; Winklhofer-Roob, B. M.; Halwachs, G., Lipid peroxidation and antioxidant status in professional American football players during competition. </w:t>
      </w:r>
      <w:r w:rsidR="00837447" w:rsidRPr="006B65FC">
        <w:rPr>
          <w:rFonts w:cs="Calibri"/>
          <w:i/>
        </w:rPr>
        <w:t xml:space="preserve">European journal of clinical investigation </w:t>
      </w:r>
      <w:r w:rsidR="00837447" w:rsidRPr="006B65FC">
        <w:rPr>
          <w:rFonts w:cs="Calibri"/>
          <w:b/>
        </w:rPr>
        <w:t>2002,</w:t>
      </w:r>
      <w:r w:rsidR="00837447" w:rsidRPr="006B65FC">
        <w:rPr>
          <w:rFonts w:cs="Calibri"/>
        </w:rPr>
        <w:t xml:space="preserve"> 32, (9), 686-92.</w:t>
      </w:r>
    </w:p>
    <w:p w14:paraId="7D13426E" w14:textId="77777777" w:rsidR="006B65FC" w:rsidRPr="006B65FC" w:rsidRDefault="006B65FC" w:rsidP="006B65FC">
      <w:pPr>
        <w:spacing w:line="240" w:lineRule="auto"/>
        <w:ind w:left="720" w:hanging="720"/>
        <w:rPr>
          <w:rFonts w:cs="Calibri"/>
        </w:rPr>
      </w:pPr>
      <w:bookmarkStart w:id="50" w:name="_ENREF_46"/>
      <w:r w:rsidRPr="006B65FC">
        <w:rPr>
          <w:rFonts w:cs="Calibri"/>
        </w:rPr>
        <w:t>46.</w:t>
      </w:r>
      <w:r w:rsidRPr="006B65FC">
        <w:rPr>
          <w:rFonts w:cs="Calibri"/>
        </w:rPr>
        <w:tab/>
      </w:r>
      <w:bookmarkEnd w:id="50"/>
      <w:r w:rsidR="00AA1D11" w:rsidRPr="006B65FC">
        <w:rPr>
          <w:rFonts w:cs="Calibri"/>
        </w:rPr>
        <w:t xml:space="preserve">Reid, M. B., Invited Review: redox modulation of skeletal muscle contraction: what we know and what we don't. </w:t>
      </w:r>
      <w:r w:rsidR="00AA1D11" w:rsidRPr="006B65FC">
        <w:rPr>
          <w:rFonts w:cs="Calibri"/>
          <w:i/>
        </w:rPr>
        <w:t xml:space="preserve">J Appl Physiol (1985) </w:t>
      </w:r>
      <w:r w:rsidR="00AA1D11" w:rsidRPr="006B65FC">
        <w:rPr>
          <w:rFonts w:cs="Calibri"/>
          <w:b/>
        </w:rPr>
        <w:t>2001,</w:t>
      </w:r>
      <w:r w:rsidR="00AA1D11" w:rsidRPr="006B65FC">
        <w:rPr>
          <w:rFonts w:cs="Calibri"/>
        </w:rPr>
        <w:t xml:space="preserve"> 90, (2), 724-31.</w:t>
      </w:r>
    </w:p>
    <w:p w14:paraId="66E877A9" w14:textId="77777777" w:rsidR="006B65FC" w:rsidRPr="006B65FC" w:rsidRDefault="005B26B2" w:rsidP="006B65FC">
      <w:pPr>
        <w:spacing w:line="240" w:lineRule="auto"/>
        <w:ind w:left="720" w:hanging="720"/>
        <w:rPr>
          <w:rFonts w:cs="Calibri"/>
        </w:rPr>
      </w:pPr>
      <w:bookmarkStart w:id="51" w:name="_ENREF_47"/>
      <w:r>
        <w:rPr>
          <w:rFonts w:cs="Calibri"/>
        </w:rPr>
        <w:t>47.</w:t>
      </w:r>
      <w:r>
        <w:rPr>
          <w:rFonts w:cs="Calibri"/>
        </w:rPr>
        <w:tab/>
      </w:r>
      <w:bookmarkEnd w:id="51"/>
      <w:r w:rsidR="00AA1D11" w:rsidRPr="006B65FC">
        <w:rPr>
          <w:rFonts w:cs="Calibri"/>
        </w:rPr>
        <w:t xml:space="preserve">Powers, S. K.; Ji, L. L.; Kavazis, A. N.; Jackson, M. J., Reactive oxygen species: impact on skeletal muscle. </w:t>
      </w:r>
      <w:r w:rsidR="00AA1D11" w:rsidRPr="006B65FC">
        <w:rPr>
          <w:rFonts w:cs="Calibri"/>
          <w:i/>
        </w:rPr>
        <w:t xml:space="preserve">Comprehensive Physiology </w:t>
      </w:r>
      <w:r w:rsidR="00AA1D11" w:rsidRPr="006B65FC">
        <w:rPr>
          <w:rFonts w:cs="Calibri"/>
          <w:b/>
        </w:rPr>
        <w:t>2011,</w:t>
      </w:r>
      <w:r w:rsidR="00AA1D11" w:rsidRPr="006B65FC">
        <w:rPr>
          <w:rFonts w:cs="Calibri"/>
        </w:rPr>
        <w:t xml:space="preserve"> 1, (2), 941-69.</w:t>
      </w:r>
    </w:p>
    <w:p w14:paraId="7F43786A" w14:textId="77777777" w:rsidR="00825AF2" w:rsidRDefault="006B65FC" w:rsidP="006B65FC">
      <w:pPr>
        <w:spacing w:line="240" w:lineRule="auto"/>
        <w:ind w:left="720" w:hanging="720"/>
        <w:rPr>
          <w:rFonts w:cs="Calibri"/>
        </w:rPr>
      </w:pPr>
      <w:bookmarkStart w:id="52" w:name="_ENREF_48"/>
      <w:r w:rsidRPr="006B65FC">
        <w:rPr>
          <w:rFonts w:cs="Calibri"/>
        </w:rPr>
        <w:t>48.</w:t>
      </w:r>
      <w:r w:rsidRPr="006B65FC">
        <w:rPr>
          <w:rFonts w:cs="Calibri"/>
        </w:rPr>
        <w:tab/>
      </w:r>
      <w:bookmarkStart w:id="53" w:name="_ENREF_49"/>
      <w:bookmarkEnd w:id="52"/>
      <w:r w:rsidR="00AA1D11" w:rsidRPr="006B65FC">
        <w:rPr>
          <w:rFonts w:cs="Calibri"/>
        </w:rPr>
        <w:t xml:space="preserve">Powers, S. K.; Duarte, J.; Kavazis, A. N.; Talbert, E. E., Reactive oxygen species are signalling molecules for skeletal muscle adaptation. </w:t>
      </w:r>
      <w:r w:rsidR="00AA1D11" w:rsidRPr="006B65FC">
        <w:rPr>
          <w:rFonts w:cs="Calibri"/>
          <w:i/>
        </w:rPr>
        <w:t xml:space="preserve">Experimental physiology </w:t>
      </w:r>
      <w:r w:rsidR="00AA1D11" w:rsidRPr="006B65FC">
        <w:rPr>
          <w:rFonts w:cs="Calibri"/>
          <w:b/>
        </w:rPr>
        <w:t>2010,</w:t>
      </w:r>
      <w:r w:rsidR="00AA1D11" w:rsidRPr="006B65FC">
        <w:rPr>
          <w:rFonts w:cs="Calibri"/>
        </w:rPr>
        <w:t xml:space="preserve"> 95, (1), 1-9.</w:t>
      </w:r>
    </w:p>
    <w:p w14:paraId="5A6F7B88" w14:textId="77777777" w:rsidR="006B65FC" w:rsidRPr="006B65FC" w:rsidRDefault="006B65FC" w:rsidP="006B65FC">
      <w:pPr>
        <w:spacing w:line="240" w:lineRule="auto"/>
        <w:ind w:left="720" w:hanging="720"/>
        <w:rPr>
          <w:rFonts w:cs="Calibri"/>
        </w:rPr>
      </w:pPr>
      <w:r w:rsidRPr="006B65FC">
        <w:rPr>
          <w:rFonts w:cs="Calibri"/>
        </w:rPr>
        <w:t>49.</w:t>
      </w:r>
      <w:r w:rsidRPr="006B65FC">
        <w:rPr>
          <w:rFonts w:cs="Calibri"/>
        </w:rPr>
        <w:tab/>
      </w:r>
      <w:bookmarkEnd w:id="53"/>
      <w:r w:rsidR="00AA1D11" w:rsidRPr="006B65FC">
        <w:rPr>
          <w:rFonts w:cs="Calibri"/>
        </w:rPr>
        <w:t xml:space="preserve">Cavarretta, E.; Peruzzi, M.; Frati, G.; Sciarretta, S., When enough is more than enough: The hidden side of the cardiac effects of intense physical exercise. </w:t>
      </w:r>
      <w:r w:rsidR="00AA1D11" w:rsidRPr="006B65FC">
        <w:rPr>
          <w:rFonts w:cs="Calibri"/>
          <w:i/>
        </w:rPr>
        <w:t xml:space="preserve">International journal of cardiology </w:t>
      </w:r>
      <w:r w:rsidR="00AA1D11" w:rsidRPr="006B65FC">
        <w:rPr>
          <w:rFonts w:cs="Calibri"/>
          <w:b/>
        </w:rPr>
        <w:t>2018,</w:t>
      </w:r>
      <w:r w:rsidR="00AA1D11" w:rsidRPr="006B65FC">
        <w:rPr>
          <w:rFonts w:cs="Calibri"/>
        </w:rPr>
        <w:t xml:space="preserve"> 258, 224-225.</w:t>
      </w:r>
    </w:p>
    <w:p w14:paraId="01E30885" w14:textId="77777777" w:rsidR="006B65FC" w:rsidRPr="006B65FC" w:rsidRDefault="006B65FC" w:rsidP="006B65FC">
      <w:pPr>
        <w:spacing w:line="240" w:lineRule="auto"/>
        <w:ind w:left="720" w:hanging="720"/>
        <w:rPr>
          <w:rFonts w:cs="Calibri"/>
        </w:rPr>
      </w:pPr>
      <w:bookmarkStart w:id="54" w:name="_ENREF_50"/>
      <w:r w:rsidRPr="006B65FC">
        <w:rPr>
          <w:rFonts w:cs="Calibri"/>
        </w:rPr>
        <w:t>50.</w:t>
      </w:r>
      <w:r w:rsidRPr="006B65FC">
        <w:rPr>
          <w:rFonts w:cs="Calibri"/>
        </w:rPr>
        <w:tab/>
      </w:r>
      <w:bookmarkEnd w:id="54"/>
      <w:r w:rsidR="00AA1D11" w:rsidRPr="006B65FC">
        <w:rPr>
          <w:rFonts w:cs="Calibri"/>
        </w:rPr>
        <w:t xml:space="preserve">Finaud, J.; Scislowski, V.; Lac, G.; Durand, D.; Vidalin, H.; Robert, A.; Filaire, E., Antioxidant status and oxidative stress in professional rugby players: evolution throughout a season. </w:t>
      </w:r>
      <w:r w:rsidR="00AA1D11" w:rsidRPr="006B65FC">
        <w:rPr>
          <w:rFonts w:cs="Calibri"/>
          <w:i/>
        </w:rPr>
        <w:t xml:space="preserve">International journal of sports medicine </w:t>
      </w:r>
      <w:r w:rsidR="00AA1D11" w:rsidRPr="006B65FC">
        <w:rPr>
          <w:rFonts w:cs="Calibri"/>
          <w:b/>
        </w:rPr>
        <w:t>2006,</w:t>
      </w:r>
      <w:r w:rsidR="00AA1D11" w:rsidRPr="006B65FC">
        <w:rPr>
          <w:rFonts w:cs="Calibri"/>
        </w:rPr>
        <w:t xml:space="preserve"> 27, (2), 87-93.</w:t>
      </w:r>
    </w:p>
    <w:p w14:paraId="7DCA904F" w14:textId="77777777" w:rsidR="00837447" w:rsidRDefault="006B65FC" w:rsidP="006B65FC">
      <w:pPr>
        <w:spacing w:line="240" w:lineRule="auto"/>
        <w:ind w:left="720" w:hanging="720"/>
        <w:rPr>
          <w:rFonts w:cs="Calibri"/>
        </w:rPr>
      </w:pPr>
      <w:bookmarkStart w:id="55" w:name="_ENREF_51"/>
      <w:r w:rsidRPr="006B65FC">
        <w:rPr>
          <w:rFonts w:cs="Calibri"/>
        </w:rPr>
        <w:t>51.</w:t>
      </w:r>
      <w:r w:rsidRPr="006B65FC">
        <w:rPr>
          <w:rFonts w:cs="Calibri"/>
        </w:rPr>
        <w:tab/>
      </w:r>
      <w:bookmarkStart w:id="56" w:name="_ENREF_52"/>
      <w:bookmarkEnd w:id="55"/>
      <w:r w:rsidR="00AA1D11" w:rsidRPr="006B65FC">
        <w:rPr>
          <w:rFonts w:cs="Calibri"/>
        </w:rPr>
        <w:t xml:space="preserve">Cialoni, D.; Brizzolari, A.; Samaja, M.; Bosco, G.; Paganini, M.; Pieri, M.; Lancellotti, V.; Marroni, A., Nitric Oxide and Oxidative Stress Changes at Depth in Breath-Hold Diving. </w:t>
      </w:r>
      <w:r w:rsidR="00AA1D11" w:rsidRPr="006B65FC">
        <w:rPr>
          <w:rFonts w:cs="Calibri"/>
          <w:i/>
        </w:rPr>
        <w:t xml:space="preserve">Frontiers in physiology </w:t>
      </w:r>
      <w:r w:rsidR="00AA1D11" w:rsidRPr="006B65FC">
        <w:rPr>
          <w:rFonts w:cs="Calibri"/>
          <w:b/>
        </w:rPr>
        <w:t>2020,</w:t>
      </w:r>
      <w:r w:rsidR="00AA1D11" w:rsidRPr="006B65FC">
        <w:rPr>
          <w:rFonts w:cs="Calibri"/>
        </w:rPr>
        <w:t xml:space="preserve"> 11, 609642.</w:t>
      </w:r>
    </w:p>
    <w:p w14:paraId="5F0F172B" w14:textId="77777777" w:rsidR="006B65FC" w:rsidRPr="006B65FC" w:rsidRDefault="006B65FC" w:rsidP="006B65FC">
      <w:pPr>
        <w:spacing w:line="240" w:lineRule="auto"/>
        <w:ind w:left="720" w:hanging="720"/>
        <w:rPr>
          <w:rFonts w:cs="Calibri"/>
        </w:rPr>
      </w:pPr>
      <w:r w:rsidRPr="006B65FC">
        <w:rPr>
          <w:rFonts w:cs="Calibri"/>
        </w:rPr>
        <w:t>52.</w:t>
      </w:r>
      <w:r w:rsidRPr="006B65FC">
        <w:rPr>
          <w:rFonts w:cs="Calibri"/>
        </w:rPr>
        <w:tab/>
      </w:r>
      <w:bookmarkEnd w:id="56"/>
      <w:r w:rsidR="00202626" w:rsidRPr="006B65FC">
        <w:rPr>
          <w:rFonts w:cs="Calibri"/>
        </w:rPr>
        <w:t xml:space="preserve">Seifi-Skishahr, F.; Damirchi, A.; Farjaminezhad, M.; Babaei, P., Physical Training Status Determines Oxidative Stress and Redox Changes in Response to an Acute Aerobic Exercise. </w:t>
      </w:r>
      <w:r w:rsidR="00202626" w:rsidRPr="006B65FC">
        <w:rPr>
          <w:rFonts w:cs="Calibri"/>
          <w:i/>
        </w:rPr>
        <w:t xml:space="preserve">Biochemistry research international </w:t>
      </w:r>
      <w:r w:rsidR="00202626" w:rsidRPr="006B65FC">
        <w:rPr>
          <w:rFonts w:cs="Calibri"/>
          <w:b/>
        </w:rPr>
        <w:t>2016,</w:t>
      </w:r>
      <w:r w:rsidR="00202626" w:rsidRPr="006B65FC">
        <w:rPr>
          <w:rFonts w:cs="Calibri"/>
        </w:rPr>
        <w:t xml:space="preserve"> 2016, 3757623.</w:t>
      </w:r>
    </w:p>
    <w:p w14:paraId="60F8AFC0" w14:textId="77777777" w:rsidR="006B65FC" w:rsidRPr="006B65FC" w:rsidRDefault="006B65FC" w:rsidP="006B65FC">
      <w:pPr>
        <w:spacing w:line="240" w:lineRule="auto"/>
        <w:ind w:left="720" w:hanging="720"/>
        <w:rPr>
          <w:rFonts w:cs="Calibri"/>
        </w:rPr>
      </w:pPr>
      <w:bookmarkStart w:id="57" w:name="_ENREF_53"/>
      <w:r w:rsidRPr="006B65FC">
        <w:rPr>
          <w:rFonts w:cs="Calibri"/>
        </w:rPr>
        <w:t>53.</w:t>
      </w:r>
      <w:r w:rsidRPr="006B65FC">
        <w:rPr>
          <w:rFonts w:cs="Calibri"/>
        </w:rPr>
        <w:tab/>
      </w:r>
      <w:bookmarkEnd w:id="57"/>
      <w:r w:rsidR="00202626" w:rsidRPr="006B65FC">
        <w:rPr>
          <w:rFonts w:cs="Calibri"/>
        </w:rPr>
        <w:t xml:space="preserve">Marin, D. P.; Bolin, A. P.; Campoio, T. R.; Guerra, B. A.; Otton, R., Oxidative stress and antioxidant status response of handball athletes: implications for sport training monitoring. </w:t>
      </w:r>
      <w:r w:rsidR="00202626" w:rsidRPr="006B65FC">
        <w:rPr>
          <w:rFonts w:cs="Calibri"/>
          <w:i/>
        </w:rPr>
        <w:t xml:space="preserve">International immunopharmacology </w:t>
      </w:r>
      <w:r w:rsidR="00202626" w:rsidRPr="006B65FC">
        <w:rPr>
          <w:rFonts w:cs="Calibri"/>
          <w:b/>
        </w:rPr>
        <w:t>2013,</w:t>
      </w:r>
      <w:r w:rsidR="00202626" w:rsidRPr="006B65FC">
        <w:rPr>
          <w:rFonts w:cs="Calibri"/>
        </w:rPr>
        <w:t xml:space="preserve"> 17, (2), 462-70.</w:t>
      </w:r>
    </w:p>
    <w:p w14:paraId="3F7B3E81" w14:textId="77777777" w:rsidR="006B65FC" w:rsidRPr="006B65FC" w:rsidRDefault="006B65FC" w:rsidP="006B65FC">
      <w:pPr>
        <w:spacing w:line="240" w:lineRule="auto"/>
        <w:ind w:left="720" w:hanging="720"/>
        <w:rPr>
          <w:rFonts w:cs="Calibri"/>
        </w:rPr>
      </w:pPr>
      <w:bookmarkStart w:id="58" w:name="_ENREF_54"/>
      <w:r w:rsidRPr="006B65FC">
        <w:rPr>
          <w:rFonts w:cs="Calibri"/>
        </w:rPr>
        <w:t>54.</w:t>
      </w:r>
      <w:r w:rsidRPr="006B65FC">
        <w:rPr>
          <w:rFonts w:cs="Calibri"/>
        </w:rPr>
        <w:tab/>
      </w:r>
      <w:bookmarkEnd w:id="58"/>
      <w:r w:rsidR="00202626" w:rsidRPr="006B65FC">
        <w:rPr>
          <w:rFonts w:cs="Calibri"/>
        </w:rPr>
        <w:t xml:space="preserve">Subudhi, A. W.; Davis, S. L.; Kipp, R. W.; Askew, E. W., Antioxidant status and oxidative stress in elite alpine ski racers. </w:t>
      </w:r>
      <w:r w:rsidR="00202626" w:rsidRPr="006B65FC">
        <w:rPr>
          <w:rFonts w:cs="Calibri"/>
          <w:i/>
        </w:rPr>
        <w:t xml:space="preserve">International journal of sport nutrition and exercise metabolism </w:t>
      </w:r>
      <w:r w:rsidR="00202626" w:rsidRPr="006B65FC">
        <w:rPr>
          <w:rFonts w:cs="Calibri"/>
          <w:b/>
        </w:rPr>
        <w:t>2001,</w:t>
      </w:r>
      <w:r w:rsidR="00202626" w:rsidRPr="006B65FC">
        <w:rPr>
          <w:rFonts w:cs="Calibri"/>
        </w:rPr>
        <w:t xml:space="preserve"> 11, (1), 32-41.</w:t>
      </w:r>
    </w:p>
    <w:p w14:paraId="7619A7F6" w14:textId="77777777" w:rsidR="006B65FC" w:rsidRPr="006B65FC" w:rsidRDefault="006B65FC" w:rsidP="006B65FC">
      <w:pPr>
        <w:spacing w:line="240" w:lineRule="auto"/>
        <w:ind w:left="720" w:hanging="720"/>
        <w:rPr>
          <w:rFonts w:cs="Calibri"/>
        </w:rPr>
      </w:pPr>
      <w:bookmarkStart w:id="59" w:name="_ENREF_55"/>
      <w:r w:rsidRPr="006B65FC">
        <w:rPr>
          <w:rFonts w:cs="Calibri"/>
        </w:rPr>
        <w:t>55.</w:t>
      </w:r>
      <w:r w:rsidRPr="006B65FC">
        <w:rPr>
          <w:rFonts w:cs="Calibri"/>
        </w:rPr>
        <w:tab/>
      </w:r>
      <w:bookmarkEnd w:id="59"/>
      <w:r w:rsidR="00202626" w:rsidRPr="006B65FC">
        <w:rPr>
          <w:rFonts w:cs="Calibri"/>
        </w:rPr>
        <w:t xml:space="preserve">Vezzoli, A.; Pugliese, L.; Marzorati, M.; Serpiello, F. R.; La Torre, A.; Porcelli, S., Time-course changes of oxidative stress response to high-intensity discontinuous training versus moderate-intensity continuous training in masters runners. </w:t>
      </w:r>
      <w:r w:rsidR="00202626" w:rsidRPr="006B65FC">
        <w:rPr>
          <w:rFonts w:cs="Calibri"/>
          <w:i/>
        </w:rPr>
        <w:t xml:space="preserve">PloS one </w:t>
      </w:r>
      <w:r w:rsidR="00202626" w:rsidRPr="006B65FC">
        <w:rPr>
          <w:rFonts w:cs="Calibri"/>
          <w:b/>
        </w:rPr>
        <w:t>2014,</w:t>
      </w:r>
      <w:r w:rsidR="00202626" w:rsidRPr="006B65FC">
        <w:rPr>
          <w:rFonts w:cs="Calibri"/>
        </w:rPr>
        <w:t xml:space="preserve"> 9, (1), e87506.</w:t>
      </w:r>
    </w:p>
    <w:p w14:paraId="514D850C" w14:textId="77777777" w:rsidR="006B65FC" w:rsidRPr="006B65FC" w:rsidRDefault="006B65FC" w:rsidP="006B65FC">
      <w:pPr>
        <w:spacing w:line="240" w:lineRule="auto"/>
        <w:ind w:left="720" w:hanging="720"/>
        <w:rPr>
          <w:rFonts w:cs="Calibri"/>
        </w:rPr>
      </w:pPr>
      <w:bookmarkStart w:id="60" w:name="_ENREF_56"/>
      <w:r w:rsidRPr="006B65FC">
        <w:rPr>
          <w:rFonts w:cs="Calibri"/>
        </w:rPr>
        <w:t>56.</w:t>
      </w:r>
      <w:r w:rsidRPr="006B65FC">
        <w:rPr>
          <w:rFonts w:cs="Calibri"/>
        </w:rPr>
        <w:tab/>
      </w:r>
      <w:bookmarkEnd w:id="60"/>
      <w:r w:rsidR="00202626" w:rsidRPr="006B65FC">
        <w:rPr>
          <w:rFonts w:cs="Calibri"/>
        </w:rPr>
        <w:t xml:space="preserve">Jonsdottir, I. H.; Schjerling, P.; Ostrowski, K.; Asp, S.; Richter, E. A.; Pedersen, B. K., Muscle contractions induce interleukin-6 mRNA production in rat skeletal muscles. </w:t>
      </w:r>
      <w:r w:rsidR="00202626" w:rsidRPr="006B65FC">
        <w:rPr>
          <w:rFonts w:cs="Calibri"/>
          <w:i/>
        </w:rPr>
        <w:t xml:space="preserve">The Journal of physiology </w:t>
      </w:r>
      <w:r w:rsidR="00202626" w:rsidRPr="006B65FC">
        <w:rPr>
          <w:rFonts w:cs="Calibri"/>
          <w:b/>
        </w:rPr>
        <w:t>2000,</w:t>
      </w:r>
      <w:r w:rsidR="00202626" w:rsidRPr="006B65FC">
        <w:rPr>
          <w:rFonts w:cs="Calibri"/>
        </w:rPr>
        <w:t xml:space="preserve"> 528 Pt 1, 157-63.</w:t>
      </w:r>
    </w:p>
    <w:p w14:paraId="25F600CB" w14:textId="77777777" w:rsidR="006B65FC" w:rsidRPr="006B65FC" w:rsidRDefault="006B65FC" w:rsidP="006B65FC">
      <w:pPr>
        <w:spacing w:line="240" w:lineRule="auto"/>
        <w:ind w:left="720" w:hanging="720"/>
        <w:rPr>
          <w:rFonts w:cs="Calibri"/>
        </w:rPr>
      </w:pPr>
      <w:bookmarkStart w:id="61" w:name="_ENREF_57"/>
      <w:r w:rsidRPr="006B65FC">
        <w:rPr>
          <w:rFonts w:cs="Calibri"/>
        </w:rPr>
        <w:t>57.</w:t>
      </w:r>
      <w:r w:rsidRPr="006B65FC">
        <w:rPr>
          <w:rFonts w:cs="Calibri"/>
        </w:rPr>
        <w:tab/>
      </w:r>
      <w:bookmarkEnd w:id="61"/>
      <w:r w:rsidR="00202626" w:rsidRPr="006B65FC">
        <w:rPr>
          <w:rFonts w:cs="Calibri"/>
        </w:rPr>
        <w:t xml:space="preserve">Pedersen, B. K.; Steensberg, A.; Schjerling, P., Muscle-derived interleukin-6: possible biological effects. </w:t>
      </w:r>
      <w:r w:rsidR="00202626" w:rsidRPr="006B65FC">
        <w:rPr>
          <w:rFonts w:cs="Calibri"/>
          <w:i/>
        </w:rPr>
        <w:t xml:space="preserve">The Journal of physiology </w:t>
      </w:r>
      <w:r w:rsidR="00202626" w:rsidRPr="006B65FC">
        <w:rPr>
          <w:rFonts w:cs="Calibri"/>
          <w:b/>
        </w:rPr>
        <w:t>2001,</w:t>
      </w:r>
      <w:r w:rsidR="00202626" w:rsidRPr="006B65FC">
        <w:rPr>
          <w:rFonts w:cs="Calibri"/>
        </w:rPr>
        <w:t xml:space="preserve"> 536, (Pt 2), 329-37.</w:t>
      </w:r>
    </w:p>
    <w:p w14:paraId="698920A5" w14:textId="77777777" w:rsidR="006B65FC" w:rsidRPr="006B65FC" w:rsidRDefault="006B65FC" w:rsidP="006B65FC">
      <w:pPr>
        <w:spacing w:line="240" w:lineRule="auto"/>
        <w:ind w:left="720" w:hanging="720"/>
        <w:rPr>
          <w:rFonts w:cs="Calibri"/>
        </w:rPr>
      </w:pPr>
      <w:bookmarkStart w:id="62" w:name="_ENREF_58"/>
      <w:r w:rsidRPr="006B65FC">
        <w:rPr>
          <w:rFonts w:cs="Calibri"/>
        </w:rPr>
        <w:lastRenderedPageBreak/>
        <w:t>58.</w:t>
      </w:r>
      <w:r w:rsidRPr="006B65FC">
        <w:rPr>
          <w:rFonts w:cs="Calibri"/>
        </w:rPr>
        <w:tab/>
      </w:r>
      <w:bookmarkEnd w:id="62"/>
      <w:r w:rsidR="00202626" w:rsidRPr="006B65FC">
        <w:rPr>
          <w:rFonts w:cs="Calibri"/>
        </w:rPr>
        <w:t xml:space="preserve">Febbraio, M. A.; Pedersen, B. K., Muscle-derived interleukin-6: mechanisms for activation and possible biological roles. </w:t>
      </w:r>
      <w:r w:rsidR="00202626" w:rsidRPr="006B65FC">
        <w:rPr>
          <w:rFonts w:cs="Calibri"/>
          <w:i/>
        </w:rPr>
        <w:t xml:space="preserve">FASEB journal : official publication of the Federation of American Societies for Experimental Biology </w:t>
      </w:r>
      <w:r w:rsidR="00202626" w:rsidRPr="006B65FC">
        <w:rPr>
          <w:rFonts w:cs="Calibri"/>
          <w:b/>
        </w:rPr>
        <w:t>2002,</w:t>
      </w:r>
      <w:r w:rsidR="00202626" w:rsidRPr="006B65FC">
        <w:rPr>
          <w:rFonts w:cs="Calibri"/>
        </w:rPr>
        <w:t xml:space="preserve"> 16, (11), 1335-47.</w:t>
      </w:r>
    </w:p>
    <w:p w14:paraId="4CB63CEC" w14:textId="77777777" w:rsidR="006B65FC" w:rsidRPr="006B65FC" w:rsidRDefault="006B65FC" w:rsidP="006B65FC">
      <w:pPr>
        <w:spacing w:line="240" w:lineRule="auto"/>
        <w:ind w:left="720" w:hanging="720"/>
        <w:rPr>
          <w:rFonts w:cs="Calibri"/>
        </w:rPr>
      </w:pPr>
      <w:bookmarkStart w:id="63" w:name="_ENREF_59"/>
      <w:r w:rsidRPr="006B65FC">
        <w:rPr>
          <w:rFonts w:cs="Calibri"/>
        </w:rPr>
        <w:t>59.</w:t>
      </w:r>
      <w:r w:rsidRPr="006B65FC">
        <w:rPr>
          <w:rFonts w:cs="Calibri"/>
        </w:rPr>
        <w:tab/>
      </w:r>
      <w:bookmarkEnd w:id="63"/>
      <w:r w:rsidR="00202626" w:rsidRPr="00BA1C89">
        <w:rPr>
          <w:rFonts w:cs="Calibri"/>
        </w:rPr>
        <w:t xml:space="preserve">Pedersen, B. K., Steensberg, A., Fischer, C., Keller, C., Keller, P., Plomgaard, P., Wolsk-Petersen, E., </w:t>
      </w:r>
      <w:r w:rsidR="00202626">
        <w:rPr>
          <w:rFonts w:cs="Calibri"/>
        </w:rPr>
        <w:t xml:space="preserve">Febbraio, M. A., </w:t>
      </w:r>
      <w:r w:rsidR="00202626" w:rsidRPr="00BA1C89">
        <w:rPr>
          <w:rFonts w:cs="Calibri"/>
        </w:rPr>
        <w:t xml:space="preserve">The metabolic role of IL-6 produced during exercise: is IL-6 an exercise factor? </w:t>
      </w:r>
      <w:r w:rsidR="00202626" w:rsidRPr="00BA1C89">
        <w:rPr>
          <w:rFonts w:cs="Calibri"/>
          <w:i/>
        </w:rPr>
        <w:t xml:space="preserve">Proceedings of the Ntrition society </w:t>
      </w:r>
      <w:r w:rsidR="00202626" w:rsidRPr="00BA1C89">
        <w:rPr>
          <w:rFonts w:cs="Calibri"/>
          <w:b/>
        </w:rPr>
        <w:t>2004,</w:t>
      </w:r>
      <w:r w:rsidR="00202626" w:rsidRPr="00BA1C89">
        <w:rPr>
          <w:rFonts w:cs="Calibri"/>
        </w:rPr>
        <w:t xml:space="preserve"> 63 ( 2), 263-67.</w:t>
      </w:r>
    </w:p>
    <w:p w14:paraId="064C018E" w14:textId="77777777" w:rsidR="006B65FC" w:rsidRPr="006B65FC" w:rsidRDefault="006B65FC" w:rsidP="006B65FC">
      <w:pPr>
        <w:spacing w:line="240" w:lineRule="auto"/>
        <w:ind w:left="720" w:hanging="720"/>
        <w:rPr>
          <w:rFonts w:cs="Calibri"/>
        </w:rPr>
      </w:pPr>
      <w:bookmarkStart w:id="64" w:name="_ENREF_60"/>
      <w:r w:rsidRPr="006B65FC">
        <w:rPr>
          <w:rFonts w:cs="Calibri"/>
        </w:rPr>
        <w:t>60.</w:t>
      </w:r>
      <w:r w:rsidRPr="006B65FC">
        <w:rPr>
          <w:rFonts w:cs="Calibri"/>
        </w:rPr>
        <w:tab/>
      </w:r>
      <w:bookmarkEnd w:id="64"/>
      <w:r w:rsidR="00A13477" w:rsidRPr="00316852">
        <w:rPr>
          <w:rFonts w:cs="Calibri"/>
        </w:rPr>
        <w:t xml:space="preserve">Bruunsgaard, H.; Galbo, H.; Halkjaer-Kristensen, J.; Johansen, T. L.; MacLean, D. A.; Pedersen, B. K., Exercise-induced increase in serum interleukin-6 in humans is related to muscle damage. </w:t>
      </w:r>
      <w:r w:rsidR="00A13477" w:rsidRPr="00316852">
        <w:rPr>
          <w:rFonts w:cs="Calibri"/>
          <w:i/>
        </w:rPr>
        <w:t xml:space="preserve">The Journal of physiology </w:t>
      </w:r>
      <w:r w:rsidR="00A13477" w:rsidRPr="00316852">
        <w:rPr>
          <w:rFonts w:cs="Calibri"/>
          <w:b/>
        </w:rPr>
        <w:t>1997,</w:t>
      </w:r>
      <w:r w:rsidR="00A13477" w:rsidRPr="00316852">
        <w:rPr>
          <w:rFonts w:cs="Calibri"/>
        </w:rPr>
        <w:t xml:space="preserve"> 499 ( Pt 3), 833-41.</w:t>
      </w:r>
    </w:p>
    <w:p w14:paraId="2CE45391" w14:textId="77777777" w:rsidR="006B65FC" w:rsidRPr="006B65FC" w:rsidRDefault="006B65FC" w:rsidP="006B65FC">
      <w:pPr>
        <w:spacing w:line="240" w:lineRule="auto"/>
        <w:ind w:left="720" w:hanging="720"/>
        <w:rPr>
          <w:rFonts w:cs="Calibri"/>
        </w:rPr>
      </w:pPr>
      <w:bookmarkStart w:id="65" w:name="_ENREF_61"/>
      <w:r w:rsidRPr="006B65FC">
        <w:rPr>
          <w:rFonts w:cs="Calibri"/>
        </w:rPr>
        <w:t>61.</w:t>
      </w:r>
      <w:r w:rsidRPr="006B65FC">
        <w:rPr>
          <w:rFonts w:cs="Calibri"/>
        </w:rPr>
        <w:tab/>
      </w:r>
      <w:bookmarkEnd w:id="65"/>
      <w:r w:rsidR="00A13477" w:rsidRPr="006B65FC">
        <w:rPr>
          <w:rFonts w:cs="Calibri"/>
        </w:rPr>
        <w:t xml:space="preserve">Bailey, S. J.; Fulford, J.; Vanhatalo, A.; Winyard, P. G.; Blackwell, J. R.; DiMenna, F. J.; Wilkerson, D. P.; Benjamin, N.; Jones, A. M., Dietary nitrate supplementation enhances muscle contractile efficiency during knee-extensor exercise in humans. </w:t>
      </w:r>
      <w:r w:rsidR="00A13477" w:rsidRPr="006B65FC">
        <w:rPr>
          <w:rFonts w:cs="Calibri"/>
          <w:i/>
        </w:rPr>
        <w:t xml:space="preserve">J Appl Physiol (1985) </w:t>
      </w:r>
      <w:r w:rsidR="00A13477" w:rsidRPr="006B65FC">
        <w:rPr>
          <w:rFonts w:cs="Calibri"/>
          <w:b/>
        </w:rPr>
        <w:t>2010,</w:t>
      </w:r>
      <w:r w:rsidR="00A13477" w:rsidRPr="006B65FC">
        <w:rPr>
          <w:rFonts w:cs="Calibri"/>
        </w:rPr>
        <w:t xml:space="preserve"> 109, (1), 135-48.</w:t>
      </w:r>
    </w:p>
    <w:p w14:paraId="4E66B73E" w14:textId="77777777" w:rsidR="006B65FC" w:rsidRPr="006B65FC" w:rsidRDefault="006B65FC" w:rsidP="006B65FC">
      <w:pPr>
        <w:spacing w:line="240" w:lineRule="auto"/>
        <w:ind w:left="720" w:hanging="720"/>
        <w:rPr>
          <w:rFonts w:cs="Calibri"/>
        </w:rPr>
      </w:pPr>
      <w:bookmarkStart w:id="66" w:name="_ENREF_62"/>
      <w:r w:rsidRPr="006B65FC">
        <w:rPr>
          <w:rFonts w:cs="Calibri"/>
        </w:rPr>
        <w:t>62.</w:t>
      </w:r>
      <w:r w:rsidRPr="006B65FC">
        <w:rPr>
          <w:rFonts w:cs="Calibri"/>
        </w:rPr>
        <w:tab/>
      </w:r>
      <w:bookmarkEnd w:id="66"/>
      <w:r w:rsidR="00A13477" w:rsidRPr="006B65FC">
        <w:rPr>
          <w:rFonts w:cs="Calibri"/>
        </w:rPr>
        <w:t xml:space="preserve">Larsen, F. J.; Schiffer, T. A.; Borniquel, S.; Sahlin, K.; Ekblom, B.; Lundberg, J. O.; Weitzberg, E., Dietary inorganic nitrate improves mitochondrial efficiency in humans. </w:t>
      </w:r>
      <w:r w:rsidR="00A13477" w:rsidRPr="006B65FC">
        <w:rPr>
          <w:rFonts w:cs="Calibri"/>
          <w:i/>
        </w:rPr>
        <w:t xml:space="preserve">Cell metabolism </w:t>
      </w:r>
      <w:r w:rsidR="00A13477" w:rsidRPr="006B65FC">
        <w:rPr>
          <w:rFonts w:cs="Calibri"/>
          <w:b/>
        </w:rPr>
        <w:t>2011,</w:t>
      </w:r>
      <w:r w:rsidR="00A13477" w:rsidRPr="006B65FC">
        <w:rPr>
          <w:rFonts w:cs="Calibri"/>
        </w:rPr>
        <w:t xml:space="preserve"> 13, (2), 149-59.</w:t>
      </w:r>
    </w:p>
    <w:p w14:paraId="5590AFFF" w14:textId="77777777" w:rsidR="00A13477" w:rsidRDefault="006B65FC" w:rsidP="006B65FC">
      <w:pPr>
        <w:spacing w:line="240" w:lineRule="auto"/>
        <w:ind w:left="720" w:hanging="720"/>
        <w:rPr>
          <w:rFonts w:cs="Calibri"/>
        </w:rPr>
      </w:pPr>
      <w:bookmarkStart w:id="67" w:name="_ENREF_63"/>
      <w:r w:rsidRPr="006B65FC">
        <w:rPr>
          <w:rFonts w:cs="Calibri"/>
        </w:rPr>
        <w:t>63.</w:t>
      </w:r>
      <w:r w:rsidRPr="006B65FC">
        <w:rPr>
          <w:rFonts w:cs="Calibri"/>
        </w:rPr>
        <w:tab/>
      </w:r>
      <w:bookmarkStart w:id="68" w:name="_ENREF_64"/>
      <w:bookmarkEnd w:id="67"/>
      <w:r w:rsidR="00A13477" w:rsidRPr="006B65FC">
        <w:rPr>
          <w:rFonts w:cs="Calibri"/>
        </w:rPr>
        <w:t xml:space="preserve">Stamler, J. S.; Meissner, G., Physiology of nitric oxide in skeletal muscle. </w:t>
      </w:r>
      <w:r w:rsidR="00A13477" w:rsidRPr="006B65FC">
        <w:rPr>
          <w:rFonts w:cs="Calibri"/>
          <w:i/>
        </w:rPr>
        <w:t xml:space="preserve">Physiological reviews </w:t>
      </w:r>
      <w:r w:rsidR="00A13477" w:rsidRPr="006B65FC">
        <w:rPr>
          <w:rFonts w:cs="Calibri"/>
          <w:b/>
        </w:rPr>
        <w:t>2001,</w:t>
      </w:r>
      <w:r w:rsidR="00A13477" w:rsidRPr="006B65FC">
        <w:rPr>
          <w:rFonts w:cs="Calibri"/>
        </w:rPr>
        <w:t xml:space="preserve"> 81, (1), 209-237.</w:t>
      </w:r>
    </w:p>
    <w:p w14:paraId="2ABCA7C0" w14:textId="77777777" w:rsidR="006B65FC" w:rsidRPr="006B65FC" w:rsidRDefault="006B65FC" w:rsidP="006B65FC">
      <w:pPr>
        <w:spacing w:line="240" w:lineRule="auto"/>
        <w:ind w:left="720" w:hanging="720"/>
        <w:rPr>
          <w:rFonts w:cs="Calibri"/>
        </w:rPr>
      </w:pPr>
      <w:r w:rsidRPr="006B65FC">
        <w:rPr>
          <w:rFonts w:cs="Calibri"/>
        </w:rPr>
        <w:t>64.</w:t>
      </w:r>
      <w:r w:rsidRPr="006B65FC">
        <w:rPr>
          <w:rFonts w:cs="Calibri"/>
        </w:rPr>
        <w:tab/>
      </w:r>
      <w:bookmarkEnd w:id="68"/>
      <w:r w:rsidR="00A13477" w:rsidRPr="006B65FC">
        <w:rPr>
          <w:rFonts w:cs="Calibri"/>
        </w:rPr>
        <w:t xml:space="preserve">Owen-Smith, B.; Quiney, J.; Read, J., Salivary urate in gout, exercise, and diurnal variation. </w:t>
      </w:r>
      <w:r w:rsidR="00A13477" w:rsidRPr="006B65FC">
        <w:rPr>
          <w:rFonts w:cs="Calibri"/>
          <w:i/>
        </w:rPr>
        <w:t xml:space="preserve">Lancet </w:t>
      </w:r>
      <w:r w:rsidR="00A13477" w:rsidRPr="006B65FC">
        <w:rPr>
          <w:rFonts w:cs="Calibri"/>
          <w:b/>
        </w:rPr>
        <w:t>1998,</w:t>
      </w:r>
      <w:r w:rsidR="00A13477" w:rsidRPr="006B65FC">
        <w:rPr>
          <w:rFonts w:cs="Calibri"/>
        </w:rPr>
        <w:t xml:space="preserve"> 351, (9120), 1932.</w:t>
      </w:r>
    </w:p>
    <w:p w14:paraId="227C299F" w14:textId="77777777" w:rsidR="006B65FC" w:rsidRPr="006B65FC" w:rsidRDefault="006B65FC" w:rsidP="00A13477">
      <w:pPr>
        <w:spacing w:line="240" w:lineRule="auto"/>
        <w:ind w:left="720" w:hanging="720"/>
        <w:rPr>
          <w:rFonts w:cs="Calibri"/>
        </w:rPr>
      </w:pPr>
      <w:bookmarkStart w:id="69" w:name="_ENREF_65"/>
      <w:r w:rsidRPr="006B65FC">
        <w:rPr>
          <w:rFonts w:cs="Calibri"/>
        </w:rPr>
        <w:t>65.</w:t>
      </w:r>
      <w:r w:rsidRPr="006B65FC">
        <w:rPr>
          <w:rFonts w:cs="Calibri"/>
        </w:rPr>
        <w:tab/>
      </w:r>
      <w:bookmarkEnd w:id="69"/>
      <w:r w:rsidR="00A13477" w:rsidRPr="00EF4647">
        <w:rPr>
          <w:rFonts w:cs="Calibri"/>
        </w:rPr>
        <w:t xml:space="preserve">Sutton, J. R.; Toews, C. J.; Ward, G. R.; Fox, I. H., Purine metabolism during strenuous muscular exercise in man. </w:t>
      </w:r>
      <w:r w:rsidR="00A13477" w:rsidRPr="00EF4647">
        <w:rPr>
          <w:rFonts w:cs="Calibri"/>
          <w:i/>
        </w:rPr>
        <w:t xml:space="preserve">Metabolism: clinical and experimental </w:t>
      </w:r>
      <w:r w:rsidR="00A13477" w:rsidRPr="00EF4647">
        <w:rPr>
          <w:rFonts w:cs="Calibri"/>
          <w:b/>
        </w:rPr>
        <w:t>1980,</w:t>
      </w:r>
      <w:r w:rsidR="00A13477" w:rsidRPr="00EF4647">
        <w:rPr>
          <w:rFonts w:cs="Calibri"/>
        </w:rPr>
        <w:t xml:space="preserve"> 29, (3), 254-60.</w:t>
      </w:r>
    </w:p>
    <w:p w14:paraId="10558D6F" w14:textId="77777777" w:rsidR="00A13477" w:rsidRDefault="006B65FC" w:rsidP="006B65FC">
      <w:pPr>
        <w:spacing w:line="240" w:lineRule="auto"/>
        <w:ind w:left="720" w:hanging="720"/>
        <w:rPr>
          <w:rFonts w:cs="Calibri"/>
        </w:rPr>
      </w:pPr>
      <w:bookmarkStart w:id="70" w:name="_ENREF_66"/>
      <w:r w:rsidRPr="006B65FC">
        <w:rPr>
          <w:rFonts w:cs="Calibri"/>
        </w:rPr>
        <w:t>66.</w:t>
      </w:r>
      <w:r w:rsidRPr="006B65FC">
        <w:rPr>
          <w:rFonts w:cs="Calibri"/>
        </w:rPr>
        <w:tab/>
      </w:r>
      <w:bookmarkStart w:id="71" w:name="_ENREF_67"/>
      <w:bookmarkEnd w:id="70"/>
      <w:r w:rsidR="00A13477" w:rsidRPr="006B65FC">
        <w:rPr>
          <w:rFonts w:cs="Calibri"/>
        </w:rPr>
        <w:t xml:space="preserve">Huang, L. L.; Huang, C. T.; Chen, M. L.; Mao, I. F., Effects of profuse sweating induced by exercise on urinary uric acid excretion in a hot environment. </w:t>
      </w:r>
      <w:r w:rsidR="00A13477" w:rsidRPr="006B65FC">
        <w:rPr>
          <w:rFonts w:cs="Calibri"/>
          <w:i/>
        </w:rPr>
        <w:t xml:space="preserve">The Chinese journal of physiology </w:t>
      </w:r>
      <w:r w:rsidR="00A13477" w:rsidRPr="006B65FC">
        <w:rPr>
          <w:rFonts w:cs="Calibri"/>
          <w:b/>
        </w:rPr>
        <w:t>2010,</w:t>
      </w:r>
      <w:r w:rsidR="00A13477" w:rsidRPr="006B65FC">
        <w:rPr>
          <w:rFonts w:cs="Calibri"/>
        </w:rPr>
        <w:t xml:space="preserve"> 53, (4), 254-61.</w:t>
      </w:r>
    </w:p>
    <w:p w14:paraId="3D1F988B" w14:textId="77777777" w:rsidR="006B65FC" w:rsidRPr="00EF4647" w:rsidRDefault="006B65FC" w:rsidP="00A13477">
      <w:pPr>
        <w:spacing w:line="240" w:lineRule="auto"/>
        <w:ind w:left="720" w:hanging="720"/>
        <w:rPr>
          <w:rFonts w:cs="Calibri"/>
        </w:rPr>
      </w:pPr>
      <w:r w:rsidRPr="006B65FC">
        <w:rPr>
          <w:rFonts w:cs="Calibri"/>
        </w:rPr>
        <w:t>67.</w:t>
      </w:r>
      <w:r w:rsidRPr="006B65FC">
        <w:rPr>
          <w:rFonts w:cs="Calibri"/>
        </w:rPr>
        <w:tab/>
      </w:r>
      <w:bookmarkEnd w:id="71"/>
      <w:r w:rsidR="00A13477" w:rsidRPr="00EF4647">
        <w:rPr>
          <w:rFonts w:cs="Calibri"/>
        </w:rPr>
        <w:t xml:space="preserve">Poortmans, J. R., Exercise and renal function. </w:t>
      </w:r>
      <w:r w:rsidR="00A13477" w:rsidRPr="00EF4647">
        <w:rPr>
          <w:rFonts w:cs="Calibri"/>
          <w:i/>
        </w:rPr>
        <w:t xml:space="preserve">Sports Med </w:t>
      </w:r>
      <w:r w:rsidR="00A13477" w:rsidRPr="00EF4647">
        <w:rPr>
          <w:rFonts w:cs="Calibri"/>
          <w:b/>
        </w:rPr>
        <w:t>1984,</w:t>
      </w:r>
      <w:r w:rsidR="00A13477" w:rsidRPr="00EF4647">
        <w:rPr>
          <w:rFonts w:cs="Calibri"/>
        </w:rPr>
        <w:t xml:space="preserve"> 1, (2), 125-53.</w:t>
      </w:r>
    </w:p>
    <w:p w14:paraId="002BCF56" w14:textId="77777777" w:rsidR="006B65FC" w:rsidRPr="00A13477" w:rsidRDefault="006B65FC" w:rsidP="00A13477">
      <w:pPr>
        <w:spacing w:line="240" w:lineRule="auto"/>
        <w:ind w:left="720" w:hanging="720"/>
        <w:rPr>
          <w:rFonts w:cs="Calibri"/>
        </w:rPr>
      </w:pPr>
      <w:bookmarkStart w:id="72" w:name="_ENREF_68"/>
      <w:r w:rsidRPr="00EF4647">
        <w:rPr>
          <w:rFonts w:cs="Calibri"/>
        </w:rPr>
        <w:t>68.</w:t>
      </w:r>
      <w:r w:rsidRPr="00EF4647">
        <w:rPr>
          <w:rFonts w:cs="Calibri"/>
        </w:rPr>
        <w:tab/>
      </w:r>
      <w:bookmarkEnd w:id="72"/>
      <w:r w:rsidR="00A13477" w:rsidRPr="00EF4647">
        <w:rPr>
          <w:rFonts w:cs="Calibri"/>
        </w:rPr>
        <w:t xml:space="preserve">Yamamoto, T.; Moriwaki, Y.; Takahashi, S.; Nasako, Y.; Higashino, K., Effect of lactate infusion on renal transport of purine bases and oxypurinol. </w:t>
      </w:r>
      <w:r w:rsidR="00A13477" w:rsidRPr="00EF4647">
        <w:rPr>
          <w:rFonts w:cs="Calibri"/>
          <w:i/>
        </w:rPr>
        <w:t xml:space="preserve">Nephron </w:t>
      </w:r>
      <w:r w:rsidR="00A13477" w:rsidRPr="00EF4647">
        <w:rPr>
          <w:rFonts w:cs="Calibri"/>
          <w:b/>
        </w:rPr>
        <w:t>1993,</w:t>
      </w:r>
      <w:r w:rsidR="00A13477" w:rsidRPr="00EF4647">
        <w:rPr>
          <w:rFonts w:cs="Calibri"/>
        </w:rPr>
        <w:t xml:space="preserve"> 65, (1), 73-6.</w:t>
      </w:r>
    </w:p>
    <w:p w14:paraId="2BBDCA9E" w14:textId="77777777" w:rsidR="00202626" w:rsidRDefault="006B65FC" w:rsidP="006B65FC">
      <w:pPr>
        <w:spacing w:line="240" w:lineRule="auto"/>
        <w:ind w:left="720" w:hanging="720"/>
        <w:rPr>
          <w:rFonts w:cs="Calibri"/>
        </w:rPr>
      </w:pPr>
      <w:bookmarkStart w:id="73" w:name="_ENREF_69"/>
      <w:r w:rsidRPr="006B65FC">
        <w:rPr>
          <w:rFonts w:cs="Calibri"/>
        </w:rPr>
        <w:t>69.</w:t>
      </w:r>
      <w:r w:rsidRPr="006B65FC">
        <w:rPr>
          <w:rFonts w:cs="Calibri"/>
        </w:rPr>
        <w:tab/>
      </w:r>
      <w:bookmarkStart w:id="74" w:name="_ENREF_70"/>
      <w:bookmarkEnd w:id="73"/>
      <w:r w:rsidR="00A13477" w:rsidRPr="006B65FC">
        <w:rPr>
          <w:rFonts w:cs="Calibri"/>
        </w:rPr>
        <w:t xml:space="preserve">Yamamoto, T.; Moriwaki, Y.; Takahashi, S.; Tsutsumi, Z.; Hada, T., Effect of norepinephrine on the urinary excretion of purine bases and oxypurinol. </w:t>
      </w:r>
      <w:r w:rsidR="00A13477" w:rsidRPr="006B65FC">
        <w:rPr>
          <w:rFonts w:cs="Calibri"/>
          <w:i/>
        </w:rPr>
        <w:t xml:space="preserve">Metabolism: clinical and experimental </w:t>
      </w:r>
      <w:r w:rsidR="00A13477" w:rsidRPr="006B65FC">
        <w:rPr>
          <w:rFonts w:cs="Calibri"/>
          <w:b/>
        </w:rPr>
        <w:t>2001,</w:t>
      </w:r>
      <w:r w:rsidR="00A13477" w:rsidRPr="006B65FC">
        <w:rPr>
          <w:rFonts w:cs="Calibri"/>
        </w:rPr>
        <w:t xml:space="preserve"> 50, (10), 1230-3.</w:t>
      </w:r>
    </w:p>
    <w:p w14:paraId="2B12E7F7" w14:textId="77777777" w:rsidR="006B65FC" w:rsidRPr="006B65FC" w:rsidRDefault="006B65FC" w:rsidP="00A13477">
      <w:pPr>
        <w:spacing w:line="240" w:lineRule="auto"/>
        <w:ind w:left="720" w:hanging="720"/>
        <w:rPr>
          <w:rFonts w:cs="Calibri"/>
        </w:rPr>
      </w:pPr>
      <w:r w:rsidRPr="006B65FC">
        <w:rPr>
          <w:rFonts w:cs="Calibri"/>
        </w:rPr>
        <w:t>70.</w:t>
      </w:r>
      <w:r w:rsidRPr="006B65FC">
        <w:rPr>
          <w:rFonts w:cs="Calibri"/>
        </w:rPr>
        <w:tab/>
      </w:r>
      <w:bookmarkEnd w:id="74"/>
      <w:r w:rsidR="00A13477" w:rsidRPr="006B65FC">
        <w:rPr>
          <w:rFonts w:cs="Calibri"/>
        </w:rPr>
        <w:t xml:space="preserve">Stathis, C. G.; Carey, M. F.; Snow, R. J., The influence of allopurinol on urinary purine loss after repeated sprint exercise in man. </w:t>
      </w:r>
      <w:r w:rsidR="00A13477" w:rsidRPr="006B65FC">
        <w:rPr>
          <w:rFonts w:cs="Calibri"/>
          <w:i/>
        </w:rPr>
        <w:t xml:space="preserve">Metabolism: clinical and experimental </w:t>
      </w:r>
      <w:r w:rsidR="00A13477" w:rsidRPr="006B65FC">
        <w:rPr>
          <w:rFonts w:cs="Calibri"/>
          <w:b/>
        </w:rPr>
        <w:t>2005,</w:t>
      </w:r>
      <w:r w:rsidR="00A13477" w:rsidRPr="006B65FC">
        <w:rPr>
          <w:rFonts w:cs="Calibri"/>
        </w:rPr>
        <w:t xml:space="preserve"> 54, (10), 1269-75.</w:t>
      </w:r>
    </w:p>
    <w:p w14:paraId="0F59CB6C" w14:textId="77777777" w:rsidR="006B65FC" w:rsidRPr="00EF4647" w:rsidRDefault="006B65FC" w:rsidP="006B65FC">
      <w:pPr>
        <w:spacing w:line="240" w:lineRule="auto"/>
        <w:ind w:left="720" w:hanging="720"/>
        <w:rPr>
          <w:rFonts w:cs="Calibri"/>
        </w:rPr>
      </w:pPr>
      <w:bookmarkStart w:id="75" w:name="_ENREF_71"/>
      <w:r w:rsidRPr="006B65FC">
        <w:rPr>
          <w:rFonts w:cs="Calibri"/>
        </w:rPr>
        <w:t>71.</w:t>
      </w:r>
      <w:r w:rsidRPr="006B65FC">
        <w:rPr>
          <w:rFonts w:cs="Calibri"/>
        </w:rPr>
        <w:tab/>
      </w:r>
      <w:bookmarkEnd w:id="75"/>
      <w:r w:rsidR="00A13477" w:rsidRPr="00EF4647">
        <w:rPr>
          <w:rFonts w:cs="Calibri"/>
        </w:rPr>
        <w:t xml:space="preserve">Knochel, J. P.; Dotin, L. N.; Hamburger, R. J., Heat stress, exercise, and muscle injury: effects on urate metabolism and renal function. </w:t>
      </w:r>
      <w:r w:rsidR="00A13477" w:rsidRPr="00EF4647">
        <w:rPr>
          <w:rFonts w:cs="Calibri"/>
          <w:i/>
        </w:rPr>
        <w:t xml:space="preserve">Annals of internal medicine </w:t>
      </w:r>
      <w:r w:rsidR="00A13477" w:rsidRPr="00EF4647">
        <w:rPr>
          <w:rFonts w:cs="Calibri"/>
          <w:b/>
        </w:rPr>
        <w:t>1974,</w:t>
      </w:r>
      <w:r w:rsidR="00A13477" w:rsidRPr="00EF4647">
        <w:rPr>
          <w:rFonts w:cs="Calibri"/>
        </w:rPr>
        <w:t xml:space="preserve"> 81, (3), 321-8.</w:t>
      </w:r>
    </w:p>
    <w:p w14:paraId="02DD95CD" w14:textId="77777777" w:rsidR="006B65FC" w:rsidRPr="006B65FC" w:rsidRDefault="006B65FC" w:rsidP="006B65FC">
      <w:pPr>
        <w:spacing w:line="240" w:lineRule="auto"/>
        <w:ind w:left="720" w:hanging="720"/>
        <w:rPr>
          <w:rFonts w:cs="Calibri"/>
        </w:rPr>
      </w:pPr>
      <w:bookmarkStart w:id="76" w:name="_ENREF_72"/>
      <w:r w:rsidRPr="00EF4647">
        <w:rPr>
          <w:rFonts w:cs="Calibri"/>
        </w:rPr>
        <w:t>72.</w:t>
      </w:r>
      <w:r w:rsidRPr="00EF4647">
        <w:rPr>
          <w:rFonts w:cs="Calibri"/>
        </w:rPr>
        <w:tab/>
      </w:r>
      <w:bookmarkEnd w:id="76"/>
      <w:r w:rsidR="00712AE5" w:rsidRPr="00EF4647">
        <w:rPr>
          <w:rFonts w:cs="Calibri"/>
        </w:rPr>
        <w:t xml:space="preserve">Hellsten, Y.; Sjodin, B.; Richter, E. A.; Bangsbo, J., Urate uptake and lowered ATP levels in human muscle after high-intensity intermittent exercise. </w:t>
      </w:r>
      <w:r w:rsidR="00712AE5" w:rsidRPr="00EF4647">
        <w:rPr>
          <w:rFonts w:cs="Calibri"/>
          <w:i/>
        </w:rPr>
        <w:t xml:space="preserve">The American journal of physiology </w:t>
      </w:r>
      <w:r w:rsidR="00712AE5" w:rsidRPr="00EF4647">
        <w:rPr>
          <w:rFonts w:cs="Calibri"/>
          <w:b/>
        </w:rPr>
        <w:t>1998,</w:t>
      </w:r>
      <w:r w:rsidR="00712AE5" w:rsidRPr="00EF4647">
        <w:rPr>
          <w:rFonts w:cs="Calibri"/>
        </w:rPr>
        <w:t xml:space="preserve"> 274, (4), E600-6.</w:t>
      </w:r>
    </w:p>
    <w:p w14:paraId="09C8895B" w14:textId="77777777" w:rsidR="006B65FC" w:rsidRPr="006B65FC" w:rsidRDefault="006B65FC" w:rsidP="006B65FC">
      <w:pPr>
        <w:spacing w:line="240" w:lineRule="auto"/>
        <w:ind w:left="720" w:hanging="720"/>
        <w:rPr>
          <w:rFonts w:cs="Calibri"/>
        </w:rPr>
      </w:pPr>
      <w:bookmarkStart w:id="77" w:name="_ENREF_73"/>
      <w:r w:rsidRPr="006B65FC">
        <w:rPr>
          <w:rFonts w:cs="Calibri"/>
        </w:rPr>
        <w:t>73.</w:t>
      </w:r>
      <w:r w:rsidRPr="006B65FC">
        <w:rPr>
          <w:rFonts w:cs="Calibri"/>
        </w:rPr>
        <w:tab/>
      </w:r>
      <w:bookmarkEnd w:id="77"/>
      <w:r w:rsidR="00712AE5" w:rsidRPr="006B65FC">
        <w:rPr>
          <w:rFonts w:cs="Calibri"/>
        </w:rPr>
        <w:t xml:space="preserve">Weiner, I. D.; Mitch, W. E.; Sands, J. M., Urea and Ammonia Metabolism and the Control of Renal Nitrogen Excretion. </w:t>
      </w:r>
      <w:r w:rsidR="00712AE5" w:rsidRPr="006B65FC">
        <w:rPr>
          <w:rFonts w:cs="Calibri"/>
          <w:i/>
        </w:rPr>
        <w:t xml:space="preserve">Clinical journal of the American Society of Nephrology : CJASN </w:t>
      </w:r>
      <w:r w:rsidR="00712AE5" w:rsidRPr="006B65FC">
        <w:rPr>
          <w:rFonts w:cs="Calibri"/>
          <w:b/>
        </w:rPr>
        <w:t>2015,</w:t>
      </w:r>
      <w:r w:rsidR="00712AE5" w:rsidRPr="006B65FC">
        <w:rPr>
          <w:rFonts w:cs="Calibri"/>
        </w:rPr>
        <w:t xml:space="preserve"> 10, (8), 1444-58.</w:t>
      </w:r>
    </w:p>
    <w:p w14:paraId="6D4A1E28" w14:textId="77777777" w:rsidR="006B65FC" w:rsidRPr="006B65FC" w:rsidRDefault="006B65FC" w:rsidP="006B65FC">
      <w:pPr>
        <w:spacing w:line="240" w:lineRule="auto"/>
        <w:ind w:left="720" w:hanging="720"/>
        <w:rPr>
          <w:rFonts w:cs="Calibri"/>
        </w:rPr>
      </w:pPr>
      <w:bookmarkStart w:id="78" w:name="_ENREF_74"/>
      <w:r w:rsidRPr="006B65FC">
        <w:rPr>
          <w:rFonts w:cs="Calibri"/>
        </w:rPr>
        <w:t>74.</w:t>
      </w:r>
      <w:r w:rsidRPr="006B65FC">
        <w:rPr>
          <w:rFonts w:cs="Calibri"/>
        </w:rPr>
        <w:tab/>
      </w:r>
      <w:bookmarkEnd w:id="78"/>
      <w:r w:rsidR="00712AE5">
        <w:rPr>
          <w:rFonts w:cs="Calibri"/>
        </w:rPr>
        <w:t>Anderson, R. A.;</w:t>
      </w:r>
      <w:r w:rsidR="00712AE5" w:rsidRPr="006B65FC">
        <w:rPr>
          <w:rFonts w:cs="Calibri"/>
        </w:rPr>
        <w:t xml:space="preserve"> Guttman, H. N., Trace Minerals and Exercise. In </w:t>
      </w:r>
      <w:r w:rsidR="00712AE5" w:rsidRPr="006B65FC">
        <w:rPr>
          <w:rFonts w:cs="Calibri"/>
          <w:i/>
        </w:rPr>
        <w:t>Exercise, Nutrition, and Energy Metabolism</w:t>
      </w:r>
      <w:r w:rsidR="00712AE5">
        <w:rPr>
          <w:rFonts w:cs="Calibri"/>
        </w:rPr>
        <w:t>, Macmillan,</w:t>
      </w:r>
      <w:r w:rsidR="00712AE5" w:rsidRPr="006B65FC">
        <w:rPr>
          <w:rFonts w:cs="Calibri"/>
        </w:rPr>
        <w:t xml:space="preserve"> New York, NY, USA, 1988.</w:t>
      </w:r>
    </w:p>
    <w:p w14:paraId="4F73DAE8" w14:textId="77777777" w:rsidR="006B65FC" w:rsidRPr="006B65FC" w:rsidRDefault="006B65FC" w:rsidP="006B65FC">
      <w:pPr>
        <w:spacing w:line="240" w:lineRule="auto"/>
        <w:ind w:left="720" w:hanging="720"/>
        <w:rPr>
          <w:rFonts w:cs="Calibri"/>
        </w:rPr>
      </w:pPr>
      <w:bookmarkStart w:id="79" w:name="_ENREF_75"/>
      <w:r w:rsidRPr="006B65FC">
        <w:rPr>
          <w:rFonts w:cs="Calibri"/>
        </w:rPr>
        <w:t>75.</w:t>
      </w:r>
      <w:r w:rsidRPr="006B65FC">
        <w:rPr>
          <w:rFonts w:cs="Calibri"/>
        </w:rPr>
        <w:tab/>
      </w:r>
      <w:bookmarkEnd w:id="79"/>
      <w:r w:rsidR="00712AE5" w:rsidRPr="00EF4647">
        <w:rPr>
          <w:rFonts w:cs="Calibri"/>
        </w:rPr>
        <w:t xml:space="preserve">Ashizawa, N.; Fujimura, R.; Tokuyama, K.; Suzuki, M., A bout of resistance exercise increases urinary calcium independently of osteoclastic activation in men. </w:t>
      </w:r>
      <w:r w:rsidR="00712AE5" w:rsidRPr="00EF4647">
        <w:rPr>
          <w:rFonts w:cs="Calibri"/>
          <w:i/>
        </w:rPr>
        <w:t xml:space="preserve">J Appl Physiol (1985) </w:t>
      </w:r>
      <w:r w:rsidR="00712AE5" w:rsidRPr="00EF4647">
        <w:rPr>
          <w:rFonts w:cs="Calibri"/>
          <w:b/>
        </w:rPr>
        <w:t>1997,</w:t>
      </w:r>
      <w:r w:rsidR="00712AE5" w:rsidRPr="00EF4647">
        <w:rPr>
          <w:rFonts w:cs="Calibri"/>
        </w:rPr>
        <w:t xml:space="preserve"> 83, (4), 1159-63.</w:t>
      </w:r>
    </w:p>
    <w:p w14:paraId="2AA1E70D" w14:textId="77777777" w:rsidR="006B65FC" w:rsidRPr="006B65FC" w:rsidRDefault="006B65FC" w:rsidP="006B65FC">
      <w:pPr>
        <w:spacing w:line="240" w:lineRule="auto"/>
        <w:ind w:left="720" w:hanging="720"/>
        <w:rPr>
          <w:rFonts w:cs="Calibri"/>
        </w:rPr>
      </w:pPr>
      <w:bookmarkStart w:id="80" w:name="_ENREF_76"/>
      <w:r w:rsidRPr="006B65FC">
        <w:rPr>
          <w:rFonts w:cs="Calibri"/>
        </w:rPr>
        <w:t>76.</w:t>
      </w:r>
      <w:r w:rsidRPr="006B65FC">
        <w:rPr>
          <w:rFonts w:cs="Calibri"/>
        </w:rPr>
        <w:tab/>
      </w:r>
      <w:bookmarkEnd w:id="80"/>
      <w:r w:rsidR="00712AE5" w:rsidRPr="006B65FC">
        <w:rPr>
          <w:rFonts w:cs="Calibri"/>
        </w:rPr>
        <w:t xml:space="preserve">Noakes, T. D.; Sharwood, K.; Speedy, D.; Hew, T.; Reid, S.; Dugas, J.; Almond, C.; Wharam, P.; Weschler, L., Three independent biological mechanisms cause exercise-associated hyponatremia: evidence from 2,135 </w:t>
      </w:r>
      <w:r w:rsidR="00712AE5" w:rsidRPr="006B65FC">
        <w:rPr>
          <w:rFonts w:cs="Calibri"/>
        </w:rPr>
        <w:lastRenderedPageBreak/>
        <w:t xml:space="preserve">weighed competitive athletic performances. </w:t>
      </w:r>
      <w:r w:rsidR="00712AE5" w:rsidRPr="006B65FC">
        <w:rPr>
          <w:rFonts w:cs="Calibri"/>
          <w:i/>
        </w:rPr>
        <w:t xml:space="preserve">Proceedings of the National Academy of Sciences of the United States of America </w:t>
      </w:r>
      <w:r w:rsidR="00712AE5" w:rsidRPr="006B65FC">
        <w:rPr>
          <w:rFonts w:cs="Calibri"/>
          <w:b/>
        </w:rPr>
        <w:t>2005,</w:t>
      </w:r>
      <w:r w:rsidR="00712AE5" w:rsidRPr="006B65FC">
        <w:rPr>
          <w:rFonts w:cs="Calibri"/>
        </w:rPr>
        <w:t xml:space="preserve"> 102, (51), 18550-5.</w:t>
      </w:r>
    </w:p>
    <w:p w14:paraId="20299F5D" w14:textId="77777777" w:rsidR="00A13477" w:rsidRDefault="006B65FC" w:rsidP="006B65FC">
      <w:pPr>
        <w:spacing w:line="240" w:lineRule="auto"/>
        <w:ind w:left="720" w:hanging="720"/>
        <w:rPr>
          <w:rFonts w:cs="Calibri"/>
        </w:rPr>
      </w:pPr>
      <w:bookmarkStart w:id="81" w:name="_ENREF_77"/>
      <w:r w:rsidRPr="006B65FC">
        <w:rPr>
          <w:rFonts w:cs="Calibri"/>
        </w:rPr>
        <w:t>77.</w:t>
      </w:r>
      <w:r w:rsidRPr="006B65FC">
        <w:rPr>
          <w:rFonts w:cs="Calibri"/>
        </w:rPr>
        <w:tab/>
      </w:r>
      <w:bookmarkStart w:id="82" w:name="_ENREF_78"/>
      <w:bookmarkEnd w:id="81"/>
      <w:r w:rsidR="00712AE5" w:rsidRPr="006B65FC">
        <w:rPr>
          <w:rFonts w:cs="Calibri"/>
        </w:rPr>
        <w:t xml:space="preserve">de Lucas, R. D.; Caputo, F.; Mendes de Souza, K.; Sigwalt, A. R.; Ghisoni, K.; Lock Silveira, P. C.; Remor, A. P.; da Luz Scheffer, D.; Guglielmo, L. G.; Latini, A., Increased platelet oxidative metabolism, blood oxidative stress and neopterin levels after ultra-endurance exercise. </w:t>
      </w:r>
      <w:r w:rsidR="00712AE5" w:rsidRPr="006B65FC">
        <w:rPr>
          <w:rFonts w:cs="Calibri"/>
          <w:i/>
        </w:rPr>
        <w:t xml:space="preserve">Journal of sports sciences </w:t>
      </w:r>
      <w:r w:rsidR="00712AE5" w:rsidRPr="006B65FC">
        <w:rPr>
          <w:rFonts w:cs="Calibri"/>
          <w:b/>
        </w:rPr>
        <w:t>2014,</w:t>
      </w:r>
      <w:r w:rsidR="00712AE5" w:rsidRPr="006B65FC">
        <w:rPr>
          <w:rFonts w:cs="Calibri"/>
        </w:rPr>
        <w:t xml:space="preserve"> 32, (1), 22-30.</w:t>
      </w:r>
    </w:p>
    <w:p w14:paraId="77D36AC1" w14:textId="77777777" w:rsidR="006B65FC" w:rsidRPr="006B65FC" w:rsidRDefault="006B65FC" w:rsidP="006B65FC">
      <w:pPr>
        <w:spacing w:line="240" w:lineRule="auto"/>
        <w:ind w:left="720" w:hanging="720"/>
        <w:rPr>
          <w:rFonts w:cs="Calibri"/>
        </w:rPr>
      </w:pPr>
      <w:r w:rsidRPr="006B65FC">
        <w:rPr>
          <w:rFonts w:cs="Calibri"/>
        </w:rPr>
        <w:t>78.</w:t>
      </w:r>
      <w:r w:rsidRPr="006B65FC">
        <w:rPr>
          <w:rFonts w:cs="Calibri"/>
        </w:rPr>
        <w:tab/>
      </w:r>
      <w:bookmarkEnd w:id="82"/>
      <w:r w:rsidR="00712AE5" w:rsidRPr="006B65FC">
        <w:rPr>
          <w:rFonts w:cs="Calibri"/>
        </w:rPr>
        <w:t xml:space="preserve">Strasser, B.; Geiger, D.; Schauer, M.; Gatterer, H.; Burtscher, M.; Fuchs, D., Effects of Exhaustive Aerobic Exercise on Tryptophan-Kynurenine Metabolism in Trained Athletes. </w:t>
      </w:r>
      <w:r w:rsidR="00712AE5" w:rsidRPr="006B65FC">
        <w:rPr>
          <w:rFonts w:cs="Calibri"/>
          <w:i/>
        </w:rPr>
        <w:t xml:space="preserve">PloS one </w:t>
      </w:r>
      <w:r w:rsidR="00712AE5" w:rsidRPr="006B65FC">
        <w:rPr>
          <w:rFonts w:cs="Calibri"/>
          <w:b/>
        </w:rPr>
        <w:t>2016,</w:t>
      </w:r>
      <w:r w:rsidR="00712AE5" w:rsidRPr="006B65FC">
        <w:rPr>
          <w:rFonts w:cs="Calibri"/>
        </w:rPr>
        <w:t xml:space="preserve"> 11, (4), e0153617.</w:t>
      </w:r>
    </w:p>
    <w:p w14:paraId="04B36242" w14:textId="77777777" w:rsidR="00A13477" w:rsidRDefault="006B65FC" w:rsidP="006B65FC">
      <w:pPr>
        <w:spacing w:line="240" w:lineRule="auto"/>
        <w:ind w:left="720" w:hanging="720"/>
        <w:rPr>
          <w:rFonts w:cs="Calibri"/>
        </w:rPr>
      </w:pPr>
      <w:bookmarkStart w:id="83" w:name="_ENREF_79"/>
      <w:r w:rsidRPr="006B65FC">
        <w:rPr>
          <w:rFonts w:cs="Calibri"/>
        </w:rPr>
        <w:t>79.</w:t>
      </w:r>
      <w:r w:rsidRPr="006B65FC">
        <w:rPr>
          <w:rFonts w:cs="Calibri"/>
        </w:rPr>
        <w:tab/>
      </w:r>
      <w:bookmarkStart w:id="84" w:name="_ENREF_80"/>
      <w:bookmarkEnd w:id="83"/>
      <w:r w:rsidR="00712AE5" w:rsidRPr="006B65FC">
        <w:rPr>
          <w:rFonts w:cs="Calibri"/>
        </w:rPr>
        <w:t xml:space="preserve">Vezzoli, A.; Dellanoce, C.; Mrakic-Sposta, S.; Montorsi, M.; Moretti, S.; Tonini, A.; Pratali, L.; Accinni, R., Oxidative Stress Assessment in Response to Ultraendurance Exercise: Thiols Redox Status and ROS Production according to Duration of a Competitive Race. </w:t>
      </w:r>
      <w:r w:rsidR="00712AE5" w:rsidRPr="006B65FC">
        <w:rPr>
          <w:rFonts w:cs="Calibri"/>
          <w:i/>
        </w:rPr>
        <w:t xml:space="preserve">Oxidative medicine and cellular longevity </w:t>
      </w:r>
      <w:r w:rsidR="00712AE5" w:rsidRPr="006B65FC">
        <w:rPr>
          <w:rFonts w:cs="Calibri"/>
          <w:b/>
        </w:rPr>
        <w:t>2016,</w:t>
      </w:r>
      <w:r w:rsidR="00712AE5" w:rsidRPr="006B65FC">
        <w:rPr>
          <w:rFonts w:cs="Calibri"/>
        </w:rPr>
        <w:t xml:space="preserve"> 2016, 6439037.</w:t>
      </w:r>
    </w:p>
    <w:p w14:paraId="70CD2011" w14:textId="77777777" w:rsidR="006B65FC" w:rsidRPr="006B65FC" w:rsidRDefault="006B65FC" w:rsidP="006B65FC">
      <w:pPr>
        <w:spacing w:line="240" w:lineRule="auto"/>
        <w:ind w:left="720" w:hanging="720"/>
        <w:rPr>
          <w:rFonts w:cs="Calibri"/>
        </w:rPr>
      </w:pPr>
      <w:r w:rsidRPr="006B65FC">
        <w:rPr>
          <w:rFonts w:cs="Calibri"/>
        </w:rPr>
        <w:t>80.</w:t>
      </w:r>
      <w:r w:rsidRPr="006B65FC">
        <w:rPr>
          <w:rFonts w:cs="Calibri"/>
        </w:rPr>
        <w:tab/>
      </w:r>
      <w:bookmarkEnd w:id="84"/>
      <w:r w:rsidR="00712AE5" w:rsidRPr="006B65FC">
        <w:rPr>
          <w:rFonts w:cs="Calibri"/>
        </w:rPr>
        <w:t xml:space="preserve">White, R. L.; Babic, M. J.; Parker, P. D.; Lubans, D. R.; Astell-Burt, T.; Lonsdale, C., Domain-Specific Physical Activity and Mental Health: A Meta-analysis. </w:t>
      </w:r>
      <w:r w:rsidR="00712AE5" w:rsidRPr="006B65FC">
        <w:rPr>
          <w:rFonts w:cs="Calibri"/>
          <w:i/>
        </w:rPr>
        <w:t xml:space="preserve">American journal of preventive medicine </w:t>
      </w:r>
      <w:r w:rsidR="00712AE5" w:rsidRPr="006B65FC">
        <w:rPr>
          <w:rFonts w:cs="Calibri"/>
          <w:b/>
        </w:rPr>
        <w:t>2017,</w:t>
      </w:r>
      <w:r w:rsidR="00712AE5" w:rsidRPr="006B65FC">
        <w:rPr>
          <w:rFonts w:cs="Calibri"/>
        </w:rPr>
        <w:t xml:space="preserve"> 52, (5), 653-666.</w:t>
      </w:r>
    </w:p>
    <w:p w14:paraId="08541ED2" w14:textId="77777777" w:rsidR="006B65FC" w:rsidRPr="006B65FC" w:rsidRDefault="006B65FC" w:rsidP="006B65FC">
      <w:pPr>
        <w:spacing w:line="240" w:lineRule="auto"/>
        <w:ind w:left="720" w:hanging="720"/>
        <w:rPr>
          <w:rFonts w:cs="Calibri"/>
        </w:rPr>
      </w:pPr>
      <w:bookmarkStart w:id="85" w:name="_ENREF_81"/>
      <w:r w:rsidRPr="006B65FC">
        <w:rPr>
          <w:rFonts w:cs="Calibri"/>
        </w:rPr>
        <w:t>81.</w:t>
      </w:r>
      <w:r w:rsidRPr="006B65FC">
        <w:rPr>
          <w:rFonts w:cs="Calibri"/>
        </w:rPr>
        <w:tab/>
      </w:r>
      <w:bookmarkEnd w:id="85"/>
      <w:r w:rsidR="00712AE5" w:rsidRPr="006B65FC">
        <w:rPr>
          <w:rFonts w:cs="Calibri"/>
        </w:rPr>
        <w:t xml:space="preserve">Stubbs, B.; Koyanagi, A.; Hallgren, M.; Firth, J.; Richards, J.; Schuch, F.; Rosenbaum, S.; Mugisha, J.; Veronese, N.; Lahti, J.; Vancampfort, D., Physical activity and anxiety: A perspective from the World Health Survey. </w:t>
      </w:r>
      <w:r w:rsidR="00712AE5" w:rsidRPr="006B65FC">
        <w:rPr>
          <w:rFonts w:cs="Calibri"/>
          <w:i/>
        </w:rPr>
        <w:t xml:space="preserve">Journal of affective disorders </w:t>
      </w:r>
      <w:r w:rsidR="00712AE5" w:rsidRPr="006B65FC">
        <w:rPr>
          <w:rFonts w:cs="Calibri"/>
          <w:b/>
        </w:rPr>
        <w:t>2017,</w:t>
      </w:r>
      <w:r w:rsidR="00712AE5" w:rsidRPr="006B65FC">
        <w:rPr>
          <w:rFonts w:cs="Calibri"/>
        </w:rPr>
        <w:t xml:space="preserve"> 208, 545-552.</w:t>
      </w:r>
    </w:p>
    <w:p w14:paraId="1E2F0E78" w14:textId="77777777" w:rsidR="006B65FC" w:rsidRPr="006B65FC" w:rsidRDefault="006B65FC" w:rsidP="00712AE5">
      <w:pPr>
        <w:spacing w:line="240" w:lineRule="auto"/>
        <w:ind w:left="720" w:hanging="720"/>
        <w:rPr>
          <w:rFonts w:cs="Calibri"/>
        </w:rPr>
      </w:pPr>
      <w:bookmarkStart w:id="86" w:name="_ENREF_82"/>
      <w:r w:rsidRPr="006B65FC">
        <w:rPr>
          <w:rFonts w:cs="Calibri"/>
        </w:rPr>
        <w:t>82.</w:t>
      </w:r>
      <w:r w:rsidRPr="006B65FC">
        <w:rPr>
          <w:rFonts w:cs="Calibri"/>
        </w:rPr>
        <w:tab/>
      </w:r>
      <w:bookmarkEnd w:id="86"/>
      <w:r w:rsidR="00712AE5" w:rsidRPr="006B65FC">
        <w:rPr>
          <w:rFonts w:cs="Calibri"/>
        </w:rPr>
        <w:t xml:space="preserve">Stubbs, B.; Koyanagi, A.; Schuch, F.; Firth, J.; Rosenbaum, S.; Gaughran, F.; Mugisha, J.; Vancampfort, D., Physical Activity Levels and Psychosis: A Mediation Analysis of Factors Influencing Physical Activity Target Achievement Among 204 186 People Across 46 Low- and Middle-Income Countries. </w:t>
      </w:r>
      <w:r w:rsidR="00712AE5" w:rsidRPr="006B65FC">
        <w:rPr>
          <w:rFonts w:cs="Calibri"/>
          <w:i/>
        </w:rPr>
        <w:t xml:space="preserve">Schizophrenia bulletin </w:t>
      </w:r>
      <w:r w:rsidR="00712AE5" w:rsidRPr="006B65FC">
        <w:rPr>
          <w:rFonts w:cs="Calibri"/>
          <w:b/>
        </w:rPr>
        <w:t>2017,</w:t>
      </w:r>
      <w:r w:rsidR="00712AE5" w:rsidRPr="006B65FC">
        <w:rPr>
          <w:rFonts w:cs="Calibri"/>
        </w:rPr>
        <w:t xml:space="preserve"> 43, (3), 536-545.</w:t>
      </w:r>
    </w:p>
    <w:p w14:paraId="0E4AE392" w14:textId="77777777" w:rsidR="006B65FC" w:rsidRPr="006B65FC" w:rsidRDefault="006B65FC" w:rsidP="006B65FC">
      <w:pPr>
        <w:spacing w:line="240" w:lineRule="auto"/>
        <w:ind w:left="720" w:hanging="720"/>
        <w:rPr>
          <w:rFonts w:cs="Calibri"/>
        </w:rPr>
      </w:pPr>
      <w:bookmarkStart w:id="87" w:name="_ENREF_83"/>
      <w:r w:rsidRPr="006B65FC">
        <w:rPr>
          <w:rFonts w:cs="Calibri"/>
        </w:rPr>
        <w:t>83.</w:t>
      </w:r>
      <w:r w:rsidRPr="006B65FC">
        <w:rPr>
          <w:rFonts w:cs="Calibri"/>
        </w:rPr>
        <w:tab/>
      </w:r>
      <w:bookmarkEnd w:id="87"/>
      <w:r w:rsidR="00712AE5" w:rsidRPr="006B65FC">
        <w:rPr>
          <w:rFonts w:cs="Calibri"/>
        </w:rPr>
        <w:t xml:space="preserve">Nixdorf, I.; Frank, R.; Beckmann, J., Comparison of Athletes' Proneness to Depressive Symptoms in Individual and Team Sports: Research on Psychological Mediators in Junior Elite Athletes. </w:t>
      </w:r>
      <w:r w:rsidR="00712AE5" w:rsidRPr="006B65FC">
        <w:rPr>
          <w:rFonts w:cs="Calibri"/>
          <w:i/>
        </w:rPr>
        <w:t xml:space="preserve">Frontiers in psychology </w:t>
      </w:r>
      <w:r w:rsidR="00712AE5" w:rsidRPr="006B65FC">
        <w:rPr>
          <w:rFonts w:cs="Calibri"/>
          <w:b/>
        </w:rPr>
        <w:t>2016,</w:t>
      </w:r>
      <w:r w:rsidR="00712AE5" w:rsidRPr="006B65FC">
        <w:rPr>
          <w:rFonts w:cs="Calibri"/>
        </w:rPr>
        <w:t xml:space="preserve"> 7, 893.</w:t>
      </w:r>
    </w:p>
    <w:p w14:paraId="6A090093" w14:textId="77777777" w:rsidR="006B65FC" w:rsidRPr="006B65FC" w:rsidRDefault="006A1A85" w:rsidP="006B65FC">
      <w:pPr>
        <w:spacing w:line="240" w:lineRule="auto"/>
        <w:ind w:left="720" w:hanging="720"/>
        <w:rPr>
          <w:rFonts w:cs="Calibri"/>
        </w:rPr>
      </w:pPr>
      <w:bookmarkStart w:id="88" w:name="_ENREF_84"/>
      <w:r>
        <w:rPr>
          <w:rFonts w:cs="Calibri"/>
        </w:rPr>
        <w:t>84.</w:t>
      </w:r>
      <w:r>
        <w:rPr>
          <w:rFonts w:cs="Calibri"/>
        </w:rPr>
        <w:tab/>
      </w:r>
      <w:bookmarkEnd w:id="88"/>
      <w:r w:rsidR="00712AE5" w:rsidRPr="006B65FC">
        <w:rPr>
          <w:rFonts w:cs="Calibri"/>
        </w:rPr>
        <w:t xml:space="preserve">Callaghan, P., Exercise: a neglected intervention in mental health care? </w:t>
      </w:r>
      <w:r w:rsidR="00712AE5" w:rsidRPr="006B65FC">
        <w:rPr>
          <w:rFonts w:cs="Calibri"/>
          <w:i/>
        </w:rPr>
        <w:t xml:space="preserve">Journal of psychiatric and mental health nursing </w:t>
      </w:r>
      <w:r w:rsidR="00712AE5" w:rsidRPr="006B65FC">
        <w:rPr>
          <w:rFonts w:cs="Calibri"/>
          <w:b/>
        </w:rPr>
        <w:t>2004,</w:t>
      </w:r>
      <w:r w:rsidR="00712AE5" w:rsidRPr="006B65FC">
        <w:rPr>
          <w:rFonts w:cs="Calibri"/>
        </w:rPr>
        <w:t xml:space="preserve"> 11, (4), 476-83.</w:t>
      </w:r>
    </w:p>
    <w:p w14:paraId="7667EB81" w14:textId="77777777" w:rsidR="006B65FC" w:rsidRPr="006B65FC" w:rsidRDefault="006B65FC" w:rsidP="006B65FC">
      <w:pPr>
        <w:spacing w:line="240" w:lineRule="auto"/>
        <w:ind w:left="720" w:hanging="720"/>
        <w:rPr>
          <w:rFonts w:cs="Calibri"/>
        </w:rPr>
      </w:pPr>
    </w:p>
    <w:p w14:paraId="0BC2A77B" w14:textId="77777777" w:rsidR="00712AE5" w:rsidRPr="006B65FC" w:rsidRDefault="00712AE5" w:rsidP="006B65FC">
      <w:pPr>
        <w:spacing w:line="240" w:lineRule="auto"/>
        <w:ind w:left="720" w:hanging="720"/>
        <w:rPr>
          <w:rFonts w:cs="Calibri"/>
        </w:rPr>
      </w:pPr>
    </w:p>
    <w:p w14:paraId="459FD7A6" w14:textId="77777777" w:rsidR="006B65FC" w:rsidRDefault="006B65FC" w:rsidP="006B65FC">
      <w:pPr>
        <w:spacing w:line="240" w:lineRule="auto"/>
        <w:rPr>
          <w:rFonts w:ascii="Calibri" w:hAnsi="Calibri" w:cs="Calibri"/>
          <w:szCs w:val="24"/>
        </w:rPr>
      </w:pPr>
    </w:p>
    <w:p w14:paraId="2020DD77" w14:textId="77777777" w:rsidR="006B65FC" w:rsidRPr="00325902" w:rsidRDefault="00F75D65" w:rsidP="006B65FC">
      <w:pPr>
        <w:pStyle w:val="MDPI71References"/>
        <w:numPr>
          <w:ilvl w:val="0"/>
          <w:numId w:val="0"/>
        </w:numPr>
        <w:ind w:left="425"/>
      </w:pPr>
      <w:r>
        <w:rPr>
          <w:rFonts w:ascii="Times New Roman" w:hAnsi="Times New Roman"/>
          <w:sz w:val="24"/>
          <w:szCs w:val="24"/>
        </w:rPr>
        <w:fldChar w:fldCharType="end"/>
      </w:r>
    </w:p>
    <w:p w14:paraId="27DCCFC3" w14:textId="77777777" w:rsidR="00522304" w:rsidRPr="007F1B92" w:rsidRDefault="00522304" w:rsidP="007F1B92">
      <w:pPr>
        <w:pStyle w:val="MDPI63Notes"/>
      </w:pPr>
    </w:p>
    <w:sectPr w:rsidR="00522304" w:rsidRPr="007F1B92" w:rsidSect="00284BEB">
      <w:headerReference w:type="even" r:id="rId14"/>
      <w:headerReference w:type="default" r:id="rId15"/>
      <w:footerReference w:type="default" r:id="rId16"/>
      <w:headerReference w:type="first" r:id="rId17"/>
      <w:footerReference w:type="first" r:id="rId1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E3C26" w14:textId="77777777" w:rsidR="00CC714C" w:rsidRDefault="00CC714C">
      <w:pPr>
        <w:spacing w:line="240" w:lineRule="auto"/>
      </w:pPr>
      <w:r>
        <w:separator/>
      </w:r>
    </w:p>
  </w:endnote>
  <w:endnote w:type="continuationSeparator" w:id="0">
    <w:p w14:paraId="7955D0A0" w14:textId="77777777" w:rsidR="00CC714C" w:rsidRDefault="00CC71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EE508" w14:textId="77777777" w:rsidR="00F4799A" w:rsidRPr="00590BF9" w:rsidRDefault="00F4799A" w:rsidP="00E90986">
    <w:pPr>
      <w:pStyle w:val="Pidipa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2DD7" w14:textId="77777777" w:rsidR="00F4799A" w:rsidRDefault="00F4799A" w:rsidP="00F32F04">
    <w:pPr>
      <w:pStyle w:val="MDPIfooterfirstpage"/>
      <w:pBdr>
        <w:top w:val="single" w:sz="4" w:space="0" w:color="000000"/>
      </w:pBdr>
      <w:adjustRightInd w:val="0"/>
      <w:snapToGrid w:val="0"/>
      <w:spacing w:before="480" w:line="100" w:lineRule="exact"/>
      <w:rPr>
        <w:i/>
        <w:szCs w:val="16"/>
      </w:rPr>
    </w:pPr>
  </w:p>
  <w:p w14:paraId="5A886CBE" w14:textId="77777777" w:rsidR="00F4799A" w:rsidRPr="008B308E" w:rsidRDefault="00F4799A" w:rsidP="00B200C8">
    <w:pPr>
      <w:pStyle w:val="MDPIfooterfirstpage"/>
      <w:tabs>
        <w:tab w:val="clear" w:pos="8845"/>
        <w:tab w:val="right" w:pos="10466"/>
      </w:tabs>
      <w:spacing w:line="240" w:lineRule="auto"/>
      <w:jc w:val="both"/>
      <w:rPr>
        <w:lang w:val="fr-CH"/>
      </w:rPr>
    </w:pPr>
    <w:r w:rsidRPr="009231ED">
      <w:rPr>
        <w:i/>
        <w:szCs w:val="16"/>
      </w:rPr>
      <w:t>Int. J. Environ. Res. Public Health</w:t>
    </w:r>
    <w:r w:rsidRPr="009231ED">
      <w:rPr>
        <w:szCs w:val="16"/>
      </w:rPr>
      <w:t xml:space="preserve"> </w:t>
    </w:r>
    <w:r>
      <w:rPr>
        <w:b/>
        <w:szCs w:val="16"/>
      </w:rPr>
      <w:t>2023</w:t>
    </w:r>
    <w:r w:rsidRPr="00AE348C">
      <w:rPr>
        <w:szCs w:val="16"/>
      </w:rPr>
      <w:t>,</w:t>
    </w:r>
    <w:r>
      <w:rPr>
        <w:i/>
        <w:szCs w:val="16"/>
      </w:rPr>
      <w:t xml:space="preserve"> 20</w:t>
    </w:r>
    <w:r w:rsidRPr="00AE348C">
      <w:rPr>
        <w:szCs w:val="16"/>
      </w:rPr>
      <w:t xml:space="preserve">, </w:t>
    </w:r>
    <w:r>
      <w:rPr>
        <w:szCs w:val="16"/>
      </w:rPr>
      <w:t>x. https://doi.org/10.3390/xxxxx</w:t>
    </w:r>
    <w:r w:rsidRPr="008B308E">
      <w:rPr>
        <w:lang w:val="fr-CH"/>
      </w:rPr>
      <w:tab/>
      <w:t>www.mdpi.com/journal/</w:t>
    </w:r>
    <w:r>
      <w:t>ijerph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4A2CE" w14:textId="77777777" w:rsidR="00CC714C" w:rsidRDefault="00CC714C">
      <w:pPr>
        <w:spacing w:line="240" w:lineRule="auto"/>
      </w:pPr>
      <w:r>
        <w:separator/>
      </w:r>
    </w:p>
  </w:footnote>
  <w:footnote w:type="continuationSeparator" w:id="0">
    <w:p w14:paraId="09C6F732" w14:textId="77777777" w:rsidR="00CC714C" w:rsidRDefault="00CC71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12DE5" w14:textId="77777777" w:rsidR="00F4799A" w:rsidRDefault="00F4799A" w:rsidP="00E90986">
    <w:pPr>
      <w:pStyle w:val="Intestazion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6687" w14:textId="77777777" w:rsidR="00F4799A" w:rsidRDefault="00F4799A" w:rsidP="00B200C8">
    <w:pPr>
      <w:tabs>
        <w:tab w:val="right" w:pos="10466"/>
      </w:tabs>
      <w:adjustRightInd w:val="0"/>
      <w:snapToGrid w:val="0"/>
      <w:spacing w:line="240" w:lineRule="auto"/>
      <w:rPr>
        <w:sz w:val="16"/>
      </w:rPr>
    </w:pPr>
    <w:r>
      <w:rPr>
        <w:i/>
        <w:sz w:val="16"/>
      </w:rPr>
      <w:t xml:space="preserve">Int. J. Environ. Res. Public Health </w:t>
    </w:r>
    <w:r>
      <w:rPr>
        <w:b/>
        <w:sz w:val="16"/>
      </w:rPr>
      <w:t>2023</w:t>
    </w:r>
    <w:r w:rsidRPr="00AE348C">
      <w:rPr>
        <w:sz w:val="16"/>
      </w:rPr>
      <w:t>,</w:t>
    </w:r>
    <w:r>
      <w:rPr>
        <w:i/>
        <w:sz w:val="16"/>
      </w:rPr>
      <w:t xml:space="preserve"> 20</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C71BB7">
      <w:rPr>
        <w:sz w:val="16"/>
      </w:rPr>
      <w:t>18</w:t>
    </w:r>
    <w:r>
      <w:rPr>
        <w:sz w:val="16"/>
      </w:rPr>
      <w:fldChar w:fldCharType="end"/>
    </w:r>
    <w:r>
      <w:rPr>
        <w:sz w:val="16"/>
      </w:rPr>
      <w:t xml:space="preserve"> of </w:t>
    </w:r>
    <w:fldSimple w:instr=" NUMPAGES   \* MERGEFORMAT ">
      <w:r w:rsidR="00C71BB7" w:rsidRPr="00C71BB7">
        <w:rPr>
          <w:sz w:val="16"/>
        </w:rPr>
        <w:t>18</w:t>
      </w:r>
    </w:fldSimple>
  </w:p>
  <w:p w14:paraId="2BFA32D8" w14:textId="77777777" w:rsidR="00F4799A" w:rsidRPr="00305CED" w:rsidRDefault="00F4799A" w:rsidP="00F32F0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F4799A" w:rsidRPr="00B200C8" w14:paraId="3D43A891" w14:textId="77777777" w:rsidTr="00510707">
      <w:trPr>
        <w:trHeight w:val="686"/>
      </w:trPr>
      <w:tc>
        <w:tcPr>
          <w:tcW w:w="3679" w:type="dxa"/>
          <w:shd w:val="clear" w:color="auto" w:fill="auto"/>
          <w:vAlign w:val="center"/>
        </w:tcPr>
        <w:p w14:paraId="2CA6E8CE" w14:textId="77777777" w:rsidR="00F4799A" w:rsidRPr="006331AD" w:rsidRDefault="00F4799A" w:rsidP="00B200C8">
          <w:pPr>
            <w:pStyle w:val="Intestazione"/>
            <w:pBdr>
              <w:bottom w:val="none" w:sz="0" w:space="0" w:color="auto"/>
            </w:pBdr>
            <w:jc w:val="left"/>
            <w:rPr>
              <w:rFonts w:eastAsia="DengXian"/>
              <w:b/>
              <w:bCs/>
            </w:rPr>
          </w:pPr>
          <w:r w:rsidRPr="006331AD">
            <w:rPr>
              <w:rFonts w:eastAsia="DengXian"/>
              <w:b/>
              <w:bCs/>
              <w:lang w:val="it-IT" w:eastAsia="it-IT"/>
            </w:rPr>
            <w:drawing>
              <wp:inline distT="0" distB="0" distL="0" distR="0" wp14:anchorId="7B01E731" wp14:editId="130F2D21">
                <wp:extent cx="1828800" cy="429260"/>
                <wp:effectExtent l="0" t="0" r="0" b="0"/>
                <wp:docPr id="1" name="Picture 3" descr="C:\Users\home\Desktop\logos\png\ijer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ng\ijerph-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29260"/>
                        </a:xfrm>
                        <a:prstGeom prst="rect">
                          <a:avLst/>
                        </a:prstGeom>
                        <a:noFill/>
                        <a:ln>
                          <a:noFill/>
                        </a:ln>
                      </pic:spPr>
                    </pic:pic>
                  </a:graphicData>
                </a:graphic>
              </wp:inline>
            </w:drawing>
          </w:r>
        </w:p>
      </w:tc>
      <w:tc>
        <w:tcPr>
          <w:tcW w:w="4535" w:type="dxa"/>
          <w:shd w:val="clear" w:color="auto" w:fill="auto"/>
          <w:vAlign w:val="center"/>
        </w:tcPr>
        <w:p w14:paraId="1A3DE34E" w14:textId="77777777" w:rsidR="00F4799A" w:rsidRPr="006331AD" w:rsidRDefault="00F4799A" w:rsidP="00B200C8">
          <w:pPr>
            <w:pStyle w:val="Intestazione"/>
            <w:pBdr>
              <w:bottom w:val="none" w:sz="0" w:space="0" w:color="auto"/>
            </w:pBdr>
            <w:rPr>
              <w:rFonts w:eastAsia="DengXian"/>
              <w:b/>
              <w:bCs/>
            </w:rPr>
          </w:pPr>
        </w:p>
      </w:tc>
      <w:tc>
        <w:tcPr>
          <w:tcW w:w="2273" w:type="dxa"/>
          <w:shd w:val="clear" w:color="auto" w:fill="auto"/>
          <w:vAlign w:val="center"/>
        </w:tcPr>
        <w:p w14:paraId="5345F137" w14:textId="77777777" w:rsidR="00F4799A" w:rsidRPr="006331AD" w:rsidRDefault="00F4799A" w:rsidP="00510707">
          <w:pPr>
            <w:pStyle w:val="Intestazione"/>
            <w:pBdr>
              <w:bottom w:val="none" w:sz="0" w:space="0" w:color="auto"/>
            </w:pBdr>
            <w:jc w:val="right"/>
            <w:rPr>
              <w:rFonts w:eastAsia="DengXian"/>
              <w:b/>
              <w:bCs/>
            </w:rPr>
          </w:pPr>
          <w:r>
            <w:rPr>
              <w:rFonts w:eastAsia="DengXian"/>
              <w:b/>
              <w:bCs/>
              <w:lang w:val="it-IT" w:eastAsia="it-IT"/>
            </w:rPr>
            <w:drawing>
              <wp:inline distT="0" distB="0" distL="0" distR="0" wp14:anchorId="4842F4DF" wp14:editId="4BB8FD75">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67A6977E" w14:textId="77777777" w:rsidR="00F4799A" w:rsidRPr="00953C94" w:rsidRDefault="00F4799A" w:rsidP="00F32F0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12E6D"/>
    <w:multiLevelType w:val="hybridMultilevel"/>
    <w:tmpl w:val="89DE7AB4"/>
    <w:lvl w:ilvl="0" w:tplc="F270330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E4EA68C0"/>
    <w:lvl w:ilvl="0" w:tplc="7634241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B46A9"/>
    <w:multiLevelType w:val="hybridMultilevel"/>
    <w:tmpl w:val="0F36FAF2"/>
    <w:lvl w:ilvl="0" w:tplc="278A602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C440C7"/>
    <w:multiLevelType w:val="hybridMultilevel"/>
    <w:tmpl w:val="77241A6A"/>
    <w:lvl w:ilvl="0" w:tplc="D92C0296">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2524000">
    <w:abstractNumId w:val="4"/>
  </w:num>
  <w:num w:numId="2" w16cid:durableId="1641498780">
    <w:abstractNumId w:val="7"/>
  </w:num>
  <w:num w:numId="3" w16cid:durableId="634217268">
    <w:abstractNumId w:val="3"/>
  </w:num>
  <w:num w:numId="4" w16cid:durableId="7179696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5703012">
    <w:abstractNumId w:val="5"/>
  </w:num>
  <w:num w:numId="6" w16cid:durableId="659114678">
    <w:abstractNumId w:val="10"/>
  </w:num>
  <w:num w:numId="7" w16cid:durableId="1745372083">
    <w:abstractNumId w:val="2"/>
  </w:num>
  <w:num w:numId="8" w16cid:durableId="1262639923">
    <w:abstractNumId w:val="10"/>
  </w:num>
  <w:num w:numId="9" w16cid:durableId="1759598603">
    <w:abstractNumId w:val="2"/>
  </w:num>
  <w:num w:numId="10" w16cid:durableId="1850948625">
    <w:abstractNumId w:val="10"/>
  </w:num>
  <w:num w:numId="11" w16cid:durableId="1849560481">
    <w:abstractNumId w:val="2"/>
  </w:num>
  <w:num w:numId="12" w16cid:durableId="1923489543">
    <w:abstractNumId w:val="11"/>
  </w:num>
  <w:num w:numId="13" w16cid:durableId="434642334">
    <w:abstractNumId w:val="10"/>
  </w:num>
  <w:num w:numId="14" w16cid:durableId="1801027479">
    <w:abstractNumId w:val="2"/>
  </w:num>
  <w:num w:numId="15" w16cid:durableId="1228301834">
    <w:abstractNumId w:val="1"/>
  </w:num>
  <w:num w:numId="16" w16cid:durableId="526334471">
    <w:abstractNumId w:val="8"/>
  </w:num>
  <w:num w:numId="17" w16cid:durableId="2100979268">
    <w:abstractNumId w:val="0"/>
  </w:num>
  <w:num w:numId="18" w16cid:durableId="1461802568">
    <w:abstractNumId w:val="10"/>
  </w:num>
  <w:num w:numId="19" w16cid:durableId="1746369412">
    <w:abstractNumId w:val="2"/>
  </w:num>
  <w:num w:numId="20" w16cid:durableId="589890357">
    <w:abstractNumId w:val="1"/>
  </w:num>
  <w:num w:numId="21" w16cid:durableId="1881817322">
    <w:abstractNumId w:val="9"/>
  </w:num>
  <w:num w:numId="22" w16cid:durableId="2126727278">
    <w:abstractNumId w:val="6"/>
  </w:num>
  <w:num w:numId="23" w16cid:durableId="1757095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283"/>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4187F"/>
    <w:rsid w:val="00001CF0"/>
    <w:rsid w:val="00023C7B"/>
    <w:rsid w:val="000243E4"/>
    <w:rsid w:val="0002554A"/>
    <w:rsid w:val="0003183D"/>
    <w:rsid w:val="00037517"/>
    <w:rsid w:val="00041937"/>
    <w:rsid w:val="000461D0"/>
    <w:rsid w:val="00047C14"/>
    <w:rsid w:val="000571F1"/>
    <w:rsid w:val="00062D64"/>
    <w:rsid w:val="0006442A"/>
    <w:rsid w:val="00065E32"/>
    <w:rsid w:val="00070BC3"/>
    <w:rsid w:val="00072F70"/>
    <w:rsid w:val="00076A81"/>
    <w:rsid w:val="00082429"/>
    <w:rsid w:val="0008598A"/>
    <w:rsid w:val="0008766B"/>
    <w:rsid w:val="000910D8"/>
    <w:rsid w:val="000946E3"/>
    <w:rsid w:val="000A0CC1"/>
    <w:rsid w:val="000A74DE"/>
    <w:rsid w:val="000B321F"/>
    <w:rsid w:val="000C3D95"/>
    <w:rsid w:val="000C5A24"/>
    <w:rsid w:val="000D4CAC"/>
    <w:rsid w:val="000D590B"/>
    <w:rsid w:val="000D5B35"/>
    <w:rsid w:val="000D7CE6"/>
    <w:rsid w:val="000F7E16"/>
    <w:rsid w:val="001035B5"/>
    <w:rsid w:val="001043A2"/>
    <w:rsid w:val="001059AA"/>
    <w:rsid w:val="00113A18"/>
    <w:rsid w:val="00121956"/>
    <w:rsid w:val="001228BC"/>
    <w:rsid w:val="00141E53"/>
    <w:rsid w:val="00144987"/>
    <w:rsid w:val="00163817"/>
    <w:rsid w:val="001763FA"/>
    <w:rsid w:val="00177995"/>
    <w:rsid w:val="00183AB8"/>
    <w:rsid w:val="001868BB"/>
    <w:rsid w:val="00187A46"/>
    <w:rsid w:val="00194C32"/>
    <w:rsid w:val="001957FA"/>
    <w:rsid w:val="001A1334"/>
    <w:rsid w:val="001A1B8D"/>
    <w:rsid w:val="001A6B52"/>
    <w:rsid w:val="001B07A2"/>
    <w:rsid w:val="001B3831"/>
    <w:rsid w:val="001B4438"/>
    <w:rsid w:val="001C3A2B"/>
    <w:rsid w:val="001C5C50"/>
    <w:rsid w:val="001D0A06"/>
    <w:rsid w:val="001D2FA0"/>
    <w:rsid w:val="001D41F9"/>
    <w:rsid w:val="001E2AEB"/>
    <w:rsid w:val="001F0C32"/>
    <w:rsid w:val="001F4DA3"/>
    <w:rsid w:val="001F53CA"/>
    <w:rsid w:val="001F6D18"/>
    <w:rsid w:val="002019E5"/>
    <w:rsid w:val="00202626"/>
    <w:rsid w:val="0020566A"/>
    <w:rsid w:val="00205AC7"/>
    <w:rsid w:val="0020625A"/>
    <w:rsid w:val="002105CA"/>
    <w:rsid w:val="00214A6A"/>
    <w:rsid w:val="00214D7F"/>
    <w:rsid w:val="00217161"/>
    <w:rsid w:val="00217A51"/>
    <w:rsid w:val="00223336"/>
    <w:rsid w:val="00235C7A"/>
    <w:rsid w:val="00236323"/>
    <w:rsid w:val="00257BA9"/>
    <w:rsid w:val="00262314"/>
    <w:rsid w:val="00266AEE"/>
    <w:rsid w:val="002703A6"/>
    <w:rsid w:val="00271140"/>
    <w:rsid w:val="00272D60"/>
    <w:rsid w:val="002759DC"/>
    <w:rsid w:val="00282283"/>
    <w:rsid w:val="00284BEB"/>
    <w:rsid w:val="0028607E"/>
    <w:rsid w:val="00287808"/>
    <w:rsid w:val="002D0416"/>
    <w:rsid w:val="002D57A5"/>
    <w:rsid w:val="002E2C5D"/>
    <w:rsid w:val="002E3019"/>
    <w:rsid w:val="002F3D49"/>
    <w:rsid w:val="00302C67"/>
    <w:rsid w:val="0030416D"/>
    <w:rsid w:val="00306807"/>
    <w:rsid w:val="00316852"/>
    <w:rsid w:val="00317993"/>
    <w:rsid w:val="00317A4A"/>
    <w:rsid w:val="00321E68"/>
    <w:rsid w:val="00322BD2"/>
    <w:rsid w:val="00326141"/>
    <w:rsid w:val="00332030"/>
    <w:rsid w:val="003663D4"/>
    <w:rsid w:val="003703B1"/>
    <w:rsid w:val="00377AFD"/>
    <w:rsid w:val="00383291"/>
    <w:rsid w:val="00383648"/>
    <w:rsid w:val="0038489D"/>
    <w:rsid w:val="003852BF"/>
    <w:rsid w:val="0039002C"/>
    <w:rsid w:val="003938DA"/>
    <w:rsid w:val="0039736C"/>
    <w:rsid w:val="003A149D"/>
    <w:rsid w:val="003A425A"/>
    <w:rsid w:val="003B546C"/>
    <w:rsid w:val="003B779F"/>
    <w:rsid w:val="004000F0"/>
    <w:rsid w:val="00401B3A"/>
    <w:rsid w:val="00401D30"/>
    <w:rsid w:val="00404826"/>
    <w:rsid w:val="00404FC7"/>
    <w:rsid w:val="00407587"/>
    <w:rsid w:val="0041148C"/>
    <w:rsid w:val="00412BFA"/>
    <w:rsid w:val="00414DE1"/>
    <w:rsid w:val="00417958"/>
    <w:rsid w:val="00420F46"/>
    <w:rsid w:val="00421077"/>
    <w:rsid w:val="0042738E"/>
    <w:rsid w:val="00454AD5"/>
    <w:rsid w:val="0046726B"/>
    <w:rsid w:val="00484C66"/>
    <w:rsid w:val="00491BD1"/>
    <w:rsid w:val="004A751A"/>
    <w:rsid w:val="004B1DF0"/>
    <w:rsid w:val="004B3C45"/>
    <w:rsid w:val="004B5280"/>
    <w:rsid w:val="004B570D"/>
    <w:rsid w:val="004C0435"/>
    <w:rsid w:val="004C5693"/>
    <w:rsid w:val="004D0D3D"/>
    <w:rsid w:val="004D5A80"/>
    <w:rsid w:val="004D6170"/>
    <w:rsid w:val="004D6B8D"/>
    <w:rsid w:val="004F4909"/>
    <w:rsid w:val="00510707"/>
    <w:rsid w:val="00514646"/>
    <w:rsid w:val="00522304"/>
    <w:rsid w:val="0052657D"/>
    <w:rsid w:val="00527484"/>
    <w:rsid w:val="005340B3"/>
    <w:rsid w:val="00540C68"/>
    <w:rsid w:val="00547C19"/>
    <w:rsid w:val="005544D6"/>
    <w:rsid w:val="00564AD9"/>
    <w:rsid w:val="00576272"/>
    <w:rsid w:val="005940DE"/>
    <w:rsid w:val="005A2288"/>
    <w:rsid w:val="005B0E8A"/>
    <w:rsid w:val="005B26B2"/>
    <w:rsid w:val="005B6C3D"/>
    <w:rsid w:val="005D71B5"/>
    <w:rsid w:val="005E04FC"/>
    <w:rsid w:val="005E10F1"/>
    <w:rsid w:val="005E213E"/>
    <w:rsid w:val="005F1AF6"/>
    <w:rsid w:val="005F1C9E"/>
    <w:rsid w:val="00603AB3"/>
    <w:rsid w:val="00612F15"/>
    <w:rsid w:val="00613162"/>
    <w:rsid w:val="00615FFE"/>
    <w:rsid w:val="00616F2B"/>
    <w:rsid w:val="006211DD"/>
    <w:rsid w:val="00622513"/>
    <w:rsid w:val="006331AD"/>
    <w:rsid w:val="006534F3"/>
    <w:rsid w:val="00662E41"/>
    <w:rsid w:val="00667092"/>
    <w:rsid w:val="00680B1A"/>
    <w:rsid w:val="00681522"/>
    <w:rsid w:val="006822FA"/>
    <w:rsid w:val="006824B2"/>
    <w:rsid w:val="00686327"/>
    <w:rsid w:val="00692393"/>
    <w:rsid w:val="006A1A85"/>
    <w:rsid w:val="006B51AC"/>
    <w:rsid w:val="006B65FC"/>
    <w:rsid w:val="006C61EE"/>
    <w:rsid w:val="006D4AEB"/>
    <w:rsid w:val="006D7CDA"/>
    <w:rsid w:val="006E72EA"/>
    <w:rsid w:val="006F1164"/>
    <w:rsid w:val="00702723"/>
    <w:rsid w:val="00711C0C"/>
    <w:rsid w:val="00712AE5"/>
    <w:rsid w:val="00713758"/>
    <w:rsid w:val="00722D0D"/>
    <w:rsid w:val="0072417E"/>
    <w:rsid w:val="007267FB"/>
    <w:rsid w:val="00733066"/>
    <w:rsid w:val="00733AF9"/>
    <w:rsid w:val="00743917"/>
    <w:rsid w:val="00756390"/>
    <w:rsid w:val="00764A60"/>
    <w:rsid w:val="007725F3"/>
    <w:rsid w:val="007827DE"/>
    <w:rsid w:val="00784132"/>
    <w:rsid w:val="0078553D"/>
    <w:rsid w:val="007A0755"/>
    <w:rsid w:val="007B0028"/>
    <w:rsid w:val="007B3E14"/>
    <w:rsid w:val="007B42EA"/>
    <w:rsid w:val="007C0F93"/>
    <w:rsid w:val="007C437A"/>
    <w:rsid w:val="007D0793"/>
    <w:rsid w:val="007D1435"/>
    <w:rsid w:val="007D5274"/>
    <w:rsid w:val="007E3DD2"/>
    <w:rsid w:val="007E583B"/>
    <w:rsid w:val="007E5A5B"/>
    <w:rsid w:val="007E729E"/>
    <w:rsid w:val="007F1B92"/>
    <w:rsid w:val="007F48B4"/>
    <w:rsid w:val="008016AE"/>
    <w:rsid w:val="00825AF2"/>
    <w:rsid w:val="00826149"/>
    <w:rsid w:val="00834305"/>
    <w:rsid w:val="00835111"/>
    <w:rsid w:val="00837447"/>
    <w:rsid w:val="00850CD8"/>
    <w:rsid w:val="00851396"/>
    <w:rsid w:val="00853A2E"/>
    <w:rsid w:val="00861A54"/>
    <w:rsid w:val="00865266"/>
    <w:rsid w:val="00875198"/>
    <w:rsid w:val="00882C70"/>
    <w:rsid w:val="0088318A"/>
    <w:rsid w:val="008832E8"/>
    <w:rsid w:val="00895EB1"/>
    <w:rsid w:val="00897EBE"/>
    <w:rsid w:val="008A2E79"/>
    <w:rsid w:val="008A7B12"/>
    <w:rsid w:val="008B4E46"/>
    <w:rsid w:val="008B5ADF"/>
    <w:rsid w:val="008C1D4B"/>
    <w:rsid w:val="008C5CBF"/>
    <w:rsid w:val="008D757C"/>
    <w:rsid w:val="008E00B4"/>
    <w:rsid w:val="008E3B5E"/>
    <w:rsid w:val="008E5E94"/>
    <w:rsid w:val="008F0690"/>
    <w:rsid w:val="008F7174"/>
    <w:rsid w:val="00904094"/>
    <w:rsid w:val="00910F5E"/>
    <w:rsid w:val="0091329D"/>
    <w:rsid w:val="00914906"/>
    <w:rsid w:val="00916991"/>
    <w:rsid w:val="00917FC0"/>
    <w:rsid w:val="00924C0A"/>
    <w:rsid w:val="00930A46"/>
    <w:rsid w:val="009313EF"/>
    <w:rsid w:val="0094406C"/>
    <w:rsid w:val="00947D39"/>
    <w:rsid w:val="00950618"/>
    <w:rsid w:val="00953C94"/>
    <w:rsid w:val="00955D1E"/>
    <w:rsid w:val="00962211"/>
    <w:rsid w:val="009718F2"/>
    <w:rsid w:val="00975A1F"/>
    <w:rsid w:val="009841EC"/>
    <w:rsid w:val="00985746"/>
    <w:rsid w:val="00987DDB"/>
    <w:rsid w:val="00991A04"/>
    <w:rsid w:val="00997B86"/>
    <w:rsid w:val="00997C57"/>
    <w:rsid w:val="009A2AF8"/>
    <w:rsid w:val="009A52C8"/>
    <w:rsid w:val="009B03B9"/>
    <w:rsid w:val="009B152D"/>
    <w:rsid w:val="009C01A8"/>
    <w:rsid w:val="009D5833"/>
    <w:rsid w:val="009F274E"/>
    <w:rsid w:val="009F70E6"/>
    <w:rsid w:val="00A0136F"/>
    <w:rsid w:val="00A02301"/>
    <w:rsid w:val="00A05D35"/>
    <w:rsid w:val="00A07BE3"/>
    <w:rsid w:val="00A13477"/>
    <w:rsid w:val="00A146C0"/>
    <w:rsid w:val="00A16454"/>
    <w:rsid w:val="00A27523"/>
    <w:rsid w:val="00A356BB"/>
    <w:rsid w:val="00A4187F"/>
    <w:rsid w:val="00A41EC8"/>
    <w:rsid w:val="00A42505"/>
    <w:rsid w:val="00A43601"/>
    <w:rsid w:val="00A53558"/>
    <w:rsid w:val="00A64950"/>
    <w:rsid w:val="00A75001"/>
    <w:rsid w:val="00A80FC4"/>
    <w:rsid w:val="00A81295"/>
    <w:rsid w:val="00A84E3A"/>
    <w:rsid w:val="00A86128"/>
    <w:rsid w:val="00A87E4B"/>
    <w:rsid w:val="00AA1D11"/>
    <w:rsid w:val="00AA4EA9"/>
    <w:rsid w:val="00AA58A9"/>
    <w:rsid w:val="00AB629E"/>
    <w:rsid w:val="00AC0167"/>
    <w:rsid w:val="00AC3293"/>
    <w:rsid w:val="00AC61B4"/>
    <w:rsid w:val="00AD2D7B"/>
    <w:rsid w:val="00AE0134"/>
    <w:rsid w:val="00AE037F"/>
    <w:rsid w:val="00AE0E14"/>
    <w:rsid w:val="00AE1594"/>
    <w:rsid w:val="00AE348C"/>
    <w:rsid w:val="00AE421F"/>
    <w:rsid w:val="00AF177B"/>
    <w:rsid w:val="00AF44C1"/>
    <w:rsid w:val="00B00E09"/>
    <w:rsid w:val="00B06823"/>
    <w:rsid w:val="00B12FD9"/>
    <w:rsid w:val="00B13AAF"/>
    <w:rsid w:val="00B147D9"/>
    <w:rsid w:val="00B200C8"/>
    <w:rsid w:val="00B209C2"/>
    <w:rsid w:val="00B22D11"/>
    <w:rsid w:val="00B230E1"/>
    <w:rsid w:val="00B25A6E"/>
    <w:rsid w:val="00B2782F"/>
    <w:rsid w:val="00B432DE"/>
    <w:rsid w:val="00B4716F"/>
    <w:rsid w:val="00B53266"/>
    <w:rsid w:val="00B55B1B"/>
    <w:rsid w:val="00B660B6"/>
    <w:rsid w:val="00B670B5"/>
    <w:rsid w:val="00B753F1"/>
    <w:rsid w:val="00B75B39"/>
    <w:rsid w:val="00B90ADC"/>
    <w:rsid w:val="00B91113"/>
    <w:rsid w:val="00BA1C89"/>
    <w:rsid w:val="00BA367A"/>
    <w:rsid w:val="00BB0884"/>
    <w:rsid w:val="00BC65EB"/>
    <w:rsid w:val="00BD2938"/>
    <w:rsid w:val="00BD6D05"/>
    <w:rsid w:val="00BE6750"/>
    <w:rsid w:val="00BF437C"/>
    <w:rsid w:val="00BF69C2"/>
    <w:rsid w:val="00BF76A6"/>
    <w:rsid w:val="00C125C1"/>
    <w:rsid w:val="00C13470"/>
    <w:rsid w:val="00C172F1"/>
    <w:rsid w:val="00C17F39"/>
    <w:rsid w:val="00C226FC"/>
    <w:rsid w:val="00C22823"/>
    <w:rsid w:val="00C243C9"/>
    <w:rsid w:val="00C25729"/>
    <w:rsid w:val="00C30393"/>
    <w:rsid w:val="00C30468"/>
    <w:rsid w:val="00C55B4B"/>
    <w:rsid w:val="00C56B1D"/>
    <w:rsid w:val="00C639EA"/>
    <w:rsid w:val="00C65B0B"/>
    <w:rsid w:val="00C71BB7"/>
    <w:rsid w:val="00C7466C"/>
    <w:rsid w:val="00C81166"/>
    <w:rsid w:val="00C82596"/>
    <w:rsid w:val="00C85909"/>
    <w:rsid w:val="00C86B48"/>
    <w:rsid w:val="00CA7505"/>
    <w:rsid w:val="00CB4E13"/>
    <w:rsid w:val="00CB597B"/>
    <w:rsid w:val="00CC3BD2"/>
    <w:rsid w:val="00CC3C0D"/>
    <w:rsid w:val="00CC57CC"/>
    <w:rsid w:val="00CC714C"/>
    <w:rsid w:val="00D034D5"/>
    <w:rsid w:val="00D1351A"/>
    <w:rsid w:val="00D137CE"/>
    <w:rsid w:val="00D23317"/>
    <w:rsid w:val="00D412C1"/>
    <w:rsid w:val="00D445FC"/>
    <w:rsid w:val="00D4658B"/>
    <w:rsid w:val="00D520F9"/>
    <w:rsid w:val="00D75394"/>
    <w:rsid w:val="00D76111"/>
    <w:rsid w:val="00D7746E"/>
    <w:rsid w:val="00D80B3E"/>
    <w:rsid w:val="00D81521"/>
    <w:rsid w:val="00D83197"/>
    <w:rsid w:val="00D84E70"/>
    <w:rsid w:val="00D86EF1"/>
    <w:rsid w:val="00D929F6"/>
    <w:rsid w:val="00D96023"/>
    <w:rsid w:val="00D970C0"/>
    <w:rsid w:val="00DA3F98"/>
    <w:rsid w:val="00DB04FE"/>
    <w:rsid w:val="00DC596D"/>
    <w:rsid w:val="00DC6E77"/>
    <w:rsid w:val="00DC7F54"/>
    <w:rsid w:val="00DD5900"/>
    <w:rsid w:val="00DE171A"/>
    <w:rsid w:val="00DE2DAC"/>
    <w:rsid w:val="00DE3F47"/>
    <w:rsid w:val="00E04E7D"/>
    <w:rsid w:val="00E17AA1"/>
    <w:rsid w:val="00E20665"/>
    <w:rsid w:val="00E330E4"/>
    <w:rsid w:val="00E33704"/>
    <w:rsid w:val="00E37AC4"/>
    <w:rsid w:val="00E4528C"/>
    <w:rsid w:val="00E47B8D"/>
    <w:rsid w:val="00E5363D"/>
    <w:rsid w:val="00E575FE"/>
    <w:rsid w:val="00E6056A"/>
    <w:rsid w:val="00E63FB9"/>
    <w:rsid w:val="00E66088"/>
    <w:rsid w:val="00E706A1"/>
    <w:rsid w:val="00E718C6"/>
    <w:rsid w:val="00E71CF7"/>
    <w:rsid w:val="00E755FF"/>
    <w:rsid w:val="00E76F61"/>
    <w:rsid w:val="00E90986"/>
    <w:rsid w:val="00E92E13"/>
    <w:rsid w:val="00E96608"/>
    <w:rsid w:val="00EA249C"/>
    <w:rsid w:val="00EA2FE5"/>
    <w:rsid w:val="00EB6BDB"/>
    <w:rsid w:val="00EC16A5"/>
    <w:rsid w:val="00EC209C"/>
    <w:rsid w:val="00EC670A"/>
    <w:rsid w:val="00ED1BAB"/>
    <w:rsid w:val="00EE77A6"/>
    <w:rsid w:val="00EF4647"/>
    <w:rsid w:val="00EF4B1A"/>
    <w:rsid w:val="00F003D3"/>
    <w:rsid w:val="00F005AA"/>
    <w:rsid w:val="00F01EEE"/>
    <w:rsid w:val="00F03CD6"/>
    <w:rsid w:val="00F22F3D"/>
    <w:rsid w:val="00F32F04"/>
    <w:rsid w:val="00F331F0"/>
    <w:rsid w:val="00F35C92"/>
    <w:rsid w:val="00F373C9"/>
    <w:rsid w:val="00F40874"/>
    <w:rsid w:val="00F44622"/>
    <w:rsid w:val="00F4799A"/>
    <w:rsid w:val="00F52BD0"/>
    <w:rsid w:val="00F56A2C"/>
    <w:rsid w:val="00F602D2"/>
    <w:rsid w:val="00F612D5"/>
    <w:rsid w:val="00F62C5C"/>
    <w:rsid w:val="00F62CC6"/>
    <w:rsid w:val="00F63464"/>
    <w:rsid w:val="00F6472B"/>
    <w:rsid w:val="00F71EC5"/>
    <w:rsid w:val="00F75A97"/>
    <w:rsid w:val="00F75D65"/>
    <w:rsid w:val="00F80BAC"/>
    <w:rsid w:val="00F85D8D"/>
    <w:rsid w:val="00F92E8E"/>
    <w:rsid w:val="00F93903"/>
    <w:rsid w:val="00FA6084"/>
    <w:rsid w:val="00FB0D48"/>
    <w:rsid w:val="00FC0C83"/>
    <w:rsid w:val="00FC190B"/>
    <w:rsid w:val="00FC269A"/>
    <w:rsid w:val="00FD485D"/>
    <w:rsid w:val="00FE07E2"/>
    <w:rsid w:val="00FE193C"/>
    <w:rsid w:val="00FE5EDA"/>
    <w:rsid w:val="00FE6577"/>
    <w:rsid w:val="00FF1726"/>
    <w:rsid w:val="00FF57D0"/>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3611F8"/>
  <w15:docId w15:val="{0DAEEC61-DE2D-3C43-86A8-12C096C7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B1D"/>
    <w:pPr>
      <w:spacing w:line="260" w:lineRule="atLeast"/>
      <w:jc w:val="both"/>
    </w:pPr>
    <w:rPr>
      <w:rFonts w:ascii="Palatino Linotype" w:hAnsi="Palatino Linotype"/>
      <w:noProof/>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next w:val="Normale"/>
    <w:qFormat/>
    <w:rsid w:val="0052230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e"/>
    <w:qFormat/>
    <w:rsid w:val="0052230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e"/>
    <w:qFormat/>
    <w:rsid w:val="0052230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e"/>
    <w:next w:val="Normale"/>
    <w:qFormat/>
    <w:rsid w:val="00522304"/>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52230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e"/>
    <w:qFormat/>
    <w:rsid w:val="00522304"/>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e"/>
    <w:qFormat/>
    <w:rsid w:val="00522304"/>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E76F61"/>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ellanormale"/>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gliatabella">
    <w:name w:val="Table Grid"/>
    <w:basedOn w:val="Tabellanormale"/>
    <w:uiPriority w:val="5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522304"/>
    <w:pPr>
      <w:tabs>
        <w:tab w:val="center" w:pos="4153"/>
        <w:tab w:val="right" w:pos="8306"/>
      </w:tabs>
      <w:snapToGrid w:val="0"/>
      <w:spacing w:line="240" w:lineRule="atLeast"/>
    </w:pPr>
    <w:rPr>
      <w:szCs w:val="18"/>
    </w:rPr>
  </w:style>
  <w:style w:type="character" w:customStyle="1" w:styleId="PidipaginaCarattere">
    <w:name w:val="Piè di pagina Carattere"/>
    <w:link w:val="Pidipagina"/>
    <w:uiPriority w:val="99"/>
    <w:rsid w:val="00522304"/>
    <w:rPr>
      <w:rFonts w:ascii="Palatino Linotype" w:hAnsi="Palatino Linotype"/>
      <w:noProof/>
      <w:color w:val="000000"/>
      <w:szCs w:val="18"/>
    </w:rPr>
  </w:style>
  <w:style w:type="paragraph" w:styleId="Intestazione">
    <w:name w:val="header"/>
    <w:basedOn w:val="Normale"/>
    <w:link w:val="IntestazioneCarattere"/>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IntestazioneCarattere">
    <w:name w:val="Intestazione Carattere"/>
    <w:link w:val="Intestazione"/>
    <w:uiPriority w:val="99"/>
    <w:rsid w:val="00522304"/>
    <w:rPr>
      <w:rFonts w:ascii="Palatino Linotype" w:hAnsi="Palatino Linotype"/>
      <w:noProof/>
      <w:color w:val="000000"/>
      <w:szCs w:val="18"/>
    </w:rPr>
  </w:style>
  <w:style w:type="paragraph" w:customStyle="1" w:styleId="MDPIheaderjournallogo">
    <w:name w:val="MDPI_header_journal_logo"/>
    <w:qFormat/>
    <w:rsid w:val="00522304"/>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522304"/>
    <w:pPr>
      <w:ind w:firstLine="0"/>
    </w:pPr>
  </w:style>
  <w:style w:type="paragraph" w:customStyle="1" w:styleId="MDPI31text">
    <w:name w:val="MDPI_3.1_text"/>
    <w:qFormat/>
    <w:rsid w:val="00322BD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522304"/>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522304"/>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52230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522304"/>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10707"/>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10707"/>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522304"/>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522304"/>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522304"/>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522304"/>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22304"/>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52230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522304"/>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522304"/>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522304"/>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522304"/>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522304"/>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522304"/>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187A46"/>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stofumetto">
    <w:name w:val="Balloon Text"/>
    <w:basedOn w:val="Normale"/>
    <w:link w:val="TestofumettoCarattere"/>
    <w:uiPriority w:val="99"/>
    <w:rsid w:val="00522304"/>
    <w:rPr>
      <w:rFonts w:cs="Tahoma"/>
      <w:szCs w:val="18"/>
    </w:rPr>
  </w:style>
  <w:style w:type="character" w:customStyle="1" w:styleId="TestofumettoCarattere">
    <w:name w:val="Testo fumetto Carattere"/>
    <w:link w:val="Testofumetto"/>
    <w:uiPriority w:val="99"/>
    <w:rsid w:val="00522304"/>
    <w:rPr>
      <w:rFonts w:ascii="Palatino Linotype" w:hAnsi="Palatino Linotype" w:cs="Tahoma"/>
      <w:noProof/>
      <w:color w:val="000000"/>
      <w:szCs w:val="18"/>
    </w:rPr>
  </w:style>
  <w:style w:type="character" w:styleId="Numeroriga">
    <w:name w:val="line number"/>
    <w:uiPriority w:val="99"/>
    <w:rsid w:val="00284BEB"/>
    <w:rPr>
      <w:rFonts w:ascii="Palatino Linotype" w:hAnsi="Palatino Linotype"/>
      <w:sz w:val="16"/>
    </w:rPr>
  </w:style>
  <w:style w:type="table" w:customStyle="1" w:styleId="MDPI41threelinetable">
    <w:name w:val="MDPI_4.1_three_line_table"/>
    <w:basedOn w:val="Tabellanormale"/>
    <w:uiPriority w:val="99"/>
    <w:rsid w:val="00522304"/>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Collegamentoipertestuale">
    <w:name w:val="Hyperlink"/>
    <w:uiPriority w:val="99"/>
    <w:rsid w:val="00522304"/>
    <w:rPr>
      <w:color w:val="0000FF"/>
      <w:u w:val="single"/>
    </w:rPr>
  </w:style>
  <w:style w:type="character" w:customStyle="1" w:styleId="Menzionenonrisolta1">
    <w:name w:val="Menzione non risolta1"/>
    <w:uiPriority w:val="99"/>
    <w:semiHidden/>
    <w:unhideWhenUsed/>
    <w:rsid w:val="00C243C9"/>
    <w:rPr>
      <w:color w:val="605E5C"/>
      <w:shd w:val="clear" w:color="auto" w:fill="E1DFDD"/>
    </w:rPr>
  </w:style>
  <w:style w:type="table" w:customStyle="1" w:styleId="Tabellasemplice41">
    <w:name w:val="Tabella semplice 41"/>
    <w:basedOn w:val="Tabellanormale"/>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522304"/>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522304"/>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522304"/>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06442A"/>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522304"/>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522304"/>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522304"/>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522304"/>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522304"/>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522304"/>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522304"/>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522304"/>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522304"/>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522304"/>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ellanormale"/>
    <w:uiPriority w:val="99"/>
    <w:rsid w:val="00522304"/>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522304"/>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522304"/>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Bibliografia">
    <w:name w:val="Bibliography"/>
    <w:basedOn w:val="Normale"/>
    <w:next w:val="Normale"/>
    <w:uiPriority w:val="37"/>
    <w:semiHidden/>
    <w:unhideWhenUsed/>
    <w:rsid w:val="00522304"/>
  </w:style>
  <w:style w:type="paragraph" w:styleId="Corpotesto">
    <w:name w:val="Body Text"/>
    <w:link w:val="CorpotestoCarattere"/>
    <w:rsid w:val="00522304"/>
    <w:pPr>
      <w:spacing w:after="120" w:line="340" w:lineRule="atLeast"/>
      <w:jc w:val="both"/>
    </w:pPr>
    <w:rPr>
      <w:rFonts w:ascii="Palatino Linotype" w:hAnsi="Palatino Linotype"/>
      <w:color w:val="000000"/>
      <w:sz w:val="24"/>
      <w:lang w:eastAsia="de-DE"/>
    </w:rPr>
  </w:style>
  <w:style w:type="character" w:customStyle="1" w:styleId="CorpotestoCarattere">
    <w:name w:val="Corpo testo Carattere"/>
    <w:link w:val="Corpotesto"/>
    <w:rsid w:val="00522304"/>
    <w:rPr>
      <w:rFonts w:ascii="Palatino Linotype" w:hAnsi="Palatino Linotype"/>
      <w:color w:val="000000"/>
      <w:sz w:val="24"/>
      <w:lang w:eastAsia="de-DE"/>
    </w:rPr>
  </w:style>
  <w:style w:type="character" w:styleId="Rimandocommento">
    <w:name w:val="annotation reference"/>
    <w:rsid w:val="00522304"/>
    <w:rPr>
      <w:sz w:val="21"/>
      <w:szCs w:val="21"/>
    </w:rPr>
  </w:style>
  <w:style w:type="paragraph" w:styleId="Testocommento">
    <w:name w:val="annotation text"/>
    <w:basedOn w:val="Normale"/>
    <w:link w:val="TestocommentoCarattere"/>
    <w:rsid w:val="00522304"/>
  </w:style>
  <w:style w:type="character" w:customStyle="1" w:styleId="TestocommentoCarattere">
    <w:name w:val="Testo commento Carattere"/>
    <w:link w:val="Testocommento"/>
    <w:rsid w:val="00522304"/>
    <w:rPr>
      <w:rFonts w:ascii="Palatino Linotype" w:hAnsi="Palatino Linotype"/>
      <w:noProof/>
      <w:color w:val="000000"/>
    </w:rPr>
  </w:style>
  <w:style w:type="paragraph" w:styleId="Soggettocommento">
    <w:name w:val="annotation subject"/>
    <w:basedOn w:val="Testocommento"/>
    <w:next w:val="Testocommento"/>
    <w:link w:val="SoggettocommentoCarattere"/>
    <w:rsid w:val="00522304"/>
    <w:rPr>
      <w:b/>
      <w:bCs/>
    </w:rPr>
  </w:style>
  <w:style w:type="character" w:customStyle="1" w:styleId="SoggettocommentoCarattere">
    <w:name w:val="Soggetto commento Carattere"/>
    <w:link w:val="Soggettocommento"/>
    <w:rsid w:val="00522304"/>
    <w:rPr>
      <w:rFonts w:ascii="Palatino Linotype" w:hAnsi="Palatino Linotype"/>
      <w:b/>
      <w:bCs/>
      <w:noProof/>
      <w:color w:val="000000"/>
    </w:rPr>
  </w:style>
  <w:style w:type="character" w:styleId="Rimandonotadichiusura">
    <w:name w:val="endnote reference"/>
    <w:rsid w:val="00522304"/>
    <w:rPr>
      <w:vertAlign w:val="superscript"/>
    </w:rPr>
  </w:style>
  <w:style w:type="paragraph" w:styleId="Testonotadichiusura">
    <w:name w:val="endnote text"/>
    <w:basedOn w:val="Normale"/>
    <w:link w:val="TestonotadichiusuraCarattere"/>
    <w:semiHidden/>
    <w:unhideWhenUsed/>
    <w:rsid w:val="00522304"/>
    <w:pPr>
      <w:spacing w:line="240" w:lineRule="auto"/>
    </w:pPr>
  </w:style>
  <w:style w:type="character" w:customStyle="1" w:styleId="TestonotadichiusuraCarattere">
    <w:name w:val="Testo nota di chiusura Carattere"/>
    <w:link w:val="Testonotadichiusura"/>
    <w:semiHidden/>
    <w:rsid w:val="00522304"/>
    <w:rPr>
      <w:rFonts w:ascii="Palatino Linotype" w:hAnsi="Palatino Linotype"/>
      <w:noProof/>
      <w:color w:val="000000"/>
    </w:rPr>
  </w:style>
  <w:style w:type="character" w:styleId="Collegamentovisitato">
    <w:name w:val="FollowedHyperlink"/>
    <w:rsid w:val="00522304"/>
    <w:rPr>
      <w:color w:val="954F72"/>
      <w:u w:val="single"/>
    </w:rPr>
  </w:style>
  <w:style w:type="paragraph" w:styleId="Testonotaapidipagina">
    <w:name w:val="footnote text"/>
    <w:basedOn w:val="Normale"/>
    <w:link w:val="TestonotaapidipaginaCarattere"/>
    <w:semiHidden/>
    <w:unhideWhenUsed/>
    <w:rsid w:val="00522304"/>
    <w:pPr>
      <w:spacing w:line="240" w:lineRule="auto"/>
    </w:pPr>
  </w:style>
  <w:style w:type="character" w:customStyle="1" w:styleId="TestonotaapidipaginaCarattere">
    <w:name w:val="Testo nota a piè di pagina Carattere"/>
    <w:link w:val="Testonotaapidipagina"/>
    <w:semiHidden/>
    <w:rsid w:val="00522304"/>
    <w:rPr>
      <w:rFonts w:ascii="Palatino Linotype" w:hAnsi="Palatino Linotype"/>
      <w:noProof/>
      <w:color w:val="000000"/>
    </w:rPr>
  </w:style>
  <w:style w:type="paragraph" w:styleId="NormaleWeb">
    <w:name w:val="Normal (Web)"/>
    <w:basedOn w:val="Normale"/>
    <w:uiPriority w:val="99"/>
    <w:rsid w:val="00522304"/>
    <w:rPr>
      <w:szCs w:val="24"/>
    </w:rPr>
  </w:style>
  <w:style w:type="paragraph" w:customStyle="1" w:styleId="MsoFootnoteText0">
    <w:name w:val="MsoFootnoteText"/>
    <w:basedOn w:val="NormaleWeb"/>
    <w:qFormat/>
    <w:rsid w:val="00522304"/>
    <w:rPr>
      <w:rFonts w:ascii="Times New Roman" w:hAnsi="Times New Roman"/>
    </w:rPr>
  </w:style>
  <w:style w:type="character" w:styleId="Numeropagina">
    <w:name w:val="page number"/>
    <w:rsid w:val="00522304"/>
  </w:style>
  <w:style w:type="character" w:styleId="Testosegnaposto">
    <w:name w:val="Placeholder Text"/>
    <w:uiPriority w:val="99"/>
    <w:semiHidden/>
    <w:rsid w:val="00522304"/>
    <w:rPr>
      <w:color w:val="808080"/>
    </w:rPr>
  </w:style>
  <w:style w:type="paragraph" w:customStyle="1" w:styleId="MDPI71FootNotes">
    <w:name w:val="MDPI_7.1_FootNotes"/>
    <w:qFormat/>
    <w:rsid w:val="00262314"/>
    <w:pPr>
      <w:numPr>
        <w:numId w:val="21"/>
      </w:numPr>
      <w:adjustRightInd w:val="0"/>
      <w:snapToGrid w:val="0"/>
      <w:spacing w:line="228" w:lineRule="auto"/>
    </w:pPr>
    <w:rPr>
      <w:rFonts w:ascii="Palatino Linotype" w:eastAsiaTheme="minorEastAsia" w:hAnsi="Palatino Linotype"/>
      <w:noProof/>
      <w:color w:val="000000"/>
      <w:sz w:val="18"/>
    </w:rPr>
  </w:style>
  <w:style w:type="paragraph" w:styleId="Didascalia">
    <w:name w:val="caption"/>
    <w:basedOn w:val="Normale"/>
    <w:next w:val="Normale"/>
    <w:uiPriority w:val="35"/>
    <w:unhideWhenUsed/>
    <w:qFormat/>
    <w:rsid w:val="00DE3F47"/>
    <w:pPr>
      <w:spacing w:after="200" w:line="240" w:lineRule="auto"/>
    </w:pPr>
    <w:rPr>
      <w:i/>
      <w:iCs/>
      <w:color w:val="44546A" w:themeColor="text2"/>
      <w:sz w:val="18"/>
      <w:szCs w:val="18"/>
    </w:rPr>
  </w:style>
  <w:style w:type="table" w:customStyle="1" w:styleId="Grigliatabella1">
    <w:name w:val="Griglia tabella1"/>
    <w:basedOn w:val="Tabellanormale"/>
    <w:next w:val="Grigliatabella"/>
    <w:uiPriority w:val="59"/>
    <w:rsid w:val="00EF4B1A"/>
    <w:rPr>
      <w:rFonts w:eastAsia="Times New Roman" w:cs="Arial"/>
      <w:sz w:val="24"/>
      <w:szCs w:val="24"/>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8C1D4B"/>
    <w:rPr>
      <w:color w:val="605E5C"/>
      <w:shd w:val="clear" w:color="auto" w:fill="E1DFDD"/>
    </w:rPr>
  </w:style>
  <w:style w:type="paragraph" w:styleId="Revisione">
    <w:name w:val="Revision"/>
    <w:hidden/>
    <w:uiPriority w:val="99"/>
    <w:semiHidden/>
    <w:rsid w:val="00E718C6"/>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130580">
      <w:bodyDiv w:val="1"/>
      <w:marLeft w:val="0"/>
      <w:marRight w:val="0"/>
      <w:marTop w:val="0"/>
      <w:marBottom w:val="0"/>
      <w:divBdr>
        <w:top w:val="none" w:sz="0" w:space="0" w:color="auto"/>
        <w:left w:val="none" w:sz="0" w:space="0" w:color="auto"/>
        <w:bottom w:val="none" w:sz="0" w:space="0" w:color="auto"/>
        <w:right w:val="none" w:sz="0" w:space="0" w:color="auto"/>
      </w:divBdr>
      <w:divsChild>
        <w:div w:id="154810609">
          <w:marLeft w:val="0"/>
          <w:marRight w:val="0"/>
          <w:marTop w:val="0"/>
          <w:marBottom w:val="0"/>
          <w:divBdr>
            <w:top w:val="none" w:sz="0" w:space="0" w:color="auto"/>
            <w:left w:val="none" w:sz="0" w:space="0" w:color="auto"/>
            <w:bottom w:val="none" w:sz="0" w:space="0" w:color="auto"/>
            <w:right w:val="none" w:sz="0" w:space="0" w:color="auto"/>
          </w:divBdr>
          <w:divsChild>
            <w:div w:id="1233198286">
              <w:marLeft w:val="0"/>
              <w:marRight w:val="0"/>
              <w:marTop w:val="0"/>
              <w:marBottom w:val="0"/>
              <w:divBdr>
                <w:top w:val="none" w:sz="0" w:space="0" w:color="auto"/>
                <w:left w:val="none" w:sz="0" w:space="0" w:color="auto"/>
                <w:bottom w:val="none" w:sz="0" w:space="0" w:color="auto"/>
                <w:right w:val="none" w:sz="0" w:space="0" w:color="auto"/>
              </w:divBdr>
              <w:divsChild>
                <w:div w:id="1473449406">
                  <w:marLeft w:val="0"/>
                  <w:marRight w:val="0"/>
                  <w:marTop w:val="0"/>
                  <w:marBottom w:val="0"/>
                  <w:divBdr>
                    <w:top w:val="none" w:sz="0" w:space="0" w:color="auto"/>
                    <w:left w:val="none" w:sz="0" w:space="0" w:color="auto"/>
                    <w:bottom w:val="none" w:sz="0" w:space="0" w:color="auto"/>
                    <w:right w:val="none" w:sz="0" w:space="0" w:color="auto"/>
                  </w:divBdr>
                  <w:divsChild>
                    <w:div w:id="9989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959132">
      <w:bodyDiv w:val="1"/>
      <w:marLeft w:val="0"/>
      <w:marRight w:val="0"/>
      <w:marTop w:val="0"/>
      <w:marBottom w:val="0"/>
      <w:divBdr>
        <w:top w:val="none" w:sz="0" w:space="0" w:color="auto"/>
        <w:left w:val="none" w:sz="0" w:space="0" w:color="auto"/>
        <w:bottom w:val="none" w:sz="0" w:space="0" w:color="auto"/>
        <w:right w:val="none" w:sz="0" w:space="0" w:color="auto"/>
      </w:divBdr>
      <w:divsChild>
        <w:div w:id="942416470">
          <w:marLeft w:val="0"/>
          <w:marRight w:val="0"/>
          <w:marTop w:val="0"/>
          <w:marBottom w:val="0"/>
          <w:divBdr>
            <w:top w:val="none" w:sz="0" w:space="0" w:color="auto"/>
            <w:left w:val="none" w:sz="0" w:space="0" w:color="auto"/>
            <w:bottom w:val="none" w:sz="0" w:space="0" w:color="auto"/>
            <w:right w:val="none" w:sz="0" w:space="0" w:color="auto"/>
          </w:divBdr>
          <w:divsChild>
            <w:div w:id="1962032971">
              <w:marLeft w:val="0"/>
              <w:marRight w:val="0"/>
              <w:marTop w:val="0"/>
              <w:marBottom w:val="0"/>
              <w:divBdr>
                <w:top w:val="none" w:sz="0" w:space="0" w:color="auto"/>
                <w:left w:val="none" w:sz="0" w:space="0" w:color="auto"/>
                <w:bottom w:val="none" w:sz="0" w:space="0" w:color="auto"/>
                <w:right w:val="none" w:sz="0" w:space="0" w:color="auto"/>
              </w:divBdr>
              <w:divsChild>
                <w:div w:id="87211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8645">
      <w:bodyDiv w:val="1"/>
      <w:marLeft w:val="0"/>
      <w:marRight w:val="0"/>
      <w:marTop w:val="0"/>
      <w:marBottom w:val="0"/>
      <w:divBdr>
        <w:top w:val="none" w:sz="0" w:space="0" w:color="auto"/>
        <w:left w:val="none" w:sz="0" w:space="0" w:color="auto"/>
        <w:bottom w:val="none" w:sz="0" w:space="0" w:color="auto"/>
        <w:right w:val="none" w:sz="0" w:space="0" w:color="auto"/>
      </w:divBdr>
    </w:div>
    <w:div w:id="2079202258">
      <w:bodyDiv w:val="1"/>
      <w:marLeft w:val="0"/>
      <w:marRight w:val="0"/>
      <w:marTop w:val="0"/>
      <w:marBottom w:val="0"/>
      <w:divBdr>
        <w:top w:val="none" w:sz="0" w:space="0" w:color="auto"/>
        <w:left w:val="none" w:sz="0" w:space="0" w:color="auto"/>
        <w:bottom w:val="none" w:sz="0" w:space="0" w:color="auto"/>
        <w:right w:val="none" w:sz="0" w:space="0" w:color="auto"/>
      </w:divBdr>
      <w:divsChild>
        <w:div w:id="1626350140">
          <w:marLeft w:val="0"/>
          <w:marRight w:val="0"/>
          <w:marTop w:val="0"/>
          <w:marBottom w:val="0"/>
          <w:divBdr>
            <w:top w:val="none" w:sz="0" w:space="0" w:color="auto"/>
            <w:left w:val="none" w:sz="0" w:space="0" w:color="auto"/>
            <w:bottom w:val="none" w:sz="0" w:space="0" w:color="auto"/>
            <w:right w:val="none" w:sz="0" w:space="0" w:color="auto"/>
          </w:divBdr>
          <w:divsChild>
            <w:div w:id="10541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5647">
      <w:bodyDiv w:val="1"/>
      <w:marLeft w:val="0"/>
      <w:marRight w:val="0"/>
      <w:marTop w:val="0"/>
      <w:marBottom w:val="0"/>
      <w:divBdr>
        <w:top w:val="none" w:sz="0" w:space="0" w:color="auto"/>
        <w:left w:val="none" w:sz="0" w:space="0" w:color="auto"/>
        <w:bottom w:val="none" w:sz="0" w:space="0" w:color="auto"/>
        <w:right w:val="none" w:sz="0" w:space="0" w:color="auto"/>
      </w:divBdr>
      <w:divsChild>
        <w:div w:id="443961056">
          <w:marLeft w:val="0"/>
          <w:marRight w:val="0"/>
          <w:marTop w:val="0"/>
          <w:marBottom w:val="0"/>
          <w:divBdr>
            <w:top w:val="none" w:sz="0" w:space="0" w:color="auto"/>
            <w:left w:val="none" w:sz="0" w:space="0" w:color="auto"/>
            <w:bottom w:val="none" w:sz="0" w:space="0" w:color="auto"/>
            <w:right w:val="none" w:sz="0" w:space="0" w:color="auto"/>
          </w:divBdr>
          <w:divsChild>
            <w:div w:id="1314723899">
              <w:marLeft w:val="0"/>
              <w:marRight w:val="0"/>
              <w:marTop w:val="0"/>
              <w:marBottom w:val="0"/>
              <w:divBdr>
                <w:top w:val="none" w:sz="0" w:space="0" w:color="auto"/>
                <w:left w:val="none" w:sz="0" w:space="0" w:color="auto"/>
                <w:bottom w:val="none" w:sz="0" w:space="0" w:color="auto"/>
                <w:right w:val="none" w:sz="0" w:space="0" w:color="auto"/>
              </w:divBdr>
              <w:divsChild>
                <w:div w:id="158861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ja%20Lab\Downloads\ijerp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73AA3B-AEB8-48E3-A189-8CF29CD1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C:\Users\Samaja Lab\Downloads\ijerph-template.dot</Template>
  <TotalTime>93</TotalTime>
  <Pages>18</Pages>
  <Words>8177</Words>
  <Characters>46613</Characters>
  <Application>Microsoft Office Word</Application>
  <DocSecurity>0</DocSecurity>
  <Lines>388</Lines>
  <Paragraphs>109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54681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Samaja Lab</dc:creator>
  <cp:lastModifiedBy>simomrakic@gmail.com</cp:lastModifiedBy>
  <cp:revision>31</cp:revision>
  <dcterms:created xsi:type="dcterms:W3CDTF">2023-02-02T05:39:00Z</dcterms:created>
  <dcterms:modified xsi:type="dcterms:W3CDTF">2023-02-03T08:08:00Z</dcterms:modified>
</cp:coreProperties>
</file>