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1DD32" w14:textId="30C94AA5" w:rsidR="00877EB7" w:rsidRPr="00877EB7" w:rsidRDefault="00877EB7" w:rsidP="00877EB7">
      <w:pPr>
        <w:pStyle w:val="afe"/>
        <w:rPr>
          <w:rFonts w:ascii="Palatino Linotype" w:hAnsi="Palatino Linotype"/>
        </w:rPr>
      </w:pPr>
      <w:r w:rsidRPr="00877EB7">
        <w:rPr>
          <w:rFonts w:ascii="Palatino Linotype" w:hAnsi="Palatino Linotype"/>
        </w:rPr>
        <w:t xml:space="preserve">Response to Reviewer </w:t>
      </w:r>
      <w:r w:rsidR="00902D71">
        <w:rPr>
          <w:rFonts w:ascii="Palatino Linotype" w:hAnsi="Palatino Linotype"/>
        </w:rPr>
        <w:t>2</w:t>
      </w:r>
      <w:r w:rsidRPr="00877EB7">
        <w:rPr>
          <w:rFonts w:ascii="Palatino Linotype" w:hAnsi="Palatino Linotype"/>
        </w:rPr>
        <w:t xml:space="preserve"> Comments</w:t>
      </w:r>
    </w:p>
    <w:p w14:paraId="086F9B9D" w14:textId="35417050" w:rsidR="00877EB7" w:rsidRDefault="00877EB7" w:rsidP="00877EB7">
      <w:pPr>
        <w:rPr>
          <w:rFonts w:ascii="Times New Roman" w:hAnsi="Times New Roman"/>
        </w:rPr>
      </w:pPr>
    </w:p>
    <w:p w14:paraId="2A7E74C5" w14:textId="2BFCF409" w:rsidR="00902D71" w:rsidRPr="00902D71" w:rsidRDefault="00902D71" w:rsidP="00D21013">
      <w:pPr>
        <w:ind w:firstLineChars="200" w:firstLine="400"/>
        <w:rPr>
          <w:rFonts w:ascii="Times New Roman" w:hAnsi="Times New Roman" w:hint="eastAsia"/>
          <w:bCs/>
          <w:color w:val="FF0000"/>
          <w:lang w:bidi="en-US"/>
        </w:rPr>
      </w:pPr>
      <w:r w:rsidRPr="00902D71">
        <w:rPr>
          <w:rFonts w:ascii="Times New Roman" w:hAnsi="Times New Roman"/>
          <w:bCs/>
          <w:color w:val="FF0000"/>
          <w:lang w:bidi="en-US"/>
        </w:rPr>
        <w:t>We thank the editors and reviewers for the valuable comments and suggestions. We have revised the paper substantially; and carefully made corrections according to the reviewers' comments and suggestions. Revised portions of manuscript are highlighted by red color. Our detailed point-by-point responses to the reviewers' comments are given below.</w:t>
      </w:r>
    </w:p>
    <w:p w14:paraId="078DE9B5" w14:textId="77777777" w:rsidR="00902D71" w:rsidRPr="00BD6E57" w:rsidRDefault="00902D71" w:rsidP="00877EB7">
      <w:pPr>
        <w:rPr>
          <w:rFonts w:ascii="Times New Roman" w:hAnsi="Times New Roman" w:hint="eastAsia"/>
        </w:rPr>
      </w:pPr>
    </w:p>
    <w:p w14:paraId="3CB17E59" w14:textId="144D7019" w:rsidR="00877EB7" w:rsidRPr="00877EB7" w:rsidRDefault="00877EB7" w:rsidP="00877EB7">
      <w:r w:rsidRPr="00877EB7">
        <w:rPr>
          <w:b/>
        </w:rPr>
        <w:t xml:space="preserve">Point 1: </w:t>
      </w:r>
      <w:r w:rsidR="00902D71" w:rsidRPr="00902D71">
        <w:t>To be more clear for the abstract, three decision fusion methods including "Majority Voting Fusion (MVF), Average Probability Fusion (APF), and Optimal Selection Fusion (OSF)" can be introduced</w:t>
      </w:r>
      <w:r w:rsidRPr="00877EB7">
        <w:t xml:space="preserve">. </w:t>
      </w:r>
    </w:p>
    <w:p w14:paraId="0048EB89" w14:textId="77777777" w:rsidR="00877EB7" w:rsidRPr="00877EB7" w:rsidRDefault="00877EB7" w:rsidP="00877EB7">
      <w:pPr>
        <w:rPr>
          <w:b/>
        </w:rPr>
      </w:pPr>
    </w:p>
    <w:p w14:paraId="0AA04BC3" w14:textId="77777777" w:rsidR="00902D71" w:rsidRPr="00902D71" w:rsidRDefault="00902D71" w:rsidP="00902D71">
      <w:pPr>
        <w:rPr>
          <w:color w:val="FF0000"/>
          <w:lang w:bidi="en-US"/>
        </w:rPr>
      </w:pPr>
      <w:r w:rsidRPr="00902D71">
        <w:rPr>
          <w:b/>
          <w:color w:val="FF0000"/>
          <w:lang w:bidi="en-US"/>
        </w:rPr>
        <w:t xml:space="preserve">Response 1: </w:t>
      </w:r>
      <w:r w:rsidRPr="00902D71">
        <w:rPr>
          <w:color w:val="FF0000"/>
          <w:lang w:bidi="en-US"/>
        </w:rPr>
        <w:t>We appreciate your careful comments. We have added descriptions of the three decision fusion strategies in the Abstract section. Please read the revised manuscript.</w:t>
      </w:r>
    </w:p>
    <w:p w14:paraId="48A194F3" w14:textId="77777777" w:rsidR="00877EB7" w:rsidRPr="00877EB7" w:rsidRDefault="00877EB7" w:rsidP="00877EB7"/>
    <w:p w14:paraId="3C753940" w14:textId="77777777" w:rsidR="00902D71" w:rsidRPr="00902D71" w:rsidRDefault="00902D71" w:rsidP="00902D71">
      <w:pPr>
        <w:rPr>
          <w:bCs/>
        </w:rPr>
      </w:pPr>
      <w:r w:rsidRPr="00902D71">
        <w:rPr>
          <w:b/>
        </w:rPr>
        <w:t>Point 2</w:t>
      </w:r>
      <w:r w:rsidRPr="00902D71">
        <w:rPr>
          <w:b/>
        </w:rPr>
        <w:t>：</w:t>
      </w:r>
      <w:r w:rsidRPr="00902D71">
        <w:rPr>
          <w:bCs/>
        </w:rPr>
        <w:t>Some of citations are not cited with references. Please supplement the references in "SegNet in Line227</w:t>
      </w:r>
      <w:r w:rsidRPr="00902D71">
        <w:rPr>
          <w:rFonts w:hint="eastAsia"/>
          <w:bCs/>
        </w:rPr>
        <w:t>,</w:t>
      </w:r>
      <w:r w:rsidRPr="00902D71">
        <w:rPr>
          <w:bCs/>
        </w:rPr>
        <w:t xml:space="preserve"> PSPNet in Line237, DeeplabV3+ in Line 248, RAUNet in Line 258, MVF in Line 314, APF in Line 326, OSF in Line338...".</w:t>
      </w:r>
    </w:p>
    <w:p w14:paraId="07611162" w14:textId="77777777" w:rsidR="00877EB7" w:rsidRPr="00902D71" w:rsidRDefault="00877EB7" w:rsidP="00877EB7"/>
    <w:p w14:paraId="67F68701" w14:textId="77777777" w:rsidR="00902D71" w:rsidRPr="00902D71" w:rsidRDefault="00902D71" w:rsidP="00902D71">
      <w:pPr>
        <w:rPr>
          <w:b/>
          <w:bCs/>
          <w:color w:val="FF0000"/>
          <w:lang w:bidi="en-US"/>
        </w:rPr>
      </w:pPr>
      <w:r w:rsidRPr="00902D71">
        <w:rPr>
          <w:b/>
          <w:color w:val="FF0000"/>
          <w:lang w:bidi="en-US"/>
        </w:rPr>
        <w:t xml:space="preserve">Response 2: </w:t>
      </w:r>
      <w:r w:rsidRPr="00902D71">
        <w:rPr>
          <w:color w:val="FF0000"/>
          <w:lang w:bidi="en-US"/>
        </w:rPr>
        <w:t>Thank you for your comments and suggestions. We have cited the relevant literatures in the Methods section. The specific literature is shown as follows.</w:t>
      </w:r>
    </w:p>
    <w:p w14:paraId="65A5A256" w14:textId="77777777" w:rsidR="00902D71" w:rsidRPr="00902D71" w:rsidRDefault="00902D71" w:rsidP="00902D71">
      <w:pPr>
        <w:numPr>
          <w:ilvl w:val="0"/>
          <w:numId w:val="15"/>
        </w:numPr>
        <w:rPr>
          <w:color w:val="FF0000"/>
          <w:lang w:bidi="en-US"/>
        </w:rPr>
      </w:pPr>
      <w:bookmarkStart w:id="0" w:name="_Hlk118724297"/>
      <w:r w:rsidRPr="00902D71">
        <w:rPr>
          <w:color w:val="FF0000"/>
          <w:lang w:bidi="en-US"/>
        </w:rPr>
        <w:t xml:space="preserve">Badrinarayanan, V.; Kendall, A.; Cipolla, R. SegNet: A Deep Convolutional Encoder-Decoder Architecture for Image Segmentation. </w:t>
      </w:r>
      <w:r w:rsidRPr="00902D71">
        <w:rPr>
          <w:i/>
          <w:iCs/>
          <w:color w:val="FF0000"/>
          <w:lang w:bidi="en-US"/>
        </w:rPr>
        <w:t>IEEE Transactions on Pattern Analysis and Machine Intelligence 2017</w:t>
      </w:r>
      <w:r w:rsidRPr="00902D71">
        <w:rPr>
          <w:color w:val="FF0000"/>
          <w:lang w:bidi="en-US"/>
        </w:rPr>
        <w:t>, 39, 2481–2495, doi:10.1109/tpami.2016.2644615.</w:t>
      </w:r>
    </w:p>
    <w:p w14:paraId="1E51AD1D" w14:textId="77777777" w:rsidR="00902D71" w:rsidRPr="00902D71" w:rsidRDefault="00902D71" w:rsidP="00902D71">
      <w:pPr>
        <w:numPr>
          <w:ilvl w:val="0"/>
          <w:numId w:val="15"/>
        </w:numPr>
        <w:rPr>
          <w:color w:val="FF0000"/>
          <w:lang w:bidi="en-US"/>
        </w:rPr>
      </w:pPr>
      <w:r w:rsidRPr="00902D71">
        <w:rPr>
          <w:color w:val="FF0000"/>
          <w:lang w:bidi="en-US"/>
        </w:rPr>
        <w:t xml:space="preserve">Zhao, H.; Shi, J.; Qi, X.; Wang, X.; Jia, J. Pyramid Scene Parsing Network. </w:t>
      </w:r>
      <w:r w:rsidRPr="00902D71">
        <w:rPr>
          <w:i/>
          <w:color w:val="FF0000"/>
          <w:lang w:bidi="en-US"/>
        </w:rPr>
        <w:t>2017 IEEE Conference on Computer Vision and Pattern Recognition (CVPR)</w:t>
      </w:r>
      <w:r w:rsidRPr="00902D71">
        <w:rPr>
          <w:color w:val="FF0000"/>
          <w:lang w:bidi="en-US"/>
        </w:rPr>
        <w:t xml:space="preserve"> </w:t>
      </w:r>
      <w:r w:rsidRPr="00902D71">
        <w:rPr>
          <w:b/>
          <w:bCs/>
          <w:color w:val="FF0000"/>
          <w:lang w:bidi="en-US"/>
        </w:rPr>
        <w:t>2017</w:t>
      </w:r>
      <w:r w:rsidRPr="00902D71">
        <w:rPr>
          <w:color w:val="FF0000"/>
          <w:lang w:bidi="en-US"/>
        </w:rPr>
        <w:t xml:space="preserve">, doi:10.1109/cvpr.2017.660. </w:t>
      </w:r>
    </w:p>
    <w:p w14:paraId="3E6AEC48" w14:textId="77777777" w:rsidR="00902D71" w:rsidRPr="00902D71" w:rsidRDefault="00902D71" w:rsidP="00902D71">
      <w:pPr>
        <w:numPr>
          <w:ilvl w:val="0"/>
          <w:numId w:val="15"/>
        </w:numPr>
        <w:rPr>
          <w:color w:val="FF0000"/>
          <w:lang w:bidi="en-US"/>
        </w:rPr>
      </w:pPr>
      <w:r w:rsidRPr="00902D71">
        <w:rPr>
          <w:color w:val="FF0000"/>
          <w:lang w:bidi="en-US"/>
        </w:rPr>
        <w:t>Chen, L.-C.; Zhu, Y.; Papandreou, G.; Schroff, F.; Adam, H. Encoder-Decoder with Atrous Separable Convolution for Semantic Image Segmentation.</w:t>
      </w:r>
      <w:r w:rsidRPr="00902D71">
        <w:rPr>
          <w:i/>
          <w:color w:val="FF0000"/>
          <w:lang w:bidi="en-US"/>
        </w:rPr>
        <w:t xml:space="preserve"> Computer Vision – ECCV 2018</w:t>
      </w:r>
      <w:r w:rsidRPr="00902D71">
        <w:rPr>
          <w:color w:val="FF0000"/>
          <w:lang w:bidi="en-US"/>
        </w:rPr>
        <w:t xml:space="preserve"> </w:t>
      </w:r>
      <w:r w:rsidRPr="00902D71">
        <w:rPr>
          <w:b/>
          <w:bCs/>
          <w:color w:val="FF0000"/>
          <w:lang w:bidi="en-US"/>
        </w:rPr>
        <w:t>2018</w:t>
      </w:r>
      <w:r w:rsidRPr="00902D71">
        <w:rPr>
          <w:color w:val="FF0000"/>
          <w:lang w:bidi="en-US"/>
        </w:rPr>
        <w:t xml:space="preserve">, 833–851, doi:10.1007/978-3-030-01234-2_49. </w:t>
      </w:r>
    </w:p>
    <w:p w14:paraId="26F74938" w14:textId="77777777" w:rsidR="00902D71" w:rsidRPr="00902D71" w:rsidRDefault="00902D71" w:rsidP="00902D71">
      <w:pPr>
        <w:numPr>
          <w:ilvl w:val="0"/>
          <w:numId w:val="15"/>
        </w:numPr>
        <w:rPr>
          <w:color w:val="FF0000"/>
          <w:lang w:bidi="en-US"/>
        </w:rPr>
      </w:pPr>
      <w:r w:rsidRPr="00902D71">
        <w:rPr>
          <w:color w:val="FF0000"/>
          <w:lang w:bidi="en-US"/>
        </w:rPr>
        <w:t>Ni, Z.-L.; Bian, G.-B.; Zhou, X.-H.; Hou, Z.-G.; Xie, X.-L.; Wang, C.; Zhou, Y.-J.; Li, R.-Q.; Li, Z. RAUNet: Residual Attention U-Net for Semantic Segmentation of Cataract Surgical Instruments.</w:t>
      </w:r>
      <w:r w:rsidRPr="00902D71">
        <w:rPr>
          <w:i/>
          <w:iCs/>
          <w:color w:val="FF0000"/>
          <w:lang w:bidi="en-US"/>
        </w:rPr>
        <w:t xml:space="preserve"> Neural Information Processing</w:t>
      </w:r>
      <w:r w:rsidRPr="00902D71">
        <w:rPr>
          <w:color w:val="FF0000"/>
          <w:lang w:bidi="en-US"/>
        </w:rPr>
        <w:t xml:space="preserve"> 2019, 139–149, doi:10.1007/978-3-030-36711-4_13. </w:t>
      </w:r>
    </w:p>
    <w:p w14:paraId="77C0B29F" w14:textId="77777777" w:rsidR="00902D71" w:rsidRPr="00902D71" w:rsidRDefault="00902D71" w:rsidP="00902D71">
      <w:pPr>
        <w:numPr>
          <w:ilvl w:val="0"/>
          <w:numId w:val="15"/>
        </w:numPr>
        <w:rPr>
          <w:color w:val="FF0000"/>
          <w:lang w:bidi="en-US"/>
        </w:rPr>
      </w:pPr>
      <w:bookmarkStart w:id="1" w:name="_Ref118748081"/>
      <w:r w:rsidRPr="00902D71">
        <w:rPr>
          <w:color w:val="FF0000"/>
          <w:lang w:bidi="en-US"/>
        </w:rPr>
        <w:t xml:space="preserve">Takruri, M.; Rashad, M.W.; Attia, H. Multi-Classifier Decision Fusion for Enhancing Melanoma Recognition Accuracy. </w:t>
      </w:r>
      <w:r w:rsidRPr="00902D71">
        <w:rPr>
          <w:i/>
          <w:iCs/>
          <w:color w:val="FF0000"/>
          <w:lang w:bidi="en-US"/>
        </w:rPr>
        <w:t>2016 5th International Conference on Electronic Devices, Systems and Applications (ICEDSA)</w:t>
      </w:r>
      <w:r w:rsidRPr="00902D71">
        <w:rPr>
          <w:color w:val="FF0000"/>
          <w:lang w:bidi="en-US"/>
        </w:rPr>
        <w:t xml:space="preserve"> </w:t>
      </w:r>
      <w:r w:rsidRPr="00902D71">
        <w:rPr>
          <w:b/>
          <w:bCs/>
          <w:color w:val="FF0000"/>
          <w:lang w:bidi="en-US"/>
        </w:rPr>
        <w:t>2016</w:t>
      </w:r>
      <w:r w:rsidRPr="00902D71">
        <w:rPr>
          <w:color w:val="FF0000"/>
          <w:lang w:bidi="en-US"/>
        </w:rPr>
        <w:t>, doi:10.1109/icedsa.2016.7818536.</w:t>
      </w:r>
      <w:bookmarkEnd w:id="1"/>
      <w:r w:rsidRPr="00902D71">
        <w:rPr>
          <w:color w:val="FF0000"/>
          <w:lang w:bidi="en-US"/>
        </w:rPr>
        <w:t xml:space="preserve"> </w:t>
      </w:r>
      <w:bookmarkEnd w:id="0"/>
    </w:p>
    <w:p w14:paraId="29CB51AE" w14:textId="530492F3" w:rsidR="00055DDB" w:rsidRDefault="00055DDB" w:rsidP="00325C08"/>
    <w:p w14:paraId="16B2CE52" w14:textId="77777777" w:rsidR="00902D71" w:rsidRPr="00902D71" w:rsidRDefault="00902D71" w:rsidP="00902D71">
      <w:r w:rsidRPr="00902D71">
        <w:rPr>
          <w:b/>
          <w:bCs/>
        </w:rPr>
        <w:t>Point3:</w:t>
      </w:r>
      <w:r w:rsidRPr="00902D71">
        <w:t xml:space="preserve"> In Line 185 "the three different image datasets" should be clearly stated in the text.</w:t>
      </w:r>
    </w:p>
    <w:p w14:paraId="718665F1" w14:textId="21BA3CC7" w:rsidR="00902D71" w:rsidRDefault="00902D71" w:rsidP="00325C08"/>
    <w:p w14:paraId="520F4910" w14:textId="7B3660D2" w:rsidR="00902D71" w:rsidRPr="00902D71" w:rsidRDefault="00902D71" w:rsidP="00902D71">
      <w:pPr>
        <w:rPr>
          <w:bCs/>
          <w:color w:val="FF0000"/>
          <w:lang w:bidi="en-US"/>
        </w:rPr>
      </w:pPr>
      <w:r w:rsidRPr="00902D71">
        <w:rPr>
          <w:b/>
          <w:bCs/>
          <w:color w:val="FF0000"/>
          <w:lang w:bidi="en-US"/>
        </w:rPr>
        <w:t xml:space="preserve">Response 3: </w:t>
      </w:r>
      <w:r w:rsidRPr="00902D71">
        <w:rPr>
          <w:bCs/>
          <w:color w:val="FF0000"/>
          <w:lang w:bidi="en-US"/>
        </w:rPr>
        <w:t>We appreciate your careful comments and suggestions. We have revised the sentence of “the three different image datasets ……” as following :</w:t>
      </w:r>
    </w:p>
    <w:p w14:paraId="2F72CB06" w14:textId="77777777" w:rsidR="00902D71" w:rsidRPr="00902D71" w:rsidRDefault="00902D71" w:rsidP="00902D71">
      <w:pPr>
        <w:ind w:firstLineChars="200" w:firstLine="400"/>
        <w:rPr>
          <w:bCs/>
          <w:color w:val="FF0000"/>
          <w:lang w:bidi="en-US"/>
        </w:rPr>
      </w:pPr>
      <w:r w:rsidRPr="00902D71">
        <w:rPr>
          <w:bCs/>
          <w:color w:val="FF0000"/>
          <w:lang w:val="en-GB"/>
        </w:rPr>
        <w:t>Finally, we combined DOM, DSM and TFs to obtain three image feature datasets (RGB, RGBS, and RGBST), and the detailed feature composition information is shown in Table 1.</w:t>
      </w:r>
    </w:p>
    <w:p w14:paraId="00BA6EFF" w14:textId="4DE5DA0D" w:rsidR="00902D71" w:rsidRDefault="00902D71" w:rsidP="00325C08"/>
    <w:p w14:paraId="37C49501" w14:textId="56F66DBA" w:rsidR="00902D71" w:rsidRDefault="00902D71" w:rsidP="00902D71">
      <w:r w:rsidRPr="00902D71">
        <w:rPr>
          <w:b/>
          <w:bCs/>
        </w:rPr>
        <w:t xml:space="preserve">Point4: </w:t>
      </w:r>
      <w:r w:rsidRPr="00902D71">
        <w:t>Why the quadrat size is set as 1m × 1m when resample the DOM and DSM to 0.1m spatial resolution? Some explaination should be added. </w:t>
      </w:r>
    </w:p>
    <w:p w14:paraId="46DC5388" w14:textId="77777777" w:rsidR="00902D71" w:rsidRPr="00902D71" w:rsidRDefault="00902D71" w:rsidP="00902D71"/>
    <w:p w14:paraId="0B950FF9" w14:textId="77777777" w:rsidR="00902D71" w:rsidRPr="00902D71" w:rsidRDefault="00902D71" w:rsidP="00902D71">
      <w:pPr>
        <w:rPr>
          <w:bCs/>
          <w:color w:val="FF0000"/>
          <w:lang w:bidi="en-US"/>
        </w:rPr>
      </w:pPr>
      <w:r w:rsidRPr="00902D71">
        <w:rPr>
          <w:b/>
          <w:color w:val="FF0000"/>
          <w:lang w:bidi="en-US"/>
        </w:rPr>
        <w:t xml:space="preserve">Response 4: </w:t>
      </w:r>
      <w:r w:rsidRPr="00902D71">
        <w:rPr>
          <w:bCs/>
          <w:color w:val="FF0000"/>
          <w:lang w:bidi="en-US"/>
        </w:rPr>
        <w:t xml:space="preserve">Thank you for your comments and suggestions. The original spatial resolution of the UAV aerial images obtained in this paper is 0.05m-0.06m. In order to reduce the computational cost, we resampled the UAV image to 0.1m, which is still enough high spatial resolution for identifying each vegetation types. </w:t>
      </w:r>
    </w:p>
    <w:p w14:paraId="7092774E" w14:textId="77777777" w:rsidR="00902D71" w:rsidRPr="00902D71" w:rsidRDefault="00902D71" w:rsidP="00902D71">
      <w:pPr>
        <w:rPr>
          <w:bCs/>
          <w:color w:val="FF0000"/>
          <w:lang w:bidi="en-US"/>
        </w:rPr>
      </w:pPr>
      <w:r w:rsidRPr="00902D71">
        <w:rPr>
          <w:bCs/>
          <w:color w:val="FF0000"/>
          <w:lang w:bidi="en-US"/>
        </w:rPr>
        <w:t>In the field investigation, we built 1×1m sample plot in the area with the high spatial homogeneity of vegetation distribution, and record the geographical coordinates of the center point of each sample quadrat. These high quality of sample plots can help to create sematic labels for training CNN models.</w:t>
      </w:r>
    </w:p>
    <w:p w14:paraId="05EB1485" w14:textId="0D7D75E1" w:rsidR="00902D71" w:rsidRDefault="00902D71" w:rsidP="00325C08"/>
    <w:p w14:paraId="54252A88" w14:textId="55B491A5" w:rsidR="00902D71" w:rsidRDefault="00902D71" w:rsidP="00902D71">
      <w:r w:rsidRPr="00902D71">
        <w:rPr>
          <w:b/>
          <w:bCs/>
        </w:rPr>
        <w:t>Point5:</w:t>
      </w:r>
      <w:r w:rsidRPr="00902D71">
        <w:t xml:space="preserve"> Have you considered about that the results could be reliable for other areas? I suggest to test for a different area. </w:t>
      </w:r>
    </w:p>
    <w:p w14:paraId="0B445098" w14:textId="77777777" w:rsidR="00902D71" w:rsidRPr="00902D71" w:rsidRDefault="00902D71" w:rsidP="00902D71"/>
    <w:p w14:paraId="30DD8B68" w14:textId="77777777" w:rsidR="00902D71" w:rsidRPr="00902D71" w:rsidRDefault="00902D71" w:rsidP="00902D71">
      <w:pPr>
        <w:rPr>
          <w:bCs/>
          <w:color w:val="FF0000"/>
          <w:lang w:bidi="en-US"/>
        </w:rPr>
      </w:pPr>
      <w:r w:rsidRPr="00902D71">
        <w:rPr>
          <w:b/>
          <w:color w:val="FF0000"/>
          <w:lang w:bidi="en-US"/>
        </w:rPr>
        <w:t xml:space="preserve">Response 5: </w:t>
      </w:r>
      <w:r w:rsidRPr="00902D71">
        <w:rPr>
          <w:bCs/>
          <w:color w:val="FF0000"/>
          <w:lang w:bidi="en-US"/>
        </w:rPr>
        <w:t xml:space="preserve">We appreciate your careful comments and suggestions. We additional selected a mangrove wetland to verify the applicability of the three decision fusion methods (Majority Voting Fusion (MVF), Average Probability Fusion (APF), and Optimal Selection Fusion, (OSF) proposed this paper. The mangrove wetland is located in Beibu Gulf, Guangxi, south China (Fig. 1), which was covered with </w:t>
      </w:r>
      <w:r w:rsidRPr="00902D71">
        <w:rPr>
          <w:bCs/>
          <w:i/>
          <w:iCs/>
          <w:color w:val="FF0000"/>
          <w:lang w:bidi="en-US"/>
        </w:rPr>
        <w:t xml:space="preserve">Avicennia marina </w:t>
      </w:r>
      <w:r w:rsidRPr="00902D71">
        <w:rPr>
          <w:bCs/>
          <w:color w:val="FF0000"/>
          <w:lang w:bidi="en-US"/>
        </w:rPr>
        <w:t>(AM)</w:t>
      </w:r>
      <w:r w:rsidRPr="00902D71">
        <w:rPr>
          <w:bCs/>
          <w:i/>
          <w:iCs/>
          <w:color w:val="FF0000"/>
          <w:lang w:bidi="en-US"/>
        </w:rPr>
        <w:t xml:space="preserve">, Kandelia candel </w:t>
      </w:r>
      <w:r w:rsidRPr="00902D71">
        <w:rPr>
          <w:bCs/>
          <w:color w:val="FF0000"/>
          <w:lang w:bidi="en-US"/>
        </w:rPr>
        <w:t>(KC)</w:t>
      </w:r>
      <w:r w:rsidRPr="00902D71">
        <w:rPr>
          <w:bCs/>
          <w:i/>
          <w:iCs/>
          <w:color w:val="FF0000"/>
          <w:lang w:bidi="en-US"/>
        </w:rPr>
        <w:t xml:space="preserve">, </w:t>
      </w:r>
      <w:r w:rsidRPr="00902D71">
        <w:rPr>
          <w:bCs/>
          <w:color w:val="FF0000"/>
          <w:lang w:bidi="en-US"/>
        </w:rPr>
        <w:t xml:space="preserve">and </w:t>
      </w:r>
      <w:r w:rsidRPr="00902D71">
        <w:rPr>
          <w:bCs/>
          <w:i/>
          <w:iCs/>
          <w:color w:val="FF0000"/>
          <w:lang w:bidi="en-US"/>
        </w:rPr>
        <w:t xml:space="preserve">Aegiceras corniculatum </w:t>
      </w:r>
      <w:r w:rsidRPr="00902D71">
        <w:rPr>
          <w:bCs/>
          <w:color w:val="FF0000"/>
          <w:lang w:bidi="en-US"/>
        </w:rPr>
        <w:t>(AC)</w:t>
      </w:r>
      <w:r w:rsidRPr="00902D71">
        <w:rPr>
          <w:rFonts w:hint="eastAsia"/>
          <w:bCs/>
          <w:color w:val="FF0000"/>
          <w:lang w:bidi="en-US"/>
        </w:rPr>
        <w:t>,</w:t>
      </w:r>
      <w:r w:rsidRPr="00902D71">
        <w:rPr>
          <w:bCs/>
          <w:color w:val="FF0000"/>
          <w:lang w:bidi="en-US"/>
        </w:rPr>
        <w:t xml:space="preserve"> and the edges of the area were also covered with </w:t>
      </w:r>
      <w:r w:rsidRPr="00902D71">
        <w:rPr>
          <w:bCs/>
          <w:i/>
          <w:iCs/>
          <w:color w:val="FF0000"/>
          <w:lang w:bidi="en-US"/>
        </w:rPr>
        <w:t xml:space="preserve">Spartina alterniflora </w:t>
      </w:r>
      <w:r w:rsidRPr="00902D71">
        <w:rPr>
          <w:bCs/>
          <w:color w:val="FF0000"/>
          <w:lang w:bidi="en-US"/>
        </w:rPr>
        <w:t xml:space="preserve">(SA). In addition, other land cover types in the area are </w:t>
      </w:r>
      <w:r w:rsidRPr="00902D71">
        <w:rPr>
          <w:rFonts w:hint="eastAsia"/>
          <w:bCs/>
          <w:color w:val="FF0000"/>
          <w:lang w:bidi="en-US"/>
        </w:rPr>
        <w:t>D</w:t>
      </w:r>
      <w:r w:rsidRPr="00902D71">
        <w:rPr>
          <w:bCs/>
          <w:color w:val="FF0000"/>
          <w:lang w:bidi="en-US"/>
        </w:rPr>
        <w:t>eath</w:t>
      </w:r>
      <w:r w:rsidRPr="00902D71">
        <w:rPr>
          <w:rFonts w:hint="eastAsia"/>
          <w:bCs/>
          <w:color w:val="FF0000"/>
          <w:lang w:bidi="en-US"/>
        </w:rPr>
        <w:t xml:space="preserve"> </w:t>
      </w:r>
      <w:r w:rsidRPr="00902D71">
        <w:rPr>
          <w:bCs/>
          <w:color w:val="FF0000"/>
          <w:lang w:bidi="en-US"/>
        </w:rPr>
        <w:t>mangrove (DM), Terrestrial</w:t>
      </w:r>
      <w:r w:rsidRPr="00902D71">
        <w:rPr>
          <w:rFonts w:hint="eastAsia"/>
          <w:bCs/>
          <w:color w:val="FF0000"/>
          <w:lang w:bidi="en-US"/>
        </w:rPr>
        <w:t xml:space="preserve"> </w:t>
      </w:r>
      <w:r w:rsidRPr="00902D71">
        <w:rPr>
          <w:bCs/>
          <w:color w:val="FF0000"/>
          <w:lang w:bidi="en-US"/>
        </w:rPr>
        <w:t xml:space="preserve">vegetation (TV), Artifact (AF), Mudflat (MF), and Water </w:t>
      </w:r>
      <w:r w:rsidRPr="00902D71">
        <w:rPr>
          <w:rFonts w:hint="eastAsia"/>
          <w:bCs/>
          <w:color w:val="FF0000"/>
          <w:lang w:bidi="en-US"/>
        </w:rPr>
        <w:t>Body</w:t>
      </w:r>
      <w:r w:rsidRPr="00902D71">
        <w:rPr>
          <w:bCs/>
          <w:color w:val="FF0000"/>
          <w:lang w:bidi="en-US"/>
        </w:rPr>
        <w:t xml:space="preserve"> (WB).</w:t>
      </w:r>
    </w:p>
    <w:p w14:paraId="3D87273E" w14:textId="77777777" w:rsidR="00902D71" w:rsidRPr="00902D71" w:rsidRDefault="00902D71" w:rsidP="00902D71">
      <w:pPr>
        <w:jc w:val="center"/>
        <w:rPr>
          <w:bCs/>
          <w:lang w:bidi="en-US"/>
        </w:rPr>
      </w:pPr>
      <w:r w:rsidRPr="00902D71">
        <w:drawing>
          <wp:inline distT="0" distB="0" distL="0" distR="0" wp14:anchorId="022D6D30" wp14:editId="23C27BBE">
            <wp:extent cx="3533140" cy="4069202"/>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a:stretch>
                      <a:fillRect/>
                    </a:stretch>
                  </pic:blipFill>
                  <pic:spPr bwMode="auto">
                    <a:xfrm>
                      <a:off x="0" y="0"/>
                      <a:ext cx="3533140" cy="4069202"/>
                    </a:xfrm>
                    <a:prstGeom prst="rect">
                      <a:avLst/>
                    </a:prstGeom>
                    <a:noFill/>
                    <a:ln>
                      <a:noFill/>
                    </a:ln>
                  </pic:spPr>
                </pic:pic>
              </a:graphicData>
            </a:graphic>
          </wp:inline>
        </w:drawing>
      </w:r>
    </w:p>
    <w:p w14:paraId="04F94207" w14:textId="77777777" w:rsidR="00902D71" w:rsidRPr="00902D71" w:rsidRDefault="00902D71" w:rsidP="00902D71">
      <w:pPr>
        <w:jc w:val="center"/>
        <w:rPr>
          <w:bCs/>
          <w:color w:val="FF0000"/>
          <w:lang w:bidi="en-US"/>
        </w:rPr>
      </w:pPr>
      <w:r w:rsidRPr="00902D71">
        <w:rPr>
          <w:bCs/>
          <w:color w:val="FF0000"/>
          <w:lang w:bidi="en-US"/>
        </w:rPr>
        <w:lastRenderedPageBreak/>
        <w:t>Fig. 1. Mangrove wetland of Beibu Gulf</w:t>
      </w:r>
    </w:p>
    <w:p w14:paraId="6966CB7A" w14:textId="77777777" w:rsidR="00902D71" w:rsidRPr="00902D71" w:rsidRDefault="00902D71" w:rsidP="00902D71">
      <w:pPr>
        <w:ind w:firstLineChars="200" w:firstLine="400"/>
        <w:rPr>
          <w:bCs/>
          <w:color w:val="FF0000"/>
          <w:lang w:bidi="en-US"/>
        </w:rPr>
      </w:pPr>
      <w:r w:rsidRPr="00902D71">
        <w:rPr>
          <w:bCs/>
          <w:color w:val="FF0000"/>
          <w:lang w:bidi="en-US"/>
        </w:rPr>
        <w:t>We used DeepLabV3+ and HRNet algorithms with UAV multispectral imagery and digital surface models (DSM) to classify mangrove wetland community. We also used three decision fusion methods to fuse the multi-class classification models (MCC) of DeepLabV3+ and HRNet algorithms. We select overall classification accuracy (OA) and Kappa as the metrics for accuracy assessment. The specific classification accuracy showed in the Table 1.</w:t>
      </w:r>
    </w:p>
    <w:p w14:paraId="2798E55B" w14:textId="77777777" w:rsidR="00902D71" w:rsidRPr="00902D71" w:rsidRDefault="00902D71" w:rsidP="00902D71">
      <w:pPr>
        <w:rPr>
          <w:bCs/>
          <w:color w:val="FF0000"/>
          <w:lang w:bidi="en-US"/>
        </w:rPr>
      </w:pPr>
      <w:r w:rsidRPr="00902D71">
        <w:rPr>
          <w:bCs/>
          <w:color w:val="FF0000"/>
          <w:lang w:bidi="en-US"/>
        </w:rPr>
        <w:t xml:space="preserve">Table 1. Classification accuracy </w:t>
      </w:r>
      <w:r w:rsidRPr="00902D71">
        <w:rPr>
          <w:rFonts w:hint="eastAsia"/>
          <w:bCs/>
          <w:color w:val="FF0000"/>
          <w:lang w:bidi="en-US"/>
        </w:rPr>
        <w:t>o</w:t>
      </w:r>
      <w:r w:rsidRPr="00902D71">
        <w:rPr>
          <w:bCs/>
          <w:color w:val="FF0000"/>
          <w:lang w:bidi="en-US"/>
        </w:rPr>
        <w:t>f mangrove communit</w:t>
      </w:r>
      <w:r w:rsidRPr="00902D71">
        <w:rPr>
          <w:rFonts w:hint="eastAsia"/>
          <w:bCs/>
          <w:color w:val="FF0000"/>
          <w:lang w:bidi="en-US"/>
        </w:rPr>
        <w:t>ies</w:t>
      </w:r>
      <w:r w:rsidRPr="00902D71">
        <w:rPr>
          <w:bCs/>
          <w:color w:val="FF0000"/>
          <w:lang w:bidi="en-US"/>
        </w:rPr>
        <w:t xml:space="preserve"> using DeepLabV3+ and HRNet algorithms</w:t>
      </w:r>
    </w:p>
    <w:tbl>
      <w:tblPr>
        <w:tblStyle w:val="af2"/>
        <w:tblW w:w="816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1"/>
        <w:gridCol w:w="1361"/>
        <w:gridCol w:w="1361"/>
        <w:gridCol w:w="1361"/>
        <w:gridCol w:w="1361"/>
        <w:gridCol w:w="1361"/>
      </w:tblGrid>
      <w:tr w:rsidR="00902D71" w:rsidRPr="00902D71" w14:paraId="57E9E034" w14:textId="77777777" w:rsidTr="002E4534">
        <w:trPr>
          <w:jc w:val="center"/>
        </w:trPr>
        <w:tc>
          <w:tcPr>
            <w:tcW w:w="1361" w:type="dxa"/>
            <w:tcBorders>
              <w:bottom w:val="single" w:sz="4" w:space="0" w:color="auto"/>
            </w:tcBorders>
            <w:vAlign w:val="center"/>
          </w:tcPr>
          <w:p w14:paraId="2FA3AC53" w14:textId="77777777" w:rsidR="00902D71" w:rsidRPr="00902D71" w:rsidRDefault="00902D71" w:rsidP="00902D71">
            <w:pPr>
              <w:rPr>
                <w:bCs/>
                <w:color w:val="FF0000"/>
                <w:lang w:bidi="en-US"/>
              </w:rPr>
            </w:pPr>
          </w:p>
        </w:tc>
        <w:tc>
          <w:tcPr>
            <w:tcW w:w="1361" w:type="dxa"/>
            <w:tcBorders>
              <w:bottom w:val="single" w:sz="4" w:space="0" w:color="auto"/>
            </w:tcBorders>
            <w:vAlign w:val="center"/>
          </w:tcPr>
          <w:p w14:paraId="3516C4F2" w14:textId="77777777" w:rsidR="00902D71" w:rsidRPr="00902D71" w:rsidRDefault="00902D71" w:rsidP="00902D71">
            <w:pPr>
              <w:rPr>
                <w:bCs/>
                <w:color w:val="FF0000"/>
                <w:lang w:bidi="en-US"/>
              </w:rPr>
            </w:pPr>
            <w:r w:rsidRPr="00902D71">
              <w:rPr>
                <w:rFonts w:hint="eastAsia"/>
                <w:bCs/>
                <w:color w:val="FF0000"/>
                <w:lang w:bidi="en-US"/>
              </w:rPr>
              <w:t>M</w:t>
            </w:r>
            <w:r w:rsidRPr="00902D71">
              <w:rPr>
                <w:bCs/>
                <w:color w:val="FF0000"/>
                <w:lang w:bidi="en-US"/>
              </w:rPr>
              <w:t>VF</w:t>
            </w:r>
          </w:p>
        </w:tc>
        <w:tc>
          <w:tcPr>
            <w:tcW w:w="1361" w:type="dxa"/>
            <w:tcBorders>
              <w:bottom w:val="single" w:sz="4" w:space="0" w:color="auto"/>
            </w:tcBorders>
            <w:vAlign w:val="center"/>
          </w:tcPr>
          <w:p w14:paraId="458E34C1" w14:textId="77777777" w:rsidR="00902D71" w:rsidRPr="00902D71" w:rsidRDefault="00902D71" w:rsidP="00902D71">
            <w:pPr>
              <w:rPr>
                <w:bCs/>
                <w:color w:val="FF0000"/>
                <w:lang w:bidi="en-US"/>
              </w:rPr>
            </w:pPr>
            <w:r w:rsidRPr="00902D71">
              <w:rPr>
                <w:rFonts w:hint="eastAsia"/>
                <w:bCs/>
                <w:color w:val="FF0000"/>
                <w:lang w:bidi="en-US"/>
              </w:rPr>
              <w:t>A</w:t>
            </w:r>
            <w:r w:rsidRPr="00902D71">
              <w:rPr>
                <w:bCs/>
                <w:color w:val="FF0000"/>
                <w:lang w:bidi="en-US"/>
              </w:rPr>
              <w:t>PF</w:t>
            </w:r>
          </w:p>
        </w:tc>
        <w:tc>
          <w:tcPr>
            <w:tcW w:w="1361" w:type="dxa"/>
            <w:tcBorders>
              <w:bottom w:val="single" w:sz="4" w:space="0" w:color="auto"/>
            </w:tcBorders>
            <w:vAlign w:val="center"/>
          </w:tcPr>
          <w:p w14:paraId="7B8ABCD5" w14:textId="77777777" w:rsidR="00902D71" w:rsidRPr="00902D71" w:rsidRDefault="00902D71" w:rsidP="00902D71">
            <w:pPr>
              <w:rPr>
                <w:bCs/>
                <w:color w:val="FF0000"/>
                <w:lang w:bidi="en-US"/>
              </w:rPr>
            </w:pPr>
            <w:r w:rsidRPr="00902D71">
              <w:rPr>
                <w:rFonts w:hint="eastAsia"/>
                <w:bCs/>
                <w:color w:val="FF0000"/>
                <w:lang w:bidi="en-US"/>
              </w:rPr>
              <w:t>O</w:t>
            </w:r>
            <w:r w:rsidRPr="00902D71">
              <w:rPr>
                <w:bCs/>
                <w:color w:val="FF0000"/>
                <w:lang w:bidi="en-US"/>
              </w:rPr>
              <w:t>SF</w:t>
            </w:r>
          </w:p>
        </w:tc>
        <w:tc>
          <w:tcPr>
            <w:tcW w:w="1361" w:type="dxa"/>
            <w:tcBorders>
              <w:bottom w:val="single" w:sz="4" w:space="0" w:color="auto"/>
            </w:tcBorders>
            <w:vAlign w:val="center"/>
          </w:tcPr>
          <w:p w14:paraId="147B26BA" w14:textId="77777777" w:rsidR="00902D71" w:rsidRPr="00902D71" w:rsidRDefault="00902D71" w:rsidP="00902D71">
            <w:pPr>
              <w:rPr>
                <w:bCs/>
                <w:color w:val="FF0000"/>
                <w:lang w:bidi="en-US"/>
              </w:rPr>
            </w:pPr>
            <w:r w:rsidRPr="00902D71">
              <w:rPr>
                <w:rFonts w:hint="eastAsia"/>
                <w:bCs/>
                <w:color w:val="FF0000"/>
                <w:lang w:bidi="en-US"/>
              </w:rPr>
              <w:t>D</w:t>
            </w:r>
            <w:r w:rsidRPr="00902D71">
              <w:rPr>
                <w:bCs/>
                <w:color w:val="FF0000"/>
                <w:lang w:bidi="en-US"/>
              </w:rPr>
              <w:t>eepLabV3+</w:t>
            </w:r>
          </w:p>
        </w:tc>
        <w:tc>
          <w:tcPr>
            <w:tcW w:w="1361" w:type="dxa"/>
            <w:tcBorders>
              <w:bottom w:val="single" w:sz="4" w:space="0" w:color="auto"/>
            </w:tcBorders>
            <w:vAlign w:val="center"/>
          </w:tcPr>
          <w:p w14:paraId="53895E0C" w14:textId="77777777" w:rsidR="00902D71" w:rsidRPr="00902D71" w:rsidRDefault="00902D71" w:rsidP="00902D71">
            <w:pPr>
              <w:rPr>
                <w:bCs/>
                <w:color w:val="FF0000"/>
                <w:lang w:bidi="en-US"/>
              </w:rPr>
            </w:pPr>
            <w:r w:rsidRPr="00902D71">
              <w:rPr>
                <w:rFonts w:hint="eastAsia"/>
                <w:bCs/>
                <w:color w:val="FF0000"/>
                <w:lang w:bidi="en-US"/>
              </w:rPr>
              <w:t>H</w:t>
            </w:r>
            <w:r w:rsidRPr="00902D71">
              <w:rPr>
                <w:bCs/>
                <w:color w:val="FF0000"/>
                <w:lang w:bidi="en-US"/>
              </w:rPr>
              <w:t>RNet</w:t>
            </w:r>
          </w:p>
        </w:tc>
      </w:tr>
      <w:tr w:rsidR="00902D71" w:rsidRPr="00902D71" w14:paraId="43FB050F" w14:textId="77777777" w:rsidTr="002E4534">
        <w:trPr>
          <w:jc w:val="center"/>
        </w:trPr>
        <w:tc>
          <w:tcPr>
            <w:tcW w:w="1361" w:type="dxa"/>
            <w:tcBorders>
              <w:top w:val="single" w:sz="4" w:space="0" w:color="auto"/>
            </w:tcBorders>
            <w:vAlign w:val="center"/>
          </w:tcPr>
          <w:p w14:paraId="424B0FAB" w14:textId="77777777" w:rsidR="00902D71" w:rsidRPr="00902D71" w:rsidRDefault="00902D71" w:rsidP="00902D71">
            <w:pPr>
              <w:rPr>
                <w:bCs/>
                <w:color w:val="FF0000"/>
                <w:lang w:bidi="en-US"/>
              </w:rPr>
            </w:pPr>
            <w:r w:rsidRPr="00902D71">
              <w:rPr>
                <w:bCs/>
                <w:color w:val="FF0000"/>
                <w:lang w:bidi="en-US"/>
              </w:rPr>
              <w:t>OA</w:t>
            </w:r>
          </w:p>
        </w:tc>
        <w:tc>
          <w:tcPr>
            <w:tcW w:w="1361" w:type="dxa"/>
            <w:tcBorders>
              <w:top w:val="single" w:sz="4" w:space="0" w:color="auto"/>
            </w:tcBorders>
            <w:vAlign w:val="center"/>
          </w:tcPr>
          <w:p w14:paraId="54A4F8B9" w14:textId="77777777" w:rsidR="00902D71" w:rsidRPr="00902D71" w:rsidRDefault="00902D71" w:rsidP="00902D71">
            <w:pPr>
              <w:rPr>
                <w:bCs/>
                <w:color w:val="FF0000"/>
                <w:lang w:bidi="en-US"/>
              </w:rPr>
            </w:pPr>
            <w:r w:rsidRPr="00902D71">
              <w:rPr>
                <w:bCs/>
                <w:color w:val="FF0000"/>
                <w:lang w:bidi="en-US"/>
              </w:rPr>
              <w:t>0.9052</w:t>
            </w:r>
          </w:p>
        </w:tc>
        <w:tc>
          <w:tcPr>
            <w:tcW w:w="1361" w:type="dxa"/>
            <w:tcBorders>
              <w:top w:val="single" w:sz="4" w:space="0" w:color="auto"/>
            </w:tcBorders>
            <w:vAlign w:val="center"/>
          </w:tcPr>
          <w:p w14:paraId="57E6B6BC" w14:textId="77777777" w:rsidR="00902D71" w:rsidRPr="00902D71" w:rsidRDefault="00902D71" w:rsidP="00902D71">
            <w:pPr>
              <w:rPr>
                <w:bCs/>
                <w:color w:val="FF0000"/>
                <w:lang w:bidi="en-US"/>
              </w:rPr>
            </w:pPr>
            <w:r w:rsidRPr="00902D71">
              <w:rPr>
                <w:bCs/>
                <w:color w:val="FF0000"/>
                <w:lang w:bidi="en-US"/>
              </w:rPr>
              <w:t>0.9293</w:t>
            </w:r>
          </w:p>
        </w:tc>
        <w:tc>
          <w:tcPr>
            <w:tcW w:w="1361" w:type="dxa"/>
            <w:tcBorders>
              <w:top w:val="single" w:sz="4" w:space="0" w:color="auto"/>
            </w:tcBorders>
            <w:vAlign w:val="center"/>
          </w:tcPr>
          <w:p w14:paraId="48FD28DB" w14:textId="77777777" w:rsidR="00902D71" w:rsidRPr="00902D71" w:rsidRDefault="00902D71" w:rsidP="00902D71">
            <w:pPr>
              <w:rPr>
                <w:bCs/>
                <w:color w:val="FF0000"/>
                <w:lang w:bidi="en-US"/>
              </w:rPr>
            </w:pPr>
            <w:r w:rsidRPr="00902D71">
              <w:rPr>
                <w:bCs/>
                <w:color w:val="FF0000"/>
                <w:lang w:bidi="en-US"/>
              </w:rPr>
              <w:t>0.9138</w:t>
            </w:r>
          </w:p>
        </w:tc>
        <w:tc>
          <w:tcPr>
            <w:tcW w:w="1361" w:type="dxa"/>
            <w:tcBorders>
              <w:top w:val="single" w:sz="4" w:space="0" w:color="auto"/>
            </w:tcBorders>
            <w:vAlign w:val="center"/>
          </w:tcPr>
          <w:p w14:paraId="33153C3E" w14:textId="77777777" w:rsidR="00902D71" w:rsidRPr="00902D71" w:rsidRDefault="00902D71" w:rsidP="00902D71">
            <w:pPr>
              <w:rPr>
                <w:bCs/>
                <w:color w:val="FF0000"/>
                <w:lang w:bidi="en-US"/>
              </w:rPr>
            </w:pPr>
            <w:r w:rsidRPr="00902D71">
              <w:rPr>
                <w:bCs/>
                <w:color w:val="FF0000"/>
                <w:lang w:bidi="en-US"/>
              </w:rPr>
              <w:t>0.9276</w:t>
            </w:r>
          </w:p>
        </w:tc>
        <w:tc>
          <w:tcPr>
            <w:tcW w:w="1361" w:type="dxa"/>
            <w:tcBorders>
              <w:top w:val="single" w:sz="4" w:space="0" w:color="auto"/>
            </w:tcBorders>
            <w:vAlign w:val="center"/>
          </w:tcPr>
          <w:p w14:paraId="50B4D277" w14:textId="77777777" w:rsidR="00902D71" w:rsidRPr="00902D71" w:rsidRDefault="00902D71" w:rsidP="00902D71">
            <w:pPr>
              <w:rPr>
                <w:bCs/>
                <w:color w:val="FF0000"/>
                <w:lang w:bidi="en-US"/>
              </w:rPr>
            </w:pPr>
            <w:r w:rsidRPr="00902D71">
              <w:rPr>
                <w:bCs/>
                <w:color w:val="FF0000"/>
                <w:lang w:bidi="en-US"/>
              </w:rPr>
              <w:t>0.9276</w:t>
            </w:r>
          </w:p>
        </w:tc>
      </w:tr>
      <w:tr w:rsidR="00902D71" w:rsidRPr="00902D71" w14:paraId="2375A779" w14:textId="77777777" w:rsidTr="002E4534">
        <w:trPr>
          <w:jc w:val="center"/>
        </w:trPr>
        <w:tc>
          <w:tcPr>
            <w:tcW w:w="1361" w:type="dxa"/>
            <w:vAlign w:val="center"/>
          </w:tcPr>
          <w:p w14:paraId="0FFDE486" w14:textId="77777777" w:rsidR="00902D71" w:rsidRPr="00902D71" w:rsidRDefault="00902D71" w:rsidP="00902D71">
            <w:pPr>
              <w:rPr>
                <w:bCs/>
                <w:color w:val="FF0000"/>
                <w:lang w:bidi="en-US"/>
              </w:rPr>
            </w:pPr>
            <w:r w:rsidRPr="00902D71">
              <w:rPr>
                <w:rFonts w:hint="eastAsia"/>
                <w:bCs/>
                <w:color w:val="FF0000"/>
                <w:lang w:bidi="en-US"/>
              </w:rPr>
              <w:t>K</w:t>
            </w:r>
            <w:r w:rsidRPr="00902D71">
              <w:rPr>
                <w:bCs/>
                <w:color w:val="FF0000"/>
                <w:lang w:bidi="en-US"/>
              </w:rPr>
              <w:t>appa</w:t>
            </w:r>
          </w:p>
        </w:tc>
        <w:tc>
          <w:tcPr>
            <w:tcW w:w="1361" w:type="dxa"/>
            <w:vAlign w:val="center"/>
          </w:tcPr>
          <w:p w14:paraId="1A349484" w14:textId="77777777" w:rsidR="00902D71" w:rsidRPr="00902D71" w:rsidRDefault="00902D71" w:rsidP="00902D71">
            <w:pPr>
              <w:rPr>
                <w:bCs/>
                <w:color w:val="FF0000"/>
                <w:lang w:bidi="en-US"/>
              </w:rPr>
            </w:pPr>
            <w:r w:rsidRPr="00902D71">
              <w:rPr>
                <w:bCs/>
                <w:color w:val="FF0000"/>
                <w:lang w:bidi="en-US"/>
              </w:rPr>
              <w:t>0.8880</w:t>
            </w:r>
          </w:p>
        </w:tc>
        <w:tc>
          <w:tcPr>
            <w:tcW w:w="1361" w:type="dxa"/>
            <w:vAlign w:val="center"/>
          </w:tcPr>
          <w:p w14:paraId="6E324964" w14:textId="77777777" w:rsidR="00902D71" w:rsidRPr="00902D71" w:rsidRDefault="00902D71" w:rsidP="00902D71">
            <w:pPr>
              <w:rPr>
                <w:bCs/>
                <w:color w:val="FF0000"/>
                <w:lang w:bidi="en-US"/>
              </w:rPr>
            </w:pPr>
            <w:r w:rsidRPr="00902D71">
              <w:rPr>
                <w:bCs/>
                <w:color w:val="FF0000"/>
                <w:lang w:bidi="en-US"/>
              </w:rPr>
              <w:t>0.9168</w:t>
            </w:r>
          </w:p>
        </w:tc>
        <w:tc>
          <w:tcPr>
            <w:tcW w:w="1361" w:type="dxa"/>
            <w:vAlign w:val="center"/>
          </w:tcPr>
          <w:p w14:paraId="1A367F6F" w14:textId="77777777" w:rsidR="00902D71" w:rsidRPr="00902D71" w:rsidRDefault="00902D71" w:rsidP="00902D71">
            <w:pPr>
              <w:rPr>
                <w:bCs/>
                <w:color w:val="FF0000"/>
                <w:lang w:bidi="en-US"/>
              </w:rPr>
            </w:pPr>
            <w:r w:rsidRPr="00902D71">
              <w:rPr>
                <w:bCs/>
                <w:color w:val="FF0000"/>
                <w:lang w:bidi="en-US"/>
              </w:rPr>
              <w:t>0.8988</w:t>
            </w:r>
          </w:p>
        </w:tc>
        <w:tc>
          <w:tcPr>
            <w:tcW w:w="1361" w:type="dxa"/>
            <w:vAlign w:val="center"/>
          </w:tcPr>
          <w:p w14:paraId="37C393C6" w14:textId="77777777" w:rsidR="00902D71" w:rsidRPr="00902D71" w:rsidRDefault="00902D71" w:rsidP="00902D71">
            <w:pPr>
              <w:rPr>
                <w:bCs/>
                <w:color w:val="FF0000"/>
                <w:lang w:bidi="en-US"/>
              </w:rPr>
            </w:pPr>
            <w:r w:rsidRPr="00902D71">
              <w:rPr>
                <w:bCs/>
                <w:color w:val="FF0000"/>
                <w:lang w:bidi="en-US"/>
              </w:rPr>
              <w:t>0.9146</w:t>
            </w:r>
          </w:p>
        </w:tc>
        <w:tc>
          <w:tcPr>
            <w:tcW w:w="1361" w:type="dxa"/>
            <w:vAlign w:val="center"/>
          </w:tcPr>
          <w:p w14:paraId="6508F396" w14:textId="77777777" w:rsidR="00902D71" w:rsidRPr="00902D71" w:rsidRDefault="00902D71" w:rsidP="00902D71">
            <w:pPr>
              <w:rPr>
                <w:bCs/>
                <w:color w:val="FF0000"/>
                <w:lang w:bidi="en-US"/>
              </w:rPr>
            </w:pPr>
            <w:r w:rsidRPr="00902D71">
              <w:rPr>
                <w:bCs/>
                <w:color w:val="FF0000"/>
                <w:lang w:bidi="en-US"/>
              </w:rPr>
              <w:t>0.9148</w:t>
            </w:r>
          </w:p>
        </w:tc>
      </w:tr>
    </w:tbl>
    <w:p w14:paraId="56D345E6" w14:textId="77777777" w:rsidR="00902D71" w:rsidRPr="00902D71" w:rsidRDefault="00902D71" w:rsidP="00902D71">
      <w:pPr>
        <w:ind w:firstLineChars="200" w:firstLine="400"/>
        <w:rPr>
          <w:color w:val="FF0000"/>
        </w:rPr>
      </w:pPr>
      <w:r w:rsidRPr="00902D71">
        <w:rPr>
          <w:bCs/>
          <w:color w:val="FF0000"/>
          <w:lang w:bidi="en-US"/>
        </w:rPr>
        <w:t>As seen in Table 1, Average Probability Fusion (APF) achieved the highest OA and Kappa of 92.93% and 91.68%, respectively, which provided better classification results than single DeepLabV3+ and HRNet. The other decision fusion methods (MVF and OSF) achieved similar classification accuracy with the single DeepLabV3+ and HRNet. These results demonstrated that decision fusions could improve the identification ability for mangrove vegetation compared to single CNN models.</w:t>
      </w:r>
    </w:p>
    <w:p w14:paraId="211FFAAD" w14:textId="77777777" w:rsidR="00902D71" w:rsidRPr="00902D71" w:rsidRDefault="00902D71" w:rsidP="00325C08">
      <w:pPr>
        <w:rPr>
          <w:rFonts w:hint="eastAsia"/>
          <w:color w:val="FF0000"/>
        </w:rPr>
      </w:pPr>
    </w:p>
    <w:sectPr w:rsidR="00902D71" w:rsidRPr="00902D71" w:rsidSect="00E131E4">
      <w:headerReference w:type="even" r:id="rId9"/>
      <w:headerReference w:type="default" r:id="rId10"/>
      <w:footerReference w:type="default" r:id="rId11"/>
      <w:footerReference w:type="first" r:id="rId12"/>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D1A6B" w14:textId="77777777" w:rsidR="002F016A" w:rsidRDefault="002F016A" w:rsidP="00C1340D">
      <w:r>
        <w:separator/>
      </w:r>
    </w:p>
  </w:endnote>
  <w:endnote w:type="continuationSeparator" w:id="0">
    <w:p w14:paraId="035A2496" w14:textId="77777777" w:rsidR="002F016A" w:rsidRDefault="002F016A"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2F4FB" w14:textId="77777777" w:rsidR="00E27016" w:rsidRPr="00236C0D" w:rsidRDefault="00E27016" w:rsidP="00236C0D">
    <w:pPr>
      <w:pStyle w:val="af6"/>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41894"/>
      <w:docPartObj>
        <w:docPartGallery w:val="Page Numbers (Bottom of Page)"/>
        <w:docPartUnique/>
      </w:docPartObj>
    </w:sdtPr>
    <w:sdtEndPr/>
    <w:sdtContent>
      <w:p w14:paraId="4AC717EC" w14:textId="77777777" w:rsidR="00E27016" w:rsidRDefault="002F016A" w:rsidP="00BC33F8">
        <w:sdt>
          <w:sdtPr>
            <w:id w:val="-1326281841"/>
            <w:docPartObj>
              <w:docPartGallery w:val="Page Numbers (Top of Page)"/>
              <w:docPartUnique/>
            </w:docPartObj>
          </w:sdtPr>
          <w:sdtEndPr/>
          <w:sdtContent>
            <w:r w:rsidR="00E27016">
              <w:fldChar w:fldCharType="begin"/>
            </w:r>
            <w:r w:rsidR="00E27016">
              <w:instrText xml:space="preserve"> PAGE  \* Arabic  \* MERGEFORMAT </w:instrText>
            </w:r>
            <w:r w:rsidR="00E27016">
              <w:fldChar w:fldCharType="separate"/>
            </w:r>
            <w:r w:rsidR="00877EB7">
              <w:t>1</w:t>
            </w:r>
            <w:r w:rsidR="00E27016">
              <w:fldChar w:fldCharType="end"/>
            </w:r>
          </w:sdtContent>
        </w:sdt>
      </w:p>
    </w:sdtContent>
  </w:sdt>
  <w:p w14:paraId="52ED9904" w14:textId="77777777" w:rsidR="00E27016" w:rsidRDefault="00E2701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67971" w14:textId="77777777" w:rsidR="002F016A" w:rsidRDefault="002F016A" w:rsidP="00C1340D">
      <w:r>
        <w:separator/>
      </w:r>
    </w:p>
  </w:footnote>
  <w:footnote w:type="continuationSeparator" w:id="0">
    <w:p w14:paraId="2C9A1DE2" w14:textId="77777777" w:rsidR="002F016A" w:rsidRDefault="002F016A"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9E63A" w14:textId="77777777"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CE62"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815FC4"/>
    <w:multiLevelType w:val="hybridMultilevel"/>
    <w:tmpl w:val="7EA4C2B2"/>
    <w:lvl w:ilvl="0" w:tplc="06982E7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0"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9"/>
  </w:num>
  <w:num w:numId="2">
    <w:abstractNumId w:val="10"/>
  </w:num>
  <w:num w:numId="3">
    <w:abstractNumId w:val="7"/>
  </w:num>
  <w:num w:numId="4">
    <w:abstractNumId w:val="4"/>
  </w:num>
  <w:num w:numId="5">
    <w:abstractNumId w:val="5"/>
  </w:num>
  <w:num w:numId="6">
    <w:abstractNumId w:val="2"/>
  </w:num>
  <w:num w:numId="7">
    <w:abstractNumId w:val="6"/>
  </w:num>
  <w:num w:numId="8">
    <w:abstractNumId w:val="8"/>
  </w:num>
  <w:num w:numId="9">
    <w:abstractNumId w:val="1"/>
  </w:num>
  <w:num w:numId="10">
    <w:abstractNumId w:val="8"/>
  </w:num>
  <w:num w:numId="11">
    <w:abstractNumId w:val="1"/>
  </w:num>
  <w:num w:numId="12">
    <w:abstractNumId w:val="8"/>
  </w:num>
  <w:num w:numId="13">
    <w:abstractNumId w:val="1"/>
  </w:num>
  <w:num w:numId="14">
    <w:abstractNumId w:val="0"/>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16A"/>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C59"/>
    <w:rsid w:val="004C6031"/>
    <w:rsid w:val="004C6058"/>
    <w:rsid w:val="004C6061"/>
    <w:rsid w:val="004C60FD"/>
    <w:rsid w:val="004C621B"/>
    <w:rsid w:val="004C639C"/>
    <w:rsid w:val="004C6889"/>
    <w:rsid w:val="004C6A5E"/>
    <w:rsid w:val="004C6B82"/>
    <w:rsid w:val="004C6BC6"/>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D71"/>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FB6"/>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013"/>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2A8515"/>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2E"/>
    <w:rPr>
      <w:noProof/>
    </w:rPr>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a7"/>
    <w:semiHidden/>
    <w:unhideWhenUsed/>
    <w:rsid w:val="007C0926"/>
    <w:pPr>
      <w:spacing w:line="240" w:lineRule="auto"/>
    </w:pPr>
  </w:style>
  <w:style w:type="character" w:customStyle="1" w:styleId="a7">
    <w:name w:val="脚注文本 字符"/>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rsid w:val="007C0926"/>
    <w:rPr>
      <w:rFonts w:cs="Tahoma"/>
      <w:szCs w:val="18"/>
    </w:rPr>
  </w:style>
  <w:style w:type="character" w:customStyle="1" w:styleId="aa">
    <w:name w:val="批注框文本 字符"/>
    <w:basedOn w:val="a0"/>
    <w:link w:val="a9"/>
    <w:uiPriority w:val="99"/>
    <w:rsid w:val="007C0926"/>
    <w:rPr>
      <w:rFonts w:cs="Tahoma"/>
      <w:szCs w:val="18"/>
    </w:rPr>
  </w:style>
  <w:style w:type="paragraph" w:styleId="ab">
    <w:name w:val="annotation text"/>
    <w:basedOn w:val="a"/>
    <w:link w:val="ac"/>
    <w:rsid w:val="007C0926"/>
  </w:style>
  <w:style w:type="character" w:customStyle="1" w:styleId="ac">
    <w:name w:val="批注文字 字符"/>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批注主题 字符"/>
    <w:basedOn w:val="ac"/>
    <w:link w:val="ae"/>
    <w:rsid w:val="007C0926"/>
    <w:rPr>
      <w:b/>
      <w:bCs/>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spacing w:line="240" w:lineRule="auto"/>
    </w:pPr>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tabs>
        <w:tab w:val="center" w:pos="4153"/>
        <w:tab w:val="right" w:pos="8306"/>
      </w:tabs>
      <w:snapToGrid w:val="0"/>
      <w:spacing w:line="240" w:lineRule="atLeast"/>
    </w:pPr>
    <w:rPr>
      <w:szCs w:val="18"/>
    </w:rPr>
  </w:style>
  <w:style w:type="character" w:customStyle="1" w:styleId="af7">
    <w:name w:val="页脚 字符"/>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afa">
    <w:name w:val="页眉 字符"/>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aff">
    <w:name w:val="标题 字符"/>
    <w:basedOn w:val="a0"/>
    <w:link w:val="afe"/>
    <w:uiPriority w:val="10"/>
    <w:rsid w:val="00877EB7"/>
    <w:rPr>
      <w:rFonts w:asciiTheme="majorHAnsi" w:eastAsiaTheme="majorEastAsia" w:hAnsiTheme="majorHAnsi" w:cstheme="majorBidi"/>
      <w:color w:val="auto"/>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2BA1A-CA97-49BD-BFC9-9124F0A7D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820</Words>
  <Characters>4680</Characters>
  <Application>Microsoft Office Word</Application>
  <DocSecurity>0</DocSecurity>
  <Lines>39</Lines>
  <Paragraphs>10</Paragraphs>
  <ScaleCrop>false</ScaleCrop>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Bolin Fu</cp:lastModifiedBy>
  <cp:revision>4</cp:revision>
  <dcterms:created xsi:type="dcterms:W3CDTF">2021-12-28T11:01:00Z</dcterms:created>
  <dcterms:modified xsi:type="dcterms:W3CDTF">2022-11-09T09:55:00Z</dcterms:modified>
</cp:coreProperties>
</file>