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00FF12B" w14:textId="77777777" w:rsidR="00910165" w:rsidRPr="006B4301" w:rsidRDefault="00910165" w:rsidP="00D65018">
      <w:pPr>
        <w:pStyle w:val="NormalWeb"/>
        <w:shd w:val="clear" w:color="auto" w:fill="FEFEFE"/>
        <w:spacing w:line="360" w:lineRule="auto"/>
        <w:jc w:val="both"/>
        <w:rPr>
          <w:color w:val="0A0A0A"/>
          <w:lang w:val="en-US"/>
        </w:rPr>
      </w:pPr>
      <w:r w:rsidRPr="006B4301">
        <w:rPr>
          <w:color w:val="0A0A0A"/>
          <w:lang w:val="en-US"/>
        </w:rPr>
        <w:t>Dear author,</w:t>
      </w:r>
    </w:p>
    <w:p w14:paraId="1EA3C92D" w14:textId="77777777" w:rsidR="00910165" w:rsidRPr="006B4301" w:rsidRDefault="00910165" w:rsidP="00D65018">
      <w:pPr>
        <w:pStyle w:val="NormalWeb"/>
        <w:shd w:val="clear" w:color="auto" w:fill="FEFEFE"/>
        <w:spacing w:line="360" w:lineRule="auto"/>
        <w:jc w:val="both"/>
        <w:rPr>
          <w:color w:val="0A0A0A"/>
          <w:lang w:val="en-US"/>
        </w:rPr>
      </w:pPr>
      <w:r w:rsidRPr="006B4301">
        <w:rPr>
          <w:color w:val="0A0A0A"/>
          <w:lang w:val="en-US"/>
        </w:rPr>
        <w:t>Complements on your efforts. The study is well structured and detailed.</w:t>
      </w:r>
    </w:p>
    <w:p w14:paraId="0C6992ED" w14:textId="139A16DE" w:rsidR="00910165" w:rsidRPr="006B4301" w:rsidRDefault="00910165" w:rsidP="00D65018">
      <w:pPr>
        <w:pStyle w:val="NormalWeb"/>
        <w:shd w:val="clear" w:color="auto" w:fill="FEFEFE"/>
        <w:spacing w:line="360" w:lineRule="auto"/>
        <w:jc w:val="both"/>
        <w:rPr>
          <w:color w:val="0A0A0A"/>
          <w:lang w:val="en-US"/>
        </w:rPr>
      </w:pPr>
      <w:r w:rsidRPr="006B4301">
        <w:rPr>
          <w:color w:val="0A0A0A"/>
          <w:lang w:val="en-US"/>
        </w:rPr>
        <w:t xml:space="preserve">Here are some of my </w:t>
      </w:r>
      <w:r w:rsidR="006B4301" w:rsidRPr="006B4301">
        <w:rPr>
          <w:color w:val="0A0A0A"/>
          <w:lang w:val="en-US"/>
        </w:rPr>
        <w:t>recommendations</w:t>
      </w:r>
      <w:r w:rsidRPr="006B4301">
        <w:rPr>
          <w:color w:val="0A0A0A"/>
          <w:lang w:val="en-US"/>
        </w:rPr>
        <w:t xml:space="preserve"> to make it even better.</w:t>
      </w:r>
    </w:p>
    <w:p w14:paraId="49363DD4" w14:textId="77777777" w:rsidR="00910165" w:rsidRPr="00960ED5" w:rsidRDefault="00910165" w:rsidP="00D65018">
      <w:pPr>
        <w:pStyle w:val="NormalWeb"/>
        <w:shd w:val="clear" w:color="auto" w:fill="FEFEFE"/>
        <w:spacing w:line="360" w:lineRule="auto"/>
        <w:jc w:val="both"/>
        <w:rPr>
          <w:rStyle w:val="mtfg0"/>
          <w:i/>
          <w:iCs/>
          <w:color w:val="0A0A0A"/>
          <w:lang w:val="en"/>
        </w:rPr>
      </w:pPr>
      <w:r w:rsidRPr="00960ED5">
        <w:rPr>
          <w:i/>
          <w:iCs/>
          <w:color w:val="0A0A0A"/>
          <w:lang w:val="en-US"/>
        </w:rPr>
        <w:t>1) Revise some of the phrasing in your text, some of the expressions are not appropriately formulated and sound </w:t>
      </w:r>
      <w:r w:rsidRPr="00960ED5">
        <w:rPr>
          <w:rStyle w:val="mtfg0"/>
          <w:i/>
          <w:iCs/>
          <w:color w:val="0A0A0A"/>
          <w:lang w:val="en"/>
        </w:rPr>
        <w:t>unsuitable.</w:t>
      </w:r>
    </w:p>
    <w:p w14:paraId="21C3E1C3" w14:textId="752741BB" w:rsidR="00A748B7" w:rsidRPr="00CF4805" w:rsidRDefault="006B4301" w:rsidP="00D65018">
      <w:pPr>
        <w:pStyle w:val="NormalWeb"/>
        <w:shd w:val="clear" w:color="auto" w:fill="FEFEFE"/>
        <w:spacing w:line="360" w:lineRule="auto"/>
        <w:jc w:val="both"/>
        <w:rPr>
          <w:b/>
          <w:bCs/>
          <w:color w:val="0A0A0A"/>
          <w:lang w:val="en"/>
        </w:rPr>
      </w:pPr>
      <w:r w:rsidRPr="006B4301">
        <w:rPr>
          <w:b/>
          <w:bCs/>
          <w:lang w:val="en-US"/>
        </w:rPr>
        <w:t>Response:</w:t>
      </w:r>
      <w:r w:rsidR="00CF4805">
        <w:rPr>
          <w:b/>
          <w:bCs/>
          <w:lang w:val="en-US"/>
        </w:rPr>
        <w:t xml:space="preserve"> </w:t>
      </w:r>
      <w:r w:rsidR="00A57299">
        <w:rPr>
          <w:lang w:val="en-US"/>
        </w:rPr>
        <w:t>As per the reviewer’s</w:t>
      </w:r>
      <w:r w:rsidR="00CF4805" w:rsidRPr="00CF4805">
        <w:rPr>
          <w:lang w:val="en-US"/>
        </w:rPr>
        <w:t xml:space="preserve"> suggestion</w:t>
      </w:r>
      <w:r w:rsidR="00A57299">
        <w:rPr>
          <w:lang w:val="en-US"/>
        </w:rPr>
        <w:t xml:space="preserve">s, the suggested </w:t>
      </w:r>
      <w:r w:rsidR="00CF4805" w:rsidRPr="00CF4805">
        <w:rPr>
          <w:lang w:val="en-US"/>
        </w:rPr>
        <w:t xml:space="preserve">changes </w:t>
      </w:r>
      <w:r w:rsidR="00A57299">
        <w:rPr>
          <w:lang w:val="en-US"/>
        </w:rPr>
        <w:t xml:space="preserve">are carried out </w:t>
      </w:r>
      <w:r w:rsidR="00CF4805" w:rsidRPr="00CF4805">
        <w:rPr>
          <w:lang w:val="en-US"/>
        </w:rPr>
        <w:t>in the revised manuscript.</w:t>
      </w:r>
    </w:p>
    <w:p w14:paraId="72B8B155" w14:textId="175D7F0B" w:rsidR="00910165" w:rsidRPr="00960ED5" w:rsidRDefault="00910165" w:rsidP="00D65018">
      <w:pPr>
        <w:pStyle w:val="NormalWeb"/>
        <w:shd w:val="clear" w:color="auto" w:fill="FEFEFE"/>
        <w:spacing w:line="360" w:lineRule="auto"/>
        <w:jc w:val="both"/>
        <w:rPr>
          <w:rStyle w:val="mtfg0"/>
          <w:i/>
          <w:iCs/>
          <w:color w:val="0A0A0A"/>
          <w:lang w:val="en"/>
        </w:rPr>
      </w:pPr>
      <w:r w:rsidRPr="00960ED5">
        <w:rPr>
          <w:rStyle w:val="mtfg0"/>
          <w:i/>
          <w:iCs/>
          <w:color w:val="0A0A0A"/>
          <w:lang w:val="en"/>
        </w:rPr>
        <w:t>2)</w:t>
      </w:r>
      <w:r w:rsidRPr="006B4301">
        <w:rPr>
          <w:rStyle w:val="mtfg0"/>
          <w:color w:val="0A0A0A"/>
          <w:lang w:val="en"/>
        </w:rPr>
        <w:t xml:space="preserve"> </w:t>
      </w:r>
      <w:r w:rsidRPr="00960ED5">
        <w:rPr>
          <w:rStyle w:val="mtfg0"/>
          <w:i/>
          <w:iCs/>
          <w:color w:val="0A0A0A"/>
          <w:lang w:val="en"/>
        </w:rPr>
        <w:t>It would be appropriate to mention and make comparison, albeit briefly, to ZnO, the other widely explored heterogeneous photocatalytic oxide material.</w:t>
      </w:r>
    </w:p>
    <w:p w14:paraId="3EBEA46C" w14:textId="47B78B22" w:rsidR="007A3C05" w:rsidRDefault="00EF2470" w:rsidP="00D65018">
      <w:pPr>
        <w:pStyle w:val="NormalWeb"/>
        <w:shd w:val="clear" w:color="auto" w:fill="FEFEFE"/>
        <w:spacing w:line="360" w:lineRule="auto"/>
        <w:jc w:val="both"/>
        <w:rPr>
          <w:color w:val="0D0D0D" w:themeColor="text1" w:themeTint="F2"/>
        </w:rPr>
      </w:pPr>
      <w:r w:rsidRPr="006B4301">
        <w:rPr>
          <w:b/>
          <w:bCs/>
          <w:lang w:val="en-US"/>
        </w:rPr>
        <w:t xml:space="preserve">Response: </w:t>
      </w:r>
      <w:r w:rsidRPr="006B4301">
        <w:rPr>
          <w:lang w:val="en-US"/>
        </w:rPr>
        <w:t xml:space="preserve">This review is purely based on </w:t>
      </w:r>
      <w:r w:rsidR="00A57299">
        <w:rPr>
          <w:lang w:val="en-US"/>
        </w:rPr>
        <w:t>TiO</w:t>
      </w:r>
      <w:r w:rsidR="00A57299" w:rsidRPr="00A57299">
        <w:rPr>
          <w:vertAlign w:val="subscript"/>
          <w:lang w:val="en-US"/>
        </w:rPr>
        <w:t>2</w:t>
      </w:r>
      <w:r w:rsidR="00A57299">
        <w:rPr>
          <w:lang w:val="en-US"/>
        </w:rPr>
        <w:t>-based</w:t>
      </w:r>
      <w:r w:rsidR="000114A5">
        <w:rPr>
          <w:lang w:val="en-US"/>
        </w:rPr>
        <w:t xml:space="preserve"> photocatalysts</w:t>
      </w:r>
      <w:r w:rsidR="008B6A1E" w:rsidRPr="006B4301">
        <w:rPr>
          <w:lang w:val="en-US"/>
        </w:rPr>
        <w:t>.</w:t>
      </w:r>
      <w:r w:rsidR="008B6A1E" w:rsidRPr="006B4301">
        <w:rPr>
          <w:color w:val="0D0D0D" w:themeColor="text1" w:themeTint="F2"/>
        </w:rPr>
        <w:t xml:space="preserve"> </w:t>
      </w:r>
      <w:r w:rsidR="007A3C05">
        <w:rPr>
          <w:color w:val="0D0D0D" w:themeColor="text1" w:themeTint="F2"/>
        </w:rPr>
        <w:t>Hence w</w:t>
      </w:r>
      <w:r w:rsidR="008B6A1E" w:rsidRPr="006B4301">
        <w:rPr>
          <w:color w:val="0D0D0D" w:themeColor="text1" w:themeTint="F2"/>
        </w:rPr>
        <w:t xml:space="preserve">e </w:t>
      </w:r>
      <w:r w:rsidR="007A3C05">
        <w:rPr>
          <w:color w:val="0D0D0D" w:themeColor="text1" w:themeTint="F2"/>
        </w:rPr>
        <w:t>have not included any comparison with other catalysts such as ZnO. Most probably we may write another review with ZnO in the near future.</w:t>
      </w:r>
    </w:p>
    <w:p w14:paraId="23063688" w14:textId="77777777" w:rsidR="007A3C05" w:rsidRDefault="007A3C05" w:rsidP="00D65018">
      <w:pPr>
        <w:pStyle w:val="NormalWeb"/>
        <w:shd w:val="clear" w:color="auto" w:fill="FEFEFE"/>
        <w:spacing w:line="360" w:lineRule="auto"/>
        <w:jc w:val="both"/>
        <w:rPr>
          <w:rStyle w:val="mtfg0"/>
          <w:i/>
          <w:iCs/>
          <w:color w:val="0A0A0A"/>
          <w:lang w:val="en"/>
        </w:rPr>
      </w:pPr>
    </w:p>
    <w:p w14:paraId="3DAF8CD9" w14:textId="676183B2" w:rsidR="00910165" w:rsidRPr="00960ED5" w:rsidRDefault="00910165" w:rsidP="00D65018">
      <w:pPr>
        <w:pStyle w:val="NormalWeb"/>
        <w:shd w:val="clear" w:color="auto" w:fill="FEFEFE"/>
        <w:spacing w:line="360" w:lineRule="auto"/>
        <w:jc w:val="both"/>
        <w:rPr>
          <w:rStyle w:val="mtfg0"/>
          <w:i/>
          <w:iCs/>
          <w:color w:val="0A0A0A"/>
          <w:lang w:val="en"/>
        </w:rPr>
      </w:pPr>
      <w:bookmarkStart w:id="0" w:name="_GoBack"/>
      <w:bookmarkEnd w:id="0"/>
      <w:r w:rsidRPr="00960ED5">
        <w:rPr>
          <w:rStyle w:val="mtfg0"/>
          <w:i/>
          <w:iCs/>
          <w:color w:val="0A0A0A"/>
          <w:lang w:val="en"/>
        </w:rPr>
        <w:t>3) The titles of section 4.3 (row 521) and 4.4 (row 579) coincide.</w:t>
      </w:r>
    </w:p>
    <w:p w14:paraId="33568F33" w14:textId="7908F05B" w:rsidR="00A748B7" w:rsidRPr="006B4301" w:rsidRDefault="00A748B7" w:rsidP="00D65018">
      <w:pPr>
        <w:pStyle w:val="NormalWeb"/>
        <w:spacing w:line="360" w:lineRule="auto"/>
        <w:jc w:val="both"/>
        <w:rPr>
          <w:b/>
          <w:bCs/>
          <w:lang w:val="en-US"/>
        </w:rPr>
      </w:pPr>
      <w:r w:rsidRPr="006B4301">
        <w:rPr>
          <w:b/>
          <w:bCs/>
          <w:lang w:val="en-US"/>
        </w:rPr>
        <w:t xml:space="preserve">Response: </w:t>
      </w:r>
      <w:r w:rsidRPr="006B4301">
        <w:rPr>
          <w:lang w:val="en-US"/>
        </w:rPr>
        <w:t xml:space="preserve">The titles of sub-sections 4.3 and 4.4 are now </w:t>
      </w:r>
      <w:r w:rsidR="00A57299">
        <w:rPr>
          <w:lang w:val="en-US"/>
        </w:rPr>
        <w:t>corrected properly in the revised manuscript</w:t>
      </w:r>
      <w:r w:rsidRPr="006B4301">
        <w:rPr>
          <w:lang w:val="en-US"/>
        </w:rPr>
        <w:t>.</w:t>
      </w:r>
      <w:r w:rsidRPr="006B4301">
        <w:rPr>
          <w:b/>
          <w:bCs/>
          <w:lang w:val="en-US"/>
        </w:rPr>
        <w:t xml:space="preserve"> </w:t>
      </w:r>
    </w:p>
    <w:p w14:paraId="1AC07830" w14:textId="00DDA2A6" w:rsidR="00910165" w:rsidRPr="00960ED5" w:rsidRDefault="00910165" w:rsidP="00D65018">
      <w:pPr>
        <w:pStyle w:val="NormalWeb"/>
        <w:shd w:val="clear" w:color="auto" w:fill="FEFEFE"/>
        <w:spacing w:line="360" w:lineRule="auto"/>
        <w:jc w:val="both"/>
        <w:rPr>
          <w:rStyle w:val="mtfg0"/>
          <w:i/>
          <w:iCs/>
          <w:color w:val="0A0A0A"/>
          <w:lang w:val="en"/>
        </w:rPr>
      </w:pPr>
      <w:r w:rsidRPr="00960ED5">
        <w:rPr>
          <w:rStyle w:val="mtfg0"/>
          <w:i/>
          <w:iCs/>
          <w:color w:val="0A0A0A"/>
          <w:lang w:val="en"/>
        </w:rPr>
        <w:t>4) It would be relevant to include another very significant class of organic pollutants in water - hydrocarbons/petroleum derivatives. There are works based on photocatalytic decomposition of such pollutants y TiO</w:t>
      </w:r>
      <w:r w:rsidRPr="00960ED5">
        <w:rPr>
          <w:rStyle w:val="mtfg0"/>
          <w:i/>
          <w:iCs/>
          <w:color w:val="0A0A0A"/>
          <w:vertAlign w:val="subscript"/>
          <w:lang w:val="en"/>
        </w:rPr>
        <w:t>2</w:t>
      </w:r>
      <w:r w:rsidRPr="00960ED5">
        <w:rPr>
          <w:rStyle w:val="mtfg0"/>
          <w:i/>
          <w:iCs/>
          <w:color w:val="0A0A0A"/>
          <w:lang w:val="en"/>
        </w:rPr>
        <w:t xml:space="preserve"> and ZnO.</w:t>
      </w:r>
    </w:p>
    <w:p w14:paraId="51B57E1D" w14:textId="3DA24B92" w:rsidR="006B4301" w:rsidRDefault="006B4301" w:rsidP="00D65018">
      <w:pPr>
        <w:pStyle w:val="NormalWeb"/>
        <w:shd w:val="clear" w:color="auto" w:fill="FEFEFE"/>
        <w:spacing w:line="360" w:lineRule="auto"/>
        <w:jc w:val="both"/>
        <w:rPr>
          <w:b/>
          <w:bCs/>
          <w:lang w:val="en-US"/>
        </w:rPr>
      </w:pPr>
      <w:r w:rsidRPr="006B4301">
        <w:rPr>
          <w:b/>
          <w:bCs/>
          <w:lang w:val="en-US"/>
        </w:rPr>
        <w:t>Response:</w:t>
      </w:r>
      <w:r w:rsidR="00207B07">
        <w:rPr>
          <w:b/>
          <w:bCs/>
          <w:lang w:val="en-US"/>
        </w:rPr>
        <w:t xml:space="preserve"> </w:t>
      </w:r>
      <w:r w:rsidR="00A57299">
        <w:rPr>
          <w:lang w:val="en-US"/>
        </w:rPr>
        <w:t>As per the reviewer’s</w:t>
      </w:r>
      <w:r w:rsidR="00A57299" w:rsidRPr="00CF4805">
        <w:rPr>
          <w:lang w:val="en-US"/>
        </w:rPr>
        <w:t xml:space="preserve"> suggestion</w:t>
      </w:r>
      <w:r w:rsidR="00A57299">
        <w:rPr>
          <w:lang w:val="en-US"/>
        </w:rPr>
        <w:t xml:space="preserve">s, the suggested </w:t>
      </w:r>
      <w:r w:rsidR="00A57299" w:rsidRPr="00CF4805">
        <w:rPr>
          <w:lang w:val="en-US"/>
        </w:rPr>
        <w:t xml:space="preserve">changes </w:t>
      </w:r>
      <w:r w:rsidR="00A57299">
        <w:rPr>
          <w:lang w:val="en-US"/>
        </w:rPr>
        <w:t xml:space="preserve">are </w:t>
      </w:r>
      <w:r w:rsidR="00A57299">
        <w:rPr>
          <w:lang w:val="en-US"/>
        </w:rPr>
        <w:t>included</w:t>
      </w:r>
      <w:r w:rsidR="00A57299">
        <w:rPr>
          <w:lang w:val="en-US"/>
        </w:rPr>
        <w:t xml:space="preserve"> </w:t>
      </w:r>
      <w:r w:rsidR="00A57299" w:rsidRPr="00CF4805">
        <w:rPr>
          <w:lang w:val="en-US"/>
        </w:rPr>
        <w:t>in the revised manuscript.</w:t>
      </w:r>
    </w:p>
    <w:p w14:paraId="4832D5A4" w14:textId="487CD1FC" w:rsidR="00207B07" w:rsidRPr="00156791" w:rsidRDefault="00A57299" w:rsidP="00D65018">
      <w:pPr>
        <w:pStyle w:val="NormalWeb"/>
        <w:shd w:val="clear" w:color="auto" w:fill="FEFEFE"/>
        <w:spacing w:line="360" w:lineRule="auto"/>
        <w:jc w:val="both"/>
        <w:rPr>
          <w:b/>
          <w:bCs/>
          <w:lang w:val="en-US"/>
        </w:rPr>
      </w:pPr>
      <w:r>
        <w:rPr>
          <w:b/>
          <w:bCs/>
          <w:lang w:val="en-US"/>
        </w:rPr>
        <w:t>Petroleum-based</w:t>
      </w:r>
      <w:r w:rsidR="00207B07" w:rsidRPr="00156791">
        <w:rPr>
          <w:b/>
          <w:bCs/>
          <w:lang w:val="en-US"/>
        </w:rPr>
        <w:t xml:space="preserve"> hydrocarbons:</w:t>
      </w:r>
    </w:p>
    <w:p w14:paraId="6A857C48" w14:textId="5AD2D7D9" w:rsidR="00207B07" w:rsidRDefault="00207B07" w:rsidP="00D65018">
      <w:pPr>
        <w:pStyle w:val="NormalWeb"/>
        <w:shd w:val="clear" w:color="auto" w:fill="FEFEFE"/>
        <w:spacing w:line="360" w:lineRule="auto"/>
        <w:jc w:val="both"/>
        <w:rPr>
          <w:color w:val="0A0A0A"/>
          <w:lang w:val="en-US"/>
        </w:rPr>
      </w:pPr>
      <w:r w:rsidRPr="00207B07">
        <w:rPr>
          <w:color w:val="0A0A0A"/>
          <w:lang w:val="en-US"/>
        </w:rPr>
        <w:t xml:space="preserve">For many sectors, energy resources and raw materials produced from petroleum hydrocarbons are crucial. According to data gathered between 1970 and 2013 by the International Tanker Owners Pollution Federation Ltd., three time-oil leaks totaling more than 700 </w:t>
      </w:r>
      <w:r w:rsidR="00960ED5" w:rsidRPr="00207B07">
        <w:rPr>
          <w:color w:val="0A0A0A"/>
          <w:lang w:val="en-US"/>
        </w:rPr>
        <w:t>tons</w:t>
      </w:r>
      <w:r w:rsidRPr="00207B07">
        <w:rPr>
          <w:color w:val="0A0A0A"/>
          <w:lang w:val="en-US"/>
        </w:rPr>
        <w:t xml:space="preserve"> happened in 2013</w:t>
      </w:r>
      <w:r w:rsidR="00C81905">
        <w:rPr>
          <w:color w:val="0A0A0A"/>
          <w:lang w:val="en-US"/>
        </w:rPr>
        <w:t xml:space="preserve"> </w:t>
      </w:r>
      <w:r w:rsidR="00C81905">
        <w:rPr>
          <w:color w:val="0A0A0A"/>
          <w:lang w:val="en-US"/>
        </w:rPr>
        <w:fldChar w:fldCharType="begin" w:fldLock="1"/>
      </w:r>
      <w:r w:rsidR="00C81905">
        <w:rPr>
          <w:color w:val="0A0A0A"/>
          <w:lang w:val="en-US"/>
        </w:rPr>
        <w:instrText>ADDIN CSL_CITATION {"citationItems":[{"id":"ITEM-1","itemData":{"author":[{"dropping-particle":"","family":"Borah","given":"Debajit","non-dropping-particle":"","parse-names":false,"suffix":""},{"dropping-particle":"","family":"Yadav","given":"R N S","non-dropping-particle":"","parse-names":false,"suffix":""}],"container-title":"Egyptian Journal of Petroleum","id":"ITEM-1","issue":"1","issued":{"date-parts":[["2017"]]},"page":"181-188","publisher":"Elsevier","title":"Bioremediation of petroleum based contaminants with biosurfactant produced by a newly isolated petroleum oil degrading bacterial strain","type":"article-journal","volume":"26"},"uris":["http://www.mendeley.com/documents/?uuid=571d55b8-60fd-49e6-b99e-90c4ef3a5cc4"]}],"mendeley":{"formattedCitation":"[1]","plainTextFormattedCitation":"[1]","previouslyFormattedCitation":"[1]"},"properties":{"noteIndex":0},"schema":"https://github.com/citation-style-language/schema/raw/master/csl-citation.json"}</w:instrText>
      </w:r>
      <w:r w:rsidR="00C81905">
        <w:rPr>
          <w:color w:val="0A0A0A"/>
          <w:lang w:val="en-US"/>
        </w:rPr>
        <w:fldChar w:fldCharType="separate"/>
      </w:r>
      <w:r w:rsidR="00C81905" w:rsidRPr="00C81905">
        <w:rPr>
          <w:noProof/>
          <w:color w:val="0A0A0A"/>
          <w:lang w:val="en-US"/>
        </w:rPr>
        <w:t>[</w:t>
      </w:r>
      <w:r w:rsidR="00960ED5">
        <w:rPr>
          <w:noProof/>
          <w:color w:val="0A0A0A"/>
          <w:lang w:val="en-US"/>
        </w:rPr>
        <w:t>191</w:t>
      </w:r>
      <w:r w:rsidR="00C81905" w:rsidRPr="00C81905">
        <w:rPr>
          <w:noProof/>
          <w:color w:val="0A0A0A"/>
          <w:lang w:val="en-US"/>
        </w:rPr>
        <w:t>]</w:t>
      </w:r>
      <w:r w:rsidR="00C81905">
        <w:rPr>
          <w:color w:val="0A0A0A"/>
          <w:lang w:val="en-US"/>
        </w:rPr>
        <w:fldChar w:fldCharType="end"/>
      </w:r>
      <w:r w:rsidRPr="00207B07">
        <w:rPr>
          <w:color w:val="0A0A0A"/>
          <w:lang w:val="en-US"/>
        </w:rPr>
        <w:t xml:space="preserve">. Due to their catastrophic impact on large-scale maritime oil spills and oil leak incidents, </w:t>
      </w:r>
      <w:r w:rsidR="00A57299">
        <w:rPr>
          <w:color w:val="0A0A0A"/>
          <w:lang w:val="en-US"/>
        </w:rPr>
        <w:t xml:space="preserve">researchers </w:t>
      </w:r>
      <w:r w:rsidR="00DA7088">
        <w:rPr>
          <w:color w:val="0A0A0A"/>
          <w:lang w:val="en-US"/>
        </w:rPr>
        <w:t>concentrate</w:t>
      </w:r>
      <w:r w:rsidRPr="00207B07">
        <w:rPr>
          <w:color w:val="0A0A0A"/>
          <w:lang w:val="en-US"/>
        </w:rPr>
        <w:t xml:space="preserve"> a lot of attention</w:t>
      </w:r>
      <w:r w:rsidR="00DA7088">
        <w:rPr>
          <w:color w:val="0A0A0A"/>
          <w:lang w:val="en-US"/>
        </w:rPr>
        <w:t xml:space="preserve"> to avoid </w:t>
      </w:r>
      <w:r w:rsidR="00E34820">
        <w:rPr>
          <w:color w:val="0A0A0A"/>
          <w:lang w:val="en-US"/>
        </w:rPr>
        <w:t xml:space="preserve">or clean-up </w:t>
      </w:r>
      <w:r w:rsidR="00DA7088" w:rsidRPr="00207B07">
        <w:rPr>
          <w:color w:val="0A0A0A"/>
          <w:lang w:val="en-US"/>
        </w:rPr>
        <w:t>oil spills</w:t>
      </w:r>
      <w:r w:rsidRPr="00207B07">
        <w:rPr>
          <w:color w:val="0A0A0A"/>
          <w:lang w:val="en-US"/>
        </w:rPr>
        <w:t xml:space="preserve">. Priority pollutants are stubborn chemicals </w:t>
      </w:r>
      <w:r w:rsidRPr="00207B07">
        <w:rPr>
          <w:color w:val="0A0A0A"/>
          <w:lang w:val="en-US"/>
        </w:rPr>
        <w:lastRenderedPageBreak/>
        <w:t>called petroleum hydrocarbon pollutants</w:t>
      </w:r>
      <w:r w:rsidR="00C81905">
        <w:rPr>
          <w:color w:val="0A0A0A"/>
          <w:lang w:val="en-US"/>
        </w:rPr>
        <w:t xml:space="preserve"> </w:t>
      </w:r>
      <w:r w:rsidR="00C81905">
        <w:rPr>
          <w:color w:val="0A0A0A"/>
          <w:lang w:val="en-US"/>
        </w:rPr>
        <w:fldChar w:fldCharType="begin" w:fldLock="1"/>
      </w:r>
      <w:r w:rsidR="00C81905">
        <w:rPr>
          <w:color w:val="0A0A0A"/>
          <w:lang w:val="en-US"/>
        </w:rPr>
        <w:instrText>ADDIN CSL_CITATION {"citationItems":[{"id":"ITEM-1","itemData":{"author":[{"dropping-particle":"","family":"Costa","given":"A S</w:instrText>
      </w:r>
      <w:r w:rsidR="00C81905">
        <w:rPr>
          <w:rFonts w:ascii="Microsoft Yi Baiti" w:eastAsia="Microsoft Yi Baiti" w:hAnsi="Microsoft Yi Baiti" w:cs="Microsoft Yi Baiti" w:hint="eastAsia"/>
          <w:color w:val="0A0A0A"/>
          <w:lang w:val="en-US"/>
        </w:rPr>
        <w:instrText>ꎬ</w:instrText>
      </w:r>
      <w:r w:rsidR="00C81905">
        <w:rPr>
          <w:color w:val="0A0A0A"/>
          <w:lang w:val="en-US"/>
        </w:rPr>
        <w:instrText>","non-dropping-particle":"","parse-names":false,"suffix":""},{"dropping-particle":"","family":"Romão","given":"L P C","non-dropping-particle":"","parse-names":false,"suffix":""},{"dropping-particle":"","family":"Araújo","given":"B R","non-dropping-particle":"","parse-names":false,"suffix":""},{"dropping-particle":"","family":"Lucas","given":"S C O","non-dropping-particle":"","parse-names":false,"suffix":""},{"dropping-particle":"","family":"Maciel","given":"S T A","non-dropping-particle":"","parse-names":false,"suffix":""},{"dropping-particle":"","family":"Wisniewski Jr","given":"A","non-dropping-particle":"","parse-names":false,"suffix":""},{"dropping-particle":"","family":"Alexandre","given":"M da R","non-dropping-particle":"","parse-names":false,"suffix":""}],"container-title":"Bioresource Technology","id":"ITEM-1","issued":{"date-parts":[["2012"]]},"page":"31-39","publisher":"Elsevier","title":"Environmental strategies to remove volatile aromatic fractions (BTEX) from petroleum industry wastewater using biomass","type":"article-journal","volume":"105"},"uris":["http://www.mendeley.com/documents/?uuid=ac841898-d3b8-48d2-a3af-deef38ce4ecf"]}],"mendeley":{"formattedCitation":"[2]","plainTextFormattedCitation":"[2]","previouslyFormattedCitation":"[2]"},"properties":{"noteIndex":0},"schema":"https://github.com/citation-style-language/schema/raw/master/csl-citation.json"}</w:instrText>
      </w:r>
      <w:r w:rsidR="00C81905">
        <w:rPr>
          <w:color w:val="0A0A0A"/>
          <w:lang w:val="en-US"/>
        </w:rPr>
        <w:fldChar w:fldCharType="separate"/>
      </w:r>
      <w:r w:rsidR="00C81905" w:rsidRPr="00C81905">
        <w:rPr>
          <w:noProof/>
          <w:color w:val="0A0A0A"/>
          <w:lang w:val="en-US"/>
        </w:rPr>
        <w:t>[</w:t>
      </w:r>
      <w:r w:rsidR="00960ED5">
        <w:rPr>
          <w:noProof/>
          <w:color w:val="0A0A0A"/>
          <w:lang w:val="en-US"/>
        </w:rPr>
        <w:t>192</w:t>
      </w:r>
      <w:r w:rsidR="00C81905" w:rsidRPr="00C81905">
        <w:rPr>
          <w:noProof/>
          <w:color w:val="0A0A0A"/>
          <w:lang w:val="en-US"/>
        </w:rPr>
        <w:t>]</w:t>
      </w:r>
      <w:r w:rsidR="00C81905">
        <w:rPr>
          <w:color w:val="0A0A0A"/>
          <w:lang w:val="en-US"/>
        </w:rPr>
        <w:fldChar w:fldCharType="end"/>
      </w:r>
      <w:r w:rsidRPr="00207B07">
        <w:rPr>
          <w:color w:val="0A0A0A"/>
          <w:lang w:val="en-US"/>
        </w:rPr>
        <w:t xml:space="preserve">. However, despite rising consumer demand, there are currently no commercially viable substitutes for petroleum products in everyday life </w:t>
      </w:r>
      <w:r w:rsidR="00C81905">
        <w:rPr>
          <w:color w:val="0A0A0A"/>
          <w:lang w:val="en-US"/>
        </w:rPr>
        <w:fldChar w:fldCharType="begin" w:fldLock="1"/>
      </w:r>
      <w:r w:rsidR="000F46D5">
        <w:rPr>
          <w:color w:val="0A0A0A"/>
          <w:lang w:val="en-US"/>
        </w:rPr>
        <w:instrText>ADDIN CSL_CITATION {"citationItems":[{"id":"ITEM-1","itemData":{"author":[{"dropping-particle":"","family":"Varjani","given":"Sunita J","non-dropping-particle":"","parse-names":false,"suffix":""},{"dropping-particle":"","family":"Upasani","given":"Vivek N","non-dropping-particle":"","parse-names":false,"suffix":""}],"container-title":"Bioresource technology","id":"ITEM-1","issued":{"date-parts":[["2016"]]},"page":"510-516","publisher":"Elsevier","title":"Carbon spectrum utilization by an indigenous strain of Pseudomonas aeruginosa NCIM 5514: Production, characterization and surface active properties of biosurfactant","type":"article-journal","volume":"221"},"uris":["http://www.mendeley.com/documents/?uuid=07531e2b-f742-4541-8b3f-9f9b816c6529"]}],"mendeley":{"formattedCitation":"[3]","plainTextFormattedCitation":"[3]","previouslyFormattedCitation":"[3]"},"properties":{"noteIndex":0},"schema":"https://github.com/citation-style-language/schema/raw/master/csl-citation.json"}</w:instrText>
      </w:r>
      <w:r w:rsidR="00C81905">
        <w:rPr>
          <w:color w:val="0A0A0A"/>
          <w:lang w:val="en-US"/>
        </w:rPr>
        <w:fldChar w:fldCharType="separate"/>
      </w:r>
      <w:r w:rsidR="00C81905" w:rsidRPr="00C81905">
        <w:rPr>
          <w:noProof/>
          <w:color w:val="0A0A0A"/>
          <w:lang w:val="en-US"/>
        </w:rPr>
        <w:t>[</w:t>
      </w:r>
      <w:r w:rsidR="00960ED5">
        <w:rPr>
          <w:noProof/>
          <w:color w:val="0A0A0A"/>
          <w:lang w:val="en-US"/>
        </w:rPr>
        <w:t>19</w:t>
      </w:r>
      <w:r w:rsidR="00C81905" w:rsidRPr="00C81905">
        <w:rPr>
          <w:noProof/>
          <w:color w:val="0A0A0A"/>
          <w:lang w:val="en-US"/>
        </w:rPr>
        <w:t>3]</w:t>
      </w:r>
      <w:r w:rsidR="00C81905">
        <w:rPr>
          <w:color w:val="0A0A0A"/>
          <w:lang w:val="en-US"/>
        </w:rPr>
        <w:fldChar w:fldCharType="end"/>
      </w:r>
      <w:r w:rsidRPr="00207B07">
        <w:rPr>
          <w:color w:val="0A0A0A"/>
          <w:lang w:val="en-US"/>
        </w:rPr>
        <w:t>.</w:t>
      </w:r>
      <w:r>
        <w:rPr>
          <w:color w:val="0A0A0A"/>
          <w:lang w:val="en-US"/>
        </w:rPr>
        <w:t xml:space="preserve"> </w:t>
      </w:r>
      <w:r w:rsidRPr="00207B07">
        <w:rPr>
          <w:color w:val="0A0A0A"/>
          <w:lang w:val="en-US"/>
        </w:rPr>
        <w:t xml:space="preserve">Accidental leaks from the offshore and onshore petroleum industries cause contamination from petroleum hydrocarbons. Water bodies are directly impacted by this pollution. The unpleasant fact that water bodies are regarded as the ultimate and biggest sinks for petroleum hydrocarbon pollution is widely </w:t>
      </w:r>
      <w:r w:rsidR="00960ED5" w:rsidRPr="00207B07">
        <w:rPr>
          <w:color w:val="0A0A0A"/>
          <w:lang w:val="en-US"/>
        </w:rPr>
        <w:t>recognized</w:t>
      </w:r>
      <w:r w:rsidRPr="00207B07">
        <w:rPr>
          <w:color w:val="0A0A0A"/>
          <w:lang w:val="en-US"/>
        </w:rPr>
        <w:t xml:space="preserve"> </w:t>
      </w:r>
      <w:r w:rsidR="000F46D5">
        <w:rPr>
          <w:color w:val="0A0A0A"/>
          <w:lang w:val="en-US"/>
        </w:rPr>
        <w:fldChar w:fldCharType="begin" w:fldLock="1"/>
      </w:r>
      <w:r w:rsidR="000F46D5">
        <w:rPr>
          <w:color w:val="0A0A0A"/>
          <w:lang w:val="en-US"/>
        </w:rPr>
        <w:instrText>ADDIN CSL_CITATION {"citationItems":[{"id":"ITEM-1","itemData":{"author":[{"dropping-particle":"","family":"Sajna","given":"Kuttuvan Valappil","non-dropping-particle":"","parse-names":false,"suffix":""},{"dropping-particle":"","family":"Sukumaran","given":"Rajeev Kumar","non-dropping-particle":"","parse-names":false,"suffix":""},{"dropping-particle":"","family":"Gottumukkala","given":"Lalitha Devi","non-dropping-particle":"","parse-names":false,"suffix":""},{"dropping-particle":"","family":"Pandey","given":"Ashok","non-dropping-particle":"","parse-names":false,"suffix":""}],"container-title":"Bioresource technology","id":"ITEM-1","issued":{"date-parts":[["2015"]]},"page":"133-139","publisher":"Elsevier","title":"Crude oil biodegradation aided by biosurfactants from Pseudozyma sp. NII 08165 or its culture broth","type":"article-journal","volume":"191"},"uris":["http://www.mendeley.com/documents/?uuid=0e0b265a-47d3-4d8a-aa21-6d1116c2c12b"]}],"mendeley":{"formattedCitation":"[4]","plainTextFormattedCitation":"[4]","previouslyFormattedCitation":"[4]"},"properties":{"noteIndex":0},"schema":"https://github.com/citation-style-language/schema/raw/master/csl-citation.json"}</w:instrText>
      </w:r>
      <w:r w:rsidR="000F46D5">
        <w:rPr>
          <w:color w:val="0A0A0A"/>
          <w:lang w:val="en-US"/>
        </w:rPr>
        <w:fldChar w:fldCharType="separate"/>
      </w:r>
      <w:r w:rsidR="000F46D5" w:rsidRPr="000F46D5">
        <w:rPr>
          <w:noProof/>
          <w:color w:val="0A0A0A"/>
          <w:lang w:val="en-US"/>
        </w:rPr>
        <w:t>[</w:t>
      </w:r>
      <w:r w:rsidR="00960ED5">
        <w:rPr>
          <w:noProof/>
          <w:color w:val="0A0A0A"/>
          <w:lang w:val="en-US"/>
        </w:rPr>
        <w:t>19</w:t>
      </w:r>
      <w:r w:rsidR="000F46D5" w:rsidRPr="000F46D5">
        <w:rPr>
          <w:noProof/>
          <w:color w:val="0A0A0A"/>
          <w:lang w:val="en-US"/>
        </w:rPr>
        <w:t>4]</w:t>
      </w:r>
      <w:r w:rsidR="000F46D5">
        <w:rPr>
          <w:color w:val="0A0A0A"/>
          <w:lang w:val="en-US"/>
        </w:rPr>
        <w:fldChar w:fldCharType="end"/>
      </w:r>
      <w:r w:rsidRPr="00207B07">
        <w:rPr>
          <w:color w:val="0A0A0A"/>
          <w:lang w:val="en-US"/>
        </w:rPr>
        <w:t>.</w:t>
      </w:r>
    </w:p>
    <w:p w14:paraId="2C3733C3" w14:textId="0AA5F81C" w:rsidR="005836BA" w:rsidRPr="00207B07" w:rsidRDefault="005836BA" w:rsidP="00D65018">
      <w:pPr>
        <w:pStyle w:val="NormalWeb"/>
        <w:shd w:val="clear" w:color="auto" w:fill="FEFEFE"/>
        <w:spacing w:line="360" w:lineRule="auto"/>
        <w:jc w:val="both"/>
        <w:rPr>
          <w:color w:val="0A0A0A"/>
          <w:lang w:val="en-US"/>
        </w:rPr>
      </w:pPr>
      <w:r>
        <w:rPr>
          <w:color w:val="0A0A0A"/>
          <w:lang w:val="en-US"/>
        </w:rPr>
        <w:tab/>
      </w:r>
      <w:r w:rsidRPr="005836BA">
        <w:rPr>
          <w:color w:val="0A0A0A"/>
          <w:lang w:val="en-US"/>
        </w:rPr>
        <w:t>The wastewater from petroleum refineries (PRW) is notorious for having a high concentration of harmful chemicals that are bad for both humans and the environment. Due to the significant amount of water utili</w:t>
      </w:r>
      <w:r w:rsidR="004E4518">
        <w:rPr>
          <w:color w:val="0A0A0A"/>
          <w:lang w:val="en-US"/>
        </w:rPr>
        <w:t>z</w:t>
      </w:r>
      <w:r w:rsidRPr="005836BA">
        <w:rPr>
          <w:color w:val="0A0A0A"/>
          <w:lang w:val="en-US"/>
        </w:rPr>
        <w:t xml:space="preserve">ed in petroleum refineries, the wastewater is mostly produced in massive volumes </w:t>
      </w:r>
      <w:r w:rsidR="000F46D5">
        <w:rPr>
          <w:color w:val="0A0A0A"/>
          <w:lang w:val="en-US"/>
        </w:rPr>
        <w:fldChar w:fldCharType="begin" w:fldLock="1"/>
      </w:r>
      <w:r w:rsidR="00D65018">
        <w:rPr>
          <w:color w:val="0A0A0A"/>
          <w:lang w:val="en-US"/>
        </w:rPr>
        <w:instrText>ADDIN CSL_CITATION {"citationItems":[{"id":"ITEM-1","itemData":{"author":[{"dropping-particle":"","family":"Khan","given":"Wasi Z","non-dropping-particle":"","parse-names":false,"suffix":""},{"dropping-particle":"","family":"Najeeb","given":"Imad","non-dropping-particle":"","parse-names":false,"suffix":""},{"dropping-particle":"","family":"Tuiyebayeva","given":"Madina","non-dropping-particle":"","parse-names":false,"suffix":""},{"dropping-particle":"","family":"Makhtayeva","given":"Zhibeek","non-dropping-particle":"","parse-names":false,"suffix":""}],"container-title":"Process Safety and Environmental Protection","id":"ITEM-1","issued":{"date-parts":[["2015"]]},"page":"479-486","publisher":"Elsevier","title":"Refinery wastewater degradation with titanium dioxide, zinc oxide, and hydrogen peroxide in a photocatalytic reactor","type":"article-journal","volume":"94"},"uris":["http://www.mendeley.com/documents/?uuid=429fd886-9edd-4936-aedb-2d5a97ef57aa"]}],"mendeley":{"formattedCitation":"[5]","plainTextFormattedCitation":"[5]","previouslyFormattedCitation":"[5]"},"properties":{"noteIndex":0},"schema":"https://github.com/citation-style-language/schema/raw/master/csl-citation.json"}</w:instrText>
      </w:r>
      <w:r w:rsidR="000F46D5">
        <w:rPr>
          <w:color w:val="0A0A0A"/>
          <w:lang w:val="en-US"/>
        </w:rPr>
        <w:fldChar w:fldCharType="separate"/>
      </w:r>
      <w:r w:rsidR="000F46D5" w:rsidRPr="000F46D5">
        <w:rPr>
          <w:noProof/>
          <w:color w:val="0A0A0A"/>
          <w:lang w:val="en-US"/>
        </w:rPr>
        <w:t>[</w:t>
      </w:r>
      <w:r w:rsidR="00960ED5">
        <w:rPr>
          <w:noProof/>
          <w:color w:val="0A0A0A"/>
          <w:lang w:val="en-US"/>
        </w:rPr>
        <w:t>19</w:t>
      </w:r>
      <w:r w:rsidR="000F46D5" w:rsidRPr="000F46D5">
        <w:rPr>
          <w:noProof/>
          <w:color w:val="0A0A0A"/>
          <w:lang w:val="en-US"/>
        </w:rPr>
        <w:t>5]</w:t>
      </w:r>
      <w:r w:rsidR="000F46D5">
        <w:rPr>
          <w:color w:val="0A0A0A"/>
          <w:lang w:val="en-US"/>
        </w:rPr>
        <w:fldChar w:fldCharType="end"/>
      </w:r>
      <w:r w:rsidRPr="005836BA">
        <w:rPr>
          <w:color w:val="0A0A0A"/>
          <w:lang w:val="en-US"/>
        </w:rPr>
        <w:t xml:space="preserve">. In nations where crude oil is processed, this issue frequently arises. </w:t>
      </w:r>
      <w:r w:rsidR="00BB4B89" w:rsidRPr="005836BA">
        <w:rPr>
          <w:color w:val="0A0A0A"/>
          <w:lang w:val="en-US"/>
        </w:rPr>
        <w:t>Most</w:t>
      </w:r>
      <w:r w:rsidRPr="005836BA">
        <w:rPr>
          <w:color w:val="0A0A0A"/>
          <w:lang w:val="en-US"/>
        </w:rPr>
        <w:t xml:space="preserve"> treatments used by petroleum refining companies are ineffective because persistent pollutants are still present in the discharged treated effluent, which leads to secondary contamination of the environment.</w:t>
      </w:r>
      <w:r>
        <w:rPr>
          <w:color w:val="0A0A0A"/>
          <w:lang w:val="en-US"/>
        </w:rPr>
        <w:t xml:space="preserve"> </w:t>
      </w:r>
      <w:r w:rsidRPr="005836BA">
        <w:rPr>
          <w:color w:val="000000" w:themeColor="text1"/>
        </w:rPr>
        <w:t>TiO</w:t>
      </w:r>
      <w:r w:rsidRPr="005836BA">
        <w:rPr>
          <w:color w:val="000000" w:themeColor="text1"/>
          <w:vertAlign w:val="subscript"/>
        </w:rPr>
        <w:t>2</w:t>
      </w:r>
      <w:r w:rsidRPr="005836BA">
        <w:rPr>
          <w:color w:val="000000" w:themeColor="text1"/>
        </w:rPr>
        <w:t> is the most stable </w:t>
      </w:r>
      <w:hyperlink r:id="rId5" w:tooltip="Learn more about photocatalysts from ScienceDirect's AI-generated Topic Pages" w:history="1">
        <w:r w:rsidRPr="005836BA">
          <w:rPr>
            <w:rStyle w:val="Hyperlink"/>
            <w:color w:val="000000" w:themeColor="text1"/>
            <w:u w:val="none"/>
          </w:rPr>
          <w:t>photocatalysts</w:t>
        </w:r>
      </w:hyperlink>
      <w:r w:rsidRPr="005836BA">
        <w:rPr>
          <w:color w:val="000000" w:themeColor="text1"/>
        </w:rPr>
        <w:t> due to their high mechanical, thermal and chemical strength.</w:t>
      </w:r>
    </w:p>
    <w:tbl>
      <w:tblPr>
        <w:tblStyle w:val="TableGrid"/>
        <w:tblW w:w="0" w:type="auto"/>
        <w:tblLook w:val="04A0" w:firstRow="1" w:lastRow="0" w:firstColumn="1" w:lastColumn="0" w:noHBand="0" w:noVBand="1"/>
      </w:tblPr>
      <w:tblGrid>
        <w:gridCol w:w="1940"/>
        <w:gridCol w:w="1979"/>
        <w:gridCol w:w="2026"/>
        <w:gridCol w:w="1975"/>
        <w:gridCol w:w="1708"/>
      </w:tblGrid>
      <w:tr w:rsidR="005836BA" w14:paraId="45B76990" w14:textId="71F0F3F5" w:rsidTr="005836BA">
        <w:tc>
          <w:tcPr>
            <w:tcW w:w="1940" w:type="dxa"/>
          </w:tcPr>
          <w:p w14:paraId="4A1D635C" w14:textId="1088ED8B" w:rsidR="005836BA" w:rsidRPr="005836BA" w:rsidRDefault="005836BA" w:rsidP="00D65018">
            <w:pPr>
              <w:spacing w:line="360" w:lineRule="auto"/>
              <w:jc w:val="both"/>
              <w:rPr>
                <w:rFonts w:ascii="Times New Roman" w:hAnsi="Times New Roman" w:cs="Times New Roman"/>
                <w:b/>
                <w:bCs/>
                <w:sz w:val="24"/>
                <w:szCs w:val="24"/>
                <w:lang w:val="en-US"/>
              </w:rPr>
            </w:pPr>
            <w:r w:rsidRPr="005836BA">
              <w:rPr>
                <w:rFonts w:ascii="Times New Roman" w:hAnsi="Times New Roman" w:cs="Times New Roman"/>
                <w:b/>
                <w:bCs/>
                <w:sz w:val="24"/>
                <w:szCs w:val="24"/>
                <w:lang w:val="en-US"/>
              </w:rPr>
              <w:t>Type of catalyst</w:t>
            </w:r>
          </w:p>
        </w:tc>
        <w:tc>
          <w:tcPr>
            <w:tcW w:w="1979" w:type="dxa"/>
          </w:tcPr>
          <w:p w14:paraId="6479A127" w14:textId="05C808BD" w:rsidR="005836BA" w:rsidRPr="005836BA" w:rsidRDefault="005836BA" w:rsidP="00D65018">
            <w:pPr>
              <w:spacing w:line="360" w:lineRule="auto"/>
              <w:jc w:val="both"/>
              <w:rPr>
                <w:rFonts w:ascii="Times New Roman" w:hAnsi="Times New Roman" w:cs="Times New Roman"/>
                <w:b/>
                <w:bCs/>
                <w:sz w:val="24"/>
                <w:szCs w:val="24"/>
                <w:lang w:val="en-US"/>
              </w:rPr>
            </w:pPr>
            <w:r w:rsidRPr="005836BA">
              <w:rPr>
                <w:rFonts w:ascii="Times New Roman" w:hAnsi="Times New Roman" w:cs="Times New Roman"/>
                <w:b/>
                <w:bCs/>
                <w:sz w:val="24"/>
                <w:szCs w:val="24"/>
                <w:lang w:val="en-US"/>
              </w:rPr>
              <w:t>Organic pollutant</w:t>
            </w:r>
          </w:p>
        </w:tc>
        <w:tc>
          <w:tcPr>
            <w:tcW w:w="2026" w:type="dxa"/>
          </w:tcPr>
          <w:p w14:paraId="2928421E" w14:textId="25304416" w:rsidR="005836BA" w:rsidRPr="005836BA" w:rsidRDefault="00AE6ACC" w:rsidP="00D65018">
            <w:pPr>
              <w:spacing w:line="360" w:lineRule="auto"/>
              <w:jc w:val="both"/>
              <w:rPr>
                <w:rFonts w:ascii="Times New Roman" w:hAnsi="Times New Roman" w:cs="Times New Roman"/>
                <w:b/>
                <w:bCs/>
                <w:sz w:val="24"/>
                <w:szCs w:val="24"/>
                <w:lang w:val="en-US"/>
              </w:rPr>
            </w:pPr>
            <w:r>
              <w:rPr>
                <w:rFonts w:ascii="Times New Roman" w:hAnsi="Times New Roman" w:cs="Times New Roman"/>
                <w:b/>
                <w:bCs/>
                <w:sz w:val="24"/>
                <w:szCs w:val="24"/>
                <w:lang w:val="en-US"/>
              </w:rPr>
              <w:t>Light source</w:t>
            </w:r>
          </w:p>
        </w:tc>
        <w:tc>
          <w:tcPr>
            <w:tcW w:w="1975" w:type="dxa"/>
          </w:tcPr>
          <w:p w14:paraId="087D306D" w14:textId="17D37314" w:rsidR="005836BA" w:rsidRPr="005836BA" w:rsidRDefault="005836BA" w:rsidP="00D65018">
            <w:pPr>
              <w:spacing w:line="360" w:lineRule="auto"/>
              <w:jc w:val="both"/>
              <w:rPr>
                <w:rFonts w:ascii="Times New Roman" w:hAnsi="Times New Roman" w:cs="Times New Roman"/>
                <w:b/>
                <w:bCs/>
                <w:sz w:val="24"/>
                <w:szCs w:val="24"/>
                <w:lang w:val="en-US"/>
              </w:rPr>
            </w:pPr>
            <w:r w:rsidRPr="005836BA">
              <w:rPr>
                <w:rFonts w:ascii="Times New Roman" w:hAnsi="Times New Roman" w:cs="Times New Roman"/>
                <w:b/>
                <w:bCs/>
                <w:sz w:val="24"/>
                <w:szCs w:val="24"/>
                <w:lang w:val="en-US"/>
              </w:rPr>
              <w:t>Findings</w:t>
            </w:r>
          </w:p>
        </w:tc>
        <w:tc>
          <w:tcPr>
            <w:tcW w:w="1708" w:type="dxa"/>
          </w:tcPr>
          <w:p w14:paraId="43CBEC39" w14:textId="7EE5268F" w:rsidR="005836BA" w:rsidRPr="005836BA" w:rsidRDefault="005836BA" w:rsidP="00D65018">
            <w:pPr>
              <w:spacing w:line="360" w:lineRule="auto"/>
              <w:jc w:val="both"/>
              <w:rPr>
                <w:rFonts w:ascii="Times New Roman" w:hAnsi="Times New Roman" w:cs="Times New Roman"/>
                <w:b/>
                <w:bCs/>
                <w:sz w:val="24"/>
                <w:szCs w:val="24"/>
                <w:lang w:val="en-US"/>
              </w:rPr>
            </w:pPr>
            <w:r w:rsidRPr="005836BA">
              <w:rPr>
                <w:rFonts w:ascii="Times New Roman" w:hAnsi="Times New Roman" w:cs="Times New Roman"/>
                <w:b/>
                <w:bCs/>
                <w:sz w:val="24"/>
                <w:szCs w:val="24"/>
                <w:lang w:val="en-US"/>
              </w:rPr>
              <w:t>References</w:t>
            </w:r>
          </w:p>
        </w:tc>
      </w:tr>
      <w:tr w:rsidR="005836BA" w14:paraId="385AE5F6" w14:textId="0132280B" w:rsidTr="005836BA">
        <w:tc>
          <w:tcPr>
            <w:tcW w:w="1940" w:type="dxa"/>
          </w:tcPr>
          <w:p w14:paraId="28599A59" w14:textId="2BBF811C" w:rsidR="005836BA" w:rsidRDefault="005836BA" w:rsidP="00D65018">
            <w:pPr>
              <w:spacing w:line="360" w:lineRule="auto"/>
              <w:jc w:val="both"/>
              <w:rPr>
                <w:rFonts w:ascii="Times New Roman" w:hAnsi="Times New Roman" w:cs="Times New Roman"/>
                <w:sz w:val="24"/>
                <w:szCs w:val="24"/>
                <w:lang w:val="en-US"/>
              </w:rPr>
            </w:pPr>
            <w:r>
              <w:rPr>
                <w:rFonts w:ascii="Georgia" w:hAnsi="Georgia"/>
                <w:color w:val="2E2E2E"/>
                <w:sz w:val="21"/>
                <w:szCs w:val="21"/>
              </w:rPr>
              <w:t>TiO</w:t>
            </w:r>
            <w:r>
              <w:rPr>
                <w:rFonts w:ascii="Georgia" w:hAnsi="Georgia"/>
                <w:color w:val="2E2E2E"/>
                <w:sz w:val="16"/>
                <w:szCs w:val="16"/>
                <w:vertAlign w:val="subscript"/>
              </w:rPr>
              <w:t>2</w:t>
            </w:r>
            <w:r>
              <w:rPr>
                <w:rFonts w:ascii="Georgia" w:hAnsi="Georgia"/>
                <w:color w:val="2E2E2E"/>
                <w:sz w:val="21"/>
                <w:szCs w:val="21"/>
              </w:rPr>
              <w:t> Degussa P-25</w:t>
            </w:r>
          </w:p>
        </w:tc>
        <w:tc>
          <w:tcPr>
            <w:tcW w:w="1979" w:type="dxa"/>
          </w:tcPr>
          <w:p w14:paraId="1083046E" w14:textId="28856F2A" w:rsidR="005836BA" w:rsidRDefault="005836BA" w:rsidP="00D65018">
            <w:pPr>
              <w:spacing w:line="360" w:lineRule="auto"/>
              <w:jc w:val="both"/>
              <w:rPr>
                <w:rFonts w:ascii="Times New Roman" w:hAnsi="Times New Roman" w:cs="Times New Roman"/>
                <w:sz w:val="24"/>
                <w:szCs w:val="24"/>
                <w:lang w:val="en-US"/>
              </w:rPr>
            </w:pPr>
            <w:r>
              <w:rPr>
                <w:rFonts w:ascii="Georgia" w:hAnsi="Georgia"/>
                <w:color w:val="2E2E2E"/>
                <w:sz w:val="21"/>
                <w:szCs w:val="21"/>
              </w:rPr>
              <w:t>Petroleum wastewater</w:t>
            </w:r>
          </w:p>
        </w:tc>
        <w:tc>
          <w:tcPr>
            <w:tcW w:w="2026" w:type="dxa"/>
          </w:tcPr>
          <w:p w14:paraId="0D4D9701" w14:textId="5EDDF016" w:rsidR="005836BA" w:rsidRDefault="005836BA" w:rsidP="00D65018">
            <w:pPr>
              <w:spacing w:line="360" w:lineRule="auto"/>
              <w:jc w:val="both"/>
              <w:rPr>
                <w:rFonts w:ascii="Times New Roman" w:hAnsi="Times New Roman" w:cs="Times New Roman"/>
                <w:sz w:val="24"/>
                <w:szCs w:val="24"/>
                <w:lang w:val="en-US"/>
              </w:rPr>
            </w:pPr>
            <w:r>
              <w:rPr>
                <w:rFonts w:ascii="Georgia" w:hAnsi="Georgia"/>
                <w:color w:val="2E2E2E"/>
                <w:sz w:val="21"/>
                <w:szCs w:val="21"/>
              </w:rPr>
              <w:t>UVA-UVB</w:t>
            </w:r>
          </w:p>
        </w:tc>
        <w:tc>
          <w:tcPr>
            <w:tcW w:w="1975" w:type="dxa"/>
          </w:tcPr>
          <w:p w14:paraId="74A6A6D3" w14:textId="6B8C9D95" w:rsidR="005836BA" w:rsidRDefault="005836BA" w:rsidP="00D65018">
            <w:pPr>
              <w:spacing w:line="360" w:lineRule="auto"/>
              <w:jc w:val="both"/>
              <w:rPr>
                <w:rFonts w:ascii="Times New Roman" w:hAnsi="Times New Roman" w:cs="Times New Roman"/>
                <w:sz w:val="24"/>
                <w:szCs w:val="24"/>
                <w:lang w:val="en-US"/>
              </w:rPr>
            </w:pPr>
            <w:r>
              <w:rPr>
                <w:rFonts w:ascii="Georgia" w:hAnsi="Georgia"/>
                <w:color w:val="2E2E2E"/>
                <w:sz w:val="21"/>
                <w:szCs w:val="21"/>
              </w:rPr>
              <w:t>COD was reduced by 83% after 120 min</w:t>
            </w:r>
          </w:p>
        </w:tc>
        <w:tc>
          <w:tcPr>
            <w:tcW w:w="1708" w:type="dxa"/>
          </w:tcPr>
          <w:p w14:paraId="7C36DF98" w14:textId="2E3D8064" w:rsidR="005836BA" w:rsidRDefault="00D65018" w:rsidP="00D65018">
            <w:pPr>
              <w:spacing w:line="360" w:lineRule="auto"/>
              <w:jc w:val="both"/>
              <w:rPr>
                <w:rFonts w:ascii="Times New Roman" w:hAnsi="Times New Roman" w:cs="Times New Roman"/>
                <w:sz w:val="24"/>
                <w:szCs w:val="24"/>
                <w:lang w:val="en-US"/>
              </w:rPr>
            </w:pPr>
            <w:r>
              <w:fldChar w:fldCharType="begin" w:fldLock="1"/>
            </w:r>
            <w:r>
              <w:instrText>ADDIN CSL_CITATION {"citationItems":[{"id":"ITEM-1","itemData":{"author":[{"dropping-particle":"","family":"Shahrezaei","given":"F","non-dropping-particle":"","parse-names":false,"suffix":""},{"dropping-particle":"","family":"Akhbari","given":"A","non-dropping-particle":"","parse-names":false,"suffix":""},{"dropping-particle":"","family":"Rostami","given":"A","non-dropping-particle":"","parse-names":false,"suffix":""},{"dropping-particle":"","family":"others","given":"","non-dropping-particle":"","parse-names":false,"suffix":""}],"container-title":"International Journal of Energy and Environment","id":"ITEM-1","issue":"2","issued":{"date-parts":[["2012"]]},"page":"267-274","publisher":"International Energy and Environment Foundation","title":"Photodegradation and removal of phenol and phenolic derivatives from petroleum refinery wastewater using nanoparticles of TiO2","type":"article-journal","volume":"3"},"uris":["http://www.mendeley.com/documents/?uuid=eeb95a91-65e3-435d-aeaa-8fe93ed9fc30"]}],"mendeley":{"formattedCitation":"[6]","plainTextFormattedCitation":"[6]","previouslyFormattedCitation":"[6]"},"properties":{"noteIndex":0},"schema":"https://github.com/citation-style-language/schema/raw/master/csl-citation.json"}</w:instrText>
            </w:r>
            <w:r>
              <w:fldChar w:fldCharType="separate"/>
            </w:r>
            <w:r w:rsidRPr="00D65018">
              <w:rPr>
                <w:noProof/>
              </w:rPr>
              <w:t>[</w:t>
            </w:r>
            <w:r w:rsidR="00960ED5">
              <w:rPr>
                <w:noProof/>
              </w:rPr>
              <w:t>19</w:t>
            </w:r>
            <w:r w:rsidRPr="00D65018">
              <w:rPr>
                <w:noProof/>
              </w:rPr>
              <w:t>6]</w:t>
            </w:r>
            <w:r>
              <w:fldChar w:fldCharType="end"/>
            </w:r>
          </w:p>
        </w:tc>
      </w:tr>
      <w:tr w:rsidR="005836BA" w14:paraId="6934DBBA" w14:textId="602CD3DD" w:rsidTr="005836BA">
        <w:tc>
          <w:tcPr>
            <w:tcW w:w="1940" w:type="dxa"/>
          </w:tcPr>
          <w:p w14:paraId="1234EB35" w14:textId="6F131DEF" w:rsidR="005836BA" w:rsidRDefault="003D7BD6" w:rsidP="00D65018">
            <w:pPr>
              <w:spacing w:line="360" w:lineRule="auto"/>
              <w:jc w:val="both"/>
              <w:rPr>
                <w:rFonts w:ascii="Times New Roman" w:hAnsi="Times New Roman" w:cs="Times New Roman"/>
                <w:sz w:val="24"/>
                <w:szCs w:val="24"/>
                <w:lang w:val="en-US"/>
              </w:rPr>
            </w:pPr>
            <w:r>
              <w:rPr>
                <w:rFonts w:ascii="Georgia" w:hAnsi="Georgia"/>
                <w:color w:val="2E2E2E"/>
                <w:sz w:val="21"/>
                <w:szCs w:val="21"/>
              </w:rPr>
              <w:t>PEI/TiO</w:t>
            </w:r>
            <w:r>
              <w:rPr>
                <w:rFonts w:ascii="Georgia" w:hAnsi="Georgia"/>
                <w:color w:val="2E2E2E"/>
                <w:sz w:val="16"/>
                <w:szCs w:val="16"/>
                <w:vertAlign w:val="subscript"/>
              </w:rPr>
              <w:t>2</w:t>
            </w:r>
          </w:p>
        </w:tc>
        <w:tc>
          <w:tcPr>
            <w:tcW w:w="1979" w:type="dxa"/>
          </w:tcPr>
          <w:p w14:paraId="133005C1" w14:textId="484276FC" w:rsidR="005836BA" w:rsidRDefault="003D7BD6" w:rsidP="00D65018">
            <w:pPr>
              <w:spacing w:line="360" w:lineRule="auto"/>
              <w:jc w:val="both"/>
              <w:rPr>
                <w:rFonts w:ascii="Times New Roman" w:hAnsi="Times New Roman" w:cs="Times New Roman"/>
                <w:sz w:val="24"/>
                <w:szCs w:val="24"/>
                <w:lang w:val="en-US"/>
              </w:rPr>
            </w:pPr>
            <w:r>
              <w:rPr>
                <w:rFonts w:ascii="Georgia" w:hAnsi="Georgia"/>
                <w:color w:val="2E2E2E"/>
                <w:sz w:val="21"/>
                <w:szCs w:val="21"/>
              </w:rPr>
              <w:t>PRW (COD)</w:t>
            </w:r>
          </w:p>
        </w:tc>
        <w:tc>
          <w:tcPr>
            <w:tcW w:w="2026" w:type="dxa"/>
          </w:tcPr>
          <w:p w14:paraId="34598B1D" w14:textId="6AE38B56" w:rsidR="005836BA" w:rsidRDefault="003D7BD6" w:rsidP="00D65018">
            <w:pPr>
              <w:spacing w:line="360" w:lineRule="auto"/>
              <w:jc w:val="both"/>
              <w:rPr>
                <w:rFonts w:ascii="Times New Roman" w:hAnsi="Times New Roman" w:cs="Times New Roman"/>
                <w:sz w:val="24"/>
                <w:szCs w:val="24"/>
                <w:lang w:val="en-US"/>
              </w:rPr>
            </w:pPr>
            <w:r>
              <w:rPr>
                <w:rFonts w:ascii="Georgia" w:hAnsi="Georgia"/>
                <w:color w:val="2E2E2E"/>
                <w:sz w:val="21"/>
                <w:szCs w:val="21"/>
              </w:rPr>
              <w:t>UV</w:t>
            </w:r>
          </w:p>
        </w:tc>
        <w:tc>
          <w:tcPr>
            <w:tcW w:w="1975" w:type="dxa"/>
          </w:tcPr>
          <w:p w14:paraId="6A3AB4BE" w14:textId="41DE1A77" w:rsidR="005836BA" w:rsidRDefault="003D7BD6" w:rsidP="00D65018">
            <w:pPr>
              <w:spacing w:line="360" w:lineRule="auto"/>
              <w:jc w:val="both"/>
              <w:rPr>
                <w:rFonts w:ascii="Times New Roman" w:hAnsi="Times New Roman" w:cs="Times New Roman"/>
                <w:sz w:val="24"/>
                <w:szCs w:val="24"/>
                <w:lang w:val="en-US"/>
              </w:rPr>
            </w:pPr>
            <w:r>
              <w:rPr>
                <w:rFonts w:ascii="Georgia" w:hAnsi="Georgia"/>
                <w:color w:val="2E2E2E"/>
                <w:sz w:val="21"/>
                <w:szCs w:val="21"/>
              </w:rPr>
              <w:t>100% at 120</w:t>
            </w:r>
            <w:r>
              <w:rPr>
                <w:rFonts w:ascii="Times New Roman" w:hAnsi="Times New Roman" w:cs="Times New Roman"/>
                <w:color w:val="2E2E2E"/>
                <w:sz w:val="21"/>
                <w:szCs w:val="21"/>
              </w:rPr>
              <w:t> </w:t>
            </w:r>
            <w:r>
              <w:rPr>
                <w:rFonts w:ascii="Georgia" w:hAnsi="Georgia"/>
                <w:color w:val="2E2E2E"/>
                <w:sz w:val="21"/>
                <w:szCs w:val="21"/>
              </w:rPr>
              <w:t>min (300</w:t>
            </w:r>
            <w:r>
              <w:rPr>
                <w:rFonts w:ascii="Times New Roman" w:hAnsi="Times New Roman" w:cs="Times New Roman"/>
                <w:color w:val="2E2E2E"/>
                <w:sz w:val="21"/>
                <w:szCs w:val="21"/>
              </w:rPr>
              <w:t> </w:t>
            </w:r>
            <w:r>
              <w:rPr>
                <w:rFonts w:ascii="Georgia" w:hAnsi="Georgia"/>
                <w:color w:val="2E2E2E"/>
                <w:sz w:val="21"/>
                <w:szCs w:val="21"/>
              </w:rPr>
              <w:t>ppm)</w:t>
            </w:r>
          </w:p>
        </w:tc>
        <w:tc>
          <w:tcPr>
            <w:tcW w:w="1708" w:type="dxa"/>
          </w:tcPr>
          <w:p w14:paraId="32C89E3A" w14:textId="4728B60F" w:rsidR="005836BA" w:rsidRDefault="00D65018" w:rsidP="00D65018">
            <w:pPr>
              <w:spacing w:line="360" w:lineRule="auto"/>
              <w:jc w:val="both"/>
              <w:rPr>
                <w:rFonts w:ascii="Times New Roman" w:hAnsi="Times New Roman" w:cs="Times New Roman"/>
                <w:sz w:val="24"/>
                <w:szCs w:val="24"/>
                <w:lang w:val="en-US"/>
              </w:rPr>
            </w:pPr>
            <w:r>
              <w:rPr>
                <w:rFonts w:ascii="Georgia" w:hAnsi="Georgia"/>
                <w:color w:val="2E2E2E"/>
                <w:sz w:val="21"/>
                <w:szCs w:val="21"/>
              </w:rPr>
              <w:fldChar w:fldCharType="begin" w:fldLock="1"/>
            </w:r>
            <w:r>
              <w:rPr>
                <w:rFonts w:ascii="Georgia" w:hAnsi="Georgia"/>
                <w:color w:val="2E2E2E"/>
                <w:sz w:val="21"/>
                <w:szCs w:val="21"/>
              </w:rPr>
              <w:instrText>ADDIN CSL_CITATION {"citationItems":[{"id":"ITEM-1","itemData":{"author":[{"dropping-particle":"","family":"Pakravan","given":"Parvaneh","non-dropping-particle":"","parse-names":false,"suffix":""},{"dropping-particle":"","family":"Akhbari","given":"Aazam","non-dropping-particle":"","parse-names":false,"suffix":""},{"dropping-particle":"","family":"Moradi","given":"Hojatollah","non-dropping-particle":"","parse-names":false,"suffix":""},{"dropping-particle":"","family":"Azandaryani","given":"Abbas Hemati","non-dropping-particle":"","parse-names":false,"suffix":""},{"dropping-particle":"","family":"Mansouri","given":"Amir Mohammad","non-dropping-particle":"","parse-names":false,"suffix":""},{"dropping-particle":"","family":"Safari","given":"Mojtaba","non-dropping-particle":"","parse-names":false,"suffix":""}],"container-title":"Applied Petrochemical Research","id":"ITEM-1","issue":"1","issued":{"date-parts":[["2015"]]},"page":"47-59","publisher":"Springer","title":"Process modeling and evaluation of petroleum refinery wastewater treatment through response surface methodology and artificial neural network in a photocatalytic reactor using poly ethyleneimine (PEI)/titania (TiO2) multilayer film on quartz tube","type":"article-journal","volume":"5"},"uris":["http://www.mendeley.com/documents/?uuid=f82893e6-a13b-495b-80cd-f990f14b5889"]}],"mendeley":{"formattedCitation":"[7]","plainTextFormattedCitation":"[7]","previouslyFormattedCitation":"[7]"},"properties":{"noteIndex":0},"schema":"https://github.com/citation-style-language/schema/raw/master/csl-citation.json"}</w:instrText>
            </w:r>
            <w:r>
              <w:rPr>
                <w:rFonts w:ascii="Georgia" w:hAnsi="Georgia"/>
                <w:color w:val="2E2E2E"/>
                <w:sz w:val="21"/>
                <w:szCs w:val="21"/>
              </w:rPr>
              <w:fldChar w:fldCharType="separate"/>
            </w:r>
            <w:r w:rsidRPr="00D65018">
              <w:rPr>
                <w:rFonts w:ascii="Georgia" w:hAnsi="Georgia"/>
                <w:noProof/>
                <w:color w:val="2E2E2E"/>
                <w:sz w:val="21"/>
                <w:szCs w:val="21"/>
              </w:rPr>
              <w:t>[</w:t>
            </w:r>
            <w:r w:rsidR="00960ED5">
              <w:rPr>
                <w:rFonts w:ascii="Georgia" w:hAnsi="Georgia"/>
                <w:noProof/>
                <w:color w:val="2E2E2E"/>
                <w:sz w:val="21"/>
                <w:szCs w:val="21"/>
              </w:rPr>
              <w:t>19</w:t>
            </w:r>
            <w:r w:rsidRPr="00D65018">
              <w:rPr>
                <w:rFonts w:ascii="Georgia" w:hAnsi="Georgia"/>
                <w:noProof/>
                <w:color w:val="2E2E2E"/>
                <w:sz w:val="21"/>
                <w:szCs w:val="21"/>
              </w:rPr>
              <w:t>7]</w:t>
            </w:r>
            <w:r>
              <w:rPr>
                <w:rFonts w:ascii="Georgia" w:hAnsi="Georgia"/>
                <w:color w:val="2E2E2E"/>
                <w:sz w:val="21"/>
                <w:szCs w:val="21"/>
              </w:rPr>
              <w:fldChar w:fldCharType="end"/>
            </w:r>
          </w:p>
        </w:tc>
      </w:tr>
      <w:tr w:rsidR="005836BA" w14:paraId="053221A6" w14:textId="556AE1D9" w:rsidTr="005836BA">
        <w:tc>
          <w:tcPr>
            <w:tcW w:w="1940" w:type="dxa"/>
          </w:tcPr>
          <w:p w14:paraId="2BDE4E55" w14:textId="322F58D5" w:rsidR="005836BA" w:rsidRDefault="003D7BD6" w:rsidP="00D65018">
            <w:pPr>
              <w:spacing w:line="360" w:lineRule="auto"/>
              <w:jc w:val="both"/>
              <w:rPr>
                <w:rFonts w:ascii="Times New Roman" w:hAnsi="Times New Roman" w:cs="Times New Roman"/>
                <w:sz w:val="24"/>
                <w:szCs w:val="24"/>
                <w:lang w:val="en-US"/>
              </w:rPr>
            </w:pPr>
            <w:r>
              <w:rPr>
                <w:rFonts w:ascii="Georgia" w:hAnsi="Georgia"/>
                <w:color w:val="2E2E2E"/>
                <w:sz w:val="21"/>
                <w:szCs w:val="21"/>
              </w:rPr>
              <w:t>TiO</w:t>
            </w:r>
            <w:r>
              <w:rPr>
                <w:rFonts w:ascii="Georgia" w:hAnsi="Georgia"/>
                <w:color w:val="2E2E2E"/>
                <w:sz w:val="16"/>
                <w:szCs w:val="16"/>
                <w:vertAlign w:val="subscript"/>
              </w:rPr>
              <w:t>2</w:t>
            </w:r>
          </w:p>
        </w:tc>
        <w:tc>
          <w:tcPr>
            <w:tcW w:w="1979" w:type="dxa"/>
          </w:tcPr>
          <w:p w14:paraId="0A6FCB9A" w14:textId="74E27A97" w:rsidR="005836BA" w:rsidRDefault="003D7BD6" w:rsidP="00D65018">
            <w:pPr>
              <w:spacing w:line="360" w:lineRule="auto"/>
              <w:jc w:val="both"/>
              <w:rPr>
                <w:rFonts w:ascii="Times New Roman" w:hAnsi="Times New Roman" w:cs="Times New Roman"/>
                <w:sz w:val="24"/>
                <w:szCs w:val="24"/>
                <w:lang w:val="en-US"/>
              </w:rPr>
            </w:pPr>
            <w:r>
              <w:rPr>
                <w:rFonts w:ascii="Georgia" w:hAnsi="Georgia"/>
                <w:color w:val="2E2E2E"/>
                <w:sz w:val="21"/>
                <w:szCs w:val="21"/>
              </w:rPr>
              <w:t>PRW (COD)</w:t>
            </w:r>
          </w:p>
        </w:tc>
        <w:tc>
          <w:tcPr>
            <w:tcW w:w="2026" w:type="dxa"/>
          </w:tcPr>
          <w:p w14:paraId="7DE299AD" w14:textId="35219C8A" w:rsidR="005836BA" w:rsidRDefault="003D7BD6" w:rsidP="00D65018">
            <w:pPr>
              <w:spacing w:line="360" w:lineRule="auto"/>
              <w:jc w:val="both"/>
              <w:rPr>
                <w:rFonts w:ascii="Times New Roman" w:hAnsi="Times New Roman" w:cs="Times New Roman"/>
                <w:sz w:val="24"/>
                <w:szCs w:val="24"/>
                <w:lang w:val="en-US"/>
              </w:rPr>
            </w:pPr>
            <w:r>
              <w:rPr>
                <w:rFonts w:ascii="Georgia" w:hAnsi="Georgia"/>
                <w:color w:val="2E2E2E"/>
                <w:sz w:val="21"/>
                <w:szCs w:val="21"/>
              </w:rPr>
              <w:t>UVB-UVA</w:t>
            </w:r>
          </w:p>
        </w:tc>
        <w:tc>
          <w:tcPr>
            <w:tcW w:w="1975" w:type="dxa"/>
          </w:tcPr>
          <w:p w14:paraId="792E6DAB" w14:textId="480D102A" w:rsidR="005836BA" w:rsidRDefault="00084555" w:rsidP="00D65018">
            <w:pPr>
              <w:spacing w:line="360" w:lineRule="auto"/>
              <w:jc w:val="both"/>
              <w:rPr>
                <w:rFonts w:ascii="Times New Roman" w:hAnsi="Times New Roman" w:cs="Times New Roman"/>
                <w:sz w:val="24"/>
                <w:szCs w:val="24"/>
                <w:lang w:val="en-US"/>
              </w:rPr>
            </w:pPr>
            <w:r>
              <w:rPr>
                <w:rFonts w:ascii="Georgia" w:hAnsi="Georgia"/>
                <w:color w:val="2E2E2E"/>
                <w:sz w:val="21"/>
                <w:szCs w:val="21"/>
              </w:rPr>
              <w:t xml:space="preserve">Optimum pH = 3; </w:t>
            </w:r>
            <w:r w:rsidR="003D7BD6">
              <w:rPr>
                <w:rFonts w:ascii="Georgia" w:hAnsi="Georgia"/>
                <w:color w:val="2E2E2E"/>
                <w:sz w:val="21"/>
                <w:szCs w:val="21"/>
              </w:rPr>
              <w:t>72% at 90</w:t>
            </w:r>
            <w:r w:rsidR="003D7BD6">
              <w:rPr>
                <w:rFonts w:ascii="Times New Roman" w:hAnsi="Times New Roman" w:cs="Times New Roman"/>
                <w:color w:val="2E2E2E"/>
                <w:sz w:val="21"/>
                <w:szCs w:val="21"/>
              </w:rPr>
              <w:t> </w:t>
            </w:r>
            <w:r w:rsidR="003D7BD6">
              <w:rPr>
                <w:rFonts w:ascii="Georgia" w:hAnsi="Georgia"/>
                <w:color w:val="2E2E2E"/>
                <w:sz w:val="21"/>
                <w:szCs w:val="21"/>
              </w:rPr>
              <w:t>min (200</w:t>
            </w:r>
            <w:r w:rsidR="003D7BD6">
              <w:rPr>
                <w:rFonts w:ascii="Georgia" w:hAnsi="Georgia" w:cs="Georgia"/>
                <w:color w:val="2E2E2E"/>
                <w:sz w:val="21"/>
                <w:szCs w:val="21"/>
              </w:rPr>
              <w:t>–</w:t>
            </w:r>
            <w:r w:rsidR="003D7BD6">
              <w:rPr>
                <w:rFonts w:ascii="Georgia" w:hAnsi="Georgia"/>
                <w:color w:val="2E2E2E"/>
                <w:sz w:val="21"/>
                <w:szCs w:val="21"/>
              </w:rPr>
              <w:t>220</w:t>
            </w:r>
            <w:r w:rsidR="003D7BD6">
              <w:rPr>
                <w:rFonts w:ascii="Times New Roman" w:hAnsi="Times New Roman" w:cs="Times New Roman"/>
                <w:color w:val="2E2E2E"/>
                <w:sz w:val="21"/>
                <w:szCs w:val="21"/>
              </w:rPr>
              <w:t> </w:t>
            </w:r>
            <w:r w:rsidR="003D7BD6">
              <w:rPr>
                <w:rFonts w:ascii="Georgia" w:hAnsi="Georgia"/>
                <w:color w:val="2E2E2E"/>
                <w:sz w:val="21"/>
                <w:szCs w:val="21"/>
              </w:rPr>
              <w:t>ppm)</w:t>
            </w:r>
          </w:p>
        </w:tc>
        <w:tc>
          <w:tcPr>
            <w:tcW w:w="1708" w:type="dxa"/>
          </w:tcPr>
          <w:p w14:paraId="00672651" w14:textId="6390AFB6" w:rsidR="005836BA" w:rsidRPr="00BE131B" w:rsidRDefault="00D65018" w:rsidP="00D65018">
            <w:pPr>
              <w:jc w:val="both"/>
              <w:rPr>
                <w:rFonts w:ascii="Georgia" w:hAnsi="Georgia"/>
                <w:color w:val="2E2E2E"/>
                <w:sz w:val="21"/>
                <w:szCs w:val="21"/>
              </w:rPr>
            </w:pPr>
            <w:r>
              <w:rPr>
                <w:rFonts w:ascii="Georgia" w:hAnsi="Georgia"/>
                <w:color w:val="2E2E2E"/>
                <w:sz w:val="21"/>
                <w:szCs w:val="21"/>
              </w:rPr>
              <w:fldChar w:fldCharType="begin" w:fldLock="1"/>
            </w:r>
            <w:r>
              <w:rPr>
                <w:rFonts w:ascii="Georgia" w:hAnsi="Georgia"/>
                <w:color w:val="2E2E2E"/>
                <w:sz w:val="21"/>
                <w:szCs w:val="21"/>
              </w:rPr>
              <w:instrText>ADDIN CSL_CITATION {"citationItems":[{"id":"ITEM-1","itemData":{"author":[{"dropping-particle":"","family":"Saien","given":"Javad","non-dropping-particle":"","parse-names":false,"suffix":""},{"dropping-particle":"","family":"Shahrezaei","given":"Fatemeh","non-dropping-particle":"","parse-names":false,"suffix":""}],"container-title":"International Journal of Photoenergy","id":"ITEM-1","issued":{"date-parts":[["2012"]]},"publisher":"Hindawi","title":"Organic pollutants removal from petroleum refinery wastewater with nanotitania photocatalyst and UV light emission","type":"article-journal","volume":"2012"},"uris":["http://www.mendeley.com/documents/?uuid=9adf1fea-b33e-4d29-8f79-8a1c48e98886"]}],"mendeley":{"formattedCitation":"[8]","plainTextFormattedCitation":"[8]","previouslyFormattedCitation":"[8]"},"properties":{"noteIndex":0},"schema":"https://github.com/citation-style-language/schema/raw/master/csl-citation.json"}</w:instrText>
            </w:r>
            <w:r>
              <w:rPr>
                <w:rFonts w:ascii="Georgia" w:hAnsi="Georgia"/>
                <w:color w:val="2E2E2E"/>
                <w:sz w:val="21"/>
                <w:szCs w:val="21"/>
              </w:rPr>
              <w:fldChar w:fldCharType="separate"/>
            </w:r>
            <w:r w:rsidRPr="00D65018">
              <w:rPr>
                <w:rFonts w:ascii="Georgia" w:hAnsi="Georgia"/>
                <w:noProof/>
                <w:color w:val="2E2E2E"/>
                <w:sz w:val="21"/>
                <w:szCs w:val="21"/>
              </w:rPr>
              <w:t>[</w:t>
            </w:r>
            <w:r w:rsidR="00960ED5">
              <w:rPr>
                <w:rFonts w:ascii="Georgia" w:hAnsi="Georgia"/>
                <w:noProof/>
                <w:color w:val="2E2E2E"/>
                <w:sz w:val="21"/>
                <w:szCs w:val="21"/>
              </w:rPr>
              <w:t>19</w:t>
            </w:r>
            <w:r w:rsidRPr="00D65018">
              <w:rPr>
                <w:rFonts w:ascii="Georgia" w:hAnsi="Georgia"/>
                <w:noProof/>
                <w:color w:val="2E2E2E"/>
                <w:sz w:val="21"/>
                <w:szCs w:val="21"/>
              </w:rPr>
              <w:t>8]</w:t>
            </w:r>
            <w:r>
              <w:rPr>
                <w:rFonts w:ascii="Georgia" w:hAnsi="Georgia"/>
                <w:color w:val="2E2E2E"/>
                <w:sz w:val="21"/>
                <w:szCs w:val="21"/>
              </w:rPr>
              <w:fldChar w:fldCharType="end"/>
            </w:r>
          </w:p>
        </w:tc>
      </w:tr>
      <w:tr w:rsidR="000966CA" w14:paraId="06ED86E0" w14:textId="77777777" w:rsidTr="005836BA">
        <w:tc>
          <w:tcPr>
            <w:tcW w:w="1940" w:type="dxa"/>
          </w:tcPr>
          <w:p w14:paraId="4ED99C31" w14:textId="56BDAEDE" w:rsidR="000966CA" w:rsidRDefault="000966CA" w:rsidP="00D65018">
            <w:pPr>
              <w:spacing w:line="360" w:lineRule="auto"/>
              <w:jc w:val="both"/>
              <w:rPr>
                <w:rFonts w:ascii="Georgia" w:hAnsi="Georgia"/>
                <w:color w:val="2E2E2E"/>
                <w:sz w:val="21"/>
                <w:szCs w:val="21"/>
              </w:rPr>
            </w:pPr>
            <w:r>
              <w:rPr>
                <w:rFonts w:ascii="Georgia" w:hAnsi="Georgia"/>
                <w:color w:val="2E2E2E"/>
                <w:sz w:val="21"/>
                <w:szCs w:val="21"/>
              </w:rPr>
              <w:t>Degussa P-25 TiO</w:t>
            </w:r>
            <w:r>
              <w:rPr>
                <w:rFonts w:ascii="Georgia" w:hAnsi="Georgia"/>
                <w:color w:val="2E2E2E"/>
                <w:sz w:val="16"/>
                <w:szCs w:val="16"/>
                <w:vertAlign w:val="subscript"/>
              </w:rPr>
              <w:t>2</w:t>
            </w:r>
          </w:p>
        </w:tc>
        <w:tc>
          <w:tcPr>
            <w:tcW w:w="1979" w:type="dxa"/>
          </w:tcPr>
          <w:p w14:paraId="0D49E057" w14:textId="45EA6379" w:rsidR="000966CA" w:rsidRDefault="000966CA" w:rsidP="00D65018">
            <w:pPr>
              <w:spacing w:line="360" w:lineRule="auto"/>
              <w:jc w:val="both"/>
              <w:rPr>
                <w:rFonts w:ascii="Georgia" w:hAnsi="Georgia"/>
                <w:color w:val="2E2E2E"/>
                <w:sz w:val="21"/>
                <w:szCs w:val="21"/>
              </w:rPr>
            </w:pPr>
            <w:r>
              <w:rPr>
                <w:rFonts w:ascii="Georgia" w:hAnsi="Georgia"/>
                <w:color w:val="2E2E2E"/>
                <w:sz w:val="21"/>
                <w:szCs w:val="21"/>
              </w:rPr>
              <w:t>Petroleum wastewater</w:t>
            </w:r>
          </w:p>
        </w:tc>
        <w:tc>
          <w:tcPr>
            <w:tcW w:w="2026" w:type="dxa"/>
          </w:tcPr>
          <w:p w14:paraId="4BF6F737" w14:textId="77777777" w:rsidR="000966CA" w:rsidRDefault="000966CA" w:rsidP="00D65018">
            <w:pPr>
              <w:jc w:val="both"/>
              <w:rPr>
                <w:rFonts w:ascii="Georgia" w:hAnsi="Georgia"/>
                <w:color w:val="2E2E2E"/>
                <w:sz w:val="21"/>
                <w:szCs w:val="21"/>
              </w:rPr>
            </w:pPr>
            <w:r>
              <w:rPr>
                <w:rFonts w:ascii="Georgia" w:hAnsi="Georgia"/>
                <w:color w:val="2E2E2E"/>
                <w:sz w:val="21"/>
                <w:szCs w:val="21"/>
              </w:rPr>
              <w:t>Solar light</w:t>
            </w:r>
          </w:p>
          <w:p w14:paraId="66302998" w14:textId="77777777" w:rsidR="000966CA" w:rsidRDefault="000966CA" w:rsidP="00D65018">
            <w:pPr>
              <w:spacing w:line="360" w:lineRule="auto"/>
              <w:jc w:val="both"/>
              <w:rPr>
                <w:rFonts w:ascii="Georgia" w:hAnsi="Georgia"/>
                <w:color w:val="2E2E2E"/>
                <w:sz w:val="21"/>
                <w:szCs w:val="21"/>
              </w:rPr>
            </w:pPr>
          </w:p>
        </w:tc>
        <w:tc>
          <w:tcPr>
            <w:tcW w:w="1975" w:type="dxa"/>
          </w:tcPr>
          <w:p w14:paraId="60B88AB4" w14:textId="5C76E626" w:rsidR="000966CA" w:rsidRDefault="000966CA" w:rsidP="00D65018">
            <w:pPr>
              <w:spacing w:line="360" w:lineRule="auto"/>
              <w:jc w:val="both"/>
              <w:rPr>
                <w:rFonts w:ascii="Georgia" w:hAnsi="Georgia"/>
                <w:color w:val="2E2E2E"/>
                <w:sz w:val="21"/>
                <w:szCs w:val="21"/>
              </w:rPr>
            </w:pPr>
            <w:r>
              <w:rPr>
                <w:rFonts w:ascii="Georgia" w:hAnsi="Georgia"/>
                <w:color w:val="2E2E2E"/>
                <w:sz w:val="21"/>
                <w:szCs w:val="21"/>
              </w:rPr>
              <w:t>Optimum pH = 6.8; 76% reduction of COD.</w:t>
            </w:r>
          </w:p>
        </w:tc>
        <w:bookmarkStart w:id="1" w:name="bbib96"/>
        <w:tc>
          <w:tcPr>
            <w:tcW w:w="1708" w:type="dxa"/>
          </w:tcPr>
          <w:p w14:paraId="22ADF71B" w14:textId="7CA9ACFB" w:rsidR="000966CA" w:rsidRDefault="00D65018" w:rsidP="00D65018">
            <w:pPr>
              <w:jc w:val="both"/>
              <w:rPr>
                <w:rFonts w:ascii="Georgia" w:hAnsi="Georgia"/>
                <w:color w:val="2E2E2E"/>
                <w:sz w:val="21"/>
                <w:szCs w:val="21"/>
              </w:rPr>
            </w:pPr>
            <w:r>
              <w:fldChar w:fldCharType="begin" w:fldLock="1"/>
            </w:r>
            <w:r>
              <w:instrText>ADDIN CSL_CITATION {"citationItems":[{"id":"ITEM-1","itemData":{"author":[{"dropping-particle":"","family":"Aljuboury","given":"Dheeaa al deen Atallah","non-dropping-particle":"","parse-names":false,"suffix":""},{"dropping-particle":"","family":"Palaniandy","given":"Puganeshwary","non-dropping-particle":"","parse-names":false,"suffix":""},{"dropping-particle":"Bin","family":"Abdul Aziz","given":"Hamidi","non-dropping-particle":"","parse-names":false,"suffix":""},{"dropping-particle":"","family":"Feroz","given":"Shaik","non-dropping-particle":"","parse-names":false,"suffix":""},{"dropping-particle":"","family":"Abu Amr","given":"Salem S","non-dropping-particle":"","parse-names":false,"suffix":""}],"container-title":"Water Science and Technology","id":"ITEM-1","issue":"6","issued":{"date-parts":[["2016"]]},"page":"1312-1325","publisher":"IWA Publishing","title":"Evaluating photo-degradation of COD and TOC in petroleum refinery wastewater by using TiO2/ZnO photo-catalyst","type":"article-journal","volume":"74"},"uris":["http://www.mendeley.com/documents/?uuid=ee73d143-3b68-49ce-b58b-51fe7c81c4ff"]}],"mendeley":{"formattedCitation":"[9]","plainTextFormattedCitation":"[9]","previouslyFormattedCitation":"[9]"},"properties":{"noteIndex":0},"schema":"https://github.com/citation-style-language/schema/raw/master/csl-citation.json"}</w:instrText>
            </w:r>
            <w:r>
              <w:fldChar w:fldCharType="separate"/>
            </w:r>
            <w:r w:rsidRPr="00D65018">
              <w:rPr>
                <w:noProof/>
              </w:rPr>
              <w:t>[</w:t>
            </w:r>
            <w:r w:rsidR="00960ED5">
              <w:rPr>
                <w:noProof/>
              </w:rPr>
              <w:t>19</w:t>
            </w:r>
            <w:r w:rsidRPr="00D65018">
              <w:rPr>
                <w:noProof/>
              </w:rPr>
              <w:t>9]</w:t>
            </w:r>
            <w:r>
              <w:fldChar w:fldCharType="end"/>
            </w:r>
            <w:bookmarkEnd w:id="1"/>
          </w:p>
        </w:tc>
      </w:tr>
      <w:tr w:rsidR="000966CA" w14:paraId="1D510F90" w14:textId="103594CC" w:rsidTr="005836BA">
        <w:tc>
          <w:tcPr>
            <w:tcW w:w="1940" w:type="dxa"/>
          </w:tcPr>
          <w:p w14:paraId="6F419FC3" w14:textId="39A4A309" w:rsidR="000966CA" w:rsidRDefault="000966CA" w:rsidP="00D65018">
            <w:pPr>
              <w:spacing w:line="360" w:lineRule="auto"/>
              <w:jc w:val="both"/>
              <w:rPr>
                <w:rFonts w:ascii="Times New Roman" w:hAnsi="Times New Roman" w:cs="Times New Roman"/>
                <w:sz w:val="24"/>
                <w:szCs w:val="24"/>
                <w:lang w:val="en-US"/>
              </w:rPr>
            </w:pPr>
            <w:r>
              <w:rPr>
                <w:rFonts w:ascii="Georgia" w:hAnsi="Georgia"/>
                <w:color w:val="2E2E2E"/>
                <w:sz w:val="21"/>
                <w:szCs w:val="21"/>
              </w:rPr>
              <w:t>TiO</w:t>
            </w:r>
            <w:r>
              <w:rPr>
                <w:rFonts w:ascii="Georgia" w:hAnsi="Georgia"/>
                <w:color w:val="2E2E2E"/>
                <w:sz w:val="16"/>
                <w:szCs w:val="16"/>
                <w:vertAlign w:val="subscript"/>
              </w:rPr>
              <w:t>2</w:t>
            </w:r>
            <w:r>
              <w:rPr>
                <w:rFonts w:ascii="Georgia" w:hAnsi="Georgia"/>
                <w:color w:val="2E2E2E"/>
                <w:sz w:val="21"/>
                <w:szCs w:val="21"/>
              </w:rPr>
              <w:t>/ZnO</w:t>
            </w:r>
          </w:p>
        </w:tc>
        <w:tc>
          <w:tcPr>
            <w:tcW w:w="1979" w:type="dxa"/>
          </w:tcPr>
          <w:p w14:paraId="439B0077" w14:textId="3EB86D72" w:rsidR="000966CA" w:rsidRDefault="000966CA" w:rsidP="00D65018">
            <w:pPr>
              <w:spacing w:line="360" w:lineRule="auto"/>
              <w:jc w:val="both"/>
              <w:rPr>
                <w:rFonts w:ascii="Times New Roman" w:hAnsi="Times New Roman" w:cs="Times New Roman"/>
                <w:sz w:val="24"/>
                <w:szCs w:val="24"/>
                <w:lang w:val="en-US"/>
              </w:rPr>
            </w:pPr>
            <w:r>
              <w:rPr>
                <w:rFonts w:ascii="Georgia" w:hAnsi="Georgia"/>
                <w:color w:val="2E2E2E"/>
                <w:sz w:val="21"/>
                <w:szCs w:val="21"/>
              </w:rPr>
              <w:t>PRW(COD)</w:t>
            </w:r>
          </w:p>
        </w:tc>
        <w:tc>
          <w:tcPr>
            <w:tcW w:w="2026" w:type="dxa"/>
          </w:tcPr>
          <w:p w14:paraId="2C6D9C30" w14:textId="45A001CC" w:rsidR="000966CA" w:rsidRDefault="000966CA" w:rsidP="00D65018">
            <w:pPr>
              <w:spacing w:line="360" w:lineRule="auto"/>
              <w:jc w:val="both"/>
              <w:rPr>
                <w:rFonts w:ascii="Times New Roman" w:hAnsi="Times New Roman" w:cs="Times New Roman"/>
                <w:sz w:val="24"/>
                <w:szCs w:val="24"/>
                <w:lang w:val="en-US"/>
              </w:rPr>
            </w:pPr>
            <w:r>
              <w:rPr>
                <w:rFonts w:ascii="Georgia" w:hAnsi="Georgia"/>
                <w:color w:val="2E2E2E"/>
                <w:sz w:val="21"/>
                <w:szCs w:val="21"/>
              </w:rPr>
              <w:t>Artificial Solar</w:t>
            </w:r>
          </w:p>
        </w:tc>
        <w:tc>
          <w:tcPr>
            <w:tcW w:w="1975" w:type="dxa"/>
          </w:tcPr>
          <w:p w14:paraId="040DB7CE" w14:textId="2E480B68" w:rsidR="000966CA" w:rsidRDefault="000966CA" w:rsidP="00D65018">
            <w:pPr>
              <w:spacing w:line="360" w:lineRule="auto"/>
              <w:jc w:val="both"/>
              <w:rPr>
                <w:rFonts w:ascii="Times New Roman" w:hAnsi="Times New Roman" w:cs="Times New Roman"/>
                <w:sz w:val="24"/>
                <w:szCs w:val="24"/>
                <w:lang w:val="en-US"/>
              </w:rPr>
            </w:pPr>
            <w:r>
              <w:rPr>
                <w:rFonts w:ascii="Georgia" w:hAnsi="Georgia"/>
                <w:color w:val="2E2E2E"/>
                <w:sz w:val="21"/>
                <w:szCs w:val="21"/>
              </w:rPr>
              <w:t>60% at 180</w:t>
            </w:r>
            <w:r>
              <w:rPr>
                <w:rFonts w:ascii="Times New Roman" w:hAnsi="Times New Roman" w:cs="Times New Roman"/>
                <w:color w:val="2E2E2E"/>
                <w:sz w:val="21"/>
                <w:szCs w:val="21"/>
              </w:rPr>
              <w:t> </w:t>
            </w:r>
            <w:r>
              <w:rPr>
                <w:rFonts w:ascii="Georgia" w:hAnsi="Georgia"/>
                <w:color w:val="2E2E2E"/>
                <w:sz w:val="21"/>
                <w:szCs w:val="21"/>
              </w:rPr>
              <w:t>min (1075</w:t>
            </w:r>
            <w:r>
              <w:rPr>
                <w:rFonts w:ascii="Times New Roman" w:hAnsi="Times New Roman" w:cs="Times New Roman"/>
                <w:color w:val="2E2E2E"/>
                <w:sz w:val="21"/>
                <w:szCs w:val="21"/>
              </w:rPr>
              <w:t> </w:t>
            </w:r>
            <w:r>
              <w:rPr>
                <w:rFonts w:ascii="Georgia" w:hAnsi="Georgia"/>
                <w:color w:val="2E2E2E"/>
                <w:sz w:val="21"/>
                <w:szCs w:val="21"/>
              </w:rPr>
              <w:t>ppm)</w:t>
            </w:r>
          </w:p>
        </w:tc>
        <w:tc>
          <w:tcPr>
            <w:tcW w:w="1708" w:type="dxa"/>
          </w:tcPr>
          <w:p w14:paraId="7299FF65" w14:textId="652FDFD2" w:rsidR="000966CA" w:rsidRPr="00BE131B" w:rsidRDefault="00D65018" w:rsidP="00D65018">
            <w:pPr>
              <w:jc w:val="both"/>
              <w:rPr>
                <w:rFonts w:ascii="Georgia" w:hAnsi="Georgia"/>
                <w:color w:val="2E2E2E"/>
                <w:sz w:val="21"/>
                <w:szCs w:val="21"/>
              </w:rPr>
            </w:pPr>
            <w:r>
              <w:rPr>
                <w:rFonts w:ascii="Georgia" w:hAnsi="Georgia"/>
                <w:color w:val="2E2E2E"/>
                <w:sz w:val="21"/>
                <w:szCs w:val="21"/>
              </w:rPr>
              <w:fldChar w:fldCharType="begin" w:fldLock="1"/>
            </w:r>
            <w:r>
              <w:rPr>
                <w:rFonts w:ascii="Georgia" w:hAnsi="Georgia"/>
                <w:color w:val="2E2E2E"/>
                <w:sz w:val="21"/>
                <w:szCs w:val="21"/>
              </w:rPr>
              <w:instrText>ADDIN CSL_CITATION {"citationItems":[{"id":"ITEM-1","itemData":{"author":[{"dropping-particle":"","family":"Aljuboury","given":"DADA","non-dropping-particle":"","parse-names":false,"suffix":""},{"dropping-particle":"","family":"Palaniandy","given":"P","non-dropping-particle":"","parse-names":false,"suffix":""},{"dropping-particle":"","family":"Abdul Aziz","given":"H","non-dropping-particle":"","parse-names":false,"suffix":""},{"dropping-particle":"","family":"Feroz","given":"S","non-dropping-particle":"","parse-names":false,"suffix":""},{"dropping-particle":"","family":"Abu Amr","given":"S S","non-dropping-particle":"","parse-names":false,"suffix":""},{"dropping-particle":"","family":"others","given":"","non-dropping-particle":"","parse-names":false,"suffix":""}],"container-title":"Global NEST Journal","id":"ITEM-1","issue":"1","issued":{"date-parts":[["2017"]]},"page":"167-175","title":"Performance of different photocatalytic oxidation processes in petroleum wastewater treatment: A Comparative Study","type":"article-journal","volume":"19"},"uris":["http://www.mendeley.com/documents/?uuid=5f95f268-638e-41c7-8f1c-cbd5391b9d94"]}],"mendeley":{"formattedCitation":"[10]","plainTextFormattedCitation":"[10]","previouslyFormattedCitation":"[10]"},"properties":{"noteIndex":0},"schema":"https://github.com/citation-style-language/schema/raw/master/csl-citation.json"}</w:instrText>
            </w:r>
            <w:r>
              <w:rPr>
                <w:rFonts w:ascii="Georgia" w:hAnsi="Georgia"/>
                <w:color w:val="2E2E2E"/>
                <w:sz w:val="21"/>
                <w:szCs w:val="21"/>
              </w:rPr>
              <w:fldChar w:fldCharType="separate"/>
            </w:r>
            <w:r w:rsidRPr="00D65018">
              <w:rPr>
                <w:rFonts w:ascii="Georgia" w:hAnsi="Georgia"/>
                <w:noProof/>
                <w:color w:val="2E2E2E"/>
                <w:sz w:val="21"/>
                <w:szCs w:val="21"/>
              </w:rPr>
              <w:t>[</w:t>
            </w:r>
            <w:r w:rsidR="00960ED5">
              <w:rPr>
                <w:rFonts w:ascii="Georgia" w:hAnsi="Georgia"/>
                <w:noProof/>
                <w:color w:val="2E2E2E"/>
                <w:sz w:val="21"/>
                <w:szCs w:val="21"/>
              </w:rPr>
              <w:t>20</w:t>
            </w:r>
            <w:r w:rsidRPr="00D65018">
              <w:rPr>
                <w:rFonts w:ascii="Georgia" w:hAnsi="Georgia"/>
                <w:noProof/>
                <w:color w:val="2E2E2E"/>
                <w:sz w:val="21"/>
                <w:szCs w:val="21"/>
              </w:rPr>
              <w:t>0]</w:t>
            </w:r>
            <w:r>
              <w:rPr>
                <w:rFonts w:ascii="Georgia" w:hAnsi="Georgia"/>
                <w:color w:val="2E2E2E"/>
                <w:sz w:val="21"/>
                <w:szCs w:val="21"/>
              </w:rPr>
              <w:fldChar w:fldCharType="end"/>
            </w:r>
          </w:p>
        </w:tc>
      </w:tr>
    </w:tbl>
    <w:p w14:paraId="64CF890D" w14:textId="1D482256" w:rsidR="00B421A3" w:rsidRDefault="00B421A3" w:rsidP="00D65018">
      <w:pPr>
        <w:spacing w:line="360" w:lineRule="auto"/>
        <w:jc w:val="both"/>
        <w:rPr>
          <w:rFonts w:ascii="Times New Roman" w:hAnsi="Times New Roman" w:cs="Times New Roman"/>
          <w:sz w:val="24"/>
          <w:szCs w:val="24"/>
          <w:lang w:val="en-US"/>
        </w:rPr>
      </w:pPr>
    </w:p>
    <w:p w14:paraId="735A07DE" w14:textId="7E3D0DE2" w:rsidR="00BB4B89" w:rsidRDefault="00BB4B89" w:rsidP="00D65018">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References:</w:t>
      </w:r>
    </w:p>
    <w:p w14:paraId="33FD47A5" w14:textId="3EBAE92C" w:rsidR="00D65018" w:rsidRPr="00D65018" w:rsidRDefault="00D65018" w:rsidP="00D65018">
      <w:pPr>
        <w:widowControl w:val="0"/>
        <w:autoSpaceDE w:val="0"/>
        <w:autoSpaceDN w:val="0"/>
        <w:adjustRightInd w:val="0"/>
        <w:spacing w:line="360" w:lineRule="auto"/>
        <w:ind w:left="640" w:hanging="640"/>
        <w:jc w:val="both"/>
        <w:rPr>
          <w:rFonts w:ascii="Times New Roman" w:hAnsi="Times New Roman" w:cs="Times New Roman"/>
          <w:noProof/>
          <w:sz w:val="24"/>
          <w:szCs w:val="24"/>
        </w:rPr>
      </w:pPr>
      <w:r>
        <w:rPr>
          <w:rFonts w:ascii="Times New Roman" w:hAnsi="Times New Roman" w:cs="Times New Roman"/>
          <w:sz w:val="24"/>
          <w:szCs w:val="24"/>
          <w:lang w:val="en-US"/>
        </w:rPr>
        <w:fldChar w:fldCharType="begin" w:fldLock="1"/>
      </w:r>
      <w:r>
        <w:rPr>
          <w:rFonts w:ascii="Times New Roman" w:hAnsi="Times New Roman" w:cs="Times New Roman"/>
          <w:sz w:val="24"/>
          <w:szCs w:val="24"/>
          <w:lang w:val="en-US"/>
        </w:rPr>
        <w:instrText xml:space="preserve">ADDIN Mendeley Bibliography CSL_BIBLIOGRAPHY </w:instrText>
      </w:r>
      <w:r>
        <w:rPr>
          <w:rFonts w:ascii="Times New Roman" w:hAnsi="Times New Roman" w:cs="Times New Roman"/>
          <w:sz w:val="24"/>
          <w:szCs w:val="24"/>
          <w:lang w:val="en-US"/>
        </w:rPr>
        <w:fldChar w:fldCharType="separate"/>
      </w:r>
      <w:r w:rsidRPr="00D65018">
        <w:rPr>
          <w:rFonts w:ascii="Times New Roman" w:hAnsi="Times New Roman" w:cs="Times New Roman"/>
          <w:noProof/>
          <w:sz w:val="24"/>
          <w:szCs w:val="24"/>
        </w:rPr>
        <w:t>1</w:t>
      </w:r>
      <w:r w:rsidR="00960ED5">
        <w:rPr>
          <w:rFonts w:ascii="Times New Roman" w:hAnsi="Times New Roman" w:cs="Times New Roman"/>
          <w:noProof/>
          <w:sz w:val="24"/>
          <w:szCs w:val="24"/>
        </w:rPr>
        <w:t>91</w:t>
      </w:r>
      <w:r w:rsidRPr="00D65018">
        <w:rPr>
          <w:rFonts w:ascii="Times New Roman" w:hAnsi="Times New Roman" w:cs="Times New Roman"/>
          <w:noProof/>
          <w:sz w:val="24"/>
          <w:szCs w:val="24"/>
        </w:rPr>
        <w:t xml:space="preserve">. </w:t>
      </w:r>
      <w:r w:rsidRPr="00D65018">
        <w:rPr>
          <w:rFonts w:ascii="Times New Roman" w:hAnsi="Times New Roman" w:cs="Times New Roman"/>
          <w:noProof/>
          <w:sz w:val="24"/>
          <w:szCs w:val="24"/>
        </w:rPr>
        <w:tab/>
        <w:t xml:space="preserve">Borah, D.; Yadav, R.N.S. Bioremediation of Petroleum Based Contaminants with Biosurfactant Produced by a Newly Isolated Petroleum Oil Degrading Bacterial Strain. </w:t>
      </w:r>
      <w:r w:rsidRPr="00D65018">
        <w:rPr>
          <w:rFonts w:ascii="Times New Roman" w:hAnsi="Times New Roman" w:cs="Times New Roman"/>
          <w:i/>
          <w:iCs/>
          <w:noProof/>
          <w:sz w:val="24"/>
          <w:szCs w:val="24"/>
        </w:rPr>
        <w:t>Egypt. J. Pet.</w:t>
      </w:r>
      <w:r w:rsidRPr="00D65018">
        <w:rPr>
          <w:rFonts w:ascii="Times New Roman" w:hAnsi="Times New Roman" w:cs="Times New Roman"/>
          <w:noProof/>
          <w:sz w:val="24"/>
          <w:szCs w:val="24"/>
        </w:rPr>
        <w:t xml:space="preserve"> </w:t>
      </w:r>
      <w:r w:rsidRPr="00D65018">
        <w:rPr>
          <w:rFonts w:ascii="Times New Roman" w:hAnsi="Times New Roman" w:cs="Times New Roman"/>
          <w:b/>
          <w:bCs/>
          <w:noProof/>
          <w:sz w:val="24"/>
          <w:szCs w:val="24"/>
        </w:rPr>
        <w:t>2017</w:t>
      </w:r>
      <w:r w:rsidRPr="00D65018">
        <w:rPr>
          <w:rFonts w:ascii="Times New Roman" w:hAnsi="Times New Roman" w:cs="Times New Roman"/>
          <w:noProof/>
          <w:sz w:val="24"/>
          <w:szCs w:val="24"/>
        </w:rPr>
        <w:t xml:space="preserve">, </w:t>
      </w:r>
      <w:r w:rsidRPr="00D65018">
        <w:rPr>
          <w:rFonts w:ascii="Times New Roman" w:hAnsi="Times New Roman" w:cs="Times New Roman"/>
          <w:i/>
          <w:iCs/>
          <w:noProof/>
          <w:sz w:val="24"/>
          <w:szCs w:val="24"/>
        </w:rPr>
        <w:t>26</w:t>
      </w:r>
      <w:r w:rsidRPr="00D65018">
        <w:rPr>
          <w:rFonts w:ascii="Times New Roman" w:hAnsi="Times New Roman" w:cs="Times New Roman"/>
          <w:noProof/>
          <w:sz w:val="24"/>
          <w:szCs w:val="24"/>
        </w:rPr>
        <w:t>, 181–188.</w:t>
      </w:r>
    </w:p>
    <w:p w14:paraId="16B257E4" w14:textId="0557D9ED" w:rsidR="00D65018" w:rsidRPr="00D65018" w:rsidRDefault="00960ED5" w:rsidP="00D65018">
      <w:pPr>
        <w:widowControl w:val="0"/>
        <w:autoSpaceDE w:val="0"/>
        <w:autoSpaceDN w:val="0"/>
        <w:adjustRightInd w:val="0"/>
        <w:spacing w:line="360" w:lineRule="auto"/>
        <w:ind w:left="640" w:hanging="640"/>
        <w:jc w:val="both"/>
        <w:rPr>
          <w:rFonts w:ascii="Times New Roman" w:hAnsi="Times New Roman" w:cs="Times New Roman"/>
          <w:noProof/>
          <w:sz w:val="24"/>
          <w:szCs w:val="24"/>
        </w:rPr>
      </w:pPr>
      <w:r>
        <w:rPr>
          <w:rFonts w:ascii="Times New Roman" w:hAnsi="Times New Roman" w:cs="Times New Roman"/>
          <w:noProof/>
          <w:sz w:val="24"/>
          <w:szCs w:val="24"/>
        </w:rPr>
        <w:lastRenderedPageBreak/>
        <w:t>19</w:t>
      </w:r>
      <w:r w:rsidR="00D65018" w:rsidRPr="00D65018">
        <w:rPr>
          <w:rFonts w:ascii="Times New Roman" w:hAnsi="Times New Roman" w:cs="Times New Roman"/>
          <w:noProof/>
          <w:sz w:val="24"/>
          <w:szCs w:val="24"/>
        </w:rPr>
        <w:t xml:space="preserve">2. </w:t>
      </w:r>
      <w:r w:rsidR="00D65018" w:rsidRPr="00D65018">
        <w:rPr>
          <w:rFonts w:ascii="Times New Roman" w:hAnsi="Times New Roman" w:cs="Times New Roman"/>
          <w:noProof/>
          <w:sz w:val="24"/>
          <w:szCs w:val="24"/>
        </w:rPr>
        <w:tab/>
        <w:t xml:space="preserve">Costa, A.S.; Romão, L.P.C.; Araújo, B.R.; Lucas, S.C.O.; Maciel, S.T.A.; Wisniewski Jr, A.; Alexandre, M. da R. Environmental Strategies to Remove Volatile Aromatic Fractions (BTEX) from Petroleum Industry Wastewater Using Biomass. </w:t>
      </w:r>
      <w:r w:rsidR="00D65018" w:rsidRPr="00D65018">
        <w:rPr>
          <w:rFonts w:ascii="Times New Roman" w:hAnsi="Times New Roman" w:cs="Times New Roman"/>
          <w:i/>
          <w:iCs/>
          <w:noProof/>
          <w:sz w:val="24"/>
          <w:szCs w:val="24"/>
        </w:rPr>
        <w:t>Bioresour. Technol.</w:t>
      </w:r>
      <w:r w:rsidR="00D65018" w:rsidRPr="00D65018">
        <w:rPr>
          <w:rFonts w:ascii="Times New Roman" w:hAnsi="Times New Roman" w:cs="Times New Roman"/>
          <w:noProof/>
          <w:sz w:val="24"/>
          <w:szCs w:val="24"/>
        </w:rPr>
        <w:t xml:space="preserve"> </w:t>
      </w:r>
      <w:r w:rsidR="00D65018" w:rsidRPr="00D65018">
        <w:rPr>
          <w:rFonts w:ascii="Times New Roman" w:hAnsi="Times New Roman" w:cs="Times New Roman"/>
          <w:b/>
          <w:bCs/>
          <w:noProof/>
          <w:sz w:val="24"/>
          <w:szCs w:val="24"/>
        </w:rPr>
        <w:t>2012</w:t>
      </w:r>
      <w:r w:rsidR="00D65018" w:rsidRPr="00D65018">
        <w:rPr>
          <w:rFonts w:ascii="Times New Roman" w:hAnsi="Times New Roman" w:cs="Times New Roman"/>
          <w:noProof/>
          <w:sz w:val="24"/>
          <w:szCs w:val="24"/>
        </w:rPr>
        <w:t xml:space="preserve">, </w:t>
      </w:r>
      <w:r w:rsidR="00D65018" w:rsidRPr="00D65018">
        <w:rPr>
          <w:rFonts w:ascii="Times New Roman" w:hAnsi="Times New Roman" w:cs="Times New Roman"/>
          <w:i/>
          <w:iCs/>
          <w:noProof/>
          <w:sz w:val="24"/>
          <w:szCs w:val="24"/>
        </w:rPr>
        <w:t>105</w:t>
      </w:r>
      <w:r w:rsidR="00D65018" w:rsidRPr="00D65018">
        <w:rPr>
          <w:rFonts w:ascii="Times New Roman" w:hAnsi="Times New Roman" w:cs="Times New Roman"/>
          <w:noProof/>
          <w:sz w:val="24"/>
          <w:szCs w:val="24"/>
        </w:rPr>
        <w:t>, 31–39.</w:t>
      </w:r>
    </w:p>
    <w:p w14:paraId="52E27C3A" w14:textId="1AA5968E" w:rsidR="00D65018" w:rsidRPr="00D65018" w:rsidRDefault="00960ED5" w:rsidP="00D65018">
      <w:pPr>
        <w:widowControl w:val="0"/>
        <w:autoSpaceDE w:val="0"/>
        <w:autoSpaceDN w:val="0"/>
        <w:adjustRightInd w:val="0"/>
        <w:spacing w:line="360" w:lineRule="auto"/>
        <w:ind w:left="640" w:hanging="640"/>
        <w:jc w:val="both"/>
        <w:rPr>
          <w:rFonts w:ascii="Times New Roman" w:hAnsi="Times New Roman" w:cs="Times New Roman"/>
          <w:noProof/>
          <w:sz w:val="24"/>
          <w:szCs w:val="24"/>
        </w:rPr>
      </w:pPr>
      <w:r>
        <w:rPr>
          <w:rFonts w:ascii="Times New Roman" w:hAnsi="Times New Roman" w:cs="Times New Roman"/>
          <w:noProof/>
          <w:sz w:val="24"/>
          <w:szCs w:val="24"/>
        </w:rPr>
        <w:t>19</w:t>
      </w:r>
      <w:r w:rsidR="00D65018" w:rsidRPr="00D65018">
        <w:rPr>
          <w:rFonts w:ascii="Times New Roman" w:hAnsi="Times New Roman" w:cs="Times New Roman"/>
          <w:noProof/>
          <w:sz w:val="24"/>
          <w:szCs w:val="24"/>
        </w:rPr>
        <w:t xml:space="preserve">3. </w:t>
      </w:r>
      <w:r w:rsidR="00D65018" w:rsidRPr="00D65018">
        <w:rPr>
          <w:rFonts w:ascii="Times New Roman" w:hAnsi="Times New Roman" w:cs="Times New Roman"/>
          <w:noProof/>
          <w:sz w:val="24"/>
          <w:szCs w:val="24"/>
        </w:rPr>
        <w:tab/>
        <w:t xml:space="preserve">Varjani, S.J.; Upasani, V.N. Carbon Spectrum Utilization by an Indigenous Strain of Pseudomonas Aeruginosa NCIM 5514: Production, Characterization and Surface Active Properties of Biosurfactant. </w:t>
      </w:r>
      <w:r w:rsidR="00D65018" w:rsidRPr="00D65018">
        <w:rPr>
          <w:rFonts w:ascii="Times New Roman" w:hAnsi="Times New Roman" w:cs="Times New Roman"/>
          <w:i/>
          <w:iCs/>
          <w:noProof/>
          <w:sz w:val="24"/>
          <w:szCs w:val="24"/>
        </w:rPr>
        <w:t>Bioresour. Technol.</w:t>
      </w:r>
      <w:r w:rsidR="00D65018" w:rsidRPr="00D65018">
        <w:rPr>
          <w:rFonts w:ascii="Times New Roman" w:hAnsi="Times New Roman" w:cs="Times New Roman"/>
          <w:noProof/>
          <w:sz w:val="24"/>
          <w:szCs w:val="24"/>
        </w:rPr>
        <w:t xml:space="preserve"> </w:t>
      </w:r>
      <w:r w:rsidR="00D65018" w:rsidRPr="00D65018">
        <w:rPr>
          <w:rFonts w:ascii="Times New Roman" w:hAnsi="Times New Roman" w:cs="Times New Roman"/>
          <w:b/>
          <w:bCs/>
          <w:noProof/>
          <w:sz w:val="24"/>
          <w:szCs w:val="24"/>
        </w:rPr>
        <w:t>2016</w:t>
      </w:r>
      <w:r w:rsidR="00D65018" w:rsidRPr="00D65018">
        <w:rPr>
          <w:rFonts w:ascii="Times New Roman" w:hAnsi="Times New Roman" w:cs="Times New Roman"/>
          <w:noProof/>
          <w:sz w:val="24"/>
          <w:szCs w:val="24"/>
        </w:rPr>
        <w:t xml:space="preserve">, </w:t>
      </w:r>
      <w:r w:rsidR="00D65018" w:rsidRPr="00D65018">
        <w:rPr>
          <w:rFonts w:ascii="Times New Roman" w:hAnsi="Times New Roman" w:cs="Times New Roman"/>
          <w:i/>
          <w:iCs/>
          <w:noProof/>
          <w:sz w:val="24"/>
          <w:szCs w:val="24"/>
        </w:rPr>
        <w:t>221</w:t>
      </w:r>
      <w:r w:rsidR="00D65018" w:rsidRPr="00D65018">
        <w:rPr>
          <w:rFonts w:ascii="Times New Roman" w:hAnsi="Times New Roman" w:cs="Times New Roman"/>
          <w:noProof/>
          <w:sz w:val="24"/>
          <w:szCs w:val="24"/>
        </w:rPr>
        <w:t>, 510–516.</w:t>
      </w:r>
    </w:p>
    <w:p w14:paraId="55C491F7" w14:textId="1B134254" w:rsidR="00D65018" w:rsidRPr="00D65018" w:rsidRDefault="00960ED5" w:rsidP="00D65018">
      <w:pPr>
        <w:widowControl w:val="0"/>
        <w:autoSpaceDE w:val="0"/>
        <w:autoSpaceDN w:val="0"/>
        <w:adjustRightInd w:val="0"/>
        <w:spacing w:line="360" w:lineRule="auto"/>
        <w:ind w:left="640" w:hanging="640"/>
        <w:jc w:val="both"/>
        <w:rPr>
          <w:rFonts w:ascii="Times New Roman" w:hAnsi="Times New Roman" w:cs="Times New Roman"/>
          <w:noProof/>
          <w:sz w:val="24"/>
          <w:szCs w:val="24"/>
        </w:rPr>
      </w:pPr>
      <w:r>
        <w:rPr>
          <w:rFonts w:ascii="Times New Roman" w:hAnsi="Times New Roman" w:cs="Times New Roman"/>
          <w:noProof/>
          <w:sz w:val="24"/>
          <w:szCs w:val="24"/>
        </w:rPr>
        <w:t>19</w:t>
      </w:r>
      <w:r w:rsidR="00D65018" w:rsidRPr="00D65018">
        <w:rPr>
          <w:rFonts w:ascii="Times New Roman" w:hAnsi="Times New Roman" w:cs="Times New Roman"/>
          <w:noProof/>
          <w:sz w:val="24"/>
          <w:szCs w:val="24"/>
        </w:rPr>
        <w:t xml:space="preserve">4. </w:t>
      </w:r>
      <w:r w:rsidR="00D65018" w:rsidRPr="00D65018">
        <w:rPr>
          <w:rFonts w:ascii="Times New Roman" w:hAnsi="Times New Roman" w:cs="Times New Roman"/>
          <w:noProof/>
          <w:sz w:val="24"/>
          <w:szCs w:val="24"/>
        </w:rPr>
        <w:tab/>
        <w:t xml:space="preserve">Sajna, K.V.; Sukumaran, R.K.; Gottumukkala, L.D.; Pandey, A. Crude Oil Biodegradation Aided by Biosurfactants from Pseudozyma Sp. NII 08165 or Its Culture Broth. </w:t>
      </w:r>
      <w:r w:rsidR="00D65018" w:rsidRPr="00D65018">
        <w:rPr>
          <w:rFonts w:ascii="Times New Roman" w:hAnsi="Times New Roman" w:cs="Times New Roman"/>
          <w:i/>
          <w:iCs/>
          <w:noProof/>
          <w:sz w:val="24"/>
          <w:szCs w:val="24"/>
        </w:rPr>
        <w:t>Bioresour. Technol.</w:t>
      </w:r>
      <w:r w:rsidR="00D65018" w:rsidRPr="00D65018">
        <w:rPr>
          <w:rFonts w:ascii="Times New Roman" w:hAnsi="Times New Roman" w:cs="Times New Roman"/>
          <w:noProof/>
          <w:sz w:val="24"/>
          <w:szCs w:val="24"/>
        </w:rPr>
        <w:t xml:space="preserve"> </w:t>
      </w:r>
      <w:r w:rsidR="00D65018" w:rsidRPr="00D65018">
        <w:rPr>
          <w:rFonts w:ascii="Times New Roman" w:hAnsi="Times New Roman" w:cs="Times New Roman"/>
          <w:b/>
          <w:bCs/>
          <w:noProof/>
          <w:sz w:val="24"/>
          <w:szCs w:val="24"/>
        </w:rPr>
        <w:t>2015</w:t>
      </w:r>
      <w:r w:rsidR="00D65018" w:rsidRPr="00D65018">
        <w:rPr>
          <w:rFonts w:ascii="Times New Roman" w:hAnsi="Times New Roman" w:cs="Times New Roman"/>
          <w:noProof/>
          <w:sz w:val="24"/>
          <w:szCs w:val="24"/>
        </w:rPr>
        <w:t xml:space="preserve">, </w:t>
      </w:r>
      <w:r w:rsidR="00D65018" w:rsidRPr="00D65018">
        <w:rPr>
          <w:rFonts w:ascii="Times New Roman" w:hAnsi="Times New Roman" w:cs="Times New Roman"/>
          <w:i/>
          <w:iCs/>
          <w:noProof/>
          <w:sz w:val="24"/>
          <w:szCs w:val="24"/>
        </w:rPr>
        <w:t>191</w:t>
      </w:r>
      <w:r w:rsidR="00D65018" w:rsidRPr="00D65018">
        <w:rPr>
          <w:rFonts w:ascii="Times New Roman" w:hAnsi="Times New Roman" w:cs="Times New Roman"/>
          <w:noProof/>
          <w:sz w:val="24"/>
          <w:szCs w:val="24"/>
        </w:rPr>
        <w:t>, 133–139.</w:t>
      </w:r>
    </w:p>
    <w:p w14:paraId="712082D9" w14:textId="6BE33B03" w:rsidR="00D65018" w:rsidRPr="00D65018" w:rsidRDefault="00960ED5" w:rsidP="00D65018">
      <w:pPr>
        <w:widowControl w:val="0"/>
        <w:autoSpaceDE w:val="0"/>
        <w:autoSpaceDN w:val="0"/>
        <w:adjustRightInd w:val="0"/>
        <w:spacing w:line="360" w:lineRule="auto"/>
        <w:ind w:left="640" w:hanging="640"/>
        <w:jc w:val="both"/>
        <w:rPr>
          <w:rFonts w:ascii="Times New Roman" w:hAnsi="Times New Roman" w:cs="Times New Roman"/>
          <w:noProof/>
          <w:sz w:val="24"/>
          <w:szCs w:val="24"/>
        </w:rPr>
      </w:pPr>
      <w:r>
        <w:rPr>
          <w:rFonts w:ascii="Times New Roman" w:hAnsi="Times New Roman" w:cs="Times New Roman"/>
          <w:noProof/>
          <w:sz w:val="24"/>
          <w:szCs w:val="24"/>
        </w:rPr>
        <w:t>19</w:t>
      </w:r>
      <w:r w:rsidR="00D65018" w:rsidRPr="00D65018">
        <w:rPr>
          <w:rFonts w:ascii="Times New Roman" w:hAnsi="Times New Roman" w:cs="Times New Roman"/>
          <w:noProof/>
          <w:sz w:val="24"/>
          <w:szCs w:val="24"/>
        </w:rPr>
        <w:t xml:space="preserve">5. </w:t>
      </w:r>
      <w:r w:rsidR="00D65018" w:rsidRPr="00D65018">
        <w:rPr>
          <w:rFonts w:ascii="Times New Roman" w:hAnsi="Times New Roman" w:cs="Times New Roman"/>
          <w:noProof/>
          <w:sz w:val="24"/>
          <w:szCs w:val="24"/>
        </w:rPr>
        <w:tab/>
        <w:t xml:space="preserve">Khan, W.Z.; Najeeb, I.; Tuiyebayeva, M.; Makhtayeva, Z. Refinery Wastewater Degradation with Titanium Dioxide, Zinc Oxide, and Hydrogen Peroxide in a Photocatalytic Reactor. </w:t>
      </w:r>
      <w:r w:rsidR="00D65018" w:rsidRPr="00D65018">
        <w:rPr>
          <w:rFonts w:ascii="Times New Roman" w:hAnsi="Times New Roman" w:cs="Times New Roman"/>
          <w:i/>
          <w:iCs/>
          <w:noProof/>
          <w:sz w:val="24"/>
          <w:szCs w:val="24"/>
        </w:rPr>
        <w:t>Process Saf. Environ. Prot.</w:t>
      </w:r>
      <w:r w:rsidR="00D65018" w:rsidRPr="00D65018">
        <w:rPr>
          <w:rFonts w:ascii="Times New Roman" w:hAnsi="Times New Roman" w:cs="Times New Roman"/>
          <w:noProof/>
          <w:sz w:val="24"/>
          <w:szCs w:val="24"/>
        </w:rPr>
        <w:t xml:space="preserve"> </w:t>
      </w:r>
      <w:r w:rsidR="00D65018" w:rsidRPr="00D65018">
        <w:rPr>
          <w:rFonts w:ascii="Times New Roman" w:hAnsi="Times New Roman" w:cs="Times New Roman"/>
          <w:b/>
          <w:bCs/>
          <w:noProof/>
          <w:sz w:val="24"/>
          <w:szCs w:val="24"/>
        </w:rPr>
        <w:t>2015</w:t>
      </w:r>
      <w:r w:rsidR="00D65018" w:rsidRPr="00D65018">
        <w:rPr>
          <w:rFonts w:ascii="Times New Roman" w:hAnsi="Times New Roman" w:cs="Times New Roman"/>
          <w:noProof/>
          <w:sz w:val="24"/>
          <w:szCs w:val="24"/>
        </w:rPr>
        <w:t xml:space="preserve">, </w:t>
      </w:r>
      <w:r w:rsidR="00D65018" w:rsidRPr="00D65018">
        <w:rPr>
          <w:rFonts w:ascii="Times New Roman" w:hAnsi="Times New Roman" w:cs="Times New Roman"/>
          <w:i/>
          <w:iCs/>
          <w:noProof/>
          <w:sz w:val="24"/>
          <w:szCs w:val="24"/>
        </w:rPr>
        <w:t>94</w:t>
      </w:r>
      <w:r w:rsidR="00D65018" w:rsidRPr="00D65018">
        <w:rPr>
          <w:rFonts w:ascii="Times New Roman" w:hAnsi="Times New Roman" w:cs="Times New Roman"/>
          <w:noProof/>
          <w:sz w:val="24"/>
          <w:szCs w:val="24"/>
        </w:rPr>
        <w:t>, 479–486.</w:t>
      </w:r>
    </w:p>
    <w:p w14:paraId="0748C209" w14:textId="6955FC64" w:rsidR="00D65018" w:rsidRPr="00D65018" w:rsidRDefault="00960ED5" w:rsidP="00D65018">
      <w:pPr>
        <w:widowControl w:val="0"/>
        <w:autoSpaceDE w:val="0"/>
        <w:autoSpaceDN w:val="0"/>
        <w:adjustRightInd w:val="0"/>
        <w:spacing w:line="360" w:lineRule="auto"/>
        <w:ind w:left="640" w:hanging="640"/>
        <w:jc w:val="both"/>
        <w:rPr>
          <w:rFonts w:ascii="Times New Roman" w:hAnsi="Times New Roman" w:cs="Times New Roman"/>
          <w:noProof/>
          <w:sz w:val="24"/>
          <w:szCs w:val="24"/>
        </w:rPr>
      </w:pPr>
      <w:r>
        <w:rPr>
          <w:rFonts w:ascii="Times New Roman" w:hAnsi="Times New Roman" w:cs="Times New Roman"/>
          <w:noProof/>
          <w:sz w:val="24"/>
          <w:szCs w:val="24"/>
        </w:rPr>
        <w:t>19</w:t>
      </w:r>
      <w:r w:rsidR="00D65018" w:rsidRPr="00D65018">
        <w:rPr>
          <w:rFonts w:ascii="Times New Roman" w:hAnsi="Times New Roman" w:cs="Times New Roman"/>
          <w:noProof/>
          <w:sz w:val="24"/>
          <w:szCs w:val="24"/>
        </w:rPr>
        <w:t xml:space="preserve">6. </w:t>
      </w:r>
      <w:r w:rsidR="00D65018" w:rsidRPr="00D65018">
        <w:rPr>
          <w:rFonts w:ascii="Times New Roman" w:hAnsi="Times New Roman" w:cs="Times New Roman"/>
          <w:noProof/>
          <w:sz w:val="24"/>
          <w:szCs w:val="24"/>
        </w:rPr>
        <w:tab/>
        <w:t xml:space="preserve">Shahrezaei, F.; Akhbari, A.; Rostami, A.; others Photodegradation and Removal of Phenol and Phenolic Derivatives from Petroleum Refinery Wastewater Using Nanoparticles of TiO2. </w:t>
      </w:r>
      <w:r w:rsidR="00D65018" w:rsidRPr="00D65018">
        <w:rPr>
          <w:rFonts w:ascii="Times New Roman" w:hAnsi="Times New Roman" w:cs="Times New Roman"/>
          <w:i/>
          <w:iCs/>
          <w:noProof/>
          <w:sz w:val="24"/>
          <w:szCs w:val="24"/>
        </w:rPr>
        <w:t>Int. J. Energy Environ.</w:t>
      </w:r>
      <w:r w:rsidR="00D65018" w:rsidRPr="00D65018">
        <w:rPr>
          <w:rFonts w:ascii="Times New Roman" w:hAnsi="Times New Roman" w:cs="Times New Roman"/>
          <w:noProof/>
          <w:sz w:val="24"/>
          <w:szCs w:val="24"/>
        </w:rPr>
        <w:t xml:space="preserve"> </w:t>
      </w:r>
      <w:r w:rsidR="00D65018" w:rsidRPr="00D65018">
        <w:rPr>
          <w:rFonts w:ascii="Times New Roman" w:hAnsi="Times New Roman" w:cs="Times New Roman"/>
          <w:b/>
          <w:bCs/>
          <w:noProof/>
          <w:sz w:val="24"/>
          <w:szCs w:val="24"/>
        </w:rPr>
        <w:t>2012</w:t>
      </w:r>
      <w:r w:rsidR="00D65018" w:rsidRPr="00D65018">
        <w:rPr>
          <w:rFonts w:ascii="Times New Roman" w:hAnsi="Times New Roman" w:cs="Times New Roman"/>
          <w:noProof/>
          <w:sz w:val="24"/>
          <w:szCs w:val="24"/>
        </w:rPr>
        <w:t xml:space="preserve">, </w:t>
      </w:r>
      <w:r w:rsidR="00D65018" w:rsidRPr="00D65018">
        <w:rPr>
          <w:rFonts w:ascii="Times New Roman" w:hAnsi="Times New Roman" w:cs="Times New Roman"/>
          <w:i/>
          <w:iCs/>
          <w:noProof/>
          <w:sz w:val="24"/>
          <w:szCs w:val="24"/>
        </w:rPr>
        <w:t>3</w:t>
      </w:r>
      <w:r w:rsidR="00D65018" w:rsidRPr="00D65018">
        <w:rPr>
          <w:rFonts w:ascii="Times New Roman" w:hAnsi="Times New Roman" w:cs="Times New Roman"/>
          <w:noProof/>
          <w:sz w:val="24"/>
          <w:szCs w:val="24"/>
        </w:rPr>
        <w:t>, 267–274.</w:t>
      </w:r>
    </w:p>
    <w:p w14:paraId="0D4888D9" w14:textId="4B23AA8A" w:rsidR="00D65018" w:rsidRPr="00D65018" w:rsidRDefault="00960ED5" w:rsidP="00D65018">
      <w:pPr>
        <w:widowControl w:val="0"/>
        <w:autoSpaceDE w:val="0"/>
        <w:autoSpaceDN w:val="0"/>
        <w:adjustRightInd w:val="0"/>
        <w:spacing w:line="360" w:lineRule="auto"/>
        <w:ind w:left="640" w:hanging="640"/>
        <w:jc w:val="both"/>
        <w:rPr>
          <w:rFonts w:ascii="Times New Roman" w:hAnsi="Times New Roman" w:cs="Times New Roman"/>
          <w:noProof/>
          <w:sz w:val="24"/>
          <w:szCs w:val="24"/>
        </w:rPr>
      </w:pPr>
      <w:r>
        <w:rPr>
          <w:rFonts w:ascii="Times New Roman" w:hAnsi="Times New Roman" w:cs="Times New Roman"/>
          <w:noProof/>
          <w:sz w:val="24"/>
          <w:szCs w:val="24"/>
        </w:rPr>
        <w:t>19</w:t>
      </w:r>
      <w:r w:rsidR="00D65018" w:rsidRPr="00D65018">
        <w:rPr>
          <w:rFonts w:ascii="Times New Roman" w:hAnsi="Times New Roman" w:cs="Times New Roman"/>
          <w:noProof/>
          <w:sz w:val="24"/>
          <w:szCs w:val="24"/>
        </w:rPr>
        <w:t xml:space="preserve">7. </w:t>
      </w:r>
      <w:r w:rsidR="00D65018" w:rsidRPr="00D65018">
        <w:rPr>
          <w:rFonts w:ascii="Times New Roman" w:hAnsi="Times New Roman" w:cs="Times New Roman"/>
          <w:noProof/>
          <w:sz w:val="24"/>
          <w:szCs w:val="24"/>
        </w:rPr>
        <w:tab/>
        <w:t xml:space="preserve">Pakravan, P.; Akhbari, A.; Moradi, H.; Azandaryani, A.H.; Mansouri, A.M.; Safari, M. Process Modeling and Evaluation of Petroleum Refinery Wastewater Treatment through Response Surface Methodology and Artificial Neural Network in a Photocatalytic Reactor Using Poly Ethyleneimine (PEI)/Titania (TiO2) Multilayer Film on Quartz Tube. </w:t>
      </w:r>
      <w:r w:rsidR="00D65018" w:rsidRPr="00D65018">
        <w:rPr>
          <w:rFonts w:ascii="Times New Roman" w:hAnsi="Times New Roman" w:cs="Times New Roman"/>
          <w:i/>
          <w:iCs/>
          <w:noProof/>
          <w:sz w:val="24"/>
          <w:szCs w:val="24"/>
        </w:rPr>
        <w:t>Appl. Petrochemical Res.</w:t>
      </w:r>
      <w:r w:rsidR="00D65018" w:rsidRPr="00D65018">
        <w:rPr>
          <w:rFonts w:ascii="Times New Roman" w:hAnsi="Times New Roman" w:cs="Times New Roman"/>
          <w:noProof/>
          <w:sz w:val="24"/>
          <w:szCs w:val="24"/>
        </w:rPr>
        <w:t xml:space="preserve"> </w:t>
      </w:r>
      <w:r w:rsidR="00D65018" w:rsidRPr="00D65018">
        <w:rPr>
          <w:rFonts w:ascii="Times New Roman" w:hAnsi="Times New Roman" w:cs="Times New Roman"/>
          <w:b/>
          <w:bCs/>
          <w:noProof/>
          <w:sz w:val="24"/>
          <w:szCs w:val="24"/>
        </w:rPr>
        <w:t>2015</w:t>
      </w:r>
      <w:r w:rsidR="00D65018" w:rsidRPr="00D65018">
        <w:rPr>
          <w:rFonts w:ascii="Times New Roman" w:hAnsi="Times New Roman" w:cs="Times New Roman"/>
          <w:noProof/>
          <w:sz w:val="24"/>
          <w:szCs w:val="24"/>
        </w:rPr>
        <w:t xml:space="preserve">, </w:t>
      </w:r>
      <w:r w:rsidR="00D65018" w:rsidRPr="00D65018">
        <w:rPr>
          <w:rFonts w:ascii="Times New Roman" w:hAnsi="Times New Roman" w:cs="Times New Roman"/>
          <w:i/>
          <w:iCs/>
          <w:noProof/>
          <w:sz w:val="24"/>
          <w:szCs w:val="24"/>
        </w:rPr>
        <w:t>5</w:t>
      </w:r>
      <w:r w:rsidR="00D65018" w:rsidRPr="00D65018">
        <w:rPr>
          <w:rFonts w:ascii="Times New Roman" w:hAnsi="Times New Roman" w:cs="Times New Roman"/>
          <w:noProof/>
          <w:sz w:val="24"/>
          <w:szCs w:val="24"/>
        </w:rPr>
        <w:t>, 47–59.</w:t>
      </w:r>
    </w:p>
    <w:p w14:paraId="32B69B70" w14:textId="1C4B2BD8" w:rsidR="00D65018" w:rsidRPr="00D65018" w:rsidRDefault="00960ED5" w:rsidP="00D65018">
      <w:pPr>
        <w:widowControl w:val="0"/>
        <w:autoSpaceDE w:val="0"/>
        <w:autoSpaceDN w:val="0"/>
        <w:adjustRightInd w:val="0"/>
        <w:spacing w:line="360" w:lineRule="auto"/>
        <w:ind w:left="640" w:hanging="640"/>
        <w:jc w:val="both"/>
        <w:rPr>
          <w:rFonts w:ascii="Times New Roman" w:hAnsi="Times New Roman" w:cs="Times New Roman"/>
          <w:noProof/>
          <w:sz w:val="24"/>
          <w:szCs w:val="24"/>
        </w:rPr>
      </w:pPr>
      <w:r>
        <w:rPr>
          <w:rFonts w:ascii="Times New Roman" w:hAnsi="Times New Roman" w:cs="Times New Roman"/>
          <w:noProof/>
          <w:sz w:val="24"/>
          <w:szCs w:val="24"/>
        </w:rPr>
        <w:t>19</w:t>
      </w:r>
      <w:r w:rsidR="00D65018" w:rsidRPr="00D65018">
        <w:rPr>
          <w:rFonts w:ascii="Times New Roman" w:hAnsi="Times New Roman" w:cs="Times New Roman"/>
          <w:noProof/>
          <w:sz w:val="24"/>
          <w:szCs w:val="24"/>
        </w:rPr>
        <w:t xml:space="preserve">8. </w:t>
      </w:r>
      <w:r w:rsidR="00D65018" w:rsidRPr="00D65018">
        <w:rPr>
          <w:rFonts w:ascii="Times New Roman" w:hAnsi="Times New Roman" w:cs="Times New Roman"/>
          <w:noProof/>
          <w:sz w:val="24"/>
          <w:szCs w:val="24"/>
        </w:rPr>
        <w:tab/>
        <w:t xml:space="preserve">Saien, J.; Shahrezaei, F. Organic Pollutants Removal from Petroleum Refinery Wastewater with Nanotitania Photocatalyst and UV Light Emission. </w:t>
      </w:r>
      <w:r w:rsidR="00D65018" w:rsidRPr="00D65018">
        <w:rPr>
          <w:rFonts w:ascii="Times New Roman" w:hAnsi="Times New Roman" w:cs="Times New Roman"/>
          <w:i/>
          <w:iCs/>
          <w:noProof/>
          <w:sz w:val="24"/>
          <w:szCs w:val="24"/>
        </w:rPr>
        <w:t>Int. J. Photoenergy</w:t>
      </w:r>
      <w:r w:rsidR="00D65018" w:rsidRPr="00D65018">
        <w:rPr>
          <w:rFonts w:ascii="Times New Roman" w:hAnsi="Times New Roman" w:cs="Times New Roman"/>
          <w:noProof/>
          <w:sz w:val="24"/>
          <w:szCs w:val="24"/>
        </w:rPr>
        <w:t xml:space="preserve"> </w:t>
      </w:r>
      <w:r w:rsidR="00D65018" w:rsidRPr="00D65018">
        <w:rPr>
          <w:rFonts w:ascii="Times New Roman" w:hAnsi="Times New Roman" w:cs="Times New Roman"/>
          <w:b/>
          <w:bCs/>
          <w:noProof/>
          <w:sz w:val="24"/>
          <w:szCs w:val="24"/>
        </w:rPr>
        <w:t>2012</w:t>
      </w:r>
      <w:r w:rsidR="00D65018" w:rsidRPr="00D65018">
        <w:rPr>
          <w:rFonts w:ascii="Times New Roman" w:hAnsi="Times New Roman" w:cs="Times New Roman"/>
          <w:noProof/>
          <w:sz w:val="24"/>
          <w:szCs w:val="24"/>
        </w:rPr>
        <w:t xml:space="preserve">, </w:t>
      </w:r>
      <w:r w:rsidR="00D65018" w:rsidRPr="00D65018">
        <w:rPr>
          <w:rFonts w:ascii="Times New Roman" w:hAnsi="Times New Roman" w:cs="Times New Roman"/>
          <w:i/>
          <w:iCs/>
          <w:noProof/>
          <w:sz w:val="24"/>
          <w:szCs w:val="24"/>
        </w:rPr>
        <w:t>2012</w:t>
      </w:r>
      <w:r w:rsidR="00D65018" w:rsidRPr="00D65018">
        <w:rPr>
          <w:rFonts w:ascii="Times New Roman" w:hAnsi="Times New Roman" w:cs="Times New Roman"/>
          <w:noProof/>
          <w:sz w:val="24"/>
          <w:szCs w:val="24"/>
        </w:rPr>
        <w:t>.</w:t>
      </w:r>
    </w:p>
    <w:p w14:paraId="2275F0C8" w14:textId="77B4503E" w:rsidR="00D65018" w:rsidRPr="00D65018" w:rsidRDefault="00960ED5" w:rsidP="00D65018">
      <w:pPr>
        <w:widowControl w:val="0"/>
        <w:autoSpaceDE w:val="0"/>
        <w:autoSpaceDN w:val="0"/>
        <w:adjustRightInd w:val="0"/>
        <w:spacing w:line="360" w:lineRule="auto"/>
        <w:ind w:left="640" w:hanging="640"/>
        <w:jc w:val="both"/>
        <w:rPr>
          <w:rFonts w:ascii="Times New Roman" w:hAnsi="Times New Roman" w:cs="Times New Roman"/>
          <w:noProof/>
          <w:sz w:val="24"/>
          <w:szCs w:val="24"/>
        </w:rPr>
      </w:pPr>
      <w:r>
        <w:rPr>
          <w:rFonts w:ascii="Times New Roman" w:hAnsi="Times New Roman" w:cs="Times New Roman"/>
          <w:noProof/>
          <w:sz w:val="24"/>
          <w:szCs w:val="24"/>
        </w:rPr>
        <w:t>19</w:t>
      </w:r>
      <w:r w:rsidR="00D65018" w:rsidRPr="00D65018">
        <w:rPr>
          <w:rFonts w:ascii="Times New Roman" w:hAnsi="Times New Roman" w:cs="Times New Roman"/>
          <w:noProof/>
          <w:sz w:val="24"/>
          <w:szCs w:val="24"/>
        </w:rPr>
        <w:t xml:space="preserve">9. </w:t>
      </w:r>
      <w:r w:rsidR="00D65018" w:rsidRPr="00D65018">
        <w:rPr>
          <w:rFonts w:ascii="Times New Roman" w:hAnsi="Times New Roman" w:cs="Times New Roman"/>
          <w:noProof/>
          <w:sz w:val="24"/>
          <w:szCs w:val="24"/>
        </w:rPr>
        <w:tab/>
        <w:t xml:space="preserve">Aljuboury, D. al deen A.; Palaniandy, P.; Abdul Aziz, H. Bin; Feroz, S.; Abu Amr, S.S. Evaluating Photo-Degradation of COD and TOC in Petroleum Refinery Wastewater by Using TiO2/ZnO Photo-Catalyst. </w:t>
      </w:r>
      <w:r w:rsidR="00D65018" w:rsidRPr="00D65018">
        <w:rPr>
          <w:rFonts w:ascii="Times New Roman" w:hAnsi="Times New Roman" w:cs="Times New Roman"/>
          <w:i/>
          <w:iCs/>
          <w:noProof/>
          <w:sz w:val="24"/>
          <w:szCs w:val="24"/>
        </w:rPr>
        <w:t>Water Sci. Technol.</w:t>
      </w:r>
      <w:r w:rsidR="00D65018" w:rsidRPr="00D65018">
        <w:rPr>
          <w:rFonts w:ascii="Times New Roman" w:hAnsi="Times New Roman" w:cs="Times New Roman"/>
          <w:noProof/>
          <w:sz w:val="24"/>
          <w:szCs w:val="24"/>
        </w:rPr>
        <w:t xml:space="preserve"> </w:t>
      </w:r>
      <w:r w:rsidR="00D65018" w:rsidRPr="00D65018">
        <w:rPr>
          <w:rFonts w:ascii="Times New Roman" w:hAnsi="Times New Roman" w:cs="Times New Roman"/>
          <w:b/>
          <w:bCs/>
          <w:noProof/>
          <w:sz w:val="24"/>
          <w:szCs w:val="24"/>
        </w:rPr>
        <w:t>2016</w:t>
      </w:r>
      <w:r w:rsidR="00D65018" w:rsidRPr="00D65018">
        <w:rPr>
          <w:rFonts w:ascii="Times New Roman" w:hAnsi="Times New Roman" w:cs="Times New Roman"/>
          <w:noProof/>
          <w:sz w:val="24"/>
          <w:szCs w:val="24"/>
        </w:rPr>
        <w:t xml:space="preserve">, </w:t>
      </w:r>
      <w:r w:rsidR="00D65018" w:rsidRPr="00D65018">
        <w:rPr>
          <w:rFonts w:ascii="Times New Roman" w:hAnsi="Times New Roman" w:cs="Times New Roman"/>
          <w:i/>
          <w:iCs/>
          <w:noProof/>
          <w:sz w:val="24"/>
          <w:szCs w:val="24"/>
        </w:rPr>
        <w:t>74</w:t>
      </w:r>
      <w:r w:rsidR="00D65018" w:rsidRPr="00D65018">
        <w:rPr>
          <w:rFonts w:ascii="Times New Roman" w:hAnsi="Times New Roman" w:cs="Times New Roman"/>
          <w:noProof/>
          <w:sz w:val="24"/>
          <w:szCs w:val="24"/>
        </w:rPr>
        <w:t>, 1312–1325.</w:t>
      </w:r>
    </w:p>
    <w:p w14:paraId="21A2DB03" w14:textId="3E73B1E5" w:rsidR="00D65018" w:rsidRPr="00D65018" w:rsidRDefault="00960ED5" w:rsidP="00D65018">
      <w:pPr>
        <w:widowControl w:val="0"/>
        <w:autoSpaceDE w:val="0"/>
        <w:autoSpaceDN w:val="0"/>
        <w:adjustRightInd w:val="0"/>
        <w:spacing w:line="360" w:lineRule="auto"/>
        <w:ind w:left="640" w:hanging="640"/>
        <w:jc w:val="both"/>
        <w:rPr>
          <w:rFonts w:ascii="Times New Roman" w:hAnsi="Times New Roman" w:cs="Times New Roman"/>
          <w:noProof/>
          <w:sz w:val="24"/>
        </w:rPr>
      </w:pPr>
      <w:r>
        <w:rPr>
          <w:rFonts w:ascii="Times New Roman" w:hAnsi="Times New Roman" w:cs="Times New Roman"/>
          <w:noProof/>
          <w:sz w:val="24"/>
          <w:szCs w:val="24"/>
        </w:rPr>
        <w:t>20</w:t>
      </w:r>
      <w:r w:rsidR="00D65018" w:rsidRPr="00D65018">
        <w:rPr>
          <w:rFonts w:ascii="Times New Roman" w:hAnsi="Times New Roman" w:cs="Times New Roman"/>
          <w:noProof/>
          <w:sz w:val="24"/>
          <w:szCs w:val="24"/>
        </w:rPr>
        <w:t xml:space="preserve">0. </w:t>
      </w:r>
      <w:r w:rsidR="00D65018" w:rsidRPr="00D65018">
        <w:rPr>
          <w:rFonts w:ascii="Times New Roman" w:hAnsi="Times New Roman" w:cs="Times New Roman"/>
          <w:noProof/>
          <w:sz w:val="24"/>
          <w:szCs w:val="24"/>
        </w:rPr>
        <w:tab/>
        <w:t xml:space="preserve">Aljuboury, D.; Palaniandy, P.; Abdul Aziz, H.; Feroz, S.; Abu Amr, S.S.; others Performance of Different Photocatalytic Oxidation Processes in Petroleum Wastewater Treatment: A Comparative Study. </w:t>
      </w:r>
      <w:r w:rsidR="00D65018" w:rsidRPr="00D65018">
        <w:rPr>
          <w:rFonts w:ascii="Times New Roman" w:hAnsi="Times New Roman" w:cs="Times New Roman"/>
          <w:i/>
          <w:iCs/>
          <w:noProof/>
          <w:sz w:val="24"/>
          <w:szCs w:val="24"/>
        </w:rPr>
        <w:t>Glob. NEST J.</w:t>
      </w:r>
      <w:r w:rsidR="00D65018" w:rsidRPr="00D65018">
        <w:rPr>
          <w:rFonts w:ascii="Times New Roman" w:hAnsi="Times New Roman" w:cs="Times New Roman"/>
          <w:noProof/>
          <w:sz w:val="24"/>
          <w:szCs w:val="24"/>
        </w:rPr>
        <w:t xml:space="preserve"> </w:t>
      </w:r>
      <w:r w:rsidR="00D65018" w:rsidRPr="00D65018">
        <w:rPr>
          <w:rFonts w:ascii="Times New Roman" w:hAnsi="Times New Roman" w:cs="Times New Roman"/>
          <w:b/>
          <w:bCs/>
          <w:noProof/>
          <w:sz w:val="24"/>
          <w:szCs w:val="24"/>
        </w:rPr>
        <w:t>2017</w:t>
      </w:r>
      <w:r w:rsidR="00D65018" w:rsidRPr="00D65018">
        <w:rPr>
          <w:rFonts w:ascii="Times New Roman" w:hAnsi="Times New Roman" w:cs="Times New Roman"/>
          <w:noProof/>
          <w:sz w:val="24"/>
          <w:szCs w:val="24"/>
        </w:rPr>
        <w:t xml:space="preserve">, </w:t>
      </w:r>
      <w:r w:rsidR="00D65018" w:rsidRPr="00D65018">
        <w:rPr>
          <w:rFonts w:ascii="Times New Roman" w:hAnsi="Times New Roman" w:cs="Times New Roman"/>
          <w:i/>
          <w:iCs/>
          <w:noProof/>
          <w:sz w:val="24"/>
          <w:szCs w:val="24"/>
        </w:rPr>
        <w:t>19</w:t>
      </w:r>
      <w:r w:rsidR="00D65018" w:rsidRPr="00D65018">
        <w:rPr>
          <w:rFonts w:ascii="Times New Roman" w:hAnsi="Times New Roman" w:cs="Times New Roman"/>
          <w:noProof/>
          <w:sz w:val="24"/>
          <w:szCs w:val="24"/>
        </w:rPr>
        <w:t>, 167–175.</w:t>
      </w:r>
    </w:p>
    <w:p w14:paraId="074A9223" w14:textId="10E36560" w:rsidR="00BB4B89" w:rsidRPr="006B4301" w:rsidRDefault="00D65018" w:rsidP="00D65018">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fldChar w:fldCharType="end"/>
      </w:r>
    </w:p>
    <w:sectPr w:rsidR="00BB4B89" w:rsidRPr="006B4301">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icrosoft Yi Baiti">
    <w:panose1 w:val="03000500000000000000"/>
    <w:charset w:val="00"/>
    <w:family w:val="script"/>
    <w:pitch w:val="variable"/>
    <w:sig w:usb0="80000003" w:usb1="00010402" w:usb2="00080002" w:usb3="00000000" w:csb0="00000001"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0165"/>
    <w:rsid w:val="000114A5"/>
    <w:rsid w:val="00084555"/>
    <w:rsid w:val="000966CA"/>
    <w:rsid w:val="000F46D5"/>
    <w:rsid w:val="00156791"/>
    <w:rsid w:val="00207B07"/>
    <w:rsid w:val="003D7BD6"/>
    <w:rsid w:val="004E4518"/>
    <w:rsid w:val="005836BA"/>
    <w:rsid w:val="006B4301"/>
    <w:rsid w:val="00731844"/>
    <w:rsid w:val="00790952"/>
    <w:rsid w:val="007A3C05"/>
    <w:rsid w:val="008B6A1E"/>
    <w:rsid w:val="008F2F10"/>
    <w:rsid w:val="00910165"/>
    <w:rsid w:val="00960ED5"/>
    <w:rsid w:val="009A17EF"/>
    <w:rsid w:val="00A57299"/>
    <w:rsid w:val="00A748B7"/>
    <w:rsid w:val="00AE6ACC"/>
    <w:rsid w:val="00B421A3"/>
    <w:rsid w:val="00BB4B89"/>
    <w:rsid w:val="00BE131B"/>
    <w:rsid w:val="00C81905"/>
    <w:rsid w:val="00CF4805"/>
    <w:rsid w:val="00D65018"/>
    <w:rsid w:val="00DA7088"/>
    <w:rsid w:val="00E34820"/>
    <w:rsid w:val="00EF247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1B64E3"/>
  <w15:chartTrackingRefBased/>
  <w15:docId w15:val="{266C77CB-0C0C-432C-98E3-6ABFE34CAD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10165"/>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mtfg0">
    <w:name w:val="mtfg0"/>
    <w:basedOn w:val="DefaultParagraphFont"/>
    <w:rsid w:val="00910165"/>
  </w:style>
  <w:style w:type="table" w:styleId="TableGrid">
    <w:name w:val="Table Grid"/>
    <w:basedOn w:val="TableNormal"/>
    <w:uiPriority w:val="39"/>
    <w:rsid w:val="005836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5836B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9442807">
      <w:bodyDiv w:val="1"/>
      <w:marLeft w:val="0"/>
      <w:marRight w:val="0"/>
      <w:marTop w:val="0"/>
      <w:marBottom w:val="0"/>
      <w:divBdr>
        <w:top w:val="none" w:sz="0" w:space="0" w:color="auto"/>
        <w:left w:val="none" w:sz="0" w:space="0" w:color="auto"/>
        <w:bottom w:val="none" w:sz="0" w:space="0" w:color="auto"/>
        <w:right w:val="none" w:sz="0" w:space="0" w:color="auto"/>
      </w:divBdr>
    </w:div>
    <w:div w:id="1055548608">
      <w:bodyDiv w:val="1"/>
      <w:marLeft w:val="0"/>
      <w:marRight w:val="0"/>
      <w:marTop w:val="0"/>
      <w:marBottom w:val="0"/>
      <w:divBdr>
        <w:top w:val="none" w:sz="0" w:space="0" w:color="auto"/>
        <w:left w:val="none" w:sz="0" w:space="0" w:color="auto"/>
        <w:bottom w:val="none" w:sz="0" w:space="0" w:color="auto"/>
        <w:right w:val="none" w:sz="0" w:space="0" w:color="auto"/>
      </w:divBdr>
    </w:div>
    <w:div w:id="1214348367">
      <w:bodyDiv w:val="1"/>
      <w:marLeft w:val="0"/>
      <w:marRight w:val="0"/>
      <w:marTop w:val="0"/>
      <w:marBottom w:val="0"/>
      <w:divBdr>
        <w:top w:val="none" w:sz="0" w:space="0" w:color="auto"/>
        <w:left w:val="none" w:sz="0" w:space="0" w:color="auto"/>
        <w:bottom w:val="none" w:sz="0" w:space="0" w:color="auto"/>
        <w:right w:val="none" w:sz="0" w:space="0" w:color="auto"/>
      </w:divBdr>
    </w:div>
    <w:div w:id="1289235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s://www.sciencedirect.com/topics/engineering/photocatalysts" TargetMode="Externa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6C6399-63ED-4912-8439-557D043DF4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208</TotalTime>
  <Pages>3</Pages>
  <Words>2685</Words>
  <Characters>15740</Characters>
  <Application>Microsoft Office Word</Application>
  <DocSecurity>0</DocSecurity>
  <Lines>366</Lines>
  <Paragraphs>209</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18216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SORRENTINO</dc:creator>
  <cp:keywords/>
  <dc:description/>
  <cp:lastModifiedBy>windows 10</cp:lastModifiedBy>
  <cp:revision>21</cp:revision>
  <dcterms:created xsi:type="dcterms:W3CDTF">2022-10-07T20:49:00Z</dcterms:created>
  <dcterms:modified xsi:type="dcterms:W3CDTF">2022-10-10T08:09:00Z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http://www.zotero.org/styles/journal-of-composites-science</vt:lpwstr>
  </property>
  <property fmtid="{D5CDD505-2E9C-101B-9397-08002B2CF9AE}" pid="4" name="Mendeley Unique User Id_1">
    <vt:lpwstr>8345a108-2d8b-31f4-9892-6a6e577df4f9</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http://www.zotero.org/styles/analyst</vt:lpwstr>
  </property>
  <property fmtid="{D5CDD505-2E9C-101B-9397-08002B2CF9AE}" pid="14" name="Mendeley Recent Style Name 4_1">
    <vt:lpwstr>Analyst</vt:lpwstr>
  </property>
  <property fmtid="{D5CDD505-2E9C-101B-9397-08002B2CF9AE}" pid="15" name="Mendeley Recent Style Id 5_1">
    <vt:lpwstr>http://www.zotero.org/styles/chicago-author-date</vt:lpwstr>
  </property>
  <property fmtid="{D5CDD505-2E9C-101B-9397-08002B2CF9AE}" pid="16" name="Mendeley Recent Style Name 5_1">
    <vt:lpwstr>Chicago Manual of Style 17th edition (author-date)</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http://www.zotero.org/styles/journal-of-composites-science</vt:lpwstr>
  </property>
  <property fmtid="{D5CDD505-2E9C-101B-9397-08002B2CF9AE}" pid="20" name="Mendeley Recent Style Name 7_1">
    <vt:lpwstr>Journal of Composites Science</vt:lpwstr>
  </property>
  <property fmtid="{D5CDD505-2E9C-101B-9397-08002B2CF9AE}" pid="21" name="Mendeley Recent Style Id 8_1">
    <vt:lpwstr>https://csl.mendeley.com/styles/505687621/denezNITT</vt:lpwstr>
  </property>
  <property fmtid="{D5CDD505-2E9C-101B-9397-08002B2CF9AE}" pid="22" name="Mendeley Recent Style Name 8_1">
    <vt:lpwstr>NIT Trichy - DINESH KUMAR R</vt:lpwstr>
  </property>
  <property fmtid="{D5CDD505-2E9C-101B-9397-08002B2CF9AE}" pid="23" name="Mendeley Recent Style Id 9_1">
    <vt:lpwstr>http://www.zotero.org/styles/the-journal-of-physical-chemistry-b</vt:lpwstr>
  </property>
  <property fmtid="{D5CDD505-2E9C-101B-9397-08002B2CF9AE}" pid="24" name="Mendeley Recent Style Name 9_1">
    <vt:lpwstr>The Journal of Physical Chemistry B</vt:lpwstr>
  </property>
  <property fmtid="{D5CDD505-2E9C-101B-9397-08002B2CF9AE}" pid="25" name="GrammarlyDocumentId">
    <vt:lpwstr>0d482089f3b0bc7aa212d9f9821295ae195d74c16860ad97c8a9448121b9592b</vt:lpwstr>
  </property>
</Properties>
</file>