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AD039" w14:textId="77777777" w:rsidR="00152CF1" w:rsidRPr="00152CF1" w:rsidRDefault="00152CF1" w:rsidP="00665A01">
      <w:pPr>
        <w:pStyle w:val="MDPI11articletype"/>
        <w:rPr>
          <w:shd w:val="clear" w:color="auto" w:fill="FEFEFE"/>
        </w:rPr>
      </w:pPr>
      <w:r w:rsidRPr="00152CF1">
        <w:rPr>
          <w:shd w:val="clear" w:color="auto" w:fill="FEFEFE"/>
        </w:rPr>
        <w:t>Review</w:t>
      </w:r>
    </w:p>
    <w:p w14:paraId="2C996857" w14:textId="1C31CE7A" w:rsidR="003C71C9" w:rsidRPr="00152CF1" w:rsidRDefault="009F36ED" w:rsidP="00665A01">
      <w:pPr>
        <w:pStyle w:val="MDPI12title"/>
        <w:rPr>
          <w:rFonts w:eastAsia="Palatino Linotype"/>
        </w:rPr>
      </w:pPr>
      <w:r w:rsidRPr="00152CF1">
        <w:rPr>
          <w:rFonts w:eastAsia="Palatino Linotype"/>
        </w:rPr>
        <w:t xml:space="preserve">Nontuberculous mycobacteria and </w:t>
      </w:r>
      <w:r w:rsidRPr="00152CF1">
        <w:rPr>
          <w:rFonts w:eastAsia="Palatino Linotype"/>
          <w:i/>
          <w:iCs/>
        </w:rPr>
        <w:t>Aspergillus</w:t>
      </w:r>
      <w:r w:rsidRPr="00152CF1">
        <w:rPr>
          <w:rFonts w:eastAsia="Palatino Linotype"/>
        </w:rPr>
        <w:t xml:space="preserve"> lung co-infection: Systematic review.</w:t>
      </w:r>
    </w:p>
    <w:p w14:paraId="3AD51D39" w14:textId="65D446D5" w:rsidR="00152CF1" w:rsidRPr="00DE0F96" w:rsidRDefault="009F36ED" w:rsidP="00152CF1">
      <w:pPr>
        <w:pStyle w:val="MDPI13authornames"/>
        <w:rPr>
          <w:rFonts w:eastAsia="Palatino Linotype"/>
          <w:lang w:val="es-ES"/>
        </w:rPr>
      </w:pPr>
      <w:r w:rsidRPr="00DE0F96">
        <w:rPr>
          <w:rFonts w:eastAsia="Palatino Linotype"/>
          <w:lang w:val="es-ES"/>
        </w:rPr>
        <w:t xml:space="preserve">Marina Fayos Pérez </w:t>
      </w:r>
      <w:r w:rsidRPr="00DE0F96">
        <w:rPr>
          <w:rFonts w:eastAsia="Palatino Linotype"/>
          <w:vertAlign w:val="superscript"/>
          <w:lang w:val="es-ES"/>
        </w:rPr>
        <w:t>1,2</w:t>
      </w:r>
      <w:r w:rsidRPr="00DE0F96">
        <w:rPr>
          <w:rFonts w:eastAsia="Palatino Linotype"/>
          <w:lang w:val="es-ES"/>
        </w:rPr>
        <w:t xml:space="preserve">, </w:t>
      </w:r>
      <w:proofErr w:type="spellStart"/>
      <w:r w:rsidRPr="00DE0F96">
        <w:rPr>
          <w:rFonts w:eastAsia="Palatino Linotype"/>
          <w:lang w:val="es-ES"/>
        </w:rPr>
        <w:t>Jose</w:t>
      </w:r>
      <w:proofErr w:type="spellEnd"/>
      <w:r w:rsidRPr="00DE0F96">
        <w:rPr>
          <w:rFonts w:eastAsia="Palatino Linotype"/>
          <w:lang w:val="es-ES"/>
        </w:rPr>
        <w:t xml:space="preserve"> </w:t>
      </w:r>
      <w:proofErr w:type="spellStart"/>
      <w:r w:rsidRPr="00DE0F96">
        <w:rPr>
          <w:rFonts w:eastAsia="Palatino Linotype"/>
          <w:lang w:val="es-ES"/>
        </w:rPr>
        <w:t>Tiago</w:t>
      </w:r>
      <w:proofErr w:type="spellEnd"/>
      <w:r w:rsidRPr="00DE0F96">
        <w:rPr>
          <w:rFonts w:eastAsia="Palatino Linotype"/>
          <w:lang w:val="es-ES"/>
        </w:rPr>
        <w:t xml:space="preserve"> Silva </w:t>
      </w:r>
      <w:r w:rsidRPr="00DE0F96">
        <w:rPr>
          <w:rFonts w:eastAsia="Palatino Linotype"/>
          <w:vertAlign w:val="superscript"/>
          <w:lang w:val="es-ES"/>
        </w:rPr>
        <w:t>1,2,3</w:t>
      </w:r>
      <w:r w:rsidRPr="00DE0F96">
        <w:rPr>
          <w:rFonts w:eastAsia="Palatino Linotype"/>
          <w:lang w:val="es-ES"/>
        </w:rPr>
        <w:t xml:space="preserve">, Francisco López-Medrano </w:t>
      </w:r>
      <w:r w:rsidRPr="00DE0F96">
        <w:rPr>
          <w:rFonts w:eastAsia="Palatino Linotype"/>
          <w:vertAlign w:val="superscript"/>
          <w:lang w:val="es-ES"/>
        </w:rPr>
        <w:t>1,2,3</w:t>
      </w:r>
      <w:r w:rsidR="00F90D83">
        <w:rPr>
          <w:rFonts w:eastAsia="Palatino Linotype"/>
          <w:vertAlign w:val="superscript"/>
          <w:lang w:val="es-ES"/>
        </w:rPr>
        <w:t>,4</w:t>
      </w:r>
      <w:r w:rsidRPr="00DE0F96">
        <w:rPr>
          <w:rFonts w:eastAsia="Palatino Linotype"/>
          <w:lang w:val="es-ES"/>
        </w:rPr>
        <w:t xml:space="preserve"> and José María Aguado </w:t>
      </w:r>
      <w:r w:rsidRPr="00DE0F96">
        <w:rPr>
          <w:rFonts w:eastAsia="Palatino Linotype"/>
          <w:vertAlign w:val="superscript"/>
          <w:lang w:val="es-ES"/>
        </w:rPr>
        <w:t>1,2,3</w:t>
      </w:r>
      <w:r w:rsidR="00F90D83">
        <w:rPr>
          <w:rFonts w:eastAsia="Palatino Linotype"/>
          <w:vertAlign w:val="superscript"/>
          <w:lang w:val="es-ES"/>
        </w:rPr>
        <w:t>,</w:t>
      </w:r>
      <w:proofErr w:type="gramStart"/>
      <w:r w:rsidR="00F90D83">
        <w:rPr>
          <w:rFonts w:eastAsia="Palatino Linotype"/>
          <w:vertAlign w:val="superscript"/>
          <w:lang w:val="es-ES"/>
        </w:rPr>
        <w:t>4</w:t>
      </w:r>
      <w:r w:rsidRPr="00DE0F96">
        <w:rPr>
          <w:rFonts w:eastAsia="Palatino Linotype"/>
          <w:vertAlign w:val="superscript"/>
          <w:lang w:val="es-ES"/>
        </w:rPr>
        <w:t>,</w:t>
      </w:r>
      <w:r w:rsidRPr="00DE0F96">
        <w:rPr>
          <w:rFonts w:eastAsia="Palatino Linotype"/>
          <w:lang w:val="es-ES"/>
        </w:rPr>
        <w:t>*</w:t>
      </w:r>
      <w:proofErr w:type="gramEnd"/>
    </w:p>
    <w:tbl>
      <w:tblPr>
        <w:tblStyle w:val="MDPITable"/>
        <w:tblW w:w="0" w:type="auto"/>
        <w:tblLook w:val="04A0" w:firstRow="1" w:lastRow="0" w:firstColumn="1" w:lastColumn="0" w:noHBand="0" w:noVBand="1"/>
      </w:tblPr>
      <w:tblGrid>
        <w:gridCol w:w="10456"/>
      </w:tblGrid>
      <w:tr w:rsidR="00152CF1" w14:paraId="317EC31E" w14:textId="77777777" w:rsidTr="00152CF1">
        <w:tc>
          <w:tcPr>
            <w:tcW w:w="10456" w:type="dxa"/>
          </w:tcPr>
          <w:p w14:paraId="474B5EC0" w14:textId="77777777" w:rsidR="00152CF1" w:rsidRPr="00DE0F96" w:rsidRDefault="00152CF1" w:rsidP="00152CF1">
            <w:pPr>
              <w:pStyle w:val="MDPI13authornames"/>
              <w:rPr>
                <w:rFonts w:eastAsia="Palatino Linotype"/>
                <w:lang w:val="es-ES"/>
              </w:rPr>
            </w:pPr>
          </w:p>
        </w:tc>
      </w:tr>
    </w:tbl>
    <w:tbl>
      <w:tblPr>
        <w:tblpPr w:leftFromText="180" w:rightFromText="180" w:horzAnchor="margin" w:tblpY="2920"/>
        <w:tblW w:w="2410" w:type="dxa"/>
        <w:tblLayout w:type="fixed"/>
        <w:tblLook w:val="0400" w:firstRow="0" w:lastRow="0" w:firstColumn="0" w:lastColumn="0" w:noHBand="0" w:noVBand="1"/>
      </w:tblPr>
      <w:tblGrid>
        <w:gridCol w:w="2410"/>
      </w:tblGrid>
      <w:tr w:rsidR="003C71C9" w:rsidRPr="00DE0F96" w14:paraId="147FC867" w14:textId="77777777" w:rsidTr="00152CF1">
        <w:trPr>
          <w:trHeight w:val="335"/>
        </w:trPr>
        <w:tc>
          <w:tcPr>
            <w:tcW w:w="2410" w:type="dxa"/>
            <w:shd w:val="clear" w:color="auto" w:fill="auto"/>
          </w:tcPr>
          <w:p w14:paraId="28FF0B43" w14:textId="77777777" w:rsidR="003C71C9" w:rsidRPr="00152CF1" w:rsidRDefault="009F36ED" w:rsidP="00152CF1">
            <w:pPr>
              <w:pBdr>
                <w:top w:val="nil"/>
                <w:left w:val="nil"/>
                <w:bottom w:val="nil"/>
                <w:right w:val="nil"/>
                <w:between w:val="nil"/>
              </w:pBdr>
              <w:adjustRightInd w:val="0"/>
              <w:snapToGrid w:val="0"/>
              <w:spacing w:after="120"/>
              <w:ind w:right="113"/>
              <w:rPr>
                <w:rFonts w:ascii="Palatino Linotype" w:eastAsia="Palatino Linotype" w:hAnsi="Palatino Linotype" w:cs="Palatino Linotype"/>
                <w:color w:val="000000"/>
                <w:sz w:val="14"/>
                <w:szCs w:val="14"/>
                <w:lang w:val="en-US"/>
              </w:rPr>
            </w:pPr>
            <w:r w:rsidRPr="00152CF1">
              <w:rPr>
                <w:rFonts w:ascii="Palatino Linotype" w:eastAsia="Palatino Linotype" w:hAnsi="Palatino Linotype" w:cs="Palatino Linotype"/>
                <w:b/>
                <w:color w:val="000000"/>
                <w:sz w:val="14"/>
                <w:szCs w:val="14"/>
                <w:lang w:val="en-US"/>
              </w:rPr>
              <w:t>Citation:</w:t>
            </w:r>
            <w:r w:rsidRPr="00152CF1">
              <w:rPr>
                <w:rFonts w:ascii="Palatino Linotype" w:eastAsia="Palatino Linotype" w:hAnsi="Palatino Linotype" w:cs="Palatino Linotype"/>
                <w:color w:val="000000"/>
                <w:sz w:val="14"/>
                <w:szCs w:val="14"/>
                <w:lang w:val="en-US"/>
              </w:rPr>
              <w:t xml:space="preserve"> </w:t>
            </w:r>
            <w:proofErr w:type="spellStart"/>
            <w:r w:rsidRPr="00152CF1">
              <w:rPr>
                <w:rFonts w:ascii="Palatino Linotype" w:eastAsia="Palatino Linotype" w:hAnsi="Palatino Linotype" w:cs="Palatino Linotype"/>
                <w:color w:val="000000"/>
                <w:sz w:val="14"/>
                <w:szCs w:val="14"/>
                <w:lang w:val="en-US"/>
              </w:rPr>
              <w:t>Lastname</w:t>
            </w:r>
            <w:proofErr w:type="spellEnd"/>
            <w:r w:rsidRPr="00152CF1">
              <w:rPr>
                <w:rFonts w:ascii="Palatino Linotype" w:eastAsia="Palatino Linotype" w:hAnsi="Palatino Linotype" w:cs="Palatino Linotype"/>
                <w:color w:val="000000"/>
                <w:sz w:val="14"/>
                <w:szCs w:val="14"/>
                <w:lang w:val="en-US"/>
              </w:rPr>
              <w:t xml:space="preserve">, F.; </w:t>
            </w:r>
            <w:proofErr w:type="spellStart"/>
            <w:r w:rsidRPr="00152CF1">
              <w:rPr>
                <w:rFonts w:ascii="Palatino Linotype" w:eastAsia="Palatino Linotype" w:hAnsi="Palatino Linotype" w:cs="Palatino Linotype"/>
                <w:color w:val="000000"/>
                <w:sz w:val="14"/>
                <w:szCs w:val="14"/>
                <w:lang w:val="en-US"/>
              </w:rPr>
              <w:t>Lastname</w:t>
            </w:r>
            <w:proofErr w:type="spellEnd"/>
            <w:r w:rsidRPr="00152CF1">
              <w:rPr>
                <w:rFonts w:ascii="Palatino Linotype" w:eastAsia="Palatino Linotype" w:hAnsi="Palatino Linotype" w:cs="Palatino Linotype"/>
                <w:color w:val="000000"/>
                <w:sz w:val="14"/>
                <w:szCs w:val="14"/>
                <w:lang w:val="en-US"/>
              </w:rPr>
              <w:t xml:space="preserve">, F.; </w:t>
            </w:r>
            <w:proofErr w:type="spellStart"/>
            <w:r w:rsidRPr="00152CF1">
              <w:rPr>
                <w:rFonts w:ascii="Palatino Linotype" w:eastAsia="Palatino Linotype" w:hAnsi="Palatino Linotype" w:cs="Palatino Linotype"/>
                <w:color w:val="000000"/>
                <w:sz w:val="14"/>
                <w:szCs w:val="14"/>
                <w:lang w:val="en-US"/>
              </w:rPr>
              <w:t>Lastname</w:t>
            </w:r>
            <w:proofErr w:type="spellEnd"/>
            <w:r w:rsidRPr="00152CF1">
              <w:rPr>
                <w:rFonts w:ascii="Palatino Linotype" w:eastAsia="Palatino Linotype" w:hAnsi="Palatino Linotype" w:cs="Palatino Linotype"/>
                <w:color w:val="000000"/>
                <w:sz w:val="14"/>
                <w:szCs w:val="14"/>
                <w:lang w:val="en-US"/>
              </w:rPr>
              <w:t xml:space="preserve">, F. Title. </w:t>
            </w:r>
            <w:r w:rsidRPr="00152CF1">
              <w:rPr>
                <w:rFonts w:ascii="Palatino Linotype" w:eastAsia="Palatino Linotype" w:hAnsi="Palatino Linotype" w:cs="Palatino Linotype"/>
                <w:i/>
                <w:color w:val="000000"/>
                <w:sz w:val="14"/>
                <w:szCs w:val="14"/>
                <w:lang w:val="en-US"/>
              </w:rPr>
              <w:t xml:space="preserve">J. Clin. Med. </w:t>
            </w:r>
            <w:r w:rsidRPr="00152CF1">
              <w:rPr>
                <w:rFonts w:ascii="Palatino Linotype" w:eastAsia="Palatino Linotype" w:hAnsi="Palatino Linotype" w:cs="Palatino Linotype"/>
                <w:b/>
                <w:color w:val="000000"/>
                <w:sz w:val="14"/>
                <w:szCs w:val="14"/>
                <w:lang w:val="en-US"/>
              </w:rPr>
              <w:t>2022</w:t>
            </w:r>
            <w:r w:rsidRPr="00152CF1">
              <w:rPr>
                <w:rFonts w:ascii="Palatino Linotype" w:eastAsia="Palatino Linotype" w:hAnsi="Palatino Linotype" w:cs="Palatino Linotype"/>
                <w:color w:val="000000"/>
                <w:sz w:val="14"/>
                <w:szCs w:val="14"/>
                <w:lang w:val="en-US"/>
              </w:rPr>
              <w:t>,</w:t>
            </w:r>
            <w:r w:rsidRPr="00152CF1">
              <w:rPr>
                <w:rFonts w:ascii="Palatino Linotype" w:eastAsia="Palatino Linotype" w:hAnsi="Palatino Linotype" w:cs="Palatino Linotype"/>
                <w:i/>
                <w:color w:val="000000"/>
                <w:sz w:val="14"/>
                <w:szCs w:val="14"/>
                <w:lang w:val="en-US"/>
              </w:rPr>
              <w:t xml:space="preserve"> 11</w:t>
            </w:r>
            <w:r w:rsidRPr="00152CF1">
              <w:rPr>
                <w:rFonts w:ascii="Palatino Linotype" w:eastAsia="Palatino Linotype" w:hAnsi="Palatino Linotype" w:cs="Palatino Linotype"/>
                <w:color w:val="000000"/>
                <w:sz w:val="14"/>
                <w:szCs w:val="14"/>
                <w:lang w:val="en-US"/>
              </w:rPr>
              <w:t>, x. https://doi.org/10.3390/xxxxx</w:t>
            </w:r>
          </w:p>
          <w:p w14:paraId="1B7D7E03" w14:textId="77777777" w:rsidR="003C71C9" w:rsidRPr="00152CF1" w:rsidRDefault="009F36ED" w:rsidP="00152CF1">
            <w:pPr>
              <w:pBdr>
                <w:top w:val="nil"/>
                <w:left w:val="nil"/>
                <w:bottom w:val="nil"/>
                <w:right w:val="nil"/>
                <w:between w:val="nil"/>
              </w:pBdr>
              <w:adjustRightInd w:val="0"/>
              <w:snapToGrid w:val="0"/>
              <w:ind w:right="113"/>
              <w:rPr>
                <w:color w:val="000000"/>
                <w:sz w:val="14"/>
                <w:szCs w:val="14"/>
                <w:lang w:val="en-US"/>
              </w:rPr>
            </w:pPr>
            <w:r w:rsidRPr="00152CF1">
              <w:rPr>
                <w:color w:val="000000"/>
                <w:sz w:val="14"/>
                <w:szCs w:val="14"/>
                <w:lang w:val="en-US"/>
              </w:rPr>
              <w:t>Accepted: date</w:t>
            </w:r>
          </w:p>
          <w:p w14:paraId="3857F149" w14:textId="77777777" w:rsidR="003C71C9" w:rsidRPr="00152CF1" w:rsidRDefault="009F36ED" w:rsidP="00152CF1">
            <w:pPr>
              <w:pBdr>
                <w:top w:val="nil"/>
                <w:left w:val="nil"/>
                <w:bottom w:val="nil"/>
                <w:right w:val="nil"/>
                <w:between w:val="nil"/>
              </w:pBdr>
              <w:adjustRightInd w:val="0"/>
              <w:snapToGrid w:val="0"/>
              <w:spacing w:after="120"/>
              <w:ind w:right="113"/>
              <w:rPr>
                <w:color w:val="000000"/>
                <w:sz w:val="14"/>
                <w:szCs w:val="14"/>
                <w:lang w:val="en-US"/>
              </w:rPr>
            </w:pPr>
            <w:r w:rsidRPr="00152CF1">
              <w:rPr>
                <w:color w:val="000000"/>
                <w:sz w:val="14"/>
                <w:szCs w:val="14"/>
                <w:lang w:val="en-US"/>
              </w:rPr>
              <w:t>Published: date</w:t>
            </w:r>
          </w:p>
          <w:p w14:paraId="20D06034" w14:textId="77777777" w:rsidR="003C71C9" w:rsidRPr="00152CF1" w:rsidRDefault="009F36ED" w:rsidP="00152CF1">
            <w:pPr>
              <w:pBdr>
                <w:top w:val="nil"/>
                <w:left w:val="nil"/>
                <w:bottom w:val="nil"/>
                <w:right w:val="nil"/>
                <w:between w:val="nil"/>
              </w:pBdr>
              <w:adjustRightInd w:val="0"/>
              <w:snapToGrid w:val="0"/>
              <w:spacing w:after="120"/>
              <w:ind w:right="113"/>
              <w:jc w:val="both"/>
              <w:rPr>
                <w:rFonts w:ascii="Palatino Linotype" w:eastAsia="Palatino Linotype" w:hAnsi="Palatino Linotype" w:cs="Palatino Linotype"/>
                <w:color w:val="000000"/>
                <w:sz w:val="14"/>
                <w:szCs w:val="14"/>
                <w:lang w:val="en-US"/>
              </w:rPr>
            </w:pPr>
            <w:r w:rsidRPr="00152CF1">
              <w:rPr>
                <w:rFonts w:ascii="Palatino Linotype" w:eastAsia="Palatino Linotype" w:hAnsi="Palatino Linotype" w:cs="Palatino Linotype"/>
                <w:b/>
                <w:color w:val="000000"/>
                <w:sz w:val="14"/>
                <w:szCs w:val="14"/>
                <w:lang w:val="en-US"/>
              </w:rPr>
              <w:t>Publisher’s Note:</w:t>
            </w:r>
            <w:r w:rsidRPr="00152CF1">
              <w:rPr>
                <w:rFonts w:ascii="Palatino Linotype" w:eastAsia="Palatino Linotype" w:hAnsi="Palatino Linotype" w:cs="Palatino Linotype"/>
                <w:color w:val="000000"/>
                <w:sz w:val="14"/>
                <w:szCs w:val="14"/>
                <w:lang w:val="en-US"/>
              </w:rPr>
              <w:t xml:space="preserve"> MDPI stays neutral with regard to jurisdictional claims in published maps and institutional affiliations.</w:t>
            </w:r>
          </w:p>
          <w:p w14:paraId="750766D5" w14:textId="77777777" w:rsidR="003C71C9" w:rsidRPr="00152CF1" w:rsidRDefault="009F36ED" w:rsidP="00152CF1">
            <w:pPr>
              <w:adjustRightInd w:val="0"/>
              <w:snapToGrid w:val="0"/>
              <w:spacing w:before="120"/>
              <w:ind w:right="113"/>
              <w:rPr>
                <w:sz w:val="14"/>
                <w:szCs w:val="14"/>
                <w:lang w:val="en-US"/>
              </w:rPr>
            </w:pPr>
            <w:r w:rsidRPr="00152CF1">
              <w:rPr>
                <w:noProof/>
                <w:lang w:val="en-US" w:eastAsia="es-ES"/>
              </w:rPr>
              <w:drawing>
                <wp:inline distT="0" distB="0" distL="0" distR="0" wp14:anchorId="23868FFC" wp14:editId="7C4E6C58">
                  <wp:extent cx="692785" cy="249555"/>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692785" cy="249555"/>
                          </a:xfrm>
                          <a:prstGeom prst="rect">
                            <a:avLst/>
                          </a:prstGeom>
                          <a:ln/>
                        </pic:spPr>
                      </pic:pic>
                    </a:graphicData>
                  </a:graphic>
                </wp:inline>
              </w:drawing>
            </w:r>
          </w:p>
          <w:p w14:paraId="3800DF35" w14:textId="77777777" w:rsidR="003C71C9" w:rsidRPr="00152CF1" w:rsidRDefault="009F36ED" w:rsidP="00152CF1">
            <w:pPr>
              <w:adjustRightInd w:val="0"/>
              <w:snapToGrid w:val="0"/>
              <w:spacing w:before="60"/>
              <w:ind w:right="113"/>
              <w:rPr>
                <w:sz w:val="14"/>
                <w:szCs w:val="14"/>
                <w:lang w:val="en-US"/>
              </w:rPr>
            </w:pPr>
            <w:r w:rsidRPr="00152CF1">
              <w:rPr>
                <w:b/>
                <w:sz w:val="14"/>
                <w:szCs w:val="14"/>
                <w:lang w:val="en-US"/>
              </w:rPr>
              <w:t>Copyright:</w:t>
            </w:r>
            <w:r w:rsidRPr="00152CF1">
              <w:rPr>
                <w:sz w:val="14"/>
                <w:szCs w:val="14"/>
                <w:lang w:val="en-US"/>
              </w:rPr>
              <w:t xml:space="preserve"> © 2022 by the authors. Submitted for possible open access publication under the terms and conditions of the Creative Commons Attribution (CC BY) license (https://creativecommons.org/licenses/by/4.0/).</w:t>
            </w:r>
          </w:p>
        </w:tc>
      </w:tr>
    </w:tbl>
    <w:p w14:paraId="0537CA39" w14:textId="77777777" w:rsidR="003C71C9" w:rsidRPr="00152CF1" w:rsidRDefault="009F36ED" w:rsidP="00152CF1">
      <w:pPr>
        <w:pStyle w:val="MDPI16affiliation"/>
        <w:numPr>
          <w:ilvl w:val="0"/>
          <w:numId w:val="7"/>
        </w:numPr>
        <w:ind w:left="2608" w:firstLine="0"/>
      </w:pPr>
      <w:r w:rsidRPr="00152CF1">
        <w:t xml:space="preserve">Unit of Infectious Diseases, Department of Internal Medicine, University Hospital 12 de </w:t>
      </w:r>
      <w:proofErr w:type="spellStart"/>
      <w:r w:rsidRPr="00152CF1">
        <w:t>Octubre</w:t>
      </w:r>
      <w:proofErr w:type="spellEnd"/>
      <w:r w:rsidRPr="00152CF1">
        <w:t xml:space="preserve">, Madrid, Spain </w:t>
      </w:r>
    </w:p>
    <w:p w14:paraId="4855A607" w14:textId="6868D41F" w:rsidR="003C71C9" w:rsidRDefault="009F36ED" w:rsidP="00152CF1">
      <w:pPr>
        <w:pStyle w:val="MDPI16affiliation"/>
        <w:numPr>
          <w:ilvl w:val="0"/>
          <w:numId w:val="7"/>
        </w:numPr>
        <w:ind w:left="2608" w:firstLine="0"/>
        <w:rPr>
          <w:lang w:val="es-ES"/>
        </w:rPr>
      </w:pPr>
      <w:r w:rsidRPr="00DE0F96">
        <w:rPr>
          <w:lang w:val="es-ES"/>
        </w:rPr>
        <w:t xml:space="preserve">Instituto de Investigación Hospital 12 de </w:t>
      </w:r>
      <w:proofErr w:type="gramStart"/>
      <w:r w:rsidRPr="00DE0F96">
        <w:rPr>
          <w:lang w:val="es-ES"/>
        </w:rPr>
        <w:t>Octubre</w:t>
      </w:r>
      <w:proofErr w:type="gramEnd"/>
      <w:r w:rsidRPr="00DE0F96">
        <w:rPr>
          <w:lang w:val="es-ES"/>
        </w:rPr>
        <w:t xml:space="preserve"> (imas12), Madrid, </w:t>
      </w:r>
      <w:proofErr w:type="spellStart"/>
      <w:r w:rsidRPr="00DE0F96">
        <w:rPr>
          <w:lang w:val="es-ES"/>
        </w:rPr>
        <w:t>Spain</w:t>
      </w:r>
      <w:proofErr w:type="spellEnd"/>
      <w:r w:rsidRPr="00DE0F96">
        <w:rPr>
          <w:lang w:val="es-ES"/>
        </w:rPr>
        <w:t xml:space="preserve"> </w:t>
      </w:r>
    </w:p>
    <w:p w14:paraId="189E8D85" w14:textId="6321251B" w:rsidR="00F90D83" w:rsidRPr="00DE0F96" w:rsidRDefault="00F90D83" w:rsidP="00152CF1">
      <w:pPr>
        <w:pStyle w:val="MDPI16affiliation"/>
        <w:numPr>
          <w:ilvl w:val="0"/>
          <w:numId w:val="7"/>
        </w:numPr>
        <w:ind w:left="2608" w:firstLine="0"/>
        <w:rPr>
          <w:lang w:val="es-ES"/>
        </w:rPr>
      </w:pPr>
      <w:r>
        <w:rPr>
          <w:lang w:val="es-ES"/>
        </w:rPr>
        <w:t>Centro de Investigación Biomédica en Red CIBERINFEC, ISCIII.</w:t>
      </w:r>
      <w:bookmarkStart w:id="0" w:name="_GoBack"/>
      <w:bookmarkEnd w:id="0"/>
    </w:p>
    <w:p w14:paraId="18CF32A9" w14:textId="77777777" w:rsidR="003C71C9" w:rsidRPr="00152CF1" w:rsidRDefault="009F36ED" w:rsidP="00152CF1">
      <w:pPr>
        <w:pStyle w:val="MDPI16affiliation"/>
        <w:numPr>
          <w:ilvl w:val="0"/>
          <w:numId w:val="7"/>
        </w:numPr>
        <w:ind w:left="2608" w:firstLine="0"/>
      </w:pPr>
      <w:r w:rsidRPr="00152CF1">
        <w:t xml:space="preserve">Department of Medicine, School of Medicine, Universidad </w:t>
      </w:r>
      <w:proofErr w:type="spellStart"/>
      <w:r w:rsidRPr="00152CF1">
        <w:t>Complutense</w:t>
      </w:r>
      <w:proofErr w:type="spellEnd"/>
      <w:r w:rsidRPr="00152CF1">
        <w:t>, Madrid, Spain</w:t>
      </w:r>
    </w:p>
    <w:p w14:paraId="5FD7483F" w14:textId="476C7E19" w:rsidR="003C71C9" w:rsidRPr="00152CF1" w:rsidRDefault="00152CF1" w:rsidP="00152CF1">
      <w:pPr>
        <w:pStyle w:val="MDPI16affiliation"/>
        <w:rPr>
          <w:rFonts w:eastAsia="Palatino Linotype"/>
        </w:rPr>
      </w:pPr>
      <w:r w:rsidRPr="00152CF1">
        <w:rPr>
          <w:rFonts w:eastAsia="Palatino Linotype"/>
          <w:b/>
        </w:rPr>
        <w:t>*</w:t>
      </w:r>
      <w:r w:rsidRPr="00152CF1">
        <w:rPr>
          <w:rFonts w:eastAsia="Palatino Linotype"/>
        </w:rPr>
        <w:tab/>
        <w:t xml:space="preserve">Correspondence: </w:t>
      </w:r>
      <w:r w:rsidR="009F36ED" w:rsidRPr="00152CF1">
        <w:rPr>
          <w:rFonts w:eastAsia="Palatino Linotype"/>
        </w:rPr>
        <w:t>marina.fayos.perez@gmail.com.</w:t>
      </w:r>
    </w:p>
    <w:p w14:paraId="60FB8455" w14:textId="77777777" w:rsidR="003C71C9" w:rsidRPr="00152CF1" w:rsidRDefault="009F36ED" w:rsidP="00152CF1">
      <w:pPr>
        <w:pStyle w:val="MDPI17abstract"/>
        <w:rPr>
          <w:rFonts w:eastAsia="Palatino Linotype"/>
        </w:rPr>
      </w:pPr>
      <w:r w:rsidRPr="00152CF1">
        <w:rPr>
          <w:rFonts w:eastAsia="Palatino Linotype"/>
          <w:b/>
        </w:rPr>
        <w:t xml:space="preserve">Abstract: </w:t>
      </w:r>
      <w:r w:rsidRPr="00152CF1">
        <w:rPr>
          <w:rFonts w:eastAsia="Palatino Linotype"/>
        </w:rPr>
        <w:t xml:space="preserve">Non-tuberculous mycobacteria (NTM) and </w:t>
      </w:r>
      <w:r w:rsidRPr="00152CF1">
        <w:rPr>
          <w:rFonts w:eastAsia="Palatino Linotype"/>
          <w:i/>
          <w:iCs/>
        </w:rPr>
        <w:t>Aspergillus</w:t>
      </w:r>
      <w:r w:rsidRPr="00152CF1">
        <w:rPr>
          <w:rFonts w:eastAsia="Palatino Linotype"/>
        </w:rPr>
        <w:t xml:space="preserve"> pulmonary co-infection is rarely reported and occurs in patients with underlying lung disease. We conducted a systematic search of NTM and </w:t>
      </w:r>
      <w:r w:rsidRPr="00152CF1">
        <w:rPr>
          <w:rFonts w:eastAsia="Palatino Linotype"/>
          <w:i/>
        </w:rPr>
        <w:t>Aspergillus</w:t>
      </w:r>
      <w:r w:rsidRPr="00152CF1">
        <w:rPr>
          <w:rFonts w:eastAsia="Palatino Linotype"/>
        </w:rPr>
        <w:t xml:space="preserve"> pulmonary co-infection in PubMed, EMBASE and Cochrane Library, to identify cases published from 1977 until May 2022. We included 507 articles comprising 1538 cases (only 817 patients with partial relevant clinical data). 54.3 % of patients were men, with a mean age of 57.7 years. Chronic obstructive pulmonary disease (21.1%), previous diagnosis of tuberculosis (18%) and asthma (11.1%) were the most common chronic lung disease, and corticosteroids were used in 36,8% of patients. The most frequent symptoms were cough (68.2%), dyspnea (59.1%) and hemoptysis (34,1%). The most common radiological findings were bronchiectasis (52.3%) and cavitation (40,8%). NTM and </w:t>
      </w:r>
      <w:r w:rsidRPr="00152CF1">
        <w:rPr>
          <w:rFonts w:eastAsia="Palatino Linotype"/>
          <w:i/>
        </w:rPr>
        <w:t>Aspergillus</w:t>
      </w:r>
      <w:r w:rsidRPr="00152CF1">
        <w:rPr>
          <w:rFonts w:eastAsia="Palatino Linotype"/>
        </w:rPr>
        <w:t xml:space="preserve"> were treated simultaneously in 47,3% of cases, whereas only NTM targeted-therapy was performed in 23,4% and only for </w:t>
      </w:r>
      <w:r w:rsidRPr="00152CF1">
        <w:rPr>
          <w:rFonts w:eastAsia="Palatino Linotype"/>
          <w:i/>
        </w:rPr>
        <w:t xml:space="preserve">Aspergillus </w:t>
      </w:r>
      <w:r w:rsidRPr="00152CF1">
        <w:rPr>
          <w:rFonts w:eastAsia="Palatino Linotype"/>
        </w:rPr>
        <w:t>in 1,6%. The remaining 27.7% did not receive any treatment and was considered to be colonized.  Global mortality rate was 43% (159/370). There was an increased prevalence of NTM and pulmonary aspergillosis among patients with underlying chronic lung diseases, which led to severe pulmonary affection with poor global prognosis.</w:t>
      </w:r>
    </w:p>
    <w:p w14:paraId="145E2739" w14:textId="1C621B6D" w:rsidR="003C71C9" w:rsidRPr="00152CF1" w:rsidRDefault="00152CF1" w:rsidP="00152CF1">
      <w:pPr>
        <w:pStyle w:val="MDPI18keywords"/>
        <w:rPr>
          <w:rFonts w:eastAsia="Palatino Linotype"/>
          <w:b/>
        </w:rPr>
      </w:pPr>
      <w:r w:rsidRPr="00152CF1">
        <w:rPr>
          <w:rFonts w:eastAsia="Palatino Linotype"/>
          <w:b/>
        </w:rPr>
        <w:t>Keywords:</w:t>
      </w:r>
      <w:r w:rsidR="009F36ED" w:rsidRPr="00152CF1">
        <w:rPr>
          <w:rFonts w:eastAsia="Palatino Linotype"/>
          <w:b/>
        </w:rPr>
        <w:t xml:space="preserve"> </w:t>
      </w:r>
      <w:r w:rsidR="009F36ED" w:rsidRPr="00152CF1">
        <w:rPr>
          <w:rFonts w:eastAsia="Palatino Linotype"/>
        </w:rPr>
        <w:t>Non-tuberculous mycobacteria</w:t>
      </w:r>
      <w:r w:rsidRPr="00152CF1">
        <w:rPr>
          <w:rFonts w:eastAsia="Palatino Linotype"/>
        </w:rPr>
        <w:t xml:space="preserve">; </w:t>
      </w:r>
      <w:r w:rsidR="009F36ED" w:rsidRPr="00152CF1">
        <w:rPr>
          <w:rFonts w:eastAsia="Palatino Linotype"/>
          <w:i/>
          <w:iCs/>
        </w:rPr>
        <w:t>Aspergillus</w:t>
      </w:r>
      <w:r w:rsidRPr="00152CF1">
        <w:rPr>
          <w:rFonts w:eastAsia="Palatino Linotype"/>
        </w:rPr>
        <w:t xml:space="preserve">; </w:t>
      </w:r>
      <w:r w:rsidR="009F36ED" w:rsidRPr="00152CF1">
        <w:rPr>
          <w:rFonts w:eastAsia="Palatino Linotype"/>
        </w:rPr>
        <w:t>Chronic lung disease</w:t>
      </w:r>
    </w:p>
    <w:p w14:paraId="7B1368E1" w14:textId="77777777" w:rsidR="003C71C9" w:rsidRPr="00152CF1" w:rsidRDefault="003C71C9" w:rsidP="00152CF1">
      <w:pPr>
        <w:pStyle w:val="MDPI19line"/>
        <w:pBdr>
          <w:bottom w:val="single" w:sz="4" w:space="1" w:color="000000"/>
        </w:pBdr>
        <w:rPr>
          <w:rFonts w:eastAsia="Palatino Linotype"/>
        </w:rPr>
      </w:pPr>
    </w:p>
    <w:p w14:paraId="32AB8244" w14:textId="0293B6C9" w:rsidR="003C71C9" w:rsidRPr="00152CF1" w:rsidRDefault="00152CF1" w:rsidP="00152CF1">
      <w:pPr>
        <w:pStyle w:val="MDPI21heading1"/>
        <w:rPr>
          <w:rFonts w:eastAsia="Palatino Linotype"/>
        </w:rPr>
      </w:pPr>
      <w:r>
        <w:rPr>
          <w:rFonts w:eastAsia="Palatino Linotype"/>
        </w:rPr>
        <w:t xml:space="preserve">1. </w:t>
      </w:r>
      <w:r w:rsidR="009F36ED" w:rsidRPr="00152CF1">
        <w:rPr>
          <w:rFonts w:eastAsia="Palatino Linotype"/>
        </w:rPr>
        <w:t>Introduction</w:t>
      </w:r>
    </w:p>
    <w:p w14:paraId="78B12E5C" w14:textId="77777777" w:rsidR="003C71C9" w:rsidRPr="00152CF1" w:rsidRDefault="009F36ED" w:rsidP="00152CF1">
      <w:pPr>
        <w:pStyle w:val="MDPI31text"/>
        <w:rPr>
          <w:rFonts w:eastAsia="Palatino Linotype"/>
        </w:rPr>
      </w:pPr>
      <w:r w:rsidRPr="00152CF1">
        <w:rPr>
          <w:rFonts w:eastAsia="Palatino Linotype"/>
          <w:i/>
          <w:iCs/>
        </w:rPr>
        <w:lastRenderedPageBreak/>
        <w:t>Aspergillus</w:t>
      </w:r>
      <w:r w:rsidRPr="00152CF1">
        <w:rPr>
          <w:rFonts w:eastAsia="Palatino Linotype"/>
        </w:rPr>
        <w:t xml:space="preserve"> causes various clinical manifestations in humans, from colonization to pulmonary aspergillosis, according to the immune competence of the patient [1]. Chronic pulmonary aspergillosis (CPA) is a slowly progressing lung disease caused by </w:t>
      </w:r>
      <w:r w:rsidRPr="00152CF1">
        <w:rPr>
          <w:rFonts w:eastAsia="Palatino Linotype"/>
          <w:i/>
          <w:iCs/>
        </w:rPr>
        <w:t>Aspergillus</w:t>
      </w:r>
      <w:r w:rsidRPr="00152CF1">
        <w:rPr>
          <w:rFonts w:eastAsia="Palatino Linotype"/>
        </w:rPr>
        <w:t xml:space="preserve"> species, which occurs in patients with underlying lung disease [2]. CPA comprises several different disease manifestations: simple aspergillomas, </w:t>
      </w:r>
      <w:r w:rsidRPr="00152CF1">
        <w:rPr>
          <w:rFonts w:eastAsia="Palatino Linotype"/>
          <w:i/>
          <w:iCs/>
        </w:rPr>
        <w:t>Aspergillus</w:t>
      </w:r>
      <w:r w:rsidRPr="00152CF1">
        <w:rPr>
          <w:rFonts w:eastAsia="Palatino Linotype"/>
        </w:rPr>
        <w:t xml:space="preserve"> nodules, chronic cavitary pulmonary aspergillosis (CCPA), and chronic fibrosing pulmonary aspergillosis. CCPA is characterized by one or more pulmonary cavities with or without aspergillomas [3]. </w:t>
      </w:r>
    </w:p>
    <w:p w14:paraId="404C8073" w14:textId="1E17DFFB" w:rsidR="003C71C9" w:rsidRPr="00152CF1" w:rsidRDefault="009F36ED" w:rsidP="00152CF1">
      <w:pPr>
        <w:pStyle w:val="MDPI31text"/>
        <w:rPr>
          <w:rFonts w:eastAsia="Palatino Linotype"/>
        </w:rPr>
      </w:pPr>
      <w:r w:rsidRPr="00152CF1">
        <w:rPr>
          <w:rFonts w:eastAsia="Palatino Linotype"/>
        </w:rPr>
        <w:t xml:space="preserve">Non-tuberculous mycobacterial (NTM) pulmonary infection is increasing worldwide [4, 5]. Mycobacterial infections are also capable of causing various pulmonary manifestations and patients with NTM often have co-infections with various pathogenic microorganisms, including </w:t>
      </w:r>
      <w:r w:rsidRPr="00152CF1">
        <w:rPr>
          <w:rFonts w:eastAsia="Palatino Linotype"/>
          <w:i/>
          <w:iCs/>
        </w:rPr>
        <w:t>Aspergillus</w:t>
      </w:r>
      <w:r w:rsidRPr="00152CF1">
        <w:rPr>
          <w:rFonts w:eastAsia="Palatino Linotype"/>
        </w:rPr>
        <w:t xml:space="preserve"> [6]. Both </w:t>
      </w:r>
      <w:r w:rsidRPr="00152CF1">
        <w:rPr>
          <w:rFonts w:eastAsia="Palatino Linotype"/>
          <w:i/>
          <w:iCs/>
        </w:rPr>
        <w:t>Aspergillus</w:t>
      </w:r>
      <w:r w:rsidRPr="00152CF1">
        <w:rPr>
          <w:rFonts w:eastAsia="Palatino Linotype"/>
        </w:rPr>
        <w:t xml:space="preserve"> and Mycobacterium are opportunistic pathogens that can cause severe pulmonary disease, but coinfection has been reportedly associated with poor prognosis [7, 8], and it is rarely reported in the literature. The delayed diagnosis of this condition and the challenge in the management due to drug interaction, may lead to a worse prognosis [2].</w:t>
      </w:r>
    </w:p>
    <w:p w14:paraId="51E88D86" w14:textId="488AC534" w:rsidR="003C71C9" w:rsidRPr="00152CF1" w:rsidRDefault="009F36ED" w:rsidP="00152CF1">
      <w:pPr>
        <w:pStyle w:val="MDPI31text"/>
        <w:rPr>
          <w:rFonts w:eastAsia="Palatino Linotype"/>
        </w:rPr>
      </w:pPr>
      <w:r w:rsidRPr="00152CF1">
        <w:rPr>
          <w:rFonts w:eastAsia="Palatino Linotype"/>
        </w:rPr>
        <w:t xml:space="preserve">We have reviewed the cases of co-infection by </w:t>
      </w:r>
      <w:r w:rsidR="003F442E" w:rsidRPr="00152CF1">
        <w:rPr>
          <w:rFonts w:eastAsia="Palatino Linotype"/>
        </w:rPr>
        <w:t>N</w:t>
      </w:r>
      <w:r w:rsidRPr="00152CF1">
        <w:rPr>
          <w:rFonts w:eastAsia="Palatino Linotype"/>
        </w:rPr>
        <w:t xml:space="preserve">TM and </w:t>
      </w:r>
      <w:r w:rsidRPr="00152CF1">
        <w:rPr>
          <w:rFonts w:eastAsia="Palatino Linotype"/>
          <w:i/>
        </w:rPr>
        <w:t>Aspergillus</w:t>
      </w:r>
      <w:r w:rsidRPr="00152CF1">
        <w:rPr>
          <w:rFonts w:eastAsia="Palatino Linotype"/>
        </w:rPr>
        <w:t xml:space="preserve"> described in the literature with the aim of establishing the </w:t>
      </w:r>
      <w:r w:rsidR="0024046B">
        <w:rPr>
          <w:rFonts w:eastAsia="Palatino Linotype"/>
        </w:rPr>
        <w:t>predisposing factors</w:t>
      </w:r>
      <w:r w:rsidR="004F7032">
        <w:rPr>
          <w:rFonts w:eastAsia="Palatino Linotype"/>
        </w:rPr>
        <w:t xml:space="preserve"> of developing the disease, </w:t>
      </w:r>
      <w:r w:rsidR="00F556B3">
        <w:rPr>
          <w:rFonts w:eastAsia="Palatino Linotype"/>
        </w:rPr>
        <w:t xml:space="preserve">the most common clinical manifestations, </w:t>
      </w:r>
      <w:r w:rsidR="004F7032">
        <w:rPr>
          <w:rFonts w:eastAsia="Palatino Linotype"/>
        </w:rPr>
        <w:t xml:space="preserve">and the </w:t>
      </w:r>
      <w:r w:rsidRPr="00152CF1">
        <w:rPr>
          <w:rFonts w:eastAsia="Palatino Linotype"/>
        </w:rPr>
        <w:t>consequences in the evolution of these patients.</w:t>
      </w:r>
      <w:r w:rsidR="00F556B3">
        <w:rPr>
          <w:rFonts w:eastAsia="Palatino Linotype"/>
        </w:rPr>
        <w:t xml:space="preserve"> This knowledge may be useful to</w:t>
      </w:r>
      <w:r w:rsidR="003F6BA2">
        <w:rPr>
          <w:rFonts w:eastAsia="Palatino Linotype"/>
        </w:rPr>
        <w:t xml:space="preserve"> proceed an earlier diagnosis and better management of these patients.</w:t>
      </w:r>
      <w:r w:rsidR="00F556B3">
        <w:rPr>
          <w:rFonts w:eastAsia="Palatino Linotype"/>
        </w:rPr>
        <w:t xml:space="preserve">  </w:t>
      </w:r>
    </w:p>
    <w:p w14:paraId="1A4E2AD7" w14:textId="6304138D" w:rsidR="003C71C9" w:rsidRPr="00152CF1" w:rsidRDefault="00152CF1" w:rsidP="00152CF1">
      <w:pPr>
        <w:pStyle w:val="MDPI21heading1"/>
        <w:rPr>
          <w:rFonts w:eastAsia="Palatino Linotype"/>
        </w:rPr>
      </w:pPr>
      <w:r>
        <w:rPr>
          <w:rFonts w:eastAsia="Palatino Linotype"/>
        </w:rPr>
        <w:t xml:space="preserve">2. </w:t>
      </w:r>
      <w:r w:rsidR="009F36ED" w:rsidRPr="00152CF1">
        <w:rPr>
          <w:rFonts w:eastAsia="Palatino Linotype"/>
        </w:rPr>
        <w:t>Materials and Methods</w:t>
      </w:r>
    </w:p>
    <w:p w14:paraId="5B71D3DD" w14:textId="48EA1844" w:rsidR="003C71C9" w:rsidRPr="00152CF1" w:rsidRDefault="00152CF1" w:rsidP="00152CF1">
      <w:pPr>
        <w:pStyle w:val="MDPI22heading2"/>
        <w:rPr>
          <w:rFonts w:eastAsia="Palatino Linotype"/>
        </w:rPr>
      </w:pPr>
      <w:r w:rsidRPr="00152CF1">
        <w:rPr>
          <w:rFonts w:eastAsia="Palatino Linotype"/>
        </w:rPr>
        <w:t xml:space="preserve">2.1. </w:t>
      </w:r>
      <w:r w:rsidR="009F36ED" w:rsidRPr="00152CF1">
        <w:rPr>
          <w:rFonts w:eastAsia="Palatino Linotype"/>
        </w:rPr>
        <w:t>Search strategy</w:t>
      </w:r>
    </w:p>
    <w:p w14:paraId="38D9AB90" w14:textId="55A74400" w:rsidR="003C71C9" w:rsidRDefault="009F36ED" w:rsidP="00152CF1">
      <w:pPr>
        <w:pStyle w:val="MDPI31text"/>
        <w:rPr>
          <w:rFonts w:eastAsia="Palatino Linotype"/>
        </w:rPr>
      </w:pPr>
      <w:r w:rsidRPr="00152CF1">
        <w:rPr>
          <w:rFonts w:eastAsia="Palatino Linotype"/>
        </w:rPr>
        <w:t>A systematic search was performed using PubMed (Medline), EMBASE and Cochrane Library databases, from inception to May 24, 2022. We used the combination of the following terms to identify pertaining literature: “mycobacterium infections, nontuberculous” or “non-tuberculous mycobacteria” or “atypical mycobacteria” and “</w:t>
      </w:r>
      <w:r w:rsidRPr="00514D0C">
        <w:rPr>
          <w:rFonts w:eastAsia="Palatino Linotype"/>
          <w:i/>
        </w:rPr>
        <w:t>aspergillus</w:t>
      </w:r>
      <w:r w:rsidRPr="00152CF1">
        <w:rPr>
          <w:rFonts w:eastAsia="Palatino Linotype"/>
        </w:rPr>
        <w:t>” or “aspergillosis”. We included publications in English, French, or Spanish (</w:t>
      </w:r>
      <w:r w:rsidRPr="00152CF1">
        <w:rPr>
          <w:rFonts w:eastAsia="Palatino Linotype"/>
          <w:b/>
          <w:bCs/>
        </w:rPr>
        <w:t>Figure 1</w:t>
      </w:r>
      <w:r w:rsidRPr="00152CF1">
        <w:rPr>
          <w:rFonts w:eastAsia="Palatino Linotype"/>
        </w:rPr>
        <w:t xml:space="preserve">). </w:t>
      </w:r>
    </w:p>
    <w:p w14:paraId="7FBA2FD4" w14:textId="77777777" w:rsidR="00340DAB" w:rsidRPr="00152CF1" w:rsidRDefault="00340DAB" w:rsidP="00340DAB">
      <w:pPr>
        <w:pStyle w:val="MDPI52figure"/>
        <w:ind w:left="2608"/>
        <w:jc w:val="left"/>
        <w:rPr>
          <w:rFonts w:eastAsia="Palatino Linotype"/>
        </w:rPr>
      </w:pPr>
      <w:r w:rsidRPr="00152CF1">
        <w:rPr>
          <w:rFonts w:eastAsia="Palatino Linotype"/>
          <w:noProof/>
        </w:rPr>
        <w:drawing>
          <wp:inline distT="0" distB="0" distL="0" distR="0" wp14:anchorId="6CDAC0B6" wp14:editId="1F1FF876">
            <wp:extent cx="3352110" cy="2281217"/>
            <wp:effectExtent l="0" t="0" r="1270" b="5080"/>
            <wp:docPr id="1" name="Imagen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10;&#10;Description automatically generated"/>
                    <pic:cNvPicPr/>
                  </pic:nvPicPr>
                  <pic:blipFill rotWithShape="1">
                    <a:blip r:embed="rId8">
                      <a:extLst>
                        <a:ext uri="{28A0092B-C50C-407E-A947-70E740481C1C}">
                          <a14:useLocalDpi xmlns:a14="http://schemas.microsoft.com/office/drawing/2010/main" val="0"/>
                        </a:ext>
                      </a:extLst>
                    </a:blip>
                    <a:srcRect t="3280" b="58657"/>
                    <a:stretch/>
                  </pic:blipFill>
                  <pic:spPr bwMode="auto">
                    <a:xfrm>
                      <a:off x="0" y="0"/>
                      <a:ext cx="3352800" cy="2281687"/>
                    </a:xfrm>
                    <a:prstGeom prst="rect">
                      <a:avLst/>
                    </a:prstGeom>
                    <a:ln>
                      <a:noFill/>
                    </a:ln>
                    <a:extLst>
                      <a:ext uri="{53640926-AAD7-44D8-BBD7-CCE9431645EC}">
                        <a14:shadowObscured xmlns:a14="http://schemas.microsoft.com/office/drawing/2010/main"/>
                      </a:ext>
                    </a:extLst>
                  </pic:spPr>
                </pic:pic>
              </a:graphicData>
            </a:graphic>
          </wp:inline>
        </w:drawing>
      </w:r>
    </w:p>
    <w:p w14:paraId="24C9CD6E" w14:textId="77777777" w:rsidR="00340DAB" w:rsidRPr="00152CF1" w:rsidRDefault="00340DAB" w:rsidP="00340DAB">
      <w:pPr>
        <w:pStyle w:val="MDPI51figurecaption"/>
      </w:pPr>
      <w:r w:rsidRPr="00152CF1">
        <w:rPr>
          <w:b/>
        </w:rPr>
        <w:t xml:space="preserve">Figure 1. </w:t>
      </w:r>
      <w:r w:rsidRPr="00152CF1">
        <w:t>Flow chart for literature search and study selection.</w:t>
      </w:r>
    </w:p>
    <w:p w14:paraId="6EDFDDC2" w14:textId="77777777" w:rsidR="00A31E72" w:rsidRDefault="009F36ED" w:rsidP="00152CF1">
      <w:pPr>
        <w:pStyle w:val="MDPI31text"/>
        <w:rPr>
          <w:rFonts w:eastAsia="Palatino Linotype"/>
        </w:rPr>
      </w:pPr>
      <w:r w:rsidRPr="00152CF1">
        <w:rPr>
          <w:rFonts w:eastAsia="Palatino Linotype"/>
        </w:rPr>
        <w:t xml:space="preserve">We included all published articles that fulfilled the following criteria: case reports, case series and case-control or cohort designs. We included those patients in whom NTM and </w:t>
      </w:r>
      <w:r w:rsidRPr="00514D0C">
        <w:rPr>
          <w:rFonts w:eastAsia="Palatino Linotype"/>
          <w:i/>
        </w:rPr>
        <w:t xml:space="preserve">Aspergillus </w:t>
      </w:r>
      <w:r w:rsidRPr="00152CF1">
        <w:rPr>
          <w:rFonts w:eastAsia="Palatino Linotype"/>
        </w:rPr>
        <w:t xml:space="preserve">had been concomitantly isolated from a respiratory sample, and whom both clinical and microbiological criteria were compatible with proven and probable NTM and Aspergillosis. </w:t>
      </w:r>
    </w:p>
    <w:p w14:paraId="1A877551" w14:textId="19E6C5F9" w:rsidR="001B7699" w:rsidRDefault="000B4160" w:rsidP="00D13E3E">
      <w:pPr>
        <w:pStyle w:val="MDPI31text"/>
        <w:rPr>
          <w:rFonts w:eastAsia="Palatino Linotype"/>
        </w:rPr>
      </w:pPr>
      <w:r>
        <w:rPr>
          <w:rFonts w:eastAsia="Palatino Linotype"/>
        </w:rPr>
        <w:lastRenderedPageBreak/>
        <w:t>In order to identify</w:t>
      </w:r>
      <w:r w:rsidR="00C16080">
        <w:rPr>
          <w:rFonts w:eastAsia="Palatino Linotype"/>
        </w:rPr>
        <w:t xml:space="preserve"> the NTM cases, c</w:t>
      </w:r>
      <w:r w:rsidR="009F36ED" w:rsidRPr="00152CF1">
        <w:rPr>
          <w:rFonts w:eastAsia="Palatino Linotype"/>
        </w:rPr>
        <w:t>linical</w:t>
      </w:r>
      <w:r w:rsidR="001B7699">
        <w:rPr>
          <w:rFonts w:eastAsia="Palatino Linotype"/>
        </w:rPr>
        <w:t>, radiologic</w:t>
      </w:r>
      <w:r w:rsidR="009F36ED" w:rsidRPr="00152CF1">
        <w:rPr>
          <w:rFonts w:eastAsia="Palatino Linotype"/>
        </w:rPr>
        <w:t xml:space="preserve"> and </w:t>
      </w:r>
      <w:r w:rsidR="00C16080">
        <w:rPr>
          <w:rFonts w:eastAsia="Palatino Linotype"/>
        </w:rPr>
        <w:t>m</w:t>
      </w:r>
      <w:r w:rsidR="009F36ED" w:rsidRPr="00152CF1">
        <w:rPr>
          <w:rFonts w:eastAsia="Palatino Linotype"/>
        </w:rPr>
        <w:t xml:space="preserve">icrobiologic </w:t>
      </w:r>
      <w:r w:rsidR="00C16080">
        <w:rPr>
          <w:rFonts w:eastAsia="Palatino Linotype"/>
        </w:rPr>
        <w:t>c</w:t>
      </w:r>
      <w:r w:rsidR="009F36ED" w:rsidRPr="00152CF1">
        <w:rPr>
          <w:rFonts w:eastAsia="Palatino Linotype"/>
        </w:rPr>
        <w:t xml:space="preserve">riteria for </w:t>
      </w:r>
      <w:r w:rsidR="00C16080">
        <w:rPr>
          <w:rFonts w:eastAsia="Palatino Linotype"/>
        </w:rPr>
        <w:t>d</w:t>
      </w:r>
      <w:r w:rsidR="009F36ED" w:rsidRPr="00152CF1">
        <w:rPr>
          <w:rFonts w:eastAsia="Palatino Linotype"/>
        </w:rPr>
        <w:t xml:space="preserve">iagnosis of Nontuberculous Mycobacterial Pulmonary Disease were </w:t>
      </w:r>
      <w:r w:rsidR="00C16080">
        <w:rPr>
          <w:rFonts w:eastAsia="Palatino Linotype"/>
        </w:rPr>
        <w:t xml:space="preserve">used, </w:t>
      </w:r>
      <w:r w:rsidR="009F36ED" w:rsidRPr="00152CF1">
        <w:rPr>
          <w:rFonts w:eastAsia="Palatino Linotype"/>
        </w:rPr>
        <w:t xml:space="preserve">based on the last Infectious Diseases Society of America (IDSA) guidelines [9]: </w:t>
      </w:r>
      <w:r w:rsidR="00043747">
        <w:rPr>
          <w:rFonts w:eastAsia="Palatino Linotype"/>
        </w:rPr>
        <w:t xml:space="preserve">we included patients with </w:t>
      </w:r>
      <w:r w:rsidR="009F36ED" w:rsidRPr="00152CF1">
        <w:rPr>
          <w:rFonts w:eastAsia="Palatino Linotype"/>
        </w:rPr>
        <w:t>pulmonary or systemic symptoms</w:t>
      </w:r>
      <w:r w:rsidR="001B7699">
        <w:rPr>
          <w:rFonts w:eastAsia="Palatino Linotype"/>
        </w:rPr>
        <w:t xml:space="preserve"> and the next radiologic findings: </w:t>
      </w:r>
      <w:r w:rsidR="009F36ED" w:rsidRPr="00152CF1">
        <w:rPr>
          <w:rFonts w:eastAsia="Palatino Linotype"/>
        </w:rPr>
        <w:t>nodular or cavitary opacities on chest radiograph</w:t>
      </w:r>
      <w:r w:rsidR="00043747">
        <w:rPr>
          <w:rFonts w:eastAsia="Palatino Linotype"/>
        </w:rPr>
        <w:t xml:space="preserve"> </w:t>
      </w:r>
      <w:r w:rsidR="009F36ED" w:rsidRPr="00152CF1">
        <w:rPr>
          <w:rFonts w:eastAsia="Palatino Linotype"/>
        </w:rPr>
        <w:t>or bronchiectasis with multiple small nodules in a high-resolution computed tomography scan (CT)</w:t>
      </w:r>
      <w:r w:rsidR="00D13E3E">
        <w:rPr>
          <w:rFonts w:eastAsia="Palatino Linotype"/>
        </w:rPr>
        <w:t xml:space="preserve"> </w:t>
      </w:r>
      <w:r w:rsidR="00D13E3E" w:rsidRPr="00152CF1">
        <w:rPr>
          <w:rFonts w:eastAsia="Palatino Linotype"/>
        </w:rPr>
        <w:t>[9]</w:t>
      </w:r>
      <w:r w:rsidR="001B7699">
        <w:rPr>
          <w:rFonts w:eastAsia="Palatino Linotype"/>
        </w:rPr>
        <w:t xml:space="preserve">. All of them also met the next microbiologic criteria: a </w:t>
      </w:r>
      <w:r w:rsidR="009F36ED" w:rsidRPr="00152CF1">
        <w:rPr>
          <w:rFonts w:eastAsia="Palatino Linotype"/>
        </w:rPr>
        <w:t>positive culture results from at least two separate expectorated sputum samples</w:t>
      </w:r>
      <w:r w:rsidR="00D13E3E">
        <w:rPr>
          <w:rFonts w:eastAsia="Palatino Linotype"/>
        </w:rPr>
        <w:t xml:space="preserve">; </w:t>
      </w:r>
      <w:r w:rsidR="001B7699">
        <w:rPr>
          <w:rFonts w:eastAsia="Palatino Linotype"/>
        </w:rPr>
        <w:t xml:space="preserve">or </w:t>
      </w:r>
      <w:r w:rsidR="009F36ED" w:rsidRPr="00152CF1">
        <w:rPr>
          <w:rFonts w:eastAsia="Palatino Linotype"/>
        </w:rPr>
        <w:t>one</w:t>
      </w:r>
      <w:r w:rsidR="001B7699">
        <w:rPr>
          <w:rFonts w:eastAsia="Palatino Linotype"/>
        </w:rPr>
        <w:t xml:space="preserve"> positive culture from at least one</w:t>
      </w:r>
      <w:r w:rsidR="009F36ED" w:rsidRPr="00152CF1">
        <w:rPr>
          <w:rFonts w:eastAsia="Palatino Linotype"/>
        </w:rPr>
        <w:t xml:space="preserve"> bronchial wash or lavage</w:t>
      </w:r>
      <w:r w:rsidR="00D13E3E">
        <w:rPr>
          <w:rFonts w:eastAsia="Palatino Linotype"/>
        </w:rPr>
        <w:t xml:space="preserve">; </w:t>
      </w:r>
      <w:r w:rsidR="009F36ED" w:rsidRPr="00152CF1">
        <w:rPr>
          <w:rFonts w:eastAsia="Palatino Linotype"/>
        </w:rPr>
        <w:t xml:space="preserve">or lung biopsy with mycobacterial histologic features </w:t>
      </w:r>
      <w:r w:rsidR="001B7699" w:rsidRPr="001B7699">
        <w:rPr>
          <w:rFonts w:eastAsia="Palatino Linotype"/>
        </w:rPr>
        <w:t>(granulomatous inflammation or AFB) and positive culture for</w:t>
      </w:r>
      <w:r w:rsidR="001B7699">
        <w:rPr>
          <w:rFonts w:eastAsia="Palatino Linotype"/>
        </w:rPr>
        <w:t xml:space="preserve"> </w:t>
      </w:r>
      <w:r w:rsidR="001B7699" w:rsidRPr="001B7699">
        <w:rPr>
          <w:rFonts w:eastAsia="Palatino Linotype"/>
        </w:rPr>
        <w:t>NTM or biopsy showing mycobacterial histologic features (granulomatous inflammation or AFB) and one or more sputum or bronchial</w:t>
      </w:r>
      <w:r w:rsidR="00D13E3E">
        <w:rPr>
          <w:rFonts w:eastAsia="Palatino Linotype"/>
        </w:rPr>
        <w:t xml:space="preserve"> </w:t>
      </w:r>
      <w:r w:rsidR="001B7699" w:rsidRPr="001B7699">
        <w:rPr>
          <w:rFonts w:eastAsia="Palatino Linotype"/>
        </w:rPr>
        <w:t>washings that are culture positive for NTM</w:t>
      </w:r>
      <w:r w:rsidR="00D13E3E">
        <w:rPr>
          <w:rFonts w:eastAsia="Palatino Linotype"/>
        </w:rPr>
        <w:t xml:space="preserve"> </w:t>
      </w:r>
      <w:r w:rsidR="00D13E3E" w:rsidRPr="00152CF1">
        <w:rPr>
          <w:rFonts w:eastAsia="Palatino Linotype"/>
        </w:rPr>
        <w:t>[9]</w:t>
      </w:r>
      <w:r w:rsidR="00D13E3E">
        <w:rPr>
          <w:rFonts w:eastAsia="Palatino Linotype"/>
        </w:rPr>
        <w:t>.</w:t>
      </w:r>
    </w:p>
    <w:p w14:paraId="7DB5C6D8" w14:textId="12E5931D" w:rsidR="003C71C9" w:rsidRPr="00152CF1" w:rsidRDefault="009F36ED" w:rsidP="00673D92">
      <w:pPr>
        <w:pStyle w:val="MDPI31text"/>
        <w:rPr>
          <w:rFonts w:eastAsia="Palatino Linotype"/>
        </w:rPr>
      </w:pPr>
      <w:r w:rsidRPr="00152CF1">
        <w:rPr>
          <w:rFonts w:eastAsia="Palatino Linotype"/>
        </w:rPr>
        <w:t xml:space="preserve">Also, according to the last </w:t>
      </w:r>
      <w:r w:rsidR="00D13E3E" w:rsidRPr="00D13E3E">
        <w:rPr>
          <w:rFonts w:eastAsia="Palatino Linotype" w:cs="Palatino Linotype"/>
          <w:szCs w:val="20"/>
        </w:rPr>
        <w:t>Treatment of aspergillosis guidelines</w:t>
      </w:r>
      <w:r w:rsidR="00D13E3E" w:rsidRPr="00152CF1">
        <w:rPr>
          <w:rFonts w:eastAsia="Palatino Linotype" w:cs="Palatino Linotype"/>
          <w:sz w:val="18"/>
          <w:szCs w:val="18"/>
        </w:rPr>
        <w:t xml:space="preserve"> </w:t>
      </w:r>
      <w:r w:rsidRPr="00152CF1">
        <w:rPr>
          <w:rFonts w:eastAsia="Palatino Linotype"/>
        </w:rPr>
        <w:t xml:space="preserve">from IDSA [10], pulmonary aspergillosis </w:t>
      </w:r>
      <w:r w:rsidR="00D13E3E">
        <w:rPr>
          <w:rFonts w:eastAsia="Palatino Linotype"/>
        </w:rPr>
        <w:t xml:space="preserve">cases were identified and </w:t>
      </w:r>
      <w:r w:rsidRPr="00152CF1">
        <w:rPr>
          <w:rFonts w:eastAsia="Palatino Linotype"/>
        </w:rPr>
        <w:t xml:space="preserve">categorized as invasive, chronic, or allergic [12]. </w:t>
      </w:r>
      <w:r w:rsidR="00F90BA3">
        <w:rPr>
          <w:rFonts w:eastAsia="Palatino Linotype"/>
        </w:rPr>
        <w:t xml:space="preserve">Invasive </w:t>
      </w:r>
      <w:r w:rsidR="00F90BA3" w:rsidRPr="00F90BA3">
        <w:rPr>
          <w:rFonts w:eastAsia="Palatino Linotype"/>
        </w:rPr>
        <w:t>disease</w:t>
      </w:r>
      <w:r w:rsidR="00673D92">
        <w:rPr>
          <w:rFonts w:eastAsia="Palatino Linotype"/>
        </w:rPr>
        <w:t xml:space="preserve"> </w:t>
      </w:r>
      <w:r w:rsidR="00F90BA3" w:rsidRPr="00F90BA3">
        <w:rPr>
          <w:rFonts w:eastAsia="Palatino Linotype"/>
        </w:rPr>
        <w:t>caused by</w:t>
      </w:r>
      <w:r w:rsidR="00F90BA3">
        <w:rPr>
          <w:rFonts w:eastAsia="Palatino Linotype"/>
        </w:rPr>
        <w:t xml:space="preserve"> </w:t>
      </w:r>
      <w:r w:rsidR="00F90BA3" w:rsidRPr="00673D92">
        <w:rPr>
          <w:rFonts w:eastAsia="Palatino Linotype"/>
          <w:i/>
        </w:rPr>
        <w:t xml:space="preserve">Aspergillus </w:t>
      </w:r>
      <w:r w:rsidR="00F90BA3" w:rsidRPr="00F90BA3">
        <w:rPr>
          <w:rFonts w:eastAsia="Palatino Linotype"/>
        </w:rPr>
        <w:t>species</w:t>
      </w:r>
      <w:r w:rsidR="00F90BA3">
        <w:rPr>
          <w:rFonts w:eastAsia="Palatino Linotype"/>
        </w:rPr>
        <w:t xml:space="preserve"> </w:t>
      </w:r>
      <w:r w:rsidR="00673D92" w:rsidRPr="00F90BA3">
        <w:rPr>
          <w:rFonts w:eastAsia="Palatino Linotype"/>
        </w:rPr>
        <w:t>include</w:t>
      </w:r>
      <w:r w:rsidR="00673D92">
        <w:rPr>
          <w:rFonts w:eastAsia="Palatino Linotype"/>
        </w:rPr>
        <w:t>s</w:t>
      </w:r>
      <w:r w:rsidR="00673D92" w:rsidRPr="00F90BA3">
        <w:rPr>
          <w:rFonts w:eastAsia="Palatino Linotype"/>
        </w:rPr>
        <w:t xml:space="preserve"> infection of the lower respiratory tract</w:t>
      </w:r>
      <w:r w:rsidR="00F90BA3">
        <w:rPr>
          <w:rFonts w:eastAsia="Palatino Linotype"/>
        </w:rPr>
        <w:t xml:space="preserve"> </w:t>
      </w:r>
      <w:r w:rsidR="00F90BA3" w:rsidRPr="00F90BA3">
        <w:rPr>
          <w:rFonts w:eastAsia="Palatino Linotype"/>
        </w:rPr>
        <w:t>as portal</w:t>
      </w:r>
      <w:r w:rsidR="00673D92">
        <w:rPr>
          <w:rFonts w:eastAsia="Palatino Linotype"/>
        </w:rPr>
        <w:t xml:space="preserve"> </w:t>
      </w:r>
      <w:r w:rsidR="00673D92" w:rsidRPr="00F90BA3">
        <w:rPr>
          <w:rFonts w:eastAsia="Palatino Linotype"/>
        </w:rPr>
        <w:t>of entry</w:t>
      </w:r>
      <w:r w:rsidR="00673D92">
        <w:rPr>
          <w:rFonts w:eastAsia="Palatino Linotype"/>
        </w:rPr>
        <w:t xml:space="preserve"> </w:t>
      </w:r>
      <w:r w:rsidR="00673D92" w:rsidRPr="00673D92">
        <w:rPr>
          <w:rFonts w:eastAsia="Palatino Linotype"/>
        </w:rPr>
        <w:t>and</w:t>
      </w:r>
      <w:r w:rsidR="00673D92">
        <w:rPr>
          <w:rFonts w:eastAsia="Palatino Linotype"/>
        </w:rPr>
        <w:t xml:space="preserve"> </w:t>
      </w:r>
      <w:r w:rsidR="00673D92" w:rsidRPr="00673D92">
        <w:rPr>
          <w:rFonts w:eastAsia="Palatino Linotype"/>
        </w:rPr>
        <w:t xml:space="preserve">other tissues </w:t>
      </w:r>
      <w:r w:rsidR="00673D92">
        <w:rPr>
          <w:rFonts w:eastAsia="Palatino Linotype"/>
        </w:rPr>
        <w:t xml:space="preserve">that </w:t>
      </w:r>
      <w:r w:rsidR="00673D92" w:rsidRPr="00673D92">
        <w:rPr>
          <w:rFonts w:eastAsia="Palatino Linotype"/>
        </w:rPr>
        <w:t>may be infected as a result of hematogenous dissemination or direct extension from contiguous foci of infection</w:t>
      </w:r>
      <w:r w:rsidR="00673D92">
        <w:rPr>
          <w:rFonts w:eastAsia="Palatino Linotype"/>
        </w:rPr>
        <w:t xml:space="preserve"> </w:t>
      </w:r>
      <w:r w:rsidR="00673D92" w:rsidRPr="00152CF1">
        <w:rPr>
          <w:rFonts w:eastAsia="Palatino Linotype"/>
        </w:rPr>
        <w:t>[10]</w:t>
      </w:r>
      <w:r w:rsidR="00F90BA3" w:rsidRPr="00F90BA3">
        <w:rPr>
          <w:rFonts w:eastAsia="Palatino Linotype"/>
        </w:rPr>
        <w:t xml:space="preserve">. </w:t>
      </w:r>
      <w:r w:rsidRPr="00152CF1">
        <w:rPr>
          <w:rFonts w:eastAsia="Palatino Linotype"/>
        </w:rPr>
        <w:t>Chronic forms of pulmonary aspergillosis consist of simple aspergilloma, CCPA, and chronic necrotizing pulmonary aspergillosis (CNPA)</w:t>
      </w:r>
      <w:r w:rsidR="00673D92" w:rsidRPr="00673D92">
        <w:rPr>
          <w:rFonts w:eastAsia="Palatino Linotype"/>
        </w:rPr>
        <w:t xml:space="preserve"> </w:t>
      </w:r>
      <w:r w:rsidR="00673D92" w:rsidRPr="00152CF1">
        <w:rPr>
          <w:rFonts w:eastAsia="Palatino Linotype"/>
        </w:rPr>
        <w:t>[10]</w:t>
      </w:r>
      <w:r w:rsidRPr="00152CF1">
        <w:rPr>
          <w:rFonts w:eastAsia="Palatino Linotype"/>
        </w:rPr>
        <w:t>. CCPA is defined as multiple cavities with or without aspergilloma in association with pulmonary and systemic symptoms and an increase in inflammatory markers [10].</w:t>
      </w:r>
      <w:r w:rsidR="00F90BA3">
        <w:rPr>
          <w:rFonts w:eastAsia="Palatino Linotype"/>
        </w:rPr>
        <w:t xml:space="preserve"> </w:t>
      </w:r>
      <w:r w:rsidR="00673D92" w:rsidRPr="00F90BA3">
        <w:rPr>
          <w:rFonts w:eastAsia="Palatino Linotype"/>
        </w:rPr>
        <w:t>Allergic conditions such</w:t>
      </w:r>
      <w:r w:rsidR="00673D92">
        <w:rPr>
          <w:rFonts w:eastAsia="Palatino Linotype"/>
        </w:rPr>
        <w:t xml:space="preserve"> as</w:t>
      </w:r>
      <w:r w:rsidR="00F90BA3">
        <w:rPr>
          <w:rFonts w:eastAsia="Palatino Linotype"/>
        </w:rPr>
        <w:t xml:space="preserve"> </w:t>
      </w:r>
      <w:r w:rsidR="00F90BA3" w:rsidRPr="00F90BA3">
        <w:rPr>
          <w:rFonts w:eastAsia="Palatino Linotype"/>
        </w:rPr>
        <w:t>allergic bronchopulmonary aspergillosis</w:t>
      </w:r>
      <w:r w:rsidR="00673D92">
        <w:rPr>
          <w:rFonts w:eastAsia="Palatino Linotype"/>
        </w:rPr>
        <w:t xml:space="preserve"> </w:t>
      </w:r>
      <w:proofErr w:type="gramStart"/>
      <w:r w:rsidR="00673D92">
        <w:rPr>
          <w:rFonts w:eastAsia="Palatino Linotype"/>
        </w:rPr>
        <w:t>were</w:t>
      </w:r>
      <w:proofErr w:type="gramEnd"/>
      <w:r w:rsidR="00673D92">
        <w:rPr>
          <w:rFonts w:eastAsia="Palatino Linotype"/>
        </w:rPr>
        <w:t xml:space="preserve"> also included </w:t>
      </w:r>
      <w:r w:rsidR="00673D92" w:rsidRPr="00152CF1">
        <w:rPr>
          <w:rFonts w:eastAsia="Palatino Linotype"/>
        </w:rPr>
        <w:t>[10]</w:t>
      </w:r>
      <w:r w:rsidR="00673D92">
        <w:rPr>
          <w:rFonts w:eastAsia="Palatino Linotype"/>
        </w:rPr>
        <w:t>.</w:t>
      </w:r>
    </w:p>
    <w:p w14:paraId="5950BF3A" w14:textId="77777777" w:rsidR="003C71C9" w:rsidRPr="00152CF1" w:rsidRDefault="009F36ED" w:rsidP="00152CF1">
      <w:pPr>
        <w:pStyle w:val="MDPI31text"/>
        <w:rPr>
          <w:rFonts w:eastAsia="Palatino Linotype"/>
        </w:rPr>
      </w:pPr>
      <w:r w:rsidRPr="00152CF1">
        <w:rPr>
          <w:rFonts w:eastAsia="Palatino Linotype"/>
        </w:rPr>
        <w:t>Studies were excluded if they did not fulfill these criteria, including only NTM or Aspergillosis cases in the absence of coinfection, extrapulmonary diseases such as skin or soft-tissue infection or cases that were diagnosed in animals. In case of partially overlapping publications, only the study with the highest number of individuals or the most modern series was included.</w:t>
      </w:r>
    </w:p>
    <w:p w14:paraId="58C988BA" w14:textId="5BD72720" w:rsidR="003C71C9" w:rsidRDefault="009F36ED" w:rsidP="00152CF1">
      <w:pPr>
        <w:pStyle w:val="MDPI31text"/>
        <w:rPr>
          <w:rFonts w:eastAsia="Palatino Linotype"/>
        </w:rPr>
      </w:pPr>
      <w:r w:rsidRPr="00152CF1">
        <w:rPr>
          <w:rFonts w:eastAsia="Palatino Linotype"/>
        </w:rPr>
        <w:t>We reviewed and extracted data using a standard process for each retrieved article. The following variables were assessed using a standardized data collection form: demographics, alcohol and smoking habits, comorbidities, clinical presentation, type of pattern on chest imaging studies (simple radiography or CT), microbiologic findings, type of infection, treatment, and outcome.</w:t>
      </w:r>
    </w:p>
    <w:p w14:paraId="6804D7CD" w14:textId="7660892A" w:rsidR="003F6BA2" w:rsidRDefault="003F6BA2" w:rsidP="00152CF1">
      <w:pPr>
        <w:pStyle w:val="MDPI31text"/>
        <w:rPr>
          <w:rFonts w:eastAsia="Palatino Linotype"/>
        </w:rPr>
      </w:pPr>
    </w:p>
    <w:p w14:paraId="5AD4C861" w14:textId="77777777" w:rsidR="003F6BA2" w:rsidRPr="003F6BA2" w:rsidRDefault="003F6BA2" w:rsidP="003F6BA2">
      <w:pPr>
        <w:pStyle w:val="MDPI31text"/>
        <w:ind w:left="2124"/>
        <w:rPr>
          <w:rFonts w:eastAsia="Palatino Linotype"/>
          <w:b/>
        </w:rPr>
      </w:pPr>
      <w:r w:rsidRPr="003F6BA2">
        <w:rPr>
          <w:rFonts w:eastAsia="Palatino Linotype"/>
          <w:b/>
        </w:rPr>
        <w:t>2.2 Statistical Analysis</w:t>
      </w:r>
    </w:p>
    <w:p w14:paraId="707B1A20" w14:textId="3528D167" w:rsidR="003F6BA2" w:rsidRPr="00152CF1" w:rsidRDefault="003F6BA2" w:rsidP="003F6BA2">
      <w:pPr>
        <w:pStyle w:val="MDPI31text"/>
        <w:rPr>
          <w:rFonts w:eastAsia="Palatino Linotype"/>
        </w:rPr>
      </w:pPr>
      <w:r>
        <w:rPr>
          <w:rFonts w:eastAsia="Palatino Linotype"/>
        </w:rPr>
        <w:t xml:space="preserve">Only descriptive analyses were made in this review. </w:t>
      </w:r>
      <w:r w:rsidRPr="003F6BA2">
        <w:rPr>
          <w:rFonts w:eastAsia="Palatino Linotype"/>
        </w:rPr>
        <w:t>Quantitative data were shown as the mean standard deviation (SD), or the median</w:t>
      </w:r>
      <w:r>
        <w:rPr>
          <w:rFonts w:eastAsia="Palatino Linotype"/>
        </w:rPr>
        <w:t xml:space="preserve"> </w:t>
      </w:r>
      <w:r w:rsidRPr="003F6BA2">
        <w:rPr>
          <w:rFonts w:eastAsia="Palatino Linotype"/>
        </w:rPr>
        <w:t>with absolute or interquartile (Q1–Q3) ranges, as appropriate. Qualitative variables were</w:t>
      </w:r>
      <w:r>
        <w:rPr>
          <w:rFonts w:eastAsia="Palatino Linotype"/>
        </w:rPr>
        <w:t xml:space="preserve"> </w:t>
      </w:r>
      <w:r w:rsidRPr="003F6BA2">
        <w:rPr>
          <w:rFonts w:eastAsia="Palatino Linotype"/>
        </w:rPr>
        <w:t>summarized with absolute and relative frequencies and 95% confidence intervals (CIs).</w:t>
      </w:r>
      <w:r>
        <w:rPr>
          <w:rFonts w:eastAsia="Palatino Linotype"/>
        </w:rPr>
        <w:t xml:space="preserve"> </w:t>
      </w:r>
      <w:r w:rsidRPr="003F6BA2">
        <w:rPr>
          <w:rFonts w:eastAsia="Palatino Linotype"/>
        </w:rPr>
        <w:t xml:space="preserve">The </w:t>
      </w:r>
      <w:r>
        <w:rPr>
          <w:rFonts w:eastAsia="Palatino Linotype"/>
        </w:rPr>
        <w:t xml:space="preserve">descriptive </w:t>
      </w:r>
      <w:r w:rsidRPr="003F6BA2">
        <w:rPr>
          <w:rFonts w:eastAsia="Palatino Linotype"/>
        </w:rPr>
        <w:t>analysis was carried out using SPSS v. 15.0 (SPSS Inc, Chicago, IL).</w:t>
      </w:r>
    </w:p>
    <w:p w14:paraId="665F5A93" w14:textId="1E421996" w:rsidR="002517A6" w:rsidRPr="00152CF1" w:rsidRDefault="00152CF1" w:rsidP="002517A6">
      <w:pPr>
        <w:pStyle w:val="MDPI21heading1"/>
        <w:rPr>
          <w:rFonts w:eastAsia="Palatino Linotype"/>
        </w:rPr>
      </w:pPr>
      <w:r>
        <w:rPr>
          <w:rFonts w:eastAsia="Palatino Linotype"/>
        </w:rPr>
        <w:t xml:space="preserve">3. </w:t>
      </w:r>
      <w:r w:rsidR="009F36ED" w:rsidRPr="00152CF1">
        <w:rPr>
          <w:rFonts w:eastAsia="Palatino Linotype"/>
        </w:rPr>
        <w:t>Results</w:t>
      </w:r>
    </w:p>
    <w:p w14:paraId="4144709D" w14:textId="586F1EC1" w:rsidR="002517A6" w:rsidRDefault="002517A6" w:rsidP="002517A6">
      <w:pPr>
        <w:pStyle w:val="MDPI22heading2"/>
        <w:numPr>
          <w:ilvl w:val="1"/>
          <w:numId w:val="7"/>
        </w:numPr>
        <w:rPr>
          <w:rFonts w:eastAsia="Palatino Linotype"/>
        </w:rPr>
      </w:pPr>
      <w:r>
        <w:rPr>
          <w:rFonts w:eastAsia="Palatino Linotype"/>
        </w:rPr>
        <w:t>Results of the search.</w:t>
      </w:r>
    </w:p>
    <w:p w14:paraId="43D0C46D" w14:textId="1D619E2D" w:rsidR="002517A6" w:rsidRDefault="002517A6" w:rsidP="002517A6">
      <w:pPr>
        <w:pStyle w:val="MDPI31text"/>
        <w:rPr>
          <w:rFonts w:eastAsia="Palatino Linotype"/>
        </w:rPr>
      </w:pPr>
      <w:r w:rsidRPr="00152CF1">
        <w:rPr>
          <w:rFonts w:eastAsia="Palatino Linotype"/>
        </w:rPr>
        <w:t xml:space="preserve">Overall, we retrieved 763 articles. First, we excluded papers in languages other than English, French or Spanish (12 articles). After a detailed evaluation, we also excluded those papers that didn´t refer to NTM and </w:t>
      </w:r>
      <w:r w:rsidRPr="00152CF1">
        <w:rPr>
          <w:rFonts w:eastAsia="Palatino Linotype"/>
          <w:i/>
          <w:iCs/>
        </w:rPr>
        <w:t>Aspergillus</w:t>
      </w:r>
      <w:r w:rsidRPr="00152CF1">
        <w:rPr>
          <w:rFonts w:eastAsia="Palatino Linotype"/>
        </w:rPr>
        <w:t xml:space="preserve"> co-infection (67 articles), extrapulmonary diseases cases (10 articles) or those specifically involved with treatments (5 articles). We also excluded 45 literature reviews with no original data, 5 studies and reports based on animals, and 2 guidelines. 50 references were not included due to the impossibility to obtain the complete article. Therefore, we included a total of 507 articles comprising 1538 cases of NTM and </w:t>
      </w:r>
      <w:r w:rsidRPr="00152CF1">
        <w:rPr>
          <w:rFonts w:eastAsia="Palatino Linotype"/>
          <w:i/>
          <w:iCs/>
        </w:rPr>
        <w:t>Aspergillus</w:t>
      </w:r>
      <w:r w:rsidRPr="00152CF1">
        <w:rPr>
          <w:rFonts w:eastAsia="Palatino Linotype"/>
        </w:rPr>
        <w:t xml:space="preserve"> coinfection published since 1977. Of these cases, 40 were individually detailed cases, and 1498 were summarized in reports containing 2–187 cases. There were only 817 patients in whom there was partial relevant clinical or microbiological information and they are included in this study. </w:t>
      </w:r>
    </w:p>
    <w:p w14:paraId="367B5C10" w14:textId="08658DCA" w:rsidR="003C71C9" w:rsidRPr="00152CF1" w:rsidRDefault="00152CF1" w:rsidP="00152CF1">
      <w:pPr>
        <w:pStyle w:val="MDPI22heading2"/>
        <w:rPr>
          <w:rFonts w:eastAsia="Palatino Linotype"/>
        </w:rPr>
      </w:pPr>
      <w:r w:rsidRPr="00152CF1">
        <w:rPr>
          <w:rFonts w:eastAsia="Palatino Linotype"/>
        </w:rPr>
        <w:lastRenderedPageBreak/>
        <w:t>3.</w:t>
      </w:r>
      <w:r w:rsidR="002517A6">
        <w:rPr>
          <w:rFonts w:eastAsia="Palatino Linotype"/>
        </w:rPr>
        <w:t>2</w:t>
      </w:r>
      <w:r w:rsidRPr="00152CF1">
        <w:rPr>
          <w:rFonts w:eastAsia="Palatino Linotype"/>
        </w:rPr>
        <w:t xml:space="preserve">. </w:t>
      </w:r>
      <w:r w:rsidR="009F36ED" w:rsidRPr="00152CF1">
        <w:rPr>
          <w:rFonts w:eastAsia="Palatino Linotype"/>
        </w:rPr>
        <w:t>Demographics and comorbidities.</w:t>
      </w:r>
    </w:p>
    <w:p w14:paraId="3587AF8C" w14:textId="77777777" w:rsidR="003C71C9" w:rsidRPr="00152CF1" w:rsidRDefault="009F36ED" w:rsidP="00152CF1">
      <w:pPr>
        <w:pStyle w:val="MDPI31text"/>
        <w:rPr>
          <w:rFonts w:eastAsia="Palatino Linotype"/>
        </w:rPr>
      </w:pPr>
      <w:r w:rsidRPr="00152CF1">
        <w:rPr>
          <w:rFonts w:eastAsia="Palatino Linotype"/>
        </w:rPr>
        <w:t xml:space="preserve">We jointly analyzed a total of 817 cases with enough relevant, although partial, clinical or microbiologic data. Basic demographics (age and sex) were available for 523 and 521 of these patients, respectively: 54.3 % were men, with a mean age at diagnosis of 57.7 +/- 20 years. Major lung and other chronic comorbidities are detailed in </w:t>
      </w:r>
      <w:r w:rsidRPr="00152CF1">
        <w:rPr>
          <w:rFonts w:eastAsia="Palatino Linotype"/>
          <w:b/>
        </w:rPr>
        <w:t>Table 1</w:t>
      </w:r>
      <w:r w:rsidRPr="00152CF1">
        <w:rPr>
          <w:rFonts w:eastAsia="Palatino Linotype"/>
        </w:rPr>
        <w:t xml:space="preserve">. Chronic obstructive pulmonary disease (COPD) was the most frequent chronic lung disease (21.1%, n=105), followed by a previous diagnosis of active tuberculosis (18%, n=92), asthma (11.1%, n=55), interstitial lung disease (6%, n=30) and emphysema (4.8%, n=24). Corticosteroids were used in 36.8% of cases (n=183), 18.7% inhaled (n=93) and 18.1% systemic (n=90). </w:t>
      </w:r>
    </w:p>
    <w:p w14:paraId="3166709E" w14:textId="04A4EA6D" w:rsidR="003C71C9" w:rsidRPr="00152CF1" w:rsidRDefault="00152CF1" w:rsidP="00152CF1">
      <w:pPr>
        <w:pStyle w:val="MDPI41tablecaption"/>
        <w:jc w:val="both"/>
        <w:rPr>
          <w:rFonts w:eastAsia="Palatino Linotype"/>
        </w:rPr>
      </w:pPr>
      <w:r w:rsidRPr="00152CF1">
        <w:rPr>
          <w:rFonts w:eastAsia="Palatino Linotype"/>
          <w:b/>
        </w:rPr>
        <w:t xml:space="preserve">Table 1. </w:t>
      </w:r>
      <w:r w:rsidR="009F36ED" w:rsidRPr="00152CF1">
        <w:rPr>
          <w:rFonts w:eastAsia="Palatino Linotype"/>
        </w:rPr>
        <w:t xml:space="preserve">Demographics and Underlying Conditions in patients with NTM and </w:t>
      </w:r>
      <w:r w:rsidR="009F36ED" w:rsidRPr="00152CF1">
        <w:rPr>
          <w:rFonts w:eastAsia="Palatino Linotype"/>
          <w:i/>
        </w:rPr>
        <w:t>Aspergillus</w:t>
      </w:r>
      <w:r w:rsidR="009F36ED" w:rsidRPr="00152CF1">
        <w:rPr>
          <w:rFonts w:eastAsia="Palatino Linotype"/>
        </w:rPr>
        <w:t xml:space="preserve"> co-infection.</w:t>
      </w:r>
    </w:p>
    <w:tbl>
      <w:tblPr>
        <w:tblW w:w="7857" w:type="dxa"/>
        <w:tblInd w:w="2608" w:type="dxa"/>
        <w:tblBorders>
          <w:top w:val="single" w:sz="8" w:space="0" w:color="000000"/>
          <w:bottom w:val="single" w:sz="8" w:space="0" w:color="000000"/>
        </w:tblBorders>
        <w:tblLayout w:type="fixed"/>
        <w:tblCellMar>
          <w:left w:w="0" w:type="dxa"/>
          <w:right w:w="0" w:type="dxa"/>
        </w:tblCellMar>
        <w:tblLook w:val="0400" w:firstRow="0" w:lastRow="0" w:firstColumn="0" w:lastColumn="0" w:noHBand="0" w:noVBand="1"/>
      </w:tblPr>
      <w:tblGrid>
        <w:gridCol w:w="4168"/>
        <w:gridCol w:w="3689"/>
      </w:tblGrid>
      <w:tr w:rsidR="003C71C9" w:rsidRPr="00152CF1" w14:paraId="3333623A" w14:textId="77777777" w:rsidTr="00152CF1">
        <w:tc>
          <w:tcPr>
            <w:tcW w:w="2779" w:type="dxa"/>
            <w:tcBorders>
              <w:top w:val="single" w:sz="8" w:space="0" w:color="auto"/>
              <w:bottom w:val="single" w:sz="4" w:space="0" w:color="000000"/>
            </w:tcBorders>
            <w:shd w:val="clear" w:color="auto" w:fill="auto"/>
            <w:vAlign w:val="center"/>
          </w:tcPr>
          <w:p w14:paraId="41FB204F" w14:textId="43144247" w:rsidR="003C71C9" w:rsidRPr="00152CF1" w:rsidRDefault="009F36ED" w:rsidP="00152CF1">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b/>
                <w:color w:val="000000"/>
                <w:sz w:val="18"/>
                <w:szCs w:val="16"/>
                <w:lang w:val="en-US"/>
              </w:rPr>
            </w:pPr>
            <w:r w:rsidRPr="00152CF1">
              <w:rPr>
                <w:rFonts w:ascii="Palatino Linotype" w:eastAsia="Palatino Linotype" w:hAnsi="Palatino Linotype" w:cs="Palatino Linotype"/>
                <w:b/>
                <w:color w:val="000000"/>
                <w:sz w:val="18"/>
                <w:szCs w:val="16"/>
                <w:lang w:val="en-US"/>
              </w:rPr>
              <w:t>Variable</w:t>
            </w:r>
            <w:r w:rsidR="00247AA4" w:rsidRPr="00152CF1">
              <w:rPr>
                <w:rFonts w:ascii="Palatino Linotype" w:eastAsia="Palatino Linotype" w:hAnsi="Palatino Linotype" w:cs="Palatino Linotype"/>
                <w:b/>
                <w:color w:val="000000"/>
                <w:sz w:val="18"/>
                <w:szCs w:val="16"/>
                <w:lang w:val="en-US"/>
              </w:rPr>
              <w:t>*</w:t>
            </w:r>
          </w:p>
        </w:tc>
        <w:tc>
          <w:tcPr>
            <w:tcW w:w="2459" w:type="dxa"/>
            <w:tcBorders>
              <w:top w:val="single" w:sz="8" w:space="0" w:color="auto"/>
              <w:bottom w:val="single" w:sz="4" w:space="0" w:color="000000"/>
            </w:tcBorders>
            <w:shd w:val="clear" w:color="auto" w:fill="auto"/>
            <w:vAlign w:val="center"/>
          </w:tcPr>
          <w:p w14:paraId="5A13586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b/>
                <w:color w:val="000000"/>
                <w:sz w:val="18"/>
                <w:szCs w:val="16"/>
                <w:lang w:val="en-US"/>
              </w:rPr>
            </w:pPr>
            <w:r w:rsidRPr="00152CF1">
              <w:rPr>
                <w:rFonts w:ascii="Palatino Linotype" w:eastAsia="Palatino Linotype" w:hAnsi="Palatino Linotype" w:cs="Palatino Linotype"/>
                <w:b/>
                <w:color w:val="000000"/>
                <w:sz w:val="18"/>
                <w:szCs w:val="16"/>
                <w:lang w:val="en-US"/>
              </w:rPr>
              <w:t>No. of Patients (%)</w:t>
            </w:r>
          </w:p>
        </w:tc>
      </w:tr>
      <w:tr w:rsidR="003C71C9" w:rsidRPr="00152CF1" w14:paraId="390EC0DB" w14:textId="77777777" w:rsidTr="00152CF1">
        <w:tc>
          <w:tcPr>
            <w:tcW w:w="2779" w:type="dxa"/>
            <w:shd w:val="clear" w:color="auto" w:fill="auto"/>
            <w:vAlign w:val="center"/>
          </w:tcPr>
          <w:p w14:paraId="554C19BE" w14:textId="77777777" w:rsidR="003C71C9" w:rsidRPr="00152CF1" w:rsidRDefault="009F36ED" w:rsidP="00514D0C">
            <w:pPr>
              <w:pBdr>
                <w:top w:val="nil"/>
                <w:left w:val="nil"/>
                <w:bottom w:val="nil"/>
                <w:right w:val="nil"/>
                <w:between w:val="nil"/>
              </w:pBdr>
              <w:autoSpaceDE w:val="0"/>
              <w:autoSpaceDN w:val="0"/>
              <w:adjustRightInd w:val="0"/>
              <w:snapToGrid w:val="0"/>
              <w:rPr>
                <w:sz w:val="18"/>
                <w:szCs w:val="16"/>
                <w:lang w:val="en-US"/>
              </w:rPr>
            </w:pPr>
            <w:r w:rsidRPr="00152CF1">
              <w:rPr>
                <w:sz w:val="18"/>
                <w:szCs w:val="16"/>
                <w:lang w:val="en-US"/>
              </w:rPr>
              <w:t xml:space="preserve">Age, yr. (mean +/- SD) [521] </w:t>
            </w:r>
          </w:p>
          <w:p w14:paraId="63848396" w14:textId="19D41C00" w:rsidR="003C71C9" w:rsidRPr="00152CF1" w:rsidRDefault="009F36ED" w:rsidP="00514D0C">
            <w:pPr>
              <w:pBdr>
                <w:top w:val="nil"/>
                <w:left w:val="nil"/>
                <w:bottom w:val="nil"/>
                <w:right w:val="nil"/>
                <w:between w:val="nil"/>
              </w:pBdr>
              <w:autoSpaceDE w:val="0"/>
              <w:autoSpaceDN w:val="0"/>
              <w:adjustRightInd w:val="0"/>
              <w:snapToGrid w:val="0"/>
              <w:rPr>
                <w:sz w:val="18"/>
                <w:szCs w:val="16"/>
                <w:lang w:val="en-US"/>
              </w:rPr>
            </w:pPr>
            <w:r w:rsidRPr="00152CF1">
              <w:rPr>
                <w:sz w:val="18"/>
                <w:szCs w:val="16"/>
                <w:lang w:val="en-US"/>
              </w:rPr>
              <w:t>Sex, male [523]</w:t>
            </w:r>
          </w:p>
          <w:p w14:paraId="6DB8EB1B" w14:textId="77777777" w:rsidR="003C71C9" w:rsidRPr="00152CF1" w:rsidRDefault="009F36ED" w:rsidP="00514D0C">
            <w:pPr>
              <w:pBdr>
                <w:top w:val="nil"/>
                <w:left w:val="nil"/>
                <w:bottom w:val="nil"/>
                <w:right w:val="nil"/>
                <w:between w:val="nil"/>
              </w:pBdr>
              <w:autoSpaceDE w:val="0"/>
              <w:autoSpaceDN w:val="0"/>
              <w:adjustRightInd w:val="0"/>
              <w:snapToGrid w:val="0"/>
              <w:rPr>
                <w:sz w:val="18"/>
                <w:szCs w:val="16"/>
                <w:lang w:val="en-US"/>
              </w:rPr>
            </w:pPr>
            <w:r w:rsidRPr="00152CF1">
              <w:rPr>
                <w:sz w:val="18"/>
                <w:szCs w:val="16"/>
                <w:lang w:val="en-US"/>
              </w:rPr>
              <w:t>Toxic habits [497]</w:t>
            </w:r>
          </w:p>
          <w:p w14:paraId="6A204DF0"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Active smoking </w:t>
            </w:r>
          </w:p>
          <w:p w14:paraId="745AD603"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Ex-smoker </w:t>
            </w:r>
          </w:p>
          <w:p w14:paraId="5BD12B85"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Active alcohol use </w:t>
            </w:r>
          </w:p>
          <w:p w14:paraId="027F8608" w14:textId="77777777" w:rsidR="003C71C9" w:rsidRPr="00152CF1" w:rsidRDefault="009F36ED" w:rsidP="00514D0C">
            <w:pPr>
              <w:pBdr>
                <w:top w:val="nil"/>
                <w:left w:val="nil"/>
                <w:bottom w:val="nil"/>
                <w:right w:val="nil"/>
                <w:between w:val="nil"/>
              </w:pBdr>
              <w:autoSpaceDE w:val="0"/>
              <w:autoSpaceDN w:val="0"/>
              <w:adjustRightInd w:val="0"/>
              <w:snapToGrid w:val="0"/>
              <w:rPr>
                <w:sz w:val="18"/>
                <w:szCs w:val="16"/>
                <w:lang w:val="en-US"/>
              </w:rPr>
            </w:pPr>
            <w:r w:rsidRPr="00152CF1">
              <w:rPr>
                <w:sz w:val="18"/>
                <w:szCs w:val="16"/>
                <w:lang w:val="en-US"/>
              </w:rPr>
              <w:t>Chronic lung disease [497]</w:t>
            </w:r>
          </w:p>
          <w:p w14:paraId="714585EB"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COPD </w:t>
            </w:r>
          </w:p>
          <w:p w14:paraId="132F7E3D"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Previous tuberculosis </w:t>
            </w:r>
          </w:p>
          <w:p w14:paraId="200AA9ED"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Asthma </w:t>
            </w:r>
          </w:p>
          <w:p w14:paraId="5425B2AD"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Interstitial lung disease </w:t>
            </w:r>
          </w:p>
          <w:p w14:paraId="45447EEC"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Emphysema </w:t>
            </w:r>
          </w:p>
          <w:p w14:paraId="6FC60909"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Lung transplant </w:t>
            </w:r>
          </w:p>
          <w:p w14:paraId="1B558E4A"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Cystic fibrosis </w:t>
            </w:r>
          </w:p>
          <w:p w14:paraId="3C4075A4"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Lung cancer </w:t>
            </w:r>
          </w:p>
          <w:p w14:paraId="0FEDD65E"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Pulmonary fibrosis </w:t>
            </w:r>
          </w:p>
          <w:p w14:paraId="32459A0F"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Lipid pneumonia </w:t>
            </w:r>
          </w:p>
          <w:p w14:paraId="3333F6FC" w14:textId="2D5D4674" w:rsidR="003C71C9" w:rsidRPr="00152CF1" w:rsidRDefault="00384615"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C</w:t>
            </w:r>
            <w:r w:rsidR="009F36ED" w:rsidRPr="00152CF1">
              <w:rPr>
                <w:sz w:val="18"/>
                <w:szCs w:val="16"/>
                <w:lang w:val="en-US"/>
              </w:rPr>
              <w:t xml:space="preserve">OP </w:t>
            </w:r>
          </w:p>
          <w:p w14:paraId="6B96EA9A"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Sarcoidosis </w:t>
            </w:r>
          </w:p>
          <w:p w14:paraId="17B2F39C"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Silicosis </w:t>
            </w:r>
          </w:p>
          <w:p w14:paraId="47385D3F" w14:textId="77777777" w:rsidR="003C71C9" w:rsidRPr="00152CF1" w:rsidRDefault="009F36ED" w:rsidP="00514D0C">
            <w:pPr>
              <w:pBdr>
                <w:top w:val="nil"/>
                <w:left w:val="nil"/>
                <w:bottom w:val="nil"/>
                <w:right w:val="nil"/>
                <w:between w:val="nil"/>
              </w:pBdr>
              <w:autoSpaceDE w:val="0"/>
              <w:autoSpaceDN w:val="0"/>
              <w:adjustRightInd w:val="0"/>
              <w:snapToGrid w:val="0"/>
              <w:rPr>
                <w:sz w:val="18"/>
                <w:szCs w:val="16"/>
                <w:lang w:val="en-US"/>
              </w:rPr>
            </w:pPr>
            <w:r w:rsidRPr="00152CF1">
              <w:rPr>
                <w:sz w:val="18"/>
                <w:szCs w:val="16"/>
                <w:lang w:val="en-US"/>
              </w:rPr>
              <w:t>Other chronic comorbidities [497]</w:t>
            </w:r>
          </w:p>
          <w:p w14:paraId="585E0EDB"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Autoimmune disease </w:t>
            </w:r>
          </w:p>
          <w:p w14:paraId="2B6CC0A6"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Rheumatoid arthritis </w:t>
            </w:r>
          </w:p>
          <w:p w14:paraId="06277906"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Hematologic cancer </w:t>
            </w:r>
          </w:p>
          <w:p w14:paraId="335A910E"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Stem-cell transplantation</w:t>
            </w:r>
          </w:p>
          <w:p w14:paraId="347B9091"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HIV </w:t>
            </w:r>
          </w:p>
          <w:p w14:paraId="0365D349" w14:textId="77777777" w:rsidR="003C71C9" w:rsidRPr="00152CF1" w:rsidRDefault="009F36ED" w:rsidP="00514D0C">
            <w:pPr>
              <w:pBdr>
                <w:top w:val="nil"/>
                <w:left w:val="nil"/>
                <w:bottom w:val="nil"/>
                <w:right w:val="nil"/>
                <w:between w:val="nil"/>
              </w:pBdr>
              <w:autoSpaceDE w:val="0"/>
              <w:autoSpaceDN w:val="0"/>
              <w:adjustRightInd w:val="0"/>
              <w:snapToGrid w:val="0"/>
              <w:rPr>
                <w:sz w:val="18"/>
                <w:szCs w:val="16"/>
                <w:lang w:val="en-US"/>
              </w:rPr>
            </w:pPr>
            <w:r w:rsidRPr="00152CF1">
              <w:rPr>
                <w:sz w:val="18"/>
                <w:szCs w:val="16"/>
                <w:lang w:val="en-US"/>
              </w:rPr>
              <w:t>Corticosteroid treatment [497]</w:t>
            </w:r>
          </w:p>
          <w:p w14:paraId="74674B5E" w14:textId="77777777" w:rsidR="003C71C9" w:rsidRPr="00152CF1"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Systemic corticosteroids </w:t>
            </w:r>
          </w:p>
          <w:p w14:paraId="61DCB388" w14:textId="77777777" w:rsidR="003C71C9" w:rsidRDefault="009F36ED" w:rsidP="00514D0C">
            <w:pPr>
              <w:pBdr>
                <w:top w:val="nil"/>
                <w:left w:val="nil"/>
                <w:bottom w:val="nil"/>
                <w:right w:val="nil"/>
                <w:between w:val="nil"/>
              </w:pBdr>
              <w:autoSpaceDE w:val="0"/>
              <w:autoSpaceDN w:val="0"/>
              <w:adjustRightInd w:val="0"/>
              <w:snapToGrid w:val="0"/>
              <w:ind w:left="708"/>
              <w:rPr>
                <w:sz w:val="18"/>
                <w:szCs w:val="16"/>
                <w:lang w:val="en-US"/>
              </w:rPr>
            </w:pPr>
            <w:r w:rsidRPr="00152CF1">
              <w:rPr>
                <w:sz w:val="18"/>
                <w:szCs w:val="16"/>
                <w:lang w:val="en-US"/>
              </w:rPr>
              <w:t xml:space="preserve">Inhaled corticosteroids </w:t>
            </w:r>
          </w:p>
          <w:p w14:paraId="39C349AA" w14:textId="591F1819" w:rsidR="00514D0C" w:rsidRPr="00152CF1" w:rsidRDefault="00514D0C" w:rsidP="00514D0C">
            <w:pPr>
              <w:pBdr>
                <w:top w:val="nil"/>
                <w:left w:val="nil"/>
                <w:bottom w:val="nil"/>
                <w:right w:val="nil"/>
                <w:between w:val="nil"/>
              </w:pBdr>
              <w:autoSpaceDE w:val="0"/>
              <w:autoSpaceDN w:val="0"/>
              <w:adjustRightInd w:val="0"/>
              <w:snapToGrid w:val="0"/>
              <w:rPr>
                <w:sz w:val="18"/>
                <w:szCs w:val="16"/>
                <w:lang w:val="en-US"/>
              </w:rPr>
            </w:pPr>
          </w:p>
        </w:tc>
        <w:tc>
          <w:tcPr>
            <w:tcW w:w="2459" w:type="dxa"/>
            <w:shd w:val="clear" w:color="auto" w:fill="auto"/>
            <w:vAlign w:val="center"/>
          </w:tcPr>
          <w:p w14:paraId="13EDC39F"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54,3 +/- 19</w:t>
            </w:r>
          </w:p>
          <w:p w14:paraId="23765B7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303 (57.7)</w:t>
            </w:r>
          </w:p>
          <w:p w14:paraId="0E9FC09F" w14:textId="77777777" w:rsidR="003C71C9" w:rsidRPr="00152CF1" w:rsidRDefault="003C71C9" w:rsidP="00152CF1">
            <w:pPr>
              <w:pBdr>
                <w:top w:val="nil"/>
                <w:left w:val="nil"/>
                <w:bottom w:val="nil"/>
                <w:right w:val="nil"/>
                <w:between w:val="nil"/>
              </w:pBdr>
              <w:autoSpaceDE w:val="0"/>
              <w:autoSpaceDN w:val="0"/>
              <w:adjustRightInd w:val="0"/>
              <w:snapToGrid w:val="0"/>
              <w:jc w:val="center"/>
              <w:rPr>
                <w:sz w:val="18"/>
                <w:szCs w:val="16"/>
                <w:lang w:val="en-US"/>
              </w:rPr>
            </w:pPr>
          </w:p>
          <w:p w14:paraId="21AD45D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20 (4)</w:t>
            </w:r>
          </w:p>
          <w:p w14:paraId="0F5C234B"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58 (11.7)</w:t>
            </w:r>
          </w:p>
          <w:p w14:paraId="5CC2A8D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7 (11.4)</w:t>
            </w:r>
          </w:p>
          <w:p w14:paraId="32D453F1" w14:textId="77777777" w:rsidR="003C71C9" w:rsidRPr="00152CF1" w:rsidRDefault="003C71C9" w:rsidP="00152CF1">
            <w:pPr>
              <w:pBdr>
                <w:top w:val="nil"/>
                <w:left w:val="nil"/>
                <w:bottom w:val="nil"/>
                <w:right w:val="nil"/>
                <w:between w:val="nil"/>
              </w:pBdr>
              <w:autoSpaceDE w:val="0"/>
              <w:autoSpaceDN w:val="0"/>
              <w:adjustRightInd w:val="0"/>
              <w:snapToGrid w:val="0"/>
              <w:jc w:val="center"/>
              <w:rPr>
                <w:sz w:val="18"/>
                <w:szCs w:val="16"/>
                <w:lang w:val="en-US"/>
              </w:rPr>
            </w:pPr>
          </w:p>
          <w:p w14:paraId="16A5067E"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105 (21.1)</w:t>
            </w:r>
          </w:p>
          <w:p w14:paraId="53F6BD4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92 (18.5)</w:t>
            </w:r>
          </w:p>
          <w:p w14:paraId="3BC74A45"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55 (11.1)</w:t>
            </w:r>
          </w:p>
          <w:p w14:paraId="677902DE"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30 (6)</w:t>
            </w:r>
          </w:p>
          <w:p w14:paraId="286FFBA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24 (4.8)</w:t>
            </w:r>
          </w:p>
          <w:p w14:paraId="6B15286D"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13 (2.6)</w:t>
            </w:r>
          </w:p>
          <w:p w14:paraId="25BCCEBE"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8 (1.6)</w:t>
            </w:r>
          </w:p>
          <w:p w14:paraId="57540D4A"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6 (1.2)</w:t>
            </w:r>
          </w:p>
          <w:p w14:paraId="4E8EA78C"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5 (1)</w:t>
            </w:r>
          </w:p>
          <w:p w14:paraId="51BE93A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2 (0.4)</w:t>
            </w:r>
          </w:p>
          <w:p w14:paraId="1732654D"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2 (0.4)</w:t>
            </w:r>
          </w:p>
          <w:p w14:paraId="0364FE56"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 (0.2)</w:t>
            </w:r>
          </w:p>
          <w:p w14:paraId="547DE80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 (0.2)</w:t>
            </w:r>
          </w:p>
          <w:p w14:paraId="7D3B5CFC" w14:textId="77777777" w:rsidR="003C71C9" w:rsidRPr="00152CF1" w:rsidRDefault="003C71C9" w:rsidP="00152CF1">
            <w:pPr>
              <w:pBdr>
                <w:top w:val="nil"/>
                <w:left w:val="nil"/>
                <w:bottom w:val="nil"/>
                <w:right w:val="nil"/>
                <w:between w:val="nil"/>
              </w:pBdr>
              <w:autoSpaceDE w:val="0"/>
              <w:autoSpaceDN w:val="0"/>
              <w:adjustRightInd w:val="0"/>
              <w:snapToGrid w:val="0"/>
              <w:jc w:val="center"/>
              <w:rPr>
                <w:sz w:val="18"/>
                <w:szCs w:val="16"/>
                <w:lang w:val="en-US"/>
              </w:rPr>
            </w:pPr>
          </w:p>
          <w:p w14:paraId="696B26D5"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19 (3.8)</w:t>
            </w:r>
          </w:p>
          <w:p w14:paraId="4EBD99D0"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4 (0.8)</w:t>
            </w:r>
          </w:p>
          <w:p w14:paraId="5AC291A2"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12 (2.4)</w:t>
            </w:r>
          </w:p>
          <w:p w14:paraId="729057B6" w14:textId="7E4282CB" w:rsidR="00F92AEF" w:rsidRPr="00152CF1" w:rsidRDefault="009F36ED" w:rsidP="00514D0C">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5 (1)</w:t>
            </w:r>
          </w:p>
          <w:p w14:paraId="14486D8A"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6 (1.2)</w:t>
            </w:r>
          </w:p>
          <w:p w14:paraId="399F0FE4"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183 (36.8)</w:t>
            </w:r>
          </w:p>
          <w:p w14:paraId="26315F9E" w14:textId="77777777"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90 (18.1)</w:t>
            </w:r>
          </w:p>
          <w:p w14:paraId="3DE298DA" w14:textId="1B292FD6" w:rsidR="003C71C9" w:rsidRPr="00152CF1" w:rsidRDefault="009F36ED" w:rsidP="00152CF1">
            <w:pPr>
              <w:pBdr>
                <w:top w:val="nil"/>
                <w:left w:val="nil"/>
                <w:bottom w:val="nil"/>
                <w:right w:val="nil"/>
                <w:between w:val="nil"/>
              </w:pBdr>
              <w:autoSpaceDE w:val="0"/>
              <w:autoSpaceDN w:val="0"/>
              <w:adjustRightInd w:val="0"/>
              <w:snapToGrid w:val="0"/>
              <w:jc w:val="center"/>
              <w:rPr>
                <w:sz w:val="18"/>
                <w:szCs w:val="16"/>
                <w:lang w:val="en-US"/>
              </w:rPr>
            </w:pPr>
            <w:r w:rsidRPr="00152CF1">
              <w:rPr>
                <w:sz w:val="18"/>
                <w:szCs w:val="16"/>
                <w:lang w:val="en-US"/>
              </w:rPr>
              <w:t>93 (18.7)</w:t>
            </w:r>
          </w:p>
        </w:tc>
      </w:tr>
      <w:tr w:rsidR="003C71C9" w:rsidRPr="00DE0F96" w14:paraId="32B4B65D" w14:textId="77777777" w:rsidTr="00152CF1">
        <w:tc>
          <w:tcPr>
            <w:tcW w:w="5238" w:type="dxa"/>
            <w:gridSpan w:val="2"/>
            <w:tcBorders>
              <w:bottom w:val="single" w:sz="8" w:space="0" w:color="auto"/>
            </w:tcBorders>
            <w:shd w:val="clear" w:color="auto" w:fill="auto"/>
            <w:vAlign w:val="center"/>
          </w:tcPr>
          <w:p w14:paraId="2BD67173" w14:textId="1A966563" w:rsidR="00247AA4" w:rsidRPr="00152CF1" w:rsidRDefault="00247AA4" w:rsidP="00514D0C">
            <w:pPr>
              <w:pBdr>
                <w:top w:val="nil"/>
                <w:left w:val="nil"/>
                <w:bottom w:val="nil"/>
                <w:right w:val="nil"/>
                <w:between w:val="nil"/>
              </w:pBdr>
              <w:autoSpaceDE w:val="0"/>
              <w:autoSpaceDN w:val="0"/>
              <w:adjustRightInd w:val="0"/>
              <w:snapToGrid w:val="0"/>
              <w:rPr>
                <w:rFonts w:eastAsia="Palatino Linotype"/>
                <w:sz w:val="18"/>
                <w:szCs w:val="16"/>
                <w:lang w:val="en-US"/>
              </w:rPr>
            </w:pPr>
            <w:r w:rsidRPr="00152CF1">
              <w:rPr>
                <w:rFonts w:eastAsia="Palatino Linotype"/>
                <w:sz w:val="18"/>
                <w:szCs w:val="16"/>
                <w:lang w:val="en-US"/>
              </w:rPr>
              <w:t>*Values in brackets represent number of patients for whom data</w:t>
            </w:r>
          </w:p>
          <w:p w14:paraId="18712247" w14:textId="5CCB02D8" w:rsidR="00247AA4" w:rsidRPr="00152CF1" w:rsidRDefault="00247AA4" w:rsidP="00514D0C">
            <w:pPr>
              <w:pBdr>
                <w:top w:val="nil"/>
                <w:left w:val="nil"/>
                <w:bottom w:val="nil"/>
                <w:right w:val="nil"/>
                <w:between w:val="nil"/>
              </w:pBdr>
              <w:autoSpaceDE w:val="0"/>
              <w:autoSpaceDN w:val="0"/>
              <w:adjustRightInd w:val="0"/>
              <w:snapToGrid w:val="0"/>
              <w:rPr>
                <w:rFonts w:eastAsia="Palatino Linotype"/>
                <w:sz w:val="18"/>
                <w:szCs w:val="16"/>
                <w:lang w:val="en-US"/>
              </w:rPr>
            </w:pPr>
            <w:r w:rsidRPr="00152CF1">
              <w:rPr>
                <w:rFonts w:eastAsia="Palatino Linotype"/>
                <w:sz w:val="18"/>
                <w:szCs w:val="16"/>
                <w:lang w:val="en-US"/>
              </w:rPr>
              <w:t>were available.</w:t>
            </w:r>
          </w:p>
          <w:p w14:paraId="06096D5A" w14:textId="2C0BDA8B" w:rsidR="003C71C9" w:rsidRPr="00152CF1" w:rsidRDefault="009F36ED" w:rsidP="00514D0C">
            <w:pPr>
              <w:pBdr>
                <w:top w:val="nil"/>
                <w:left w:val="nil"/>
                <w:bottom w:val="nil"/>
                <w:right w:val="nil"/>
                <w:between w:val="nil"/>
              </w:pBdr>
              <w:autoSpaceDE w:val="0"/>
              <w:autoSpaceDN w:val="0"/>
              <w:adjustRightInd w:val="0"/>
              <w:snapToGrid w:val="0"/>
              <w:rPr>
                <w:rFonts w:ascii="Palatino Linotype" w:eastAsia="Palatino Linotype" w:hAnsi="Palatino Linotype" w:cs="Palatino Linotype"/>
                <w:sz w:val="18"/>
                <w:szCs w:val="20"/>
                <w:lang w:val="en-US"/>
              </w:rPr>
            </w:pPr>
            <w:r w:rsidRPr="00152CF1">
              <w:rPr>
                <w:rFonts w:eastAsia="Palatino Linotype"/>
                <w:b/>
                <w:sz w:val="18"/>
                <w:szCs w:val="16"/>
                <w:lang w:val="en-US"/>
              </w:rPr>
              <w:t>COPD</w:t>
            </w:r>
            <w:r w:rsidRPr="00152CF1">
              <w:rPr>
                <w:rFonts w:eastAsia="Palatino Linotype"/>
                <w:sz w:val="18"/>
                <w:szCs w:val="16"/>
                <w:lang w:val="en-US"/>
              </w:rPr>
              <w:t xml:space="preserve">: Chronic obstructive pulmonary disease. </w:t>
            </w:r>
            <w:r w:rsidR="00384615" w:rsidRPr="00152CF1">
              <w:rPr>
                <w:rFonts w:eastAsia="Palatino Linotype"/>
                <w:b/>
                <w:sz w:val="18"/>
                <w:szCs w:val="16"/>
                <w:lang w:val="en-US"/>
              </w:rPr>
              <w:t>C</w:t>
            </w:r>
            <w:r w:rsidRPr="00152CF1">
              <w:rPr>
                <w:rFonts w:eastAsia="Palatino Linotype"/>
                <w:b/>
                <w:sz w:val="18"/>
                <w:szCs w:val="16"/>
                <w:lang w:val="en-US"/>
              </w:rPr>
              <w:t>OP</w:t>
            </w:r>
            <w:r w:rsidRPr="00152CF1">
              <w:rPr>
                <w:rFonts w:eastAsia="Palatino Linotype"/>
                <w:bCs/>
                <w:sz w:val="18"/>
                <w:szCs w:val="16"/>
                <w:lang w:val="en-US"/>
              </w:rPr>
              <w:t>:</w:t>
            </w:r>
            <w:r w:rsidRPr="00152CF1">
              <w:rPr>
                <w:rFonts w:eastAsia="Palatino Linotype"/>
                <w:sz w:val="18"/>
                <w:szCs w:val="16"/>
                <w:lang w:val="en-US"/>
              </w:rPr>
              <w:t xml:space="preserve"> </w:t>
            </w:r>
            <w:r w:rsidR="00384615" w:rsidRPr="00152CF1">
              <w:rPr>
                <w:rFonts w:eastAsia="Palatino Linotype"/>
                <w:sz w:val="18"/>
                <w:szCs w:val="16"/>
                <w:lang w:val="en-US"/>
              </w:rPr>
              <w:t xml:space="preserve">Cryptogenic </w:t>
            </w:r>
            <w:r w:rsidRPr="00152CF1">
              <w:rPr>
                <w:rFonts w:eastAsia="Palatino Linotype"/>
                <w:sz w:val="18"/>
                <w:szCs w:val="16"/>
                <w:lang w:val="en-US"/>
              </w:rPr>
              <w:t xml:space="preserve">organizing pneumonia. </w:t>
            </w:r>
            <w:r w:rsidRPr="00152CF1">
              <w:rPr>
                <w:rFonts w:eastAsia="Palatino Linotype"/>
                <w:b/>
                <w:sz w:val="18"/>
                <w:szCs w:val="16"/>
                <w:lang w:val="en-US"/>
              </w:rPr>
              <w:t>HIV</w:t>
            </w:r>
            <w:r w:rsidRPr="00152CF1">
              <w:rPr>
                <w:rFonts w:eastAsia="Palatino Linotype"/>
                <w:bCs/>
                <w:sz w:val="18"/>
                <w:szCs w:val="16"/>
                <w:lang w:val="en-US"/>
              </w:rPr>
              <w:t>:</w:t>
            </w:r>
            <w:r w:rsidRPr="00152CF1">
              <w:rPr>
                <w:rFonts w:eastAsia="Palatino Linotype"/>
                <w:sz w:val="18"/>
                <w:szCs w:val="16"/>
                <w:lang w:val="en-US"/>
              </w:rPr>
              <w:t xml:space="preserve"> human immunodeficiency virus</w:t>
            </w:r>
          </w:p>
        </w:tc>
      </w:tr>
    </w:tbl>
    <w:p w14:paraId="731629DD" w14:textId="74731253" w:rsidR="003C71C9" w:rsidRPr="00152CF1" w:rsidRDefault="00152CF1" w:rsidP="00152CF1">
      <w:pPr>
        <w:pStyle w:val="MDPI22heading2"/>
        <w:spacing w:before="240"/>
        <w:rPr>
          <w:rFonts w:eastAsia="Palatino Linotype"/>
        </w:rPr>
      </w:pPr>
      <w:r w:rsidRPr="00152CF1">
        <w:rPr>
          <w:rFonts w:eastAsia="Palatino Linotype"/>
        </w:rPr>
        <w:t>3.</w:t>
      </w:r>
      <w:r w:rsidR="002517A6">
        <w:rPr>
          <w:rFonts w:eastAsia="Palatino Linotype"/>
        </w:rPr>
        <w:t>3</w:t>
      </w:r>
      <w:r w:rsidRPr="00152CF1">
        <w:rPr>
          <w:rFonts w:eastAsia="Palatino Linotype"/>
        </w:rPr>
        <w:t xml:space="preserve">. </w:t>
      </w:r>
      <w:r w:rsidR="009F36ED" w:rsidRPr="00152CF1">
        <w:rPr>
          <w:rFonts w:eastAsia="Palatino Linotype"/>
        </w:rPr>
        <w:t>Clinical presentation.</w:t>
      </w:r>
    </w:p>
    <w:p w14:paraId="3450E691" w14:textId="77777777" w:rsidR="003C71C9" w:rsidRPr="00152CF1" w:rsidRDefault="009F36ED" w:rsidP="00152CF1">
      <w:pPr>
        <w:pStyle w:val="MDPI31text"/>
        <w:rPr>
          <w:rFonts w:eastAsia="Palatino Linotype"/>
        </w:rPr>
      </w:pPr>
      <w:r w:rsidRPr="00152CF1">
        <w:rPr>
          <w:rFonts w:eastAsia="Palatino Linotype"/>
        </w:rPr>
        <w:t xml:space="preserve">Clinical presentation was only available in 44 patients and described in </w:t>
      </w:r>
      <w:r w:rsidRPr="00152CF1">
        <w:rPr>
          <w:rFonts w:eastAsia="Palatino Linotype"/>
          <w:b/>
        </w:rPr>
        <w:t>Table 2</w:t>
      </w:r>
      <w:r w:rsidRPr="00152CF1">
        <w:rPr>
          <w:rFonts w:eastAsia="Palatino Linotype"/>
        </w:rPr>
        <w:t>. The most common symptom was cough (68.2%, n=30), followed by dyspnea (59.1%, n=26), hemoptysis (34.1%, n=15), and fever (22.7%, n=10). Chest imaging studies (simple radiography or CT scan) were described in 512 cases. The most frequent findings were bronchiectasis (52.3%, n=269), cavitation (40.8%, n=209), and nodules (36.7%, n=188). These lesions were more frequently found in the middle lobe (31%, n=18) and in the right upper lobe (29.3%, n=23).</w:t>
      </w:r>
    </w:p>
    <w:p w14:paraId="7E1DC917" w14:textId="020B6C2B" w:rsidR="003C71C9" w:rsidRPr="00152CF1" w:rsidRDefault="00152CF1" w:rsidP="00152CF1">
      <w:pPr>
        <w:pStyle w:val="MDPI41tablecaption"/>
        <w:jc w:val="both"/>
        <w:rPr>
          <w:rFonts w:eastAsia="Palatino Linotype"/>
        </w:rPr>
      </w:pPr>
      <w:r w:rsidRPr="00152CF1">
        <w:rPr>
          <w:rFonts w:eastAsia="Palatino Linotype"/>
          <w:b/>
        </w:rPr>
        <w:t xml:space="preserve">Table 2. </w:t>
      </w:r>
      <w:r w:rsidR="009F36ED" w:rsidRPr="00152CF1">
        <w:rPr>
          <w:rFonts w:eastAsia="Palatino Linotype"/>
        </w:rPr>
        <w:t xml:space="preserve">Clinical presentation reported in 44 patients and radiology findings reported in 512 patients with NTM and </w:t>
      </w:r>
      <w:r w:rsidR="009F36ED" w:rsidRPr="00152CF1">
        <w:rPr>
          <w:rFonts w:eastAsia="Palatino Linotype"/>
          <w:i/>
        </w:rPr>
        <w:t>Aspergillus</w:t>
      </w:r>
      <w:r w:rsidR="009F36ED" w:rsidRPr="00152CF1">
        <w:rPr>
          <w:rFonts w:eastAsia="Palatino Linotype"/>
        </w:rPr>
        <w:t xml:space="preserve"> co-infection. Lung lesions locations were mentioned in 58 cases.</w:t>
      </w:r>
    </w:p>
    <w:tbl>
      <w:tblPr>
        <w:tblW w:w="7857" w:type="dxa"/>
        <w:tblInd w:w="2608" w:type="dxa"/>
        <w:tblBorders>
          <w:top w:val="single" w:sz="8" w:space="0" w:color="000000"/>
          <w:bottom w:val="single" w:sz="8" w:space="0" w:color="000000"/>
        </w:tblBorders>
        <w:tblLayout w:type="fixed"/>
        <w:tblCellMar>
          <w:left w:w="0" w:type="dxa"/>
          <w:right w:w="0" w:type="dxa"/>
        </w:tblCellMar>
        <w:tblLook w:val="0400" w:firstRow="0" w:lastRow="0" w:firstColumn="0" w:lastColumn="0" w:noHBand="0" w:noVBand="1"/>
      </w:tblPr>
      <w:tblGrid>
        <w:gridCol w:w="3105"/>
        <w:gridCol w:w="596"/>
        <w:gridCol w:w="3160"/>
        <w:gridCol w:w="297"/>
        <w:gridCol w:w="699"/>
      </w:tblGrid>
      <w:tr w:rsidR="003C71C9" w:rsidRPr="00152CF1" w14:paraId="4354D115" w14:textId="77777777" w:rsidTr="00152CF1">
        <w:tc>
          <w:tcPr>
            <w:tcW w:w="2464" w:type="dxa"/>
            <w:tcBorders>
              <w:top w:val="single" w:sz="8" w:space="0" w:color="auto"/>
              <w:bottom w:val="single" w:sz="4" w:space="0" w:color="000000"/>
            </w:tcBorders>
            <w:shd w:val="clear" w:color="auto" w:fill="auto"/>
            <w:vAlign w:val="center"/>
          </w:tcPr>
          <w:p w14:paraId="57B870AA" w14:textId="55B8345C" w:rsidR="003C71C9" w:rsidRPr="00152CF1" w:rsidRDefault="009F36ED" w:rsidP="00152CF1">
            <w:pPr>
              <w:pBdr>
                <w:top w:val="nil"/>
                <w:left w:val="nil"/>
                <w:bottom w:val="nil"/>
                <w:right w:val="nil"/>
                <w:between w:val="nil"/>
              </w:pBdr>
              <w:autoSpaceDE w:val="0"/>
              <w:autoSpaceDN w:val="0"/>
              <w:adjustRightInd w:val="0"/>
              <w:snapToGrid w:val="0"/>
              <w:jc w:val="center"/>
              <w:rPr>
                <w:rFonts w:eastAsia="Palatino Linotype"/>
                <w:b/>
                <w:color w:val="000000"/>
                <w:sz w:val="18"/>
                <w:szCs w:val="16"/>
                <w:lang w:val="en-US"/>
              </w:rPr>
            </w:pPr>
            <w:r w:rsidRPr="00152CF1">
              <w:rPr>
                <w:rFonts w:eastAsia="Palatino Linotype"/>
                <w:b/>
                <w:color w:val="000000"/>
                <w:sz w:val="18"/>
                <w:szCs w:val="16"/>
                <w:lang w:val="en-US"/>
              </w:rPr>
              <w:t>Variable</w:t>
            </w:r>
            <w:r w:rsidR="00F92AEF" w:rsidRPr="00152CF1">
              <w:rPr>
                <w:rFonts w:eastAsia="Palatino Linotype"/>
                <w:b/>
                <w:color w:val="000000"/>
                <w:sz w:val="18"/>
                <w:szCs w:val="16"/>
                <w:lang w:val="en-US"/>
              </w:rPr>
              <w:t>*</w:t>
            </w:r>
          </w:p>
        </w:tc>
        <w:tc>
          <w:tcPr>
            <w:tcW w:w="3772" w:type="dxa"/>
            <w:gridSpan w:val="4"/>
            <w:tcBorders>
              <w:top w:val="single" w:sz="8" w:space="0" w:color="auto"/>
              <w:bottom w:val="single" w:sz="4" w:space="0" w:color="000000"/>
            </w:tcBorders>
            <w:shd w:val="clear" w:color="auto" w:fill="auto"/>
            <w:vAlign w:val="center"/>
          </w:tcPr>
          <w:p w14:paraId="59C7069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rFonts w:eastAsia="Palatino Linotype"/>
                <w:b/>
                <w:color w:val="000000"/>
                <w:sz w:val="18"/>
                <w:szCs w:val="16"/>
                <w:lang w:val="en-US"/>
              </w:rPr>
            </w:pPr>
            <w:r w:rsidRPr="00152CF1">
              <w:rPr>
                <w:rFonts w:eastAsia="Palatino Linotype"/>
                <w:b/>
                <w:color w:val="000000"/>
                <w:sz w:val="18"/>
                <w:szCs w:val="16"/>
                <w:lang w:val="en-US"/>
              </w:rPr>
              <w:t>No. of Patients (%)</w:t>
            </w:r>
          </w:p>
        </w:tc>
      </w:tr>
      <w:tr w:rsidR="003C71C9" w:rsidRPr="00152CF1" w14:paraId="720E03E9" w14:textId="77777777" w:rsidTr="00152CF1">
        <w:trPr>
          <w:gridAfter w:val="1"/>
          <w:wAfter w:w="555" w:type="dxa"/>
        </w:trPr>
        <w:tc>
          <w:tcPr>
            <w:tcW w:w="2937" w:type="dxa"/>
            <w:gridSpan w:val="2"/>
            <w:shd w:val="clear" w:color="auto" w:fill="auto"/>
            <w:vAlign w:val="center"/>
          </w:tcPr>
          <w:p w14:paraId="27E5E0A2" w14:textId="77777777" w:rsidR="003C71C9" w:rsidRPr="00152CF1" w:rsidRDefault="009F36ED" w:rsidP="00514D0C">
            <w:pPr>
              <w:pBdr>
                <w:top w:val="nil"/>
                <w:left w:val="nil"/>
                <w:bottom w:val="nil"/>
                <w:right w:val="nil"/>
                <w:between w:val="nil"/>
              </w:pBdr>
              <w:autoSpaceDE w:val="0"/>
              <w:autoSpaceDN w:val="0"/>
              <w:adjustRightInd w:val="0"/>
              <w:snapToGrid w:val="0"/>
              <w:rPr>
                <w:color w:val="000000"/>
                <w:sz w:val="18"/>
                <w:szCs w:val="16"/>
                <w:lang w:val="en-US"/>
              </w:rPr>
            </w:pPr>
            <w:r w:rsidRPr="00152CF1">
              <w:rPr>
                <w:color w:val="000000"/>
                <w:sz w:val="18"/>
                <w:szCs w:val="16"/>
                <w:lang w:val="en-US"/>
              </w:rPr>
              <w:lastRenderedPageBreak/>
              <w:t>Symptoms [44]</w:t>
            </w:r>
          </w:p>
          <w:p w14:paraId="38E75DB3"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Cough</w:t>
            </w:r>
          </w:p>
          <w:p w14:paraId="1F02745F"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Dyspnea</w:t>
            </w:r>
          </w:p>
          <w:p w14:paraId="3C3719E8"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Hemoptysis</w:t>
            </w:r>
          </w:p>
          <w:p w14:paraId="28E9B85E"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Fever</w:t>
            </w:r>
          </w:p>
          <w:p w14:paraId="2952B4E2"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Weight loss</w:t>
            </w:r>
          </w:p>
          <w:p w14:paraId="64F2078F"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Pleuritic pain</w:t>
            </w:r>
          </w:p>
          <w:p w14:paraId="3418E166"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Asthenia</w:t>
            </w:r>
          </w:p>
          <w:p w14:paraId="398BE7D6" w14:textId="77777777" w:rsidR="003C71C9" w:rsidRPr="00152CF1" w:rsidRDefault="009F36ED" w:rsidP="00514D0C">
            <w:pPr>
              <w:pBdr>
                <w:top w:val="nil"/>
                <w:left w:val="nil"/>
                <w:bottom w:val="nil"/>
                <w:right w:val="nil"/>
                <w:between w:val="nil"/>
              </w:pBdr>
              <w:autoSpaceDE w:val="0"/>
              <w:autoSpaceDN w:val="0"/>
              <w:adjustRightInd w:val="0"/>
              <w:snapToGrid w:val="0"/>
              <w:rPr>
                <w:color w:val="000000"/>
                <w:sz w:val="18"/>
                <w:szCs w:val="16"/>
                <w:lang w:val="en-US"/>
              </w:rPr>
            </w:pPr>
            <w:r w:rsidRPr="00152CF1">
              <w:rPr>
                <w:color w:val="000000"/>
                <w:sz w:val="18"/>
                <w:szCs w:val="16"/>
                <w:lang w:val="en-US"/>
              </w:rPr>
              <w:t>CT findings [512]</w:t>
            </w:r>
          </w:p>
          <w:p w14:paraId="4749D828"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Bronchiectasis</w:t>
            </w:r>
          </w:p>
          <w:p w14:paraId="76F64115"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Cavitation</w:t>
            </w:r>
          </w:p>
          <w:p w14:paraId="602BB890"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Nodules</w:t>
            </w:r>
          </w:p>
          <w:p w14:paraId="085468EC"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Opacities</w:t>
            </w:r>
          </w:p>
          <w:p w14:paraId="2949DBD6"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Aspergilloma</w:t>
            </w:r>
          </w:p>
          <w:p w14:paraId="118359C4" w14:textId="77777777" w:rsidR="003C71C9" w:rsidRPr="00152CF1" w:rsidRDefault="009F36ED" w:rsidP="00514D0C">
            <w:pPr>
              <w:pBdr>
                <w:top w:val="nil"/>
                <w:left w:val="nil"/>
                <w:bottom w:val="nil"/>
                <w:right w:val="nil"/>
                <w:between w:val="nil"/>
              </w:pBdr>
              <w:autoSpaceDE w:val="0"/>
              <w:autoSpaceDN w:val="0"/>
              <w:adjustRightInd w:val="0"/>
              <w:snapToGrid w:val="0"/>
              <w:rPr>
                <w:color w:val="000000"/>
                <w:sz w:val="18"/>
                <w:szCs w:val="16"/>
                <w:lang w:val="en-US"/>
              </w:rPr>
            </w:pPr>
            <w:r w:rsidRPr="00152CF1">
              <w:rPr>
                <w:color w:val="000000"/>
                <w:sz w:val="18"/>
                <w:szCs w:val="16"/>
                <w:lang w:val="en-US"/>
              </w:rPr>
              <w:t>Lung lesions location [58]</w:t>
            </w:r>
          </w:p>
          <w:p w14:paraId="77177071"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Upper lobes</w:t>
            </w:r>
          </w:p>
          <w:p w14:paraId="5941A0C0"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Right upper lobe</w:t>
            </w:r>
          </w:p>
          <w:p w14:paraId="45C0CFC6"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 xml:space="preserve">Left upper lobe </w:t>
            </w:r>
          </w:p>
          <w:p w14:paraId="10EFB999"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Middle lobe</w:t>
            </w:r>
          </w:p>
          <w:p w14:paraId="57AFCDD1"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Lower lobes</w:t>
            </w:r>
          </w:p>
          <w:p w14:paraId="0E779D5A"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tc>
        <w:tc>
          <w:tcPr>
            <w:tcW w:w="2744" w:type="dxa"/>
            <w:gridSpan w:val="2"/>
            <w:shd w:val="clear" w:color="auto" w:fill="auto"/>
            <w:vAlign w:val="center"/>
          </w:tcPr>
          <w:p w14:paraId="1DDC31AE"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p w14:paraId="236AAB97"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30 (68.2)</w:t>
            </w:r>
          </w:p>
          <w:p w14:paraId="4E458F5B"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26 (59.1)</w:t>
            </w:r>
          </w:p>
          <w:p w14:paraId="5D99652E"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15 (34.1)</w:t>
            </w:r>
          </w:p>
          <w:p w14:paraId="60CB8EB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10 (22,7)</w:t>
            </w:r>
          </w:p>
          <w:p w14:paraId="7C2F1017"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9 (20.5)</w:t>
            </w:r>
          </w:p>
          <w:p w14:paraId="34894E19"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 (6.8)</w:t>
            </w:r>
          </w:p>
          <w:p w14:paraId="1285E5C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 (4.5)</w:t>
            </w:r>
          </w:p>
          <w:p w14:paraId="35CCF52F"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p w14:paraId="12E6E983"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269 (52.3)</w:t>
            </w:r>
          </w:p>
          <w:p w14:paraId="3F990D79"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209 (40.8)</w:t>
            </w:r>
          </w:p>
          <w:p w14:paraId="6DA6AE5A"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188 (36.7)</w:t>
            </w:r>
          </w:p>
          <w:p w14:paraId="2E7B92E8"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39 (7.6)</w:t>
            </w:r>
          </w:p>
          <w:p w14:paraId="55BF8A73"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21 (4.1)</w:t>
            </w:r>
          </w:p>
          <w:p w14:paraId="302F3226"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p w14:paraId="1DA3A383"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23 (39.7)</w:t>
            </w:r>
          </w:p>
          <w:p w14:paraId="29C4ABE9"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17 (29.3)</w:t>
            </w:r>
          </w:p>
          <w:p w14:paraId="7903E2E2"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7 (12.1)</w:t>
            </w:r>
          </w:p>
          <w:p w14:paraId="2523DEC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18 (31)</w:t>
            </w:r>
          </w:p>
          <w:p w14:paraId="6C25664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16 (27.6)</w:t>
            </w:r>
          </w:p>
          <w:p w14:paraId="71D0CB23"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tc>
      </w:tr>
      <w:tr w:rsidR="003C71C9" w:rsidRPr="00DE0F96" w14:paraId="41A6232C" w14:textId="77777777" w:rsidTr="00152CF1">
        <w:trPr>
          <w:gridAfter w:val="1"/>
          <w:wAfter w:w="555" w:type="dxa"/>
        </w:trPr>
        <w:tc>
          <w:tcPr>
            <w:tcW w:w="5445" w:type="dxa"/>
            <w:gridSpan w:val="3"/>
            <w:tcBorders>
              <w:bottom w:val="single" w:sz="8" w:space="0" w:color="auto"/>
            </w:tcBorders>
            <w:shd w:val="clear" w:color="auto" w:fill="auto"/>
            <w:vAlign w:val="center"/>
          </w:tcPr>
          <w:p w14:paraId="676F06A1" w14:textId="77777777" w:rsidR="00F92AEF" w:rsidRPr="00152CF1" w:rsidRDefault="00F92AEF" w:rsidP="00514D0C">
            <w:pPr>
              <w:pBdr>
                <w:top w:val="nil"/>
                <w:left w:val="nil"/>
                <w:bottom w:val="nil"/>
                <w:right w:val="nil"/>
                <w:between w:val="nil"/>
              </w:pBdr>
              <w:autoSpaceDE w:val="0"/>
              <w:autoSpaceDN w:val="0"/>
              <w:adjustRightInd w:val="0"/>
              <w:snapToGrid w:val="0"/>
              <w:rPr>
                <w:rFonts w:eastAsia="Palatino Linotype"/>
                <w:sz w:val="18"/>
                <w:szCs w:val="16"/>
                <w:lang w:val="en-US"/>
              </w:rPr>
            </w:pPr>
            <w:r w:rsidRPr="00152CF1">
              <w:rPr>
                <w:rFonts w:eastAsia="Palatino Linotype"/>
                <w:sz w:val="18"/>
                <w:szCs w:val="16"/>
                <w:lang w:val="en-US"/>
              </w:rPr>
              <w:t>*Values in brackets represent number of patients for whom data</w:t>
            </w:r>
          </w:p>
          <w:p w14:paraId="295E434E" w14:textId="77777777" w:rsidR="00F92AEF" w:rsidRPr="00152CF1" w:rsidRDefault="00F92AEF" w:rsidP="00514D0C">
            <w:pPr>
              <w:pBdr>
                <w:top w:val="nil"/>
                <w:left w:val="nil"/>
                <w:bottom w:val="nil"/>
                <w:right w:val="nil"/>
                <w:between w:val="nil"/>
              </w:pBdr>
              <w:autoSpaceDE w:val="0"/>
              <w:autoSpaceDN w:val="0"/>
              <w:adjustRightInd w:val="0"/>
              <w:snapToGrid w:val="0"/>
              <w:rPr>
                <w:rFonts w:eastAsia="Palatino Linotype"/>
                <w:sz w:val="18"/>
                <w:szCs w:val="16"/>
                <w:lang w:val="en-US"/>
              </w:rPr>
            </w:pPr>
            <w:r w:rsidRPr="00152CF1">
              <w:rPr>
                <w:rFonts w:eastAsia="Palatino Linotype"/>
                <w:sz w:val="18"/>
                <w:szCs w:val="16"/>
                <w:lang w:val="en-US"/>
              </w:rPr>
              <w:t>were available.</w:t>
            </w:r>
          </w:p>
          <w:p w14:paraId="1EB8E7C6" w14:textId="77777777" w:rsidR="003C71C9" w:rsidRPr="00152CF1" w:rsidRDefault="009F36ED" w:rsidP="00514D0C">
            <w:pPr>
              <w:pBdr>
                <w:top w:val="nil"/>
                <w:left w:val="nil"/>
                <w:bottom w:val="nil"/>
                <w:right w:val="nil"/>
                <w:between w:val="nil"/>
              </w:pBdr>
              <w:autoSpaceDE w:val="0"/>
              <w:autoSpaceDN w:val="0"/>
              <w:adjustRightInd w:val="0"/>
              <w:snapToGrid w:val="0"/>
              <w:rPr>
                <w:color w:val="000000"/>
                <w:sz w:val="18"/>
                <w:szCs w:val="16"/>
                <w:lang w:val="en-US"/>
              </w:rPr>
            </w:pPr>
            <w:r w:rsidRPr="00152CF1">
              <w:rPr>
                <w:rFonts w:eastAsia="Palatino Linotype"/>
                <w:b/>
                <w:sz w:val="18"/>
                <w:szCs w:val="16"/>
                <w:lang w:val="en-US"/>
              </w:rPr>
              <w:t xml:space="preserve">CT = </w:t>
            </w:r>
            <w:r w:rsidRPr="00152CF1">
              <w:rPr>
                <w:rFonts w:eastAsia="Palatino Linotype"/>
                <w:sz w:val="18"/>
                <w:szCs w:val="16"/>
                <w:lang w:val="en-US"/>
              </w:rPr>
              <w:t>computed tomography.</w:t>
            </w:r>
          </w:p>
        </w:tc>
        <w:tc>
          <w:tcPr>
            <w:tcW w:w="236" w:type="dxa"/>
            <w:tcBorders>
              <w:bottom w:val="single" w:sz="8" w:space="0" w:color="auto"/>
            </w:tcBorders>
            <w:shd w:val="clear" w:color="auto" w:fill="auto"/>
            <w:vAlign w:val="center"/>
          </w:tcPr>
          <w:p w14:paraId="36A06096" w14:textId="77777777" w:rsidR="003C71C9" w:rsidRPr="00152CF1" w:rsidRDefault="003C71C9" w:rsidP="00152CF1">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color w:val="000000"/>
                <w:sz w:val="18"/>
                <w:szCs w:val="20"/>
                <w:lang w:val="en-US"/>
              </w:rPr>
            </w:pPr>
          </w:p>
        </w:tc>
      </w:tr>
    </w:tbl>
    <w:p w14:paraId="2564ABA7" w14:textId="345CF714" w:rsidR="003C71C9" w:rsidRPr="00152CF1" w:rsidRDefault="00152CF1" w:rsidP="00152CF1">
      <w:pPr>
        <w:pStyle w:val="MDPI22heading2"/>
        <w:spacing w:before="240"/>
        <w:rPr>
          <w:rFonts w:eastAsia="Palatino Linotype"/>
        </w:rPr>
      </w:pPr>
      <w:r w:rsidRPr="00152CF1">
        <w:rPr>
          <w:rFonts w:eastAsia="Palatino Linotype"/>
        </w:rPr>
        <w:t>3.</w:t>
      </w:r>
      <w:r w:rsidR="002517A6">
        <w:rPr>
          <w:rFonts w:eastAsia="Palatino Linotype"/>
        </w:rPr>
        <w:t>4</w:t>
      </w:r>
      <w:r w:rsidRPr="00152CF1">
        <w:rPr>
          <w:rFonts w:eastAsia="Palatino Linotype"/>
        </w:rPr>
        <w:t xml:space="preserve">. </w:t>
      </w:r>
      <w:r w:rsidR="009F36ED" w:rsidRPr="00152CF1">
        <w:rPr>
          <w:rFonts w:eastAsia="Palatino Linotype"/>
        </w:rPr>
        <w:t>Diagnostic Approaches</w:t>
      </w:r>
    </w:p>
    <w:p w14:paraId="2219EAD4" w14:textId="77777777" w:rsidR="003C71C9" w:rsidRPr="00152CF1" w:rsidRDefault="009F36ED" w:rsidP="00152CF1">
      <w:pPr>
        <w:pStyle w:val="MDPI31text"/>
        <w:rPr>
          <w:rFonts w:eastAsia="Palatino Linotype"/>
        </w:rPr>
      </w:pPr>
      <w:r w:rsidRPr="00152CF1">
        <w:rPr>
          <w:rFonts w:eastAsia="Palatino Linotype"/>
        </w:rPr>
        <w:t xml:space="preserve">All cases in this review were catalogued as NTM and </w:t>
      </w:r>
      <w:r w:rsidRPr="00152CF1">
        <w:rPr>
          <w:rFonts w:eastAsia="Palatino Linotype"/>
          <w:i/>
        </w:rPr>
        <w:t>Aspergillus</w:t>
      </w:r>
      <w:r w:rsidRPr="00152CF1">
        <w:rPr>
          <w:rFonts w:eastAsia="Palatino Linotype"/>
        </w:rPr>
        <w:t xml:space="preserve"> co-infection, but culture results for microbiologic diagnosis were reported only in 585 patients for NTM and in 463 patients for </w:t>
      </w:r>
      <w:r w:rsidR="002530D9" w:rsidRPr="00152CF1">
        <w:rPr>
          <w:rFonts w:eastAsia="Palatino Linotype"/>
          <w:i/>
        </w:rPr>
        <w:t>Aspergillus</w:t>
      </w:r>
      <w:r w:rsidR="002530D9" w:rsidRPr="00152CF1">
        <w:rPr>
          <w:rFonts w:eastAsia="Palatino Linotype"/>
        </w:rPr>
        <w:t>.</w:t>
      </w:r>
      <w:r w:rsidRPr="00152CF1">
        <w:rPr>
          <w:rFonts w:eastAsia="Palatino Linotype"/>
        </w:rPr>
        <w:t xml:space="preserve"> The microbiological species most frequently isolated from NTM and </w:t>
      </w:r>
      <w:r w:rsidRPr="00152CF1">
        <w:rPr>
          <w:rFonts w:eastAsia="Palatino Linotype"/>
          <w:i/>
        </w:rPr>
        <w:t>Aspergillus</w:t>
      </w:r>
      <w:r w:rsidRPr="00152CF1">
        <w:rPr>
          <w:rFonts w:eastAsia="Palatino Linotype"/>
        </w:rPr>
        <w:t xml:space="preserve"> are detailed in </w:t>
      </w:r>
      <w:r w:rsidRPr="00152CF1">
        <w:rPr>
          <w:rFonts w:eastAsia="Palatino Linotype"/>
          <w:b/>
        </w:rPr>
        <w:t>Table 3.</w:t>
      </w:r>
      <w:r w:rsidRPr="00152CF1">
        <w:rPr>
          <w:rFonts w:eastAsia="Palatino Linotype"/>
        </w:rPr>
        <w:t xml:space="preserve"> Microbiologic-based diagnosis was made earlier for NTM than for </w:t>
      </w:r>
      <w:r w:rsidRPr="00152CF1">
        <w:rPr>
          <w:rFonts w:eastAsia="Palatino Linotype"/>
          <w:i/>
          <w:iCs/>
        </w:rPr>
        <w:t>Aspergillus</w:t>
      </w:r>
      <w:r w:rsidRPr="00152CF1">
        <w:rPr>
          <w:rFonts w:eastAsia="Palatino Linotype"/>
        </w:rPr>
        <w:t xml:space="preserve"> in 82.8% of cases (n=67). The most common NTM species was </w:t>
      </w:r>
      <w:r w:rsidRPr="00152CF1">
        <w:rPr>
          <w:rFonts w:eastAsia="Palatino Linotype"/>
          <w:i/>
        </w:rPr>
        <w:t xml:space="preserve">Mycobacterium avium complex </w:t>
      </w:r>
      <w:r w:rsidRPr="00152CF1">
        <w:rPr>
          <w:rFonts w:eastAsia="Palatino Linotype"/>
        </w:rPr>
        <w:t xml:space="preserve">(MAC [73.2%, n=428]), followed by </w:t>
      </w:r>
      <w:r w:rsidRPr="00152CF1">
        <w:rPr>
          <w:rFonts w:eastAsia="Palatino Linotype"/>
          <w:i/>
        </w:rPr>
        <w:t>M.</w:t>
      </w:r>
      <w:r w:rsidRPr="00152CF1">
        <w:rPr>
          <w:rFonts w:eastAsia="Palatino Linotype"/>
        </w:rPr>
        <w:t xml:space="preserve"> </w:t>
      </w:r>
      <w:proofErr w:type="spellStart"/>
      <w:r w:rsidRPr="00152CF1">
        <w:rPr>
          <w:rFonts w:eastAsia="Palatino Linotype"/>
          <w:i/>
        </w:rPr>
        <w:t>abscessus</w:t>
      </w:r>
      <w:proofErr w:type="spellEnd"/>
      <w:r w:rsidRPr="00152CF1">
        <w:rPr>
          <w:rFonts w:eastAsia="Palatino Linotype"/>
          <w:i/>
        </w:rPr>
        <w:t xml:space="preserve"> </w:t>
      </w:r>
      <w:r w:rsidRPr="00152CF1">
        <w:rPr>
          <w:rFonts w:eastAsia="Palatino Linotype"/>
        </w:rPr>
        <w:t xml:space="preserve">complex (10.4 %, n=61); and the most common </w:t>
      </w:r>
      <w:r w:rsidRPr="00152CF1">
        <w:rPr>
          <w:rFonts w:eastAsia="Palatino Linotype"/>
          <w:i/>
        </w:rPr>
        <w:t>Aspergillus</w:t>
      </w:r>
      <w:r w:rsidRPr="00152CF1">
        <w:rPr>
          <w:rFonts w:eastAsia="Palatino Linotype"/>
        </w:rPr>
        <w:t xml:space="preserve"> species was </w:t>
      </w:r>
      <w:r w:rsidRPr="00152CF1">
        <w:rPr>
          <w:rFonts w:eastAsia="Palatino Linotype"/>
          <w:i/>
          <w:iCs/>
        </w:rPr>
        <w:t>A.</w:t>
      </w:r>
      <w:r w:rsidRPr="00152CF1">
        <w:rPr>
          <w:rFonts w:eastAsia="Palatino Linotype"/>
        </w:rPr>
        <w:t xml:space="preserve"> </w:t>
      </w:r>
      <w:r w:rsidRPr="00152CF1">
        <w:rPr>
          <w:rFonts w:eastAsia="Palatino Linotype"/>
          <w:i/>
        </w:rPr>
        <w:t>fumigatus</w:t>
      </w:r>
      <w:r w:rsidRPr="00152CF1">
        <w:rPr>
          <w:rFonts w:eastAsia="Palatino Linotype"/>
        </w:rPr>
        <w:t xml:space="preserve"> (65.7%, n=304) followed by A. </w:t>
      </w:r>
      <w:proofErr w:type="spellStart"/>
      <w:r w:rsidRPr="00152CF1">
        <w:rPr>
          <w:rFonts w:eastAsia="Palatino Linotype"/>
          <w:i/>
        </w:rPr>
        <w:t>niger</w:t>
      </w:r>
      <w:proofErr w:type="spellEnd"/>
      <w:r w:rsidRPr="00152CF1">
        <w:rPr>
          <w:rFonts w:eastAsia="Palatino Linotype"/>
        </w:rPr>
        <w:t xml:space="preserve"> (12.3%, n=57). </w:t>
      </w:r>
      <w:r w:rsidRPr="00152CF1">
        <w:rPr>
          <w:rFonts w:eastAsia="Palatino Linotype"/>
          <w:i/>
          <w:iCs/>
        </w:rPr>
        <w:t>Aspergillus</w:t>
      </w:r>
      <w:r w:rsidRPr="00152CF1">
        <w:rPr>
          <w:rFonts w:eastAsia="Palatino Linotype"/>
        </w:rPr>
        <w:t xml:space="preserve">-specific IgG was reported and positive in 15.9% of all cases (n=132) and </w:t>
      </w:r>
      <w:r w:rsidRPr="00152CF1">
        <w:rPr>
          <w:rFonts w:eastAsia="Palatino Linotype"/>
          <w:i/>
          <w:iCs/>
        </w:rPr>
        <w:t>Aspergillus</w:t>
      </w:r>
      <w:r w:rsidRPr="00152CF1">
        <w:rPr>
          <w:rFonts w:eastAsia="Palatino Linotype"/>
        </w:rPr>
        <w:t xml:space="preserve">-specific </w:t>
      </w:r>
      <w:proofErr w:type="spellStart"/>
      <w:r w:rsidRPr="00152CF1">
        <w:rPr>
          <w:rFonts w:eastAsia="Palatino Linotype"/>
        </w:rPr>
        <w:t>IgE</w:t>
      </w:r>
      <w:proofErr w:type="spellEnd"/>
      <w:r w:rsidRPr="00152CF1">
        <w:rPr>
          <w:rFonts w:eastAsia="Palatino Linotype"/>
        </w:rPr>
        <w:t xml:space="preserve"> in 16,7% (n=138;). Galactomannan and Beta-D-Glucan were rarely reported and resulted positive in 1% (n=9) and 0.8% (n=7) of all cases, respectively. Negative microbiologic results were also rarely reported, so the positive rate of all tests performed could not be properly calculated.</w:t>
      </w:r>
    </w:p>
    <w:p w14:paraId="15F4FA20" w14:textId="37EBD80C" w:rsidR="003C71C9" w:rsidRPr="00152CF1" w:rsidRDefault="00152CF1" w:rsidP="00152CF1">
      <w:pPr>
        <w:pStyle w:val="MDPI41tablecaption"/>
        <w:rPr>
          <w:rFonts w:eastAsia="Palatino Linotype"/>
        </w:rPr>
      </w:pPr>
      <w:r w:rsidRPr="00152CF1">
        <w:rPr>
          <w:rFonts w:eastAsia="Palatino Linotype"/>
          <w:b/>
        </w:rPr>
        <w:t xml:space="preserve">Table 3. </w:t>
      </w:r>
      <w:r w:rsidR="009F36ED" w:rsidRPr="00152CF1">
        <w:rPr>
          <w:rFonts w:eastAsia="Palatino Linotype"/>
        </w:rPr>
        <w:t>Diagnostic Procedures and Microbiologic Findings</w:t>
      </w:r>
      <w:r>
        <w:rPr>
          <w:rFonts w:eastAsia="Palatino Linotype"/>
        </w:rPr>
        <w:t>.</w:t>
      </w:r>
    </w:p>
    <w:tbl>
      <w:tblPr>
        <w:tblW w:w="7857" w:type="dxa"/>
        <w:tblInd w:w="2608" w:type="dxa"/>
        <w:tblBorders>
          <w:top w:val="single" w:sz="8" w:space="0" w:color="000000"/>
          <w:bottom w:val="single" w:sz="8" w:space="0" w:color="000000"/>
        </w:tblBorders>
        <w:tblLayout w:type="fixed"/>
        <w:tblCellMar>
          <w:left w:w="0" w:type="dxa"/>
          <w:right w:w="0" w:type="dxa"/>
        </w:tblCellMar>
        <w:tblLook w:val="0400" w:firstRow="0" w:lastRow="0" w:firstColumn="0" w:lastColumn="0" w:noHBand="0" w:noVBand="1"/>
      </w:tblPr>
      <w:tblGrid>
        <w:gridCol w:w="4591"/>
        <w:gridCol w:w="2912"/>
        <w:gridCol w:w="354"/>
      </w:tblGrid>
      <w:tr w:rsidR="003C71C9" w:rsidRPr="00152CF1" w14:paraId="252CD641" w14:textId="77777777" w:rsidTr="00152CF1">
        <w:tc>
          <w:tcPr>
            <w:tcW w:w="3062" w:type="dxa"/>
            <w:tcBorders>
              <w:top w:val="single" w:sz="8" w:space="0" w:color="auto"/>
              <w:bottom w:val="single" w:sz="4" w:space="0" w:color="000000"/>
            </w:tcBorders>
            <w:shd w:val="clear" w:color="auto" w:fill="auto"/>
            <w:vAlign w:val="center"/>
          </w:tcPr>
          <w:p w14:paraId="722C512C" w14:textId="5A80FEA7" w:rsidR="003C71C9" w:rsidRPr="00152CF1" w:rsidRDefault="009F36ED" w:rsidP="00152CF1">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b/>
                <w:color w:val="000000"/>
                <w:sz w:val="18"/>
                <w:szCs w:val="16"/>
                <w:lang w:val="en-US"/>
              </w:rPr>
            </w:pPr>
            <w:r w:rsidRPr="00152CF1">
              <w:rPr>
                <w:rFonts w:ascii="Palatino Linotype" w:eastAsia="Palatino Linotype" w:hAnsi="Palatino Linotype" w:cs="Palatino Linotype"/>
                <w:b/>
                <w:color w:val="000000"/>
                <w:sz w:val="18"/>
                <w:szCs w:val="16"/>
                <w:lang w:val="en-US"/>
              </w:rPr>
              <w:t>Variable</w:t>
            </w:r>
            <w:r w:rsidR="00F92AEF" w:rsidRPr="00152CF1">
              <w:rPr>
                <w:rFonts w:ascii="Palatino Linotype" w:eastAsia="Palatino Linotype" w:hAnsi="Palatino Linotype" w:cs="Palatino Linotype"/>
                <w:b/>
                <w:color w:val="000000"/>
                <w:sz w:val="18"/>
                <w:szCs w:val="16"/>
                <w:lang w:val="en-US"/>
              </w:rPr>
              <w:t>*</w:t>
            </w:r>
          </w:p>
        </w:tc>
        <w:tc>
          <w:tcPr>
            <w:tcW w:w="2176" w:type="dxa"/>
            <w:gridSpan w:val="2"/>
            <w:tcBorders>
              <w:top w:val="single" w:sz="8" w:space="0" w:color="auto"/>
              <w:bottom w:val="single" w:sz="4" w:space="0" w:color="000000"/>
            </w:tcBorders>
            <w:shd w:val="clear" w:color="auto" w:fill="auto"/>
            <w:vAlign w:val="center"/>
          </w:tcPr>
          <w:p w14:paraId="293303FD" w14:textId="581CB9D2" w:rsidR="003C71C9" w:rsidRPr="00152CF1" w:rsidRDefault="009F36ED" w:rsidP="00152CF1">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b/>
                <w:color w:val="000000"/>
                <w:sz w:val="18"/>
                <w:szCs w:val="16"/>
                <w:lang w:val="en-US"/>
              </w:rPr>
            </w:pPr>
            <w:r w:rsidRPr="00152CF1">
              <w:rPr>
                <w:rFonts w:ascii="Palatino Linotype" w:eastAsia="Palatino Linotype" w:hAnsi="Palatino Linotype" w:cs="Palatino Linotype"/>
                <w:b/>
                <w:color w:val="000000"/>
                <w:sz w:val="18"/>
                <w:szCs w:val="16"/>
                <w:lang w:val="en-US"/>
              </w:rPr>
              <w:t xml:space="preserve">No. of </w:t>
            </w:r>
            <w:r w:rsidR="00980F6B" w:rsidRPr="00152CF1">
              <w:rPr>
                <w:rFonts w:ascii="Palatino Linotype" w:eastAsia="Palatino Linotype" w:hAnsi="Palatino Linotype" w:cs="Palatino Linotype"/>
                <w:b/>
                <w:color w:val="000000"/>
                <w:sz w:val="18"/>
                <w:szCs w:val="16"/>
                <w:lang w:val="en-US"/>
              </w:rPr>
              <w:t>Patients</w:t>
            </w:r>
            <w:r w:rsidRPr="00152CF1">
              <w:rPr>
                <w:rFonts w:ascii="Palatino Linotype" w:eastAsia="Palatino Linotype" w:hAnsi="Palatino Linotype" w:cs="Palatino Linotype"/>
                <w:b/>
                <w:color w:val="000000"/>
                <w:sz w:val="18"/>
                <w:szCs w:val="16"/>
                <w:lang w:val="en-US"/>
              </w:rPr>
              <w:t xml:space="preserve"> (%)</w:t>
            </w:r>
          </w:p>
        </w:tc>
      </w:tr>
      <w:tr w:rsidR="003C71C9" w:rsidRPr="00152CF1" w14:paraId="643DB3EE" w14:textId="77777777" w:rsidTr="00152CF1">
        <w:tc>
          <w:tcPr>
            <w:tcW w:w="3062" w:type="dxa"/>
            <w:shd w:val="clear" w:color="auto" w:fill="auto"/>
            <w:vAlign w:val="center"/>
          </w:tcPr>
          <w:p w14:paraId="4424512E" w14:textId="6619A074" w:rsidR="003C71C9" w:rsidRPr="00152CF1" w:rsidRDefault="009F36ED" w:rsidP="00514D0C">
            <w:pPr>
              <w:autoSpaceDE w:val="0"/>
              <w:autoSpaceDN w:val="0"/>
              <w:adjustRightInd w:val="0"/>
              <w:snapToGrid w:val="0"/>
              <w:rPr>
                <w:sz w:val="18"/>
                <w:szCs w:val="16"/>
                <w:lang w:val="en-US"/>
              </w:rPr>
            </w:pPr>
            <w:r w:rsidRPr="00152CF1">
              <w:rPr>
                <w:sz w:val="18"/>
                <w:szCs w:val="16"/>
                <w:lang w:val="en-US"/>
              </w:rPr>
              <w:t xml:space="preserve">Positive culture for mycobacteria </w:t>
            </w:r>
            <w:r w:rsidRPr="00152CF1">
              <w:rPr>
                <w:color w:val="000000"/>
                <w:sz w:val="18"/>
                <w:szCs w:val="16"/>
                <w:lang w:val="en-US"/>
              </w:rPr>
              <w:t>[585]</w:t>
            </w:r>
            <w:r w:rsidR="00980F6B" w:rsidRPr="00152CF1">
              <w:rPr>
                <w:rFonts w:eastAsia="Palatino Linotype"/>
                <w:sz w:val="18"/>
                <w:szCs w:val="16"/>
                <w:lang w:val="en-US"/>
              </w:rPr>
              <w:t xml:space="preserve"> †</w:t>
            </w:r>
          </w:p>
          <w:p w14:paraId="404B3C2F"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M. avium complex</w:t>
            </w:r>
          </w:p>
          <w:p w14:paraId="2150B530"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M. avium</w:t>
            </w:r>
          </w:p>
          <w:p w14:paraId="3043AB4F"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intracelullare</w:t>
            </w:r>
            <w:proofErr w:type="spellEnd"/>
          </w:p>
          <w:p w14:paraId="2F0FCA5F"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abscessus</w:t>
            </w:r>
            <w:proofErr w:type="spellEnd"/>
          </w:p>
          <w:p w14:paraId="0BD35BBB"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kansaii</w:t>
            </w:r>
            <w:proofErr w:type="spellEnd"/>
          </w:p>
          <w:p w14:paraId="4672D7C5"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xenopi</w:t>
            </w:r>
            <w:proofErr w:type="spellEnd"/>
          </w:p>
          <w:p w14:paraId="3ECC7B4E"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fortuitum</w:t>
            </w:r>
            <w:proofErr w:type="spellEnd"/>
          </w:p>
          <w:p w14:paraId="45A337E7"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gordonae</w:t>
            </w:r>
            <w:proofErr w:type="spellEnd"/>
          </w:p>
          <w:p w14:paraId="21A46738"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chelonae</w:t>
            </w:r>
            <w:proofErr w:type="spellEnd"/>
          </w:p>
          <w:p w14:paraId="3B18A211"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szulgai</w:t>
            </w:r>
            <w:proofErr w:type="spellEnd"/>
          </w:p>
          <w:p w14:paraId="3B0E2E08"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malmonese</w:t>
            </w:r>
            <w:proofErr w:type="spellEnd"/>
            <w:r w:rsidRPr="00152CF1">
              <w:rPr>
                <w:i/>
                <w:iCs/>
                <w:color w:val="000000"/>
                <w:sz w:val="18"/>
                <w:szCs w:val="16"/>
                <w:lang w:val="en-US"/>
              </w:rPr>
              <w:t xml:space="preserve"> </w:t>
            </w:r>
          </w:p>
          <w:p w14:paraId="2A08CA2A"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simiae</w:t>
            </w:r>
            <w:proofErr w:type="spellEnd"/>
            <w:r w:rsidRPr="00152CF1">
              <w:rPr>
                <w:i/>
                <w:iCs/>
                <w:color w:val="000000"/>
                <w:sz w:val="18"/>
                <w:szCs w:val="16"/>
                <w:lang w:val="en-US"/>
              </w:rPr>
              <w:t xml:space="preserve"> </w:t>
            </w:r>
          </w:p>
          <w:p w14:paraId="2E407E42"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i/>
                <w:iCs/>
                <w:color w:val="000000"/>
                <w:sz w:val="18"/>
                <w:szCs w:val="16"/>
                <w:lang w:val="en-US"/>
              </w:rPr>
              <w:t xml:space="preserve">M. </w:t>
            </w:r>
            <w:proofErr w:type="spellStart"/>
            <w:r w:rsidRPr="00152CF1">
              <w:rPr>
                <w:i/>
                <w:iCs/>
                <w:color w:val="000000"/>
                <w:sz w:val="18"/>
                <w:szCs w:val="16"/>
                <w:lang w:val="en-US"/>
              </w:rPr>
              <w:t>massiliense</w:t>
            </w:r>
            <w:proofErr w:type="spellEnd"/>
            <w:r w:rsidRPr="00152CF1">
              <w:rPr>
                <w:i/>
                <w:color w:val="000000"/>
                <w:sz w:val="18"/>
                <w:szCs w:val="16"/>
                <w:lang w:val="en-US"/>
              </w:rPr>
              <w:t xml:space="preserve"> </w:t>
            </w:r>
          </w:p>
          <w:p w14:paraId="7B386B03"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Other</w:t>
            </w:r>
          </w:p>
          <w:p w14:paraId="3E6E4568" w14:textId="6A5359A4" w:rsidR="003C71C9" w:rsidRPr="00152CF1" w:rsidRDefault="009F36ED" w:rsidP="00514D0C">
            <w:pPr>
              <w:autoSpaceDE w:val="0"/>
              <w:autoSpaceDN w:val="0"/>
              <w:adjustRightInd w:val="0"/>
              <w:snapToGrid w:val="0"/>
              <w:rPr>
                <w:sz w:val="18"/>
                <w:szCs w:val="16"/>
                <w:lang w:val="en-US"/>
              </w:rPr>
            </w:pPr>
            <w:r w:rsidRPr="00152CF1">
              <w:rPr>
                <w:sz w:val="18"/>
                <w:szCs w:val="16"/>
                <w:lang w:val="en-US"/>
              </w:rPr>
              <w:t xml:space="preserve">Positive culture for </w:t>
            </w:r>
            <w:r w:rsidRPr="00152CF1">
              <w:rPr>
                <w:i/>
                <w:sz w:val="18"/>
                <w:szCs w:val="16"/>
                <w:lang w:val="en-US"/>
              </w:rPr>
              <w:t xml:space="preserve">Aspergillus </w:t>
            </w:r>
            <w:r w:rsidRPr="00152CF1">
              <w:rPr>
                <w:color w:val="000000"/>
                <w:sz w:val="18"/>
                <w:szCs w:val="16"/>
                <w:lang w:val="en-US"/>
              </w:rPr>
              <w:t>[463]</w:t>
            </w:r>
            <w:r w:rsidR="00980F6B" w:rsidRPr="00152CF1">
              <w:rPr>
                <w:rFonts w:eastAsia="Palatino Linotype"/>
                <w:sz w:val="18"/>
                <w:szCs w:val="16"/>
                <w:lang w:val="en-US"/>
              </w:rPr>
              <w:t xml:space="preserve"> †</w:t>
            </w:r>
          </w:p>
          <w:p w14:paraId="27696F3D"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A. fumigatus</w:t>
            </w:r>
          </w:p>
          <w:p w14:paraId="12DD4371" w14:textId="77777777" w:rsidR="003C71C9" w:rsidRPr="00152CF1" w:rsidRDefault="009F36ED" w:rsidP="00514D0C">
            <w:pPr>
              <w:pBdr>
                <w:top w:val="nil"/>
                <w:left w:val="nil"/>
                <w:bottom w:val="nil"/>
                <w:right w:val="nil"/>
                <w:between w:val="nil"/>
              </w:pBdr>
              <w:autoSpaceDE w:val="0"/>
              <w:autoSpaceDN w:val="0"/>
              <w:adjustRightInd w:val="0"/>
              <w:snapToGrid w:val="0"/>
              <w:ind w:left="708"/>
              <w:rPr>
                <w:i/>
                <w:iCs/>
                <w:color w:val="000000"/>
                <w:sz w:val="18"/>
                <w:szCs w:val="16"/>
                <w:lang w:val="en-US"/>
              </w:rPr>
            </w:pPr>
            <w:r w:rsidRPr="00152CF1">
              <w:rPr>
                <w:i/>
                <w:iCs/>
                <w:color w:val="000000"/>
                <w:sz w:val="18"/>
                <w:szCs w:val="16"/>
                <w:lang w:val="en-US"/>
              </w:rPr>
              <w:t xml:space="preserve">A. </w:t>
            </w:r>
            <w:proofErr w:type="spellStart"/>
            <w:r w:rsidRPr="00152CF1">
              <w:rPr>
                <w:i/>
                <w:iCs/>
                <w:color w:val="000000"/>
                <w:sz w:val="18"/>
                <w:szCs w:val="16"/>
                <w:lang w:val="en-US"/>
              </w:rPr>
              <w:t>niger</w:t>
            </w:r>
            <w:proofErr w:type="spellEnd"/>
          </w:p>
          <w:p w14:paraId="4D70F614"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 xml:space="preserve">A. </w:t>
            </w:r>
            <w:r w:rsidRPr="00152CF1">
              <w:rPr>
                <w:i/>
                <w:color w:val="000000"/>
                <w:sz w:val="18"/>
                <w:szCs w:val="16"/>
                <w:lang w:val="en-US"/>
              </w:rPr>
              <w:t>flavus</w:t>
            </w:r>
          </w:p>
          <w:p w14:paraId="019D47AB"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color w:val="000000"/>
                <w:sz w:val="18"/>
                <w:szCs w:val="16"/>
                <w:lang w:val="en-US"/>
              </w:rPr>
              <w:t xml:space="preserve">A. </w:t>
            </w:r>
            <w:proofErr w:type="spellStart"/>
            <w:r w:rsidRPr="00152CF1">
              <w:rPr>
                <w:i/>
                <w:color w:val="000000"/>
                <w:sz w:val="18"/>
                <w:szCs w:val="16"/>
                <w:lang w:val="en-US"/>
              </w:rPr>
              <w:t>terreus</w:t>
            </w:r>
            <w:proofErr w:type="spellEnd"/>
          </w:p>
          <w:p w14:paraId="09D31BE7" w14:textId="77777777" w:rsidR="003C71C9" w:rsidRPr="00152CF1" w:rsidRDefault="009F36ED" w:rsidP="00514D0C">
            <w:pPr>
              <w:pBdr>
                <w:top w:val="nil"/>
                <w:left w:val="nil"/>
                <w:bottom w:val="nil"/>
                <w:right w:val="nil"/>
                <w:between w:val="nil"/>
              </w:pBdr>
              <w:autoSpaceDE w:val="0"/>
              <w:autoSpaceDN w:val="0"/>
              <w:adjustRightInd w:val="0"/>
              <w:snapToGrid w:val="0"/>
              <w:ind w:left="708"/>
              <w:rPr>
                <w:color w:val="000000"/>
                <w:sz w:val="18"/>
                <w:szCs w:val="16"/>
                <w:lang w:val="en-US"/>
              </w:rPr>
            </w:pPr>
            <w:r w:rsidRPr="00152CF1">
              <w:rPr>
                <w:i/>
                <w:color w:val="000000"/>
                <w:sz w:val="18"/>
                <w:szCs w:val="16"/>
                <w:lang w:val="en-US"/>
              </w:rPr>
              <w:t>Aspergillus</w:t>
            </w:r>
            <w:r w:rsidRPr="00152CF1">
              <w:rPr>
                <w:color w:val="000000"/>
                <w:sz w:val="18"/>
                <w:szCs w:val="16"/>
                <w:lang w:val="en-US"/>
              </w:rPr>
              <w:t xml:space="preserve"> spp.</w:t>
            </w:r>
          </w:p>
        </w:tc>
        <w:tc>
          <w:tcPr>
            <w:tcW w:w="2176" w:type="dxa"/>
            <w:gridSpan w:val="2"/>
            <w:shd w:val="clear" w:color="auto" w:fill="auto"/>
            <w:vAlign w:val="center"/>
          </w:tcPr>
          <w:p w14:paraId="02E229EA"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p w14:paraId="396EAF71" w14:textId="61631B48"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428 (73.2)</w:t>
            </w:r>
          </w:p>
          <w:p w14:paraId="664D5170"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382 (65.3)</w:t>
            </w:r>
          </w:p>
          <w:p w14:paraId="3F3A2482"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46 (7.9)</w:t>
            </w:r>
          </w:p>
          <w:p w14:paraId="34975B8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61 (10.4)</w:t>
            </w:r>
          </w:p>
          <w:p w14:paraId="2D9E3A42"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37 (6.3)</w:t>
            </w:r>
          </w:p>
          <w:p w14:paraId="2A2DBA03"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16 (2.7)</w:t>
            </w:r>
          </w:p>
          <w:p w14:paraId="3745DC3B"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10 (1.7)</w:t>
            </w:r>
          </w:p>
          <w:p w14:paraId="0E1EA6CB"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6 (1)</w:t>
            </w:r>
          </w:p>
          <w:p w14:paraId="48F167AD"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6 (1)</w:t>
            </w:r>
          </w:p>
          <w:p w14:paraId="70233EF2"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5 (0.9)</w:t>
            </w:r>
          </w:p>
          <w:p w14:paraId="1332C7B9"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5 (0.9)</w:t>
            </w:r>
          </w:p>
          <w:p w14:paraId="1E24B6C9"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 (0.5)</w:t>
            </w:r>
          </w:p>
          <w:p w14:paraId="018507CD"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 (0.3)</w:t>
            </w:r>
          </w:p>
          <w:p w14:paraId="67890196"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7 (1.2)</w:t>
            </w:r>
          </w:p>
          <w:p w14:paraId="0E0EC797"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p w14:paraId="680BA09A"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304 (65.7)</w:t>
            </w:r>
          </w:p>
          <w:p w14:paraId="211D2F5B"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57 (12.3)</w:t>
            </w:r>
          </w:p>
          <w:p w14:paraId="77AE6FC0"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27 (5.8)</w:t>
            </w:r>
          </w:p>
          <w:p w14:paraId="7A0213B4"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5 (1.1)</w:t>
            </w:r>
          </w:p>
          <w:p w14:paraId="3CBAE371" w14:textId="77777777" w:rsidR="003C71C9" w:rsidRPr="00152CF1" w:rsidRDefault="009F36ED" w:rsidP="00152CF1">
            <w:pPr>
              <w:pBdr>
                <w:top w:val="nil"/>
                <w:left w:val="nil"/>
                <w:bottom w:val="nil"/>
                <w:right w:val="nil"/>
                <w:between w:val="nil"/>
              </w:pBdr>
              <w:autoSpaceDE w:val="0"/>
              <w:autoSpaceDN w:val="0"/>
              <w:adjustRightInd w:val="0"/>
              <w:snapToGrid w:val="0"/>
              <w:jc w:val="center"/>
              <w:rPr>
                <w:color w:val="000000"/>
                <w:sz w:val="18"/>
                <w:szCs w:val="16"/>
                <w:lang w:val="en-US"/>
              </w:rPr>
            </w:pPr>
            <w:r w:rsidRPr="00152CF1">
              <w:rPr>
                <w:color w:val="000000"/>
                <w:sz w:val="18"/>
                <w:szCs w:val="16"/>
                <w:lang w:val="en-US"/>
              </w:rPr>
              <w:t>50 (1.5)</w:t>
            </w:r>
          </w:p>
          <w:p w14:paraId="68B4340D" w14:textId="77777777" w:rsidR="003C71C9" w:rsidRPr="00152CF1" w:rsidRDefault="003C71C9" w:rsidP="00152CF1">
            <w:pPr>
              <w:pBdr>
                <w:top w:val="nil"/>
                <w:left w:val="nil"/>
                <w:bottom w:val="nil"/>
                <w:right w:val="nil"/>
                <w:between w:val="nil"/>
              </w:pBdr>
              <w:autoSpaceDE w:val="0"/>
              <w:autoSpaceDN w:val="0"/>
              <w:adjustRightInd w:val="0"/>
              <w:snapToGrid w:val="0"/>
              <w:jc w:val="center"/>
              <w:rPr>
                <w:color w:val="000000"/>
                <w:sz w:val="18"/>
                <w:szCs w:val="16"/>
                <w:lang w:val="en-US"/>
              </w:rPr>
            </w:pPr>
          </w:p>
        </w:tc>
      </w:tr>
      <w:tr w:rsidR="00F92AEF" w:rsidRPr="00DE0F96" w14:paraId="586C4789" w14:textId="77777777" w:rsidTr="00152CF1">
        <w:tc>
          <w:tcPr>
            <w:tcW w:w="5004" w:type="dxa"/>
            <w:gridSpan w:val="2"/>
            <w:tcBorders>
              <w:bottom w:val="single" w:sz="8" w:space="0" w:color="auto"/>
            </w:tcBorders>
            <w:shd w:val="clear" w:color="auto" w:fill="auto"/>
            <w:vAlign w:val="center"/>
          </w:tcPr>
          <w:p w14:paraId="12DC7021" w14:textId="77777777" w:rsidR="00F92AEF" w:rsidRPr="00152CF1" w:rsidRDefault="00F92AEF" w:rsidP="00514D0C">
            <w:pPr>
              <w:pBdr>
                <w:top w:val="nil"/>
                <w:left w:val="nil"/>
                <w:bottom w:val="nil"/>
                <w:right w:val="nil"/>
                <w:between w:val="nil"/>
              </w:pBdr>
              <w:autoSpaceDE w:val="0"/>
              <w:autoSpaceDN w:val="0"/>
              <w:adjustRightInd w:val="0"/>
              <w:snapToGrid w:val="0"/>
              <w:rPr>
                <w:rFonts w:eastAsia="Palatino Linotype"/>
                <w:sz w:val="18"/>
                <w:szCs w:val="16"/>
                <w:lang w:val="en-US"/>
              </w:rPr>
            </w:pPr>
            <w:r w:rsidRPr="00152CF1">
              <w:rPr>
                <w:rFonts w:eastAsia="Palatino Linotype"/>
                <w:sz w:val="18"/>
                <w:szCs w:val="16"/>
                <w:lang w:val="en-US"/>
              </w:rPr>
              <w:t>*Values in brackets represent number of patients for whom data</w:t>
            </w:r>
            <w:r w:rsidR="00980F6B" w:rsidRPr="00152CF1">
              <w:rPr>
                <w:rFonts w:eastAsia="Palatino Linotype"/>
                <w:sz w:val="18"/>
                <w:szCs w:val="16"/>
                <w:lang w:val="en-US"/>
              </w:rPr>
              <w:t xml:space="preserve"> </w:t>
            </w:r>
            <w:r w:rsidRPr="00152CF1">
              <w:rPr>
                <w:rFonts w:eastAsia="Palatino Linotype"/>
                <w:sz w:val="18"/>
                <w:szCs w:val="16"/>
                <w:lang w:val="en-US"/>
              </w:rPr>
              <w:t>were available.</w:t>
            </w:r>
          </w:p>
          <w:p w14:paraId="2E2CB02B" w14:textId="3CE7C2A3" w:rsidR="00980F6B" w:rsidRPr="00152CF1" w:rsidRDefault="00980F6B" w:rsidP="00514D0C">
            <w:pPr>
              <w:pBdr>
                <w:top w:val="nil"/>
                <w:left w:val="nil"/>
                <w:bottom w:val="nil"/>
                <w:right w:val="nil"/>
                <w:between w:val="nil"/>
              </w:pBdr>
              <w:autoSpaceDE w:val="0"/>
              <w:autoSpaceDN w:val="0"/>
              <w:adjustRightInd w:val="0"/>
              <w:snapToGrid w:val="0"/>
              <w:rPr>
                <w:rFonts w:eastAsia="Palatino Linotype"/>
                <w:sz w:val="18"/>
                <w:szCs w:val="16"/>
                <w:lang w:val="en-US"/>
              </w:rPr>
            </w:pPr>
            <w:r w:rsidRPr="00152CF1">
              <w:rPr>
                <w:rFonts w:eastAsia="Palatino Linotype"/>
                <w:sz w:val="18"/>
                <w:szCs w:val="16"/>
                <w:lang w:val="en-US"/>
              </w:rPr>
              <w:lastRenderedPageBreak/>
              <w:t xml:space="preserve">†Number of patients in whom the microbiologic identification was reported. </w:t>
            </w:r>
          </w:p>
        </w:tc>
        <w:tc>
          <w:tcPr>
            <w:tcW w:w="236" w:type="dxa"/>
            <w:tcBorders>
              <w:bottom w:val="single" w:sz="8" w:space="0" w:color="auto"/>
            </w:tcBorders>
            <w:shd w:val="clear" w:color="auto" w:fill="auto"/>
            <w:vAlign w:val="center"/>
          </w:tcPr>
          <w:p w14:paraId="036F1B05" w14:textId="77777777" w:rsidR="00F92AEF" w:rsidRPr="00152CF1" w:rsidRDefault="00F92AEF" w:rsidP="00152CF1">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color w:val="000000"/>
                <w:sz w:val="18"/>
                <w:szCs w:val="20"/>
                <w:lang w:val="en-US"/>
              </w:rPr>
            </w:pPr>
          </w:p>
        </w:tc>
      </w:tr>
    </w:tbl>
    <w:p w14:paraId="1B3D99AA" w14:textId="77777777" w:rsidR="00C7419B" w:rsidRDefault="00C7419B" w:rsidP="00152CF1">
      <w:pPr>
        <w:pStyle w:val="MDPI31text"/>
        <w:rPr>
          <w:rFonts w:eastAsia="Palatino Linotype"/>
        </w:rPr>
      </w:pPr>
    </w:p>
    <w:p w14:paraId="32C40D42" w14:textId="283BDA97" w:rsidR="003C71C9" w:rsidRPr="00152CF1" w:rsidRDefault="009F36ED" w:rsidP="00152CF1">
      <w:pPr>
        <w:pStyle w:val="MDPI31text"/>
        <w:rPr>
          <w:rFonts w:eastAsia="Palatino Linotype"/>
        </w:rPr>
      </w:pPr>
      <w:r w:rsidRPr="00152CF1">
        <w:rPr>
          <w:rFonts w:eastAsia="Palatino Linotype"/>
        </w:rPr>
        <w:t xml:space="preserve">The different forms of Aspergillosis infection reviewed were the following: CPA was the most common manifestation, reported in 42.6% (n=86); followed by Allergic Bronchopulmonary Aspergillosis (ABPA) in 17.8% (n=36), CNPA in 10,9 % (n=22), and invasive aspergillosis (IA) in 1% of cases (n=2). </w:t>
      </w:r>
      <w:r w:rsidRPr="00152CF1">
        <w:rPr>
          <w:rFonts w:eastAsia="Palatino Linotype"/>
          <w:i/>
          <w:iCs/>
        </w:rPr>
        <w:t>Aspergillus</w:t>
      </w:r>
      <w:r w:rsidRPr="00152CF1">
        <w:rPr>
          <w:rFonts w:eastAsia="Palatino Linotype"/>
        </w:rPr>
        <w:t xml:space="preserve"> colonization was presumed and reported in 51 cases (6.2%).</w:t>
      </w:r>
    </w:p>
    <w:p w14:paraId="2034B3E4" w14:textId="27137B6E" w:rsidR="003C71C9" w:rsidRPr="00152CF1" w:rsidRDefault="00152CF1" w:rsidP="00152CF1">
      <w:pPr>
        <w:pStyle w:val="MDPI22heading2"/>
        <w:spacing w:before="240"/>
        <w:rPr>
          <w:rFonts w:eastAsia="Palatino Linotype"/>
        </w:rPr>
      </w:pPr>
      <w:r w:rsidRPr="00152CF1">
        <w:rPr>
          <w:rFonts w:eastAsia="Palatino Linotype"/>
        </w:rPr>
        <w:t>3.</w:t>
      </w:r>
      <w:r w:rsidR="002517A6">
        <w:rPr>
          <w:rFonts w:eastAsia="Palatino Linotype"/>
        </w:rPr>
        <w:t>5</w:t>
      </w:r>
      <w:r w:rsidRPr="00152CF1">
        <w:rPr>
          <w:rFonts w:eastAsia="Palatino Linotype"/>
        </w:rPr>
        <w:t xml:space="preserve">. </w:t>
      </w:r>
      <w:r w:rsidR="009F36ED" w:rsidRPr="00152CF1">
        <w:rPr>
          <w:rFonts w:eastAsia="Palatino Linotype"/>
        </w:rPr>
        <w:t>Treatment and Outcome</w:t>
      </w:r>
    </w:p>
    <w:p w14:paraId="20E5FC62" w14:textId="16CF7954" w:rsidR="003C71C9" w:rsidRPr="00152CF1" w:rsidRDefault="009F36ED" w:rsidP="00FD7343">
      <w:pPr>
        <w:pStyle w:val="MDPI31text"/>
        <w:rPr>
          <w:rFonts w:eastAsia="Palatino Linotype"/>
        </w:rPr>
      </w:pPr>
      <w:r w:rsidRPr="00152CF1">
        <w:rPr>
          <w:rFonts w:eastAsia="Palatino Linotype"/>
        </w:rPr>
        <w:t xml:space="preserve">Data on anti-mycobacterial therapy were available for 189 cases and for antifungal therapy in 243 cases. The drug regimens in the patients that received anti-tuberculosis and antifungal therapy are detailed in </w:t>
      </w:r>
      <w:r w:rsidRPr="00152CF1">
        <w:rPr>
          <w:rFonts w:eastAsia="Palatino Linotype"/>
          <w:b/>
        </w:rPr>
        <w:t>Table 4</w:t>
      </w:r>
      <w:r w:rsidRPr="00152CF1">
        <w:rPr>
          <w:rFonts w:eastAsia="Palatino Linotype"/>
        </w:rPr>
        <w:t xml:space="preserve">. </w:t>
      </w:r>
      <w:r w:rsidRPr="00152CF1">
        <w:rPr>
          <w:rFonts w:eastAsia="Palatino Linotype"/>
          <w:sz w:val="18"/>
          <w:szCs w:val="18"/>
        </w:rPr>
        <w:t xml:space="preserve">NTM and </w:t>
      </w:r>
      <w:r w:rsidRPr="00152CF1">
        <w:rPr>
          <w:rFonts w:eastAsia="Palatino Linotype"/>
          <w:i/>
        </w:rPr>
        <w:t>Aspergillus</w:t>
      </w:r>
      <w:r w:rsidRPr="00152CF1">
        <w:rPr>
          <w:rFonts w:eastAsia="Palatino Linotype"/>
        </w:rPr>
        <w:t xml:space="preserve"> infection was treated simultaneously in 47,3% of cases (n=172), whereas only NTM targeted-therapy was performed in 23,4% (n=85) and only for </w:t>
      </w:r>
      <w:r w:rsidRPr="00152CF1">
        <w:rPr>
          <w:rFonts w:eastAsia="Palatino Linotype"/>
          <w:i/>
        </w:rPr>
        <w:t xml:space="preserve">Aspergillus </w:t>
      </w:r>
      <w:r w:rsidRPr="00152CF1">
        <w:rPr>
          <w:rFonts w:eastAsia="Palatino Linotype"/>
        </w:rPr>
        <w:t xml:space="preserve">in 1,6% (n=6). There was no medical therapy for NTM or </w:t>
      </w:r>
      <w:r w:rsidRPr="00152CF1">
        <w:rPr>
          <w:rFonts w:eastAsia="Palatino Linotype"/>
          <w:i/>
        </w:rPr>
        <w:t xml:space="preserve">Aspergillus </w:t>
      </w:r>
      <w:r w:rsidRPr="00152CF1">
        <w:rPr>
          <w:rFonts w:eastAsia="Palatino Linotype"/>
        </w:rPr>
        <w:t xml:space="preserve">in 27,7% of cases (n=101), being assumed both as colonization. The most common anti-tuberculosis regimen consisted of rifampicin, ethambutol and a macrolide; and the most frequently used antifungal drug was itraconazole (31.7%, n=77). Systemic corticosteroids were used in 9 cases (3,7%). A surgical approach such as lobectomy or </w:t>
      </w:r>
      <w:proofErr w:type="spellStart"/>
      <w:r w:rsidRPr="00152CF1">
        <w:rPr>
          <w:rFonts w:eastAsia="Palatino Linotype"/>
        </w:rPr>
        <w:t>nodulectomy</w:t>
      </w:r>
      <w:proofErr w:type="spellEnd"/>
      <w:r w:rsidRPr="00152CF1">
        <w:rPr>
          <w:rFonts w:eastAsia="Palatino Linotype"/>
        </w:rPr>
        <w:t xml:space="preserve"> was performed in 14 patients (5,8%), and aneurysm embolization was necessary in 19 cases (7,8%). Data on hospital discharge and outcome was reported in 370 patients (44,8%), and the mortality rate was of 43% </w:t>
      </w:r>
      <w:r w:rsidR="00C7419B">
        <w:rPr>
          <w:rFonts w:eastAsia="Palatino Linotype"/>
        </w:rPr>
        <w:t xml:space="preserve">of these patients </w:t>
      </w:r>
      <w:r w:rsidRPr="00152CF1">
        <w:rPr>
          <w:rFonts w:eastAsia="Palatino Linotype"/>
        </w:rPr>
        <w:t>(159/370) after a median of 2.7 months since the diagnosis (IQR 1-27.5).</w:t>
      </w:r>
      <w:r w:rsidR="004F7032">
        <w:rPr>
          <w:rFonts w:eastAsia="Palatino Linotype"/>
        </w:rPr>
        <w:t xml:space="preserve"> </w:t>
      </w:r>
      <w:r w:rsidRPr="00152CF1">
        <w:rPr>
          <w:rFonts w:eastAsia="Palatino Linotype"/>
        </w:rPr>
        <w:t xml:space="preserve">The outcome was reported as satisfactory in 203 patients (54.9%). </w:t>
      </w:r>
      <w:bookmarkStart w:id="1" w:name="bookmark=id.30j0zll" w:colFirst="0" w:colLast="0"/>
      <w:bookmarkEnd w:id="1"/>
    </w:p>
    <w:p w14:paraId="2C899371" w14:textId="12821B77" w:rsidR="003C71C9" w:rsidRPr="00152CF1" w:rsidRDefault="00FE7FEB" w:rsidP="00FE7FEB">
      <w:pPr>
        <w:pStyle w:val="MDPI41tablecaption"/>
        <w:jc w:val="both"/>
        <w:rPr>
          <w:rFonts w:eastAsia="Palatino Linotype"/>
        </w:rPr>
      </w:pPr>
      <w:r w:rsidRPr="00FE7FEB">
        <w:rPr>
          <w:rFonts w:eastAsia="Palatino Linotype"/>
          <w:b/>
        </w:rPr>
        <w:t xml:space="preserve">Table 4. </w:t>
      </w:r>
      <w:r w:rsidR="009F36ED" w:rsidRPr="00152CF1">
        <w:rPr>
          <w:rFonts w:eastAsia="Palatino Linotype"/>
        </w:rPr>
        <w:t xml:space="preserve">Targeted therapy for NTM and/or </w:t>
      </w:r>
      <w:r w:rsidR="009F36ED" w:rsidRPr="00152CF1">
        <w:rPr>
          <w:rFonts w:eastAsia="Palatino Linotype"/>
          <w:i/>
        </w:rPr>
        <w:t>Aspergillus</w:t>
      </w:r>
      <w:r w:rsidR="009F36ED" w:rsidRPr="00152CF1">
        <w:rPr>
          <w:rFonts w:eastAsia="Palatino Linotype"/>
        </w:rPr>
        <w:t xml:space="preserve"> in 364 patients. Drug used in 189 patients who received anti-mycobacterial therapy and in 243 patients who received antifungal therapy.</w:t>
      </w:r>
    </w:p>
    <w:tbl>
      <w:tblPr>
        <w:tblW w:w="7857" w:type="dxa"/>
        <w:tblInd w:w="2608" w:type="dxa"/>
        <w:tblBorders>
          <w:top w:val="single" w:sz="8" w:space="0" w:color="000000"/>
          <w:bottom w:val="single" w:sz="8" w:space="0" w:color="000000"/>
        </w:tblBorders>
        <w:tblLayout w:type="fixed"/>
        <w:tblCellMar>
          <w:left w:w="0" w:type="dxa"/>
          <w:right w:w="0" w:type="dxa"/>
        </w:tblCellMar>
        <w:tblLook w:val="0400" w:firstRow="0" w:lastRow="0" w:firstColumn="0" w:lastColumn="0" w:noHBand="0" w:noVBand="1"/>
      </w:tblPr>
      <w:tblGrid>
        <w:gridCol w:w="451"/>
        <w:gridCol w:w="3037"/>
        <w:gridCol w:w="1749"/>
        <w:gridCol w:w="234"/>
        <w:gridCol w:w="2386"/>
      </w:tblGrid>
      <w:tr w:rsidR="003C71C9" w:rsidRPr="00FE7FEB" w14:paraId="6AA30566" w14:textId="77777777" w:rsidTr="00DE0F96">
        <w:trPr>
          <w:gridAfter w:val="2"/>
          <w:wAfter w:w="2620" w:type="dxa"/>
        </w:trPr>
        <w:tc>
          <w:tcPr>
            <w:tcW w:w="3488" w:type="dxa"/>
            <w:gridSpan w:val="2"/>
            <w:tcBorders>
              <w:top w:val="single" w:sz="8" w:space="0" w:color="auto"/>
              <w:bottom w:val="single" w:sz="4" w:space="0" w:color="000000"/>
            </w:tcBorders>
            <w:shd w:val="clear" w:color="auto" w:fill="auto"/>
            <w:vAlign w:val="center"/>
          </w:tcPr>
          <w:p w14:paraId="34EA2494" w14:textId="740279A8" w:rsidR="003C71C9" w:rsidRPr="00FE7FEB" w:rsidRDefault="009F36ED" w:rsidP="00FE7FEB">
            <w:pPr>
              <w:pBdr>
                <w:top w:val="nil"/>
                <w:left w:val="nil"/>
                <w:bottom w:val="nil"/>
                <w:right w:val="nil"/>
                <w:between w:val="nil"/>
              </w:pBdr>
              <w:autoSpaceDE w:val="0"/>
              <w:autoSpaceDN w:val="0"/>
              <w:adjustRightInd w:val="0"/>
              <w:snapToGrid w:val="0"/>
              <w:jc w:val="center"/>
              <w:rPr>
                <w:rFonts w:eastAsia="Palatino Linotype"/>
                <w:b/>
                <w:color w:val="000000"/>
                <w:sz w:val="18"/>
                <w:szCs w:val="16"/>
                <w:lang w:val="en-US"/>
              </w:rPr>
            </w:pPr>
            <w:r w:rsidRPr="00FE7FEB">
              <w:rPr>
                <w:rFonts w:eastAsia="Palatino Linotype"/>
                <w:b/>
                <w:color w:val="000000"/>
                <w:sz w:val="18"/>
                <w:szCs w:val="16"/>
                <w:lang w:val="en-US"/>
              </w:rPr>
              <w:t>Drug</w:t>
            </w:r>
            <w:r w:rsidR="00563DA9" w:rsidRPr="00FE7FEB">
              <w:rPr>
                <w:rFonts w:eastAsia="Palatino Linotype"/>
                <w:b/>
                <w:color w:val="000000"/>
                <w:sz w:val="18"/>
                <w:szCs w:val="16"/>
                <w:lang w:val="en-US"/>
              </w:rPr>
              <w:t>s*</w:t>
            </w:r>
          </w:p>
        </w:tc>
        <w:tc>
          <w:tcPr>
            <w:tcW w:w="1749" w:type="dxa"/>
            <w:tcBorders>
              <w:top w:val="single" w:sz="8" w:space="0" w:color="auto"/>
              <w:bottom w:val="single" w:sz="4" w:space="0" w:color="000000"/>
            </w:tcBorders>
            <w:shd w:val="clear" w:color="auto" w:fill="auto"/>
            <w:vAlign w:val="center"/>
          </w:tcPr>
          <w:p w14:paraId="158A0308" w14:textId="77777777" w:rsidR="003C71C9" w:rsidRPr="00FE7FEB" w:rsidRDefault="009F36ED" w:rsidP="00FE7FEB">
            <w:pPr>
              <w:pBdr>
                <w:top w:val="nil"/>
                <w:left w:val="nil"/>
                <w:bottom w:val="nil"/>
                <w:right w:val="nil"/>
                <w:between w:val="nil"/>
              </w:pBdr>
              <w:autoSpaceDE w:val="0"/>
              <w:autoSpaceDN w:val="0"/>
              <w:adjustRightInd w:val="0"/>
              <w:snapToGrid w:val="0"/>
              <w:jc w:val="center"/>
              <w:rPr>
                <w:rFonts w:eastAsia="Palatino Linotype"/>
                <w:b/>
                <w:color w:val="000000"/>
                <w:sz w:val="18"/>
                <w:szCs w:val="16"/>
                <w:lang w:val="en-US"/>
              </w:rPr>
            </w:pPr>
            <w:r w:rsidRPr="00FE7FEB">
              <w:rPr>
                <w:rFonts w:eastAsia="Palatino Linotype"/>
                <w:b/>
                <w:color w:val="000000"/>
                <w:sz w:val="18"/>
                <w:szCs w:val="16"/>
                <w:lang w:val="en-US"/>
              </w:rPr>
              <w:t>No. of Patients (%)</w:t>
            </w:r>
          </w:p>
        </w:tc>
      </w:tr>
      <w:tr w:rsidR="003C71C9" w:rsidRPr="00FE7FEB" w14:paraId="19D61414" w14:textId="77777777" w:rsidTr="00DE0F96">
        <w:trPr>
          <w:gridAfter w:val="2"/>
          <w:wAfter w:w="2620" w:type="dxa"/>
        </w:trPr>
        <w:tc>
          <w:tcPr>
            <w:tcW w:w="3488" w:type="dxa"/>
            <w:gridSpan w:val="2"/>
            <w:tcBorders>
              <w:top w:val="single" w:sz="4" w:space="0" w:color="000000"/>
              <w:bottom w:val="single" w:sz="4" w:space="0" w:color="auto"/>
            </w:tcBorders>
            <w:shd w:val="clear" w:color="auto" w:fill="auto"/>
            <w:vAlign w:val="center"/>
          </w:tcPr>
          <w:p w14:paraId="0B12FC70" w14:textId="77777777" w:rsidR="003C71C9" w:rsidRPr="00FE7FEB" w:rsidRDefault="003C71C9" w:rsidP="00FE7FEB">
            <w:pPr>
              <w:pBdr>
                <w:top w:val="nil"/>
                <w:left w:val="nil"/>
                <w:bottom w:val="nil"/>
                <w:right w:val="nil"/>
                <w:between w:val="nil"/>
              </w:pBdr>
              <w:autoSpaceDE w:val="0"/>
              <w:autoSpaceDN w:val="0"/>
              <w:adjustRightInd w:val="0"/>
              <w:snapToGrid w:val="0"/>
              <w:jc w:val="center"/>
              <w:rPr>
                <w:b/>
                <w:color w:val="000000"/>
                <w:sz w:val="18"/>
                <w:szCs w:val="16"/>
                <w:lang w:val="en-US"/>
              </w:rPr>
            </w:pPr>
          </w:p>
          <w:p w14:paraId="726B1B1E" w14:textId="36269D6D" w:rsidR="003C71C9" w:rsidRPr="00514D0C" w:rsidRDefault="009F36ED" w:rsidP="00DE0F96">
            <w:pPr>
              <w:pBdr>
                <w:top w:val="nil"/>
                <w:left w:val="nil"/>
                <w:bottom w:val="nil"/>
                <w:right w:val="nil"/>
                <w:between w:val="nil"/>
              </w:pBdr>
              <w:autoSpaceDE w:val="0"/>
              <w:autoSpaceDN w:val="0"/>
              <w:adjustRightInd w:val="0"/>
              <w:snapToGrid w:val="0"/>
              <w:rPr>
                <w:color w:val="000000"/>
                <w:sz w:val="18"/>
                <w:szCs w:val="16"/>
                <w:lang w:val="en-US"/>
              </w:rPr>
            </w:pPr>
            <w:r w:rsidRPr="00514D0C">
              <w:rPr>
                <w:color w:val="000000"/>
                <w:sz w:val="18"/>
                <w:szCs w:val="16"/>
                <w:lang w:val="en-US"/>
              </w:rPr>
              <w:t>Targeted therapy [364]</w:t>
            </w:r>
            <w:r w:rsidR="00980F6B" w:rsidRPr="00514D0C">
              <w:rPr>
                <w:rFonts w:eastAsia="Palatino Linotype"/>
                <w:sz w:val="18"/>
                <w:szCs w:val="16"/>
                <w:lang w:val="en-US"/>
              </w:rPr>
              <w:t xml:space="preserve"> †</w:t>
            </w:r>
          </w:p>
          <w:p w14:paraId="11FC4437"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NTM and </w:t>
            </w:r>
            <w:r w:rsidRPr="00514D0C">
              <w:rPr>
                <w:i/>
                <w:color w:val="000000"/>
                <w:sz w:val="18"/>
                <w:szCs w:val="16"/>
                <w:lang w:val="en-US"/>
              </w:rPr>
              <w:t xml:space="preserve">Aspergillus </w:t>
            </w:r>
            <w:r w:rsidRPr="00514D0C">
              <w:rPr>
                <w:color w:val="000000"/>
                <w:sz w:val="18"/>
                <w:szCs w:val="16"/>
                <w:lang w:val="en-US"/>
              </w:rPr>
              <w:t>therapy</w:t>
            </w:r>
          </w:p>
          <w:p w14:paraId="15D19E44"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NTM therapy only</w:t>
            </w:r>
          </w:p>
          <w:p w14:paraId="25B15798"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i/>
                <w:color w:val="000000"/>
                <w:sz w:val="18"/>
                <w:szCs w:val="16"/>
                <w:lang w:val="en-US"/>
              </w:rPr>
              <w:t>Aspergillus</w:t>
            </w:r>
            <w:r w:rsidRPr="00514D0C">
              <w:rPr>
                <w:color w:val="000000"/>
                <w:sz w:val="18"/>
                <w:szCs w:val="16"/>
                <w:lang w:val="en-US"/>
              </w:rPr>
              <w:t xml:space="preserve"> therapy only</w:t>
            </w:r>
          </w:p>
          <w:p w14:paraId="1F7A213C"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No NTM or </w:t>
            </w:r>
            <w:r w:rsidRPr="00514D0C">
              <w:rPr>
                <w:i/>
                <w:color w:val="000000"/>
                <w:sz w:val="18"/>
                <w:szCs w:val="16"/>
                <w:lang w:val="en-US"/>
              </w:rPr>
              <w:t xml:space="preserve">Aspergillus </w:t>
            </w:r>
            <w:r w:rsidRPr="00514D0C">
              <w:rPr>
                <w:color w:val="000000"/>
                <w:sz w:val="18"/>
                <w:szCs w:val="16"/>
                <w:lang w:val="en-US"/>
              </w:rPr>
              <w:t>therapy</w:t>
            </w:r>
          </w:p>
          <w:p w14:paraId="2B59CB6C" w14:textId="77777777" w:rsidR="003C71C9" w:rsidRPr="00514D0C" w:rsidRDefault="003C71C9" w:rsidP="00DE0F96">
            <w:pPr>
              <w:pBdr>
                <w:top w:val="nil"/>
                <w:left w:val="nil"/>
                <w:bottom w:val="nil"/>
                <w:right w:val="nil"/>
                <w:between w:val="nil"/>
              </w:pBdr>
              <w:autoSpaceDE w:val="0"/>
              <w:autoSpaceDN w:val="0"/>
              <w:adjustRightInd w:val="0"/>
              <w:snapToGrid w:val="0"/>
              <w:rPr>
                <w:color w:val="000000"/>
                <w:sz w:val="18"/>
                <w:szCs w:val="16"/>
                <w:lang w:val="en-US"/>
              </w:rPr>
            </w:pPr>
          </w:p>
          <w:p w14:paraId="2EDDB2CC" w14:textId="143B86A9" w:rsidR="003C71C9" w:rsidRPr="00514D0C" w:rsidRDefault="009F36ED" w:rsidP="00DE0F96">
            <w:pPr>
              <w:pBdr>
                <w:top w:val="nil"/>
                <w:left w:val="nil"/>
                <w:bottom w:val="nil"/>
                <w:right w:val="nil"/>
                <w:between w:val="nil"/>
              </w:pBdr>
              <w:autoSpaceDE w:val="0"/>
              <w:autoSpaceDN w:val="0"/>
              <w:adjustRightInd w:val="0"/>
              <w:snapToGrid w:val="0"/>
              <w:rPr>
                <w:color w:val="000000"/>
                <w:sz w:val="18"/>
                <w:szCs w:val="16"/>
                <w:lang w:val="en-US"/>
              </w:rPr>
            </w:pPr>
            <w:r w:rsidRPr="00514D0C">
              <w:rPr>
                <w:color w:val="000000"/>
                <w:sz w:val="18"/>
                <w:szCs w:val="16"/>
                <w:lang w:val="en-US"/>
              </w:rPr>
              <w:t>Anti-mycobacterial therapy [189]</w:t>
            </w:r>
          </w:p>
          <w:p w14:paraId="0A20F74E"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Macrolide</w:t>
            </w:r>
          </w:p>
          <w:p w14:paraId="2DBC31D8"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Quinolone</w:t>
            </w:r>
          </w:p>
          <w:p w14:paraId="27D10263"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Ethambutol</w:t>
            </w:r>
          </w:p>
          <w:p w14:paraId="18555E6B"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Rifampin</w:t>
            </w:r>
          </w:p>
          <w:p w14:paraId="1E13E92B"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Amikacin</w:t>
            </w:r>
          </w:p>
          <w:p w14:paraId="7CE4D63B"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Clofazimine</w:t>
            </w:r>
          </w:p>
          <w:p w14:paraId="71FB9DCD"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Rifabutin </w:t>
            </w:r>
          </w:p>
          <w:p w14:paraId="5CE1B1CA"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Cefoxitin </w:t>
            </w:r>
          </w:p>
          <w:p w14:paraId="596E7703"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Tigecycline </w:t>
            </w:r>
          </w:p>
          <w:p w14:paraId="7DD885C1"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Linezolid </w:t>
            </w:r>
          </w:p>
          <w:p w14:paraId="76902AE1"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Imipenem </w:t>
            </w:r>
          </w:p>
          <w:p w14:paraId="13C9FDFD"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Pyrazinamide </w:t>
            </w:r>
          </w:p>
          <w:p w14:paraId="47219D50"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Streptomycin </w:t>
            </w:r>
          </w:p>
          <w:p w14:paraId="6F9CEE0F"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Cotrimoxazole</w:t>
            </w:r>
          </w:p>
          <w:p w14:paraId="7265BA25"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 xml:space="preserve">Doxycycline </w:t>
            </w:r>
          </w:p>
          <w:p w14:paraId="43A311A8" w14:textId="77777777" w:rsidR="003C71C9" w:rsidRPr="00514D0C" w:rsidRDefault="003C71C9" w:rsidP="00DE0F96">
            <w:pPr>
              <w:pBdr>
                <w:top w:val="nil"/>
                <w:left w:val="nil"/>
                <w:bottom w:val="nil"/>
                <w:right w:val="nil"/>
                <w:between w:val="nil"/>
              </w:pBdr>
              <w:autoSpaceDE w:val="0"/>
              <w:autoSpaceDN w:val="0"/>
              <w:adjustRightInd w:val="0"/>
              <w:snapToGrid w:val="0"/>
              <w:rPr>
                <w:color w:val="000000"/>
                <w:sz w:val="18"/>
                <w:szCs w:val="16"/>
                <w:lang w:val="en-US"/>
              </w:rPr>
            </w:pPr>
          </w:p>
          <w:p w14:paraId="61E92961" w14:textId="77777777" w:rsidR="003C71C9" w:rsidRPr="00514D0C" w:rsidRDefault="009F36ED" w:rsidP="00DE0F96">
            <w:pPr>
              <w:pBdr>
                <w:top w:val="nil"/>
                <w:left w:val="nil"/>
                <w:bottom w:val="nil"/>
                <w:right w:val="nil"/>
                <w:between w:val="nil"/>
              </w:pBdr>
              <w:autoSpaceDE w:val="0"/>
              <w:autoSpaceDN w:val="0"/>
              <w:adjustRightInd w:val="0"/>
              <w:snapToGrid w:val="0"/>
              <w:rPr>
                <w:color w:val="000000"/>
                <w:sz w:val="18"/>
                <w:szCs w:val="16"/>
                <w:lang w:val="en-US"/>
              </w:rPr>
            </w:pPr>
            <w:r w:rsidRPr="00514D0C">
              <w:rPr>
                <w:color w:val="000000"/>
                <w:sz w:val="18"/>
                <w:szCs w:val="16"/>
                <w:lang w:val="en-US"/>
              </w:rPr>
              <w:t>Antifungal therapy [243]</w:t>
            </w:r>
          </w:p>
          <w:p w14:paraId="48E555CA"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Itraconazole</w:t>
            </w:r>
          </w:p>
          <w:p w14:paraId="21190146"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Amphotericin B</w:t>
            </w:r>
          </w:p>
          <w:p w14:paraId="57529A91"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Voriconazole</w:t>
            </w:r>
          </w:p>
          <w:p w14:paraId="1700991A"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Embolization</w:t>
            </w:r>
          </w:p>
          <w:p w14:paraId="0CFE278E"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Surgery</w:t>
            </w:r>
          </w:p>
          <w:p w14:paraId="0D403367"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Corticosteroids</w:t>
            </w:r>
          </w:p>
          <w:p w14:paraId="7300AE76"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proofErr w:type="spellStart"/>
            <w:r w:rsidRPr="00514D0C">
              <w:rPr>
                <w:color w:val="000000"/>
                <w:sz w:val="18"/>
                <w:szCs w:val="16"/>
                <w:lang w:val="en-US"/>
              </w:rPr>
              <w:t>Caspofungin</w:t>
            </w:r>
            <w:proofErr w:type="spellEnd"/>
          </w:p>
          <w:p w14:paraId="7C31DFF9"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r w:rsidRPr="00514D0C">
              <w:rPr>
                <w:color w:val="000000"/>
                <w:sz w:val="18"/>
                <w:szCs w:val="16"/>
                <w:lang w:val="en-US"/>
              </w:rPr>
              <w:t>Posaconazole</w:t>
            </w:r>
          </w:p>
          <w:p w14:paraId="206A3E15" w14:textId="77777777" w:rsidR="003C71C9" w:rsidRPr="00514D0C" w:rsidRDefault="009F36ED" w:rsidP="00DE0F96">
            <w:pPr>
              <w:pBdr>
                <w:top w:val="nil"/>
                <w:left w:val="nil"/>
                <w:bottom w:val="nil"/>
                <w:right w:val="nil"/>
                <w:between w:val="nil"/>
              </w:pBdr>
              <w:autoSpaceDE w:val="0"/>
              <w:autoSpaceDN w:val="0"/>
              <w:adjustRightInd w:val="0"/>
              <w:snapToGrid w:val="0"/>
              <w:ind w:left="708"/>
              <w:rPr>
                <w:color w:val="000000"/>
                <w:sz w:val="18"/>
                <w:szCs w:val="16"/>
                <w:lang w:val="en-US"/>
              </w:rPr>
            </w:pPr>
            <w:proofErr w:type="spellStart"/>
            <w:r w:rsidRPr="00514D0C">
              <w:rPr>
                <w:color w:val="000000"/>
                <w:sz w:val="18"/>
                <w:szCs w:val="16"/>
                <w:lang w:val="en-US"/>
              </w:rPr>
              <w:t>Isavuconazole</w:t>
            </w:r>
            <w:proofErr w:type="spellEnd"/>
          </w:p>
          <w:p w14:paraId="26DC7164" w14:textId="77777777" w:rsidR="003C71C9" w:rsidRPr="00FE7FEB" w:rsidRDefault="009F36ED" w:rsidP="00DE0F96">
            <w:pPr>
              <w:pBdr>
                <w:top w:val="nil"/>
                <w:left w:val="nil"/>
                <w:bottom w:val="nil"/>
                <w:right w:val="nil"/>
                <w:between w:val="nil"/>
              </w:pBdr>
              <w:autoSpaceDE w:val="0"/>
              <w:autoSpaceDN w:val="0"/>
              <w:adjustRightInd w:val="0"/>
              <w:snapToGrid w:val="0"/>
              <w:ind w:left="708"/>
              <w:rPr>
                <w:b/>
                <w:color w:val="000000"/>
                <w:sz w:val="18"/>
                <w:szCs w:val="16"/>
                <w:lang w:val="en-US"/>
              </w:rPr>
            </w:pPr>
            <w:r w:rsidRPr="00514D0C">
              <w:rPr>
                <w:color w:val="000000"/>
                <w:sz w:val="18"/>
                <w:szCs w:val="16"/>
                <w:lang w:val="en-US"/>
              </w:rPr>
              <w:t>Micafungin</w:t>
            </w:r>
          </w:p>
        </w:tc>
        <w:tc>
          <w:tcPr>
            <w:tcW w:w="1749" w:type="dxa"/>
            <w:shd w:val="clear" w:color="auto" w:fill="auto"/>
            <w:vAlign w:val="center"/>
          </w:tcPr>
          <w:p w14:paraId="71F6C0EC" w14:textId="77777777" w:rsidR="003C71C9" w:rsidRPr="00FE7FEB" w:rsidRDefault="003C71C9" w:rsidP="00FE7FEB">
            <w:pPr>
              <w:pBdr>
                <w:top w:val="nil"/>
                <w:left w:val="nil"/>
                <w:bottom w:val="nil"/>
                <w:right w:val="nil"/>
                <w:between w:val="nil"/>
              </w:pBdr>
              <w:autoSpaceDE w:val="0"/>
              <w:autoSpaceDN w:val="0"/>
              <w:adjustRightInd w:val="0"/>
              <w:snapToGrid w:val="0"/>
              <w:jc w:val="center"/>
              <w:rPr>
                <w:color w:val="000000"/>
                <w:sz w:val="18"/>
                <w:szCs w:val="16"/>
                <w:lang w:val="en-US"/>
              </w:rPr>
            </w:pPr>
          </w:p>
          <w:p w14:paraId="0EC5A0AE" w14:textId="77777777" w:rsidR="003C71C9" w:rsidRPr="00FE7FEB" w:rsidRDefault="003C71C9" w:rsidP="00FE7FEB">
            <w:pPr>
              <w:pBdr>
                <w:top w:val="nil"/>
                <w:left w:val="nil"/>
                <w:bottom w:val="nil"/>
                <w:right w:val="nil"/>
                <w:between w:val="nil"/>
              </w:pBdr>
              <w:autoSpaceDE w:val="0"/>
              <w:autoSpaceDN w:val="0"/>
              <w:adjustRightInd w:val="0"/>
              <w:snapToGrid w:val="0"/>
              <w:jc w:val="center"/>
              <w:rPr>
                <w:color w:val="000000"/>
                <w:sz w:val="18"/>
                <w:szCs w:val="16"/>
                <w:lang w:val="en-US"/>
              </w:rPr>
            </w:pPr>
          </w:p>
          <w:p w14:paraId="11E65BB3" w14:textId="6134EB21" w:rsidR="00F92AEF"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172 (47,3)</w:t>
            </w:r>
          </w:p>
          <w:p w14:paraId="1C500411"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85 (23,4)</w:t>
            </w:r>
          </w:p>
          <w:p w14:paraId="44B8B7C6"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6 (1,6)</w:t>
            </w:r>
          </w:p>
          <w:p w14:paraId="7D6EF839"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101 (27,7)</w:t>
            </w:r>
          </w:p>
          <w:p w14:paraId="6D446CE5" w14:textId="77777777" w:rsidR="00563DA9" w:rsidRPr="00FE7FEB" w:rsidRDefault="00563DA9" w:rsidP="00FE7FEB">
            <w:pPr>
              <w:pBdr>
                <w:top w:val="nil"/>
                <w:left w:val="nil"/>
                <w:bottom w:val="nil"/>
                <w:right w:val="nil"/>
                <w:between w:val="nil"/>
              </w:pBdr>
              <w:autoSpaceDE w:val="0"/>
              <w:autoSpaceDN w:val="0"/>
              <w:adjustRightInd w:val="0"/>
              <w:snapToGrid w:val="0"/>
              <w:jc w:val="center"/>
              <w:rPr>
                <w:color w:val="000000"/>
                <w:sz w:val="18"/>
                <w:szCs w:val="16"/>
                <w:lang w:val="en-US"/>
              </w:rPr>
            </w:pPr>
          </w:p>
          <w:p w14:paraId="30C34A77" w14:textId="77777777" w:rsidR="003C71C9" w:rsidRPr="00FE7FEB" w:rsidRDefault="003C71C9" w:rsidP="00FE7FEB">
            <w:pPr>
              <w:pBdr>
                <w:top w:val="nil"/>
                <w:left w:val="nil"/>
                <w:bottom w:val="nil"/>
                <w:right w:val="nil"/>
                <w:between w:val="nil"/>
              </w:pBdr>
              <w:autoSpaceDE w:val="0"/>
              <w:autoSpaceDN w:val="0"/>
              <w:adjustRightInd w:val="0"/>
              <w:snapToGrid w:val="0"/>
              <w:jc w:val="center"/>
              <w:rPr>
                <w:color w:val="000000"/>
                <w:sz w:val="18"/>
                <w:szCs w:val="16"/>
                <w:lang w:val="en-US"/>
              </w:rPr>
            </w:pPr>
          </w:p>
          <w:p w14:paraId="4F0C8C0C"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131 (69.3)</w:t>
            </w:r>
          </w:p>
          <w:p w14:paraId="2F6599E1"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107 (56.6)</w:t>
            </w:r>
          </w:p>
          <w:p w14:paraId="67CD0755"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101 (53.4)</w:t>
            </w:r>
          </w:p>
          <w:p w14:paraId="3F9F235E"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74 (39.2)</w:t>
            </w:r>
          </w:p>
          <w:p w14:paraId="571C9EAB"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20 (10.6)</w:t>
            </w:r>
          </w:p>
          <w:p w14:paraId="7FFFF7EF"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6 (3.2)</w:t>
            </w:r>
          </w:p>
          <w:p w14:paraId="19D788A8"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5 (2.6)</w:t>
            </w:r>
          </w:p>
          <w:p w14:paraId="7CA2602E"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5 (2.6)</w:t>
            </w:r>
          </w:p>
          <w:p w14:paraId="7C50CC07"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3 (1.6)</w:t>
            </w:r>
          </w:p>
          <w:p w14:paraId="42B02A8B"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2 (1.1)</w:t>
            </w:r>
          </w:p>
          <w:p w14:paraId="7B5CF607"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 (0.5)</w:t>
            </w:r>
          </w:p>
          <w:p w14:paraId="38575B16"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 (0.5)</w:t>
            </w:r>
          </w:p>
          <w:p w14:paraId="0A4E2E3E"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 (0.5)</w:t>
            </w:r>
          </w:p>
          <w:p w14:paraId="7450AC6E"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 (0.5)</w:t>
            </w:r>
          </w:p>
          <w:p w14:paraId="55F3E2BC"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 (0.5)</w:t>
            </w:r>
          </w:p>
          <w:p w14:paraId="084E19FF" w14:textId="77777777" w:rsidR="003C71C9" w:rsidRPr="00FE7FEB" w:rsidRDefault="003C71C9" w:rsidP="00FE7FEB">
            <w:pPr>
              <w:pBdr>
                <w:top w:val="nil"/>
                <w:left w:val="nil"/>
                <w:bottom w:val="nil"/>
                <w:right w:val="nil"/>
                <w:between w:val="nil"/>
              </w:pBdr>
              <w:autoSpaceDE w:val="0"/>
              <w:autoSpaceDN w:val="0"/>
              <w:adjustRightInd w:val="0"/>
              <w:snapToGrid w:val="0"/>
              <w:jc w:val="center"/>
              <w:rPr>
                <w:color w:val="000000"/>
                <w:sz w:val="18"/>
                <w:szCs w:val="16"/>
                <w:lang w:val="en-US"/>
              </w:rPr>
            </w:pPr>
          </w:p>
          <w:p w14:paraId="3747FAFE" w14:textId="77777777" w:rsidR="003C71C9" w:rsidRPr="00FE7FEB" w:rsidRDefault="003C71C9" w:rsidP="00FE7FEB">
            <w:pPr>
              <w:pBdr>
                <w:top w:val="nil"/>
                <w:left w:val="nil"/>
                <w:bottom w:val="nil"/>
                <w:right w:val="nil"/>
                <w:between w:val="nil"/>
              </w:pBdr>
              <w:autoSpaceDE w:val="0"/>
              <w:autoSpaceDN w:val="0"/>
              <w:adjustRightInd w:val="0"/>
              <w:snapToGrid w:val="0"/>
              <w:jc w:val="center"/>
              <w:rPr>
                <w:color w:val="000000"/>
                <w:sz w:val="18"/>
                <w:szCs w:val="16"/>
                <w:lang w:val="en-US"/>
              </w:rPr>
            </w:pPr>
          </w:p>
          <w:p w14:paraId="5F74B451"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77 (31.7)</w:t>
            </w:r>
          </w:p>
          <w:p w14:paraId="1B3683A9"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47 (19.3)</w:t>
            </w:r>
          </w:p>
          <w:p w14:paraId="1565A404"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24 (9.9)</w:t>
            </w:r>
          </w:p>
          <w:p w14:paraId="7751FB13"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19 (7.8)</w:t>
            </w:r>
          </w:p>
          <w:p w14:paraId="1F1A0F00"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14 (5.8)</w:t>
            </w:r>
          </w:p>
          <w:p w14:paraId="45BE39A8"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9 (3.7)</w:t>
            </w:r>
          </w:p>
          <w:p w14:paraId="2DB6C6E3"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3 (1.2)</w:t>
            </w:r>
          </w:p>
          <w:p w14:paraId="57F8B8AC"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2 (0.8)</w:t>
            </w:r>
          </w:p>
          <w:p w14:paraId="7BD17FE3"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2 (0.8)</w:t>
            </w:r>
          </w:p>
          <w:p w14:paraId="2F242CC3" w14:textId="77777777" w:rsidR="003C71C9" w:rsidRPr="00FE7FEB" w:rsidRDefault="009F36ED" w:rsidP="00FE7FEB">
            <w:pPr>
              <w:pBdr>
                <w:top w:val="nil"/>
                <w:left w:val="nil"/>
                <w:bottom w:val="nil"/>
                <w:right w:val="nil"/>
                <w:between w:val="nil"/>
              </w:pBdr>
              <w:autoSpaceDE w:val="0"/>
              <w:autoSpaceDN w:val="0"/>
              <w:adjustRightInd w:val="0"/>
              <w:snapToGrid w:val="0"/>
              <w:jc w:val="center"/>
              <w:rPr>
                <w:color w:val="000000"/>
                <w:sz w:val="18"/>
                <w:szCs w:val="16"/>
                <w:lang w:val="en-US"/>
              </w:rPr>
            </w:pPr>
            <w:r w:rsidRPr="00FE7FEB">
              <w:rPr>
                <w:color w:val="000000"/>
                <w:sz w:val="18"/>
                <w:szCs w:val="16"/>
                <w:lang w:val="en-US"/>
              </w:rPr>
              <w:t>2 (0.8)</w:t>
            </w:r>
          </w:p>
        </w:tc>
      </w:tr>
      <w:tr w:rsidR="003C71C9" w:rsidRPr="00DE0F96" w14:paraId="0056255C" w14:textId="77777777" w:rsidTr="00DE0F96">
        <w:tc>
          <w:tcPr>
            <w:tcW w:w="451" w:type="dxa"/>
            <w:tcBorders>
              <w:bottom w:val="single" w:sz="8" w:space="0" w:color="auto"/>
            </w:tcBorders>
            <w:shd w:val="clear" w:color="auto" w:fill="auto"/>
            <w:vAlign w:val="center"/>
          </w:tcPr>
          <w:p w14:paraId="44CCF192" w14:textId="77777777" w:rsidR="003C71C9" w:rsidRPr="00FE7FEB" w:rsidRDefault="003C71C9" w:rsidP="00FE7FEB">
            <w:pPr>
              <w:pBdr>
                <w:top w:val="nil"/>
                <w:left w:val="nil"/>
                <w:bottom w:val="nil"/>
                <w:right w:val="nil"/>
                <w:between w:val="nil"/>
              </w:pBdr>
              <w:autoSpaceDE w:val="0"/>
              <w:autoSpaceDN w:val="0"/>
              <w:adjustRightInd w:val="0"/>
              <w:snapToGrid w:val="0"/>
              <w:jc w:val="center"/>
              <w:rPr>
                <w:color w:val="000000"/>
                <w:sz w:val="18"/>
                <w:szCs w:val="16"/>
                <w:lang w:val="en-US"/>
              </w:rPr>
            </w:pPr>
          </w:p>
        </w:tc>
        <w:tc>
          <w:tcPr>
            <w:tcW w:w="5020" w:type="dxa"/>
            <w:gridSpan w:val="3"/>
            <w:tcBorders>
              <w:bottom w:val="single" w:sz="8" w:space="0" w:color="auto"/>
            </w:tcBorders>
            <w:shd w:val="clear" w:color="auto" w:fill="auto"/>
            <w:vAlign w:val="center"/>
          </w:tcPr>
          <w:p w14:paraId="2952F0F1" w14:textId="0004E09F" w:rsidR="003C71C9" w:rsidRPr="00FE7FEB" w:rsidRDefault="00563DA9" w:rsidP="00DE0F96">
            <w:pPr>
              <w:pBdr>
                <w:top w:val="nil"/>
                <w:left w:val="nil"/>
                <w:bottom w:val="nil"/>
                <w:right w:val="nil"/>
                <w:between w:val="nil"/>
              </w:pBdr>
              <w:autoSpaceDE w:val="0"/>
              <w:autoSpaceDN w:val="0"/>
              <w:adjustRightInd w:val="0"/>
              <w:snapToGrid w:val="0"/>
              <w:rPr>
                <w:rFonts w:eastAsia="Palatino Linotype"/>
                <w:sz w:val="18"/>
                <w:szCs w:val="16"/>
                <w:lang w:val="en-US"/>
              </w:rPr>
            </w:pPr>
            <w:r w:rsidRPr="00FE7FEB">
              <w:rPr>
                <w:rFonts w:eastAsia="Palatino Linotype"/>
                <w:sz w:val="18"/>
                <w:szCs w:val="16"/>
                <w:lang w:val="en-US"/>
              </w:rPr>
              <w:t>*Values in brackets represent number of patients for whom data</w:t>
            </w:r>
            <w:r w:rsidR="00753D92" w:rsidRPr="00FE7FEB">
              <w:rPr>
                <w:rFonts w:eastAsia="Palatino Linotype"/>
                <w:sz w:val="18"/>
                <w:szCs w:val="16"/>
                <w:lang w:val="en-US"/>
              </w:rPr>
              <w:t xml:space="preserve"> </w:t>
            </w:r>
            <w:r w:rsidRPr="00FE7FEB">
              <w:rPr>
                <w:rFonts w:eastAsia="Palatino Linotype"/>
                <w:sz w:val="18"/>
                <w:szCs w:val="16"/>
                <w:lang w:val="en-US"/>
              </w:rPr>
              <w:t>were available.</w:t>
            </w:r>
          </w:p>
          <w:p w14:paraId="41B40399" w14:textId="15640324" w:rsidR="00980F6B" w:rsidRPr="00FE7FEB" w:rsidRDefault="00980F6B" w:rsidP="00DE0F96">
            <w:pPr>
              <w:pBdr>
                <w:top w:val="nil"/>
                <w:left w:val="nil"/>
                <w:bottom w:val="nil"/>
                <w:right w:val="nil"/>
                <w:between w:val="nil"/>
              </w:pBdr>
              <w:autoSpaceDE w:val="0"/>
              <w:autoSpaceDN w:val="0"/>
              <w:adjustRightInd w:val="0"/>
              <w:snapToGrid w:val="0"/>
              <w:rPr>
                <w:color w:val="000000"/>
                <w:sz w:val="18"/>
                <w:szCs w:val="16"/>
                <w:lang w:val="en-US"/>
              </w:rPr>
            </w:pPr>
            <w:r w:rsidRPr="00FE7FEB">
              <w:rPr>
                <w:rFonts w:eastAsia="Palatino Linotype"/>
                <w:sz w:val="18"/>
                <w:szCs w:val="16"/>
                <w:lang w:val="en-US"/>
              </w:rPr>
              <w:t>†Number of patients in whom the</w:t>
            </w:r>
            <w:r w:rsidR="00753D92" w:rsidRPr="00FE7FEB">
              <w:rPr>
                <w:rFonts w:eastAsia="Palatino Linotype"/>
                <w:sz w:val="18"/>
                <w:szCs w:val="16"/>
                <w:lang w:val="en-US"/>
              </w:rPr>
              <w:t xml:space="preserve"> targeted therapy for NTM and/or </w:t>
            </w:r>
            <w:r w:rsidR="00753D92" w:rsidRPr="00514D0C">
              <w:rPr>
                <w:rFonts w:eastAsia="Palatino Linotype"/>
                <w:i/>
                <w:sz w:val="18"/>
                <w:szCs w:val="16"/>
                <w:lang w:val="en-US"/>
              </w:rPr>
              <w:t xml:space="preserve">Aspergillus </w:t>
            </w:r>
            <w:r w:rsidRPr="00FE7FEB">
              <w:rPr>
                <w:rFonts w:eastAsia="Palatino Linotype"/>
                <w:sz w:val="18"/>
                <w:szCs w:val="16"/>
                <w:lang w:val="en-US"/>
              </w:rPr>
              <w:t xml:space="preserve">was </w:t>
            </w:r>
            <w:r w:rsidR="00753D92" w:rsidRPr="00FE7FEB">
              <w:rPr>
                <w:rFonts w:eastAsia="Palatino Linotype"/>
                <w:sz w:val="18"/>
                <w:szCs w:val="16"/>
                <w:lang w:val="en-US"/>
              </w:rPr>
              <w:t>performed</w:t>
            </w:r>
            <w:r w:rsidRPr="00FE7FEB">
              <w:rPr>
                <w:rFonts w:eastAsia="Palatino Linotype"/>
                <w:sz w:val="18"/>
                <w:szCs w:val="16"/>
                <w:lang w:val="en-US"/>
              </w:rPr>
              <w:t>.</w:t>
            </w:r>
          </w:p>
        </w:tc>
        <w:tc>
          <w:tcPr>
            <w:tcW w:w="2386" w:type="dxa"/>
            <w:tcBorders>
              <w:bottom w:val="single" w:sz="8" w:space="0" w:color="auto"/>
            </w:tcBorders>
            <w:shd w:val="clear" w:color="auto" w:fill="auto"/>
            <w:vAlign w:val="center"/>
          </w:tcPr>
          <w:p w14:paraId="31FADF52" w14:textId="77777777" w:rsidR="003C71C9" w:rsidRPr="00FE7FEB" w:rsidRDefault="003C71C9" w:rsidP="00FE7FEB">
            <w:pPr>
              <w:pBdr>
                <w:top w:val="nil"/>
                <w:left w:val="nil"/>
                <w:bottom w:val="nil"/>
                <w:right w:val="nil"/>
                <w:between w:val="nil"/>
              </w:pBdr>
              <w:autoSpaceDE w:val="0"/>
              <w:autoSpaceDN w:val="0"/>
              <w:adjustRightInd w:val="0"/>
              <w:snapToGrid w:val="0"/>
              <w:jc w:val="center"/>
              <w:rPr>
                <w:rFonts w:ascii="Palatino Linotype" w:eastAsia="Palatino Linotype" w:hAnsi="Palatino Linotype" w:cs="Palatino Linotype"/>
                <w:color w:val="000000"/>
                <w:sz w:val="18"/>
                <w:szCs w:val="16"/>
                <w:lang w:val="en-US"/>
              </w:rPr>
            </w:pPr>
          </w:p>
        </w:tc>
      </w:tr>
    </w:tbl>
    <w:p w14:paraId="586FB625" w14:textId="5DCEE09A" w:rsidR="003C71C9" w:rsidRPr="00152CF1" w:rsidRDefault="00FE7FEB" w:rsidP="00FE7FEB">
      <w:pPr>
        <w:pStyle w:val="MDPI21heading1"/>
        <w:rPr>
          <w:rFonts w:eastAsia="Palatino Linotype"/>
        </w:rPr>
      </w:pPr>
      <w:r>
        <w:rPr>
          <w:rFonts w:eastAsia="Palatino Linotype"/>
        </w:rPr>
        <w:t xml:space="preserve">4. </w:t>
      </w:r>
      <w:r w:rsidR="009F36ED" w:rsidRPr="00152CF1">
        <w:rPr>
          <w:rFonts w:eastAsia="Palatino Linotype"/>
        </w:rPr>
        <w:t>Discussion</w:t>
      </w:r>
    </w:p>
    <w:p w14:paraId="50AB7FAB" w14:textId="77777777" w:rsidR="003C71C9" w:rsidRPr="00152CF1" w:rsidRDefault="009F36ED" w:rsidP="00FE7FEB">
      <w:pPr>
        <w:pStyle w:val="MDPI31text"/>
        <w:rPr>
          <w:rFonts w:eastAsia="Palatino Linotype"/>
        </w:rPr>
      </w:pPr>
      <w:r w:rsidRPr="00152CF1">
        <w:rPr>
          <w:rFonts w:eastAsia="Palatino Linotype"/>
        </w:rPr>
        <w:t xml:space="preserve">Pulmonary NTM and Aspergillosis lung disease are both infectious </w:t>
      </w:r>
      <w:r w:rsidR="002530D9" w:rsidRPr="00152CF1">
        <w:rPr>
          <w:rFonts w:eastAsia="Palatino Linotype"/>
        </w:rPr>
        <w:t>diseases associated</w:t>
      </w:r>
      <w:r w:rsidRPr="00152CF1">
        <w:rPr>
          <w:rFonts w:eastAsia="Palatino Linotype"/>
        </w:rPr>
        <w:t xml:space="preserve"> with a high mortality rate. The incidence of coinfection of pulmonary aspergillosis (PA) and NTM lung diseases may be underestimated, due especially to uncertainty for the diagnosis of NTM lung diseases. An association between NTM and </w:t>
      </w:r>
      <w:r w:rsidRPr="00152CF1">
        <w:rPr>
          <w:rFonts w:eastAsia="Palatino Linotype"/>
          <w:i/>
          <w:iCs/>
        </w:rPr>
        <w:t>Aspergillus</w:t>
      </w:r>
      <w:r w:rsidRPr="00152CF1">
        <w:rPr>
          <w:rFonts w:eastAsia="Palatino Linotype"/>
        </w:rPr>
        <w:t xml:space="preserve"> is being increasingly recognized, but causative relationship between NTM and </w:t>
      </w:r>
      <w:r w:rsidRPr="00152CF1">
        <w:rPr>
          <w:rFonts w:eastAsia="Palatino Linotype"/>
          <w:i/>
          <w:iCs/>
        </w:rPr>
        <w:t>Aspergillus</w:t>
      </w:r>
      <w:r w:rsidRPr="00152CF1">
        <w:rPr>
          <w:rFonts w:eastAsia="Palatino Linotype"/>
        </w:rPr>
        <w:t xml:space="preserve"> lung infection is not well understood. </w:t>
      </w:r>
    </w:p>
    <w:p w14:paraId="5E4DAF17" w14:textId="77777777" w:rsidR="003C71C9" w:rsidRPr="00152CF1" w:rsidRDefault="009F36ED" w:rsidP="00FE7FEB">
      <w:pPr>
        <w:pStyle w:val="MDPI31text"/>
        <w:rPr>
          <w:rFonts w:eastAsia="Palatino Linotype"/>
        </w:rPr>
      </w:pPr>
      <w:r w:rsidRPr="00152CF1">
        <w:rPr>
          <w:rFonts w:eastAsia="Palatino Linotype"/>
        </w:rPr>
        <w:t xml:space="preserve">Several hypotheses </w:t>
      </w:r>
      <w:r w:rsidR="002530D9" w:rsidRPr="00152CF1">
        <w:rPr>
          <w:rFonts w:eastAsia="Palatino Linotype"/>
        </w:rPr>
        <w:t>have</w:t>
      </w:r>
      <w:r w:rsidRPr="00152CF1">
        <w:rPr>
          <w:rFonts w:eastAsia="Palatino Linotype"/>
        </w:rPr>
        <w:t xml:space="preserve"> been raised to explain this association. Firstly, NTM-infected patients with underlying structural lung diseases have increased risk of fungal colonization, and this may eventually lead to </w:t>
      </w:r>
      <w:r w:rsidRPr="00152CF1">
        <w:rPr>
          <w:rFonts w:eastAsia="Palatino Linotype"/>
          <w:i/>
        </w:rPr>
        <w:t xml:space="preserve">Aspergillus </w:t>
      </w:r>
      <w:r w:rsidRPr="00152CF1">
        <w:rPr>
          <w:rFonts w:eastAsia="Palatino Linotype"/>
        </w:rPr>
        <w:t xml:space="preserve">lung infection. NTM lung disease is also commonly diagnosed in immunocompromised patients and in patients who concomitantly received immunosuppressive agents, which increases susceptibility to </w:t>
      </w:r>
      <w:r w:rsidRPr="00152CF1">
        <w:rPr>
          <w:rFonts w:eastAsia="Palatino Linotype"/>
          <w:i/>
          <w:iCs/>
        </w:rPr>
        <w:t>Aspergillus</w:t>
      </w:r>
      <w:r w:rsidRPr="00152CF1">
        <w:rPr>
          <w:rFonts w:eastAsia="Palatino Linotype"/>
        </w:rPr>
        <w:t xml:space="preserve"> infections [11]. A percentage of patients may develop NTM infection following treatment of tuberculosis (TB) [12,13], and tuberculosis itself increases the risk of </w:t>
      </w:r>
      <w:r w:rsidRPr="00152CF1">
        <w:rPr>
          <w:rFonts w:eastAsia="Palatino Linotype"/>
          <w:i/>
          <w:iCs/>
        </w:rPr>
        <w:t>Aspergillus</w:t>
      </w:r>
      <w:r w:rsidRPr="00152CF1">
        <w:rPr>
          <w:rFonts w:eastAsia="Palatino Linotype"/>
        </w:rPr>
        <w:t xml:space="preserve"> infection. Furthermore, NTM lung disease results in destructive lung lesions such as lung cavitation, which leads to an increasing incidence of PA [12,13].</w:t>
      </w:r>
    </w:p>
    <w:p w14:paraId="55C08190" w14:textId="45C8D90C" w:rsidR="003C71C9" w:rsidRPr="00152CF1" w:rsidRDefault="009F36ED" w:rsidP="00621016">
      <w:pPr>
        <w:pStyle w:val="MDPI31text"/>
        <w:rPr>
          <w:rFonts w:eastAsia="Palatino Linotype"/>
        </w:rPr>
      </w:pPr>
      <w:r w:rsidRPr="00152CF1">
        <w:rPr>
          <w:rFonts w:eastAsia="Palatino Linotype"/>
        </w:rPr>
        <w:t xml:space="preserve">In this review, we found that the most frequently associated conditions with PA and pulmonary NTM disease are </w:t>
      </w:r>
      <w:proofErr w:type="spellStart"/>
      <w:r w:rsidRPr="00152CF1">
        <w:rPr>
          <w:rFonts w:eastAsia="Palatino Linotype"/>
        </w:rPr>
        <w:t>fibrocavitary</w:t>
      </w:r>
      <w:proofErr w:type="spellEnd"/>
      <w:r w:rsidRPr="00152CF1">
        <w:rPr>
          <w:rFonts w:eastAsia="Palatino Linotype"/>
        </w:rPr>
        <w:t xml:space="preserve"> lesions, bronchiectasis, the presence of COPD with pulmonary emphysema or asthma, steroid use and previous active tuberculosis. These findings are similar to what has been described in literature for the last few years. [14-16]. PA is significantly more common in patients who have residual TB cavitation. This can be explained by the fact that </w:t>
      </w:r>
      <w:r w:rsidRPr="00152CF1">
        <w:rPr>
          <w:rFonts w:eastAsia="Palatino Linotype"/>
          <w:i/>
          <w:iCs/>
        </w:rPr>
        <w:t>Aspergillus</w:t>
      </w:r>
      <w:r w:rsidRPr="00152CF1">
        <w:rPr>
          <w:rFonts w:eastAsia="Palatino Linotype"/>
        </w:rPr>
        <w:t xml:space="preserve"> colonization is more prevalent in patients who have pre-existing chronic lung cavities. </w:t>
      </w:r>
      <w:r w:rsidR="005A5525">
        <w:rPr>
          <w:rFonts w:eastAsia="Palatino Linotype"/>
        </w:rPr>
        <w:t>Time between primary TB infection and PA was not specified in this review, since this data was poorly reported. However, it may be interesting to analyze th</w:t>
      </w:r>
      <w:r w:rsidR="00187725">
        <w:rPr>
          <w:rFonts w:eastAsia="Palatino Linotype"/>
        </w:rPr>
        <w:t>e</w:t>
      </w:r>
      <w:r w:rsidR="005A5525">
        <w:rPr>
          <w:rFonts w:eastAsia="Palatino Linotype"/>
        </w:rPr>
        <w:t xml:space="preserve"> tim</w:t>
      </w:r>
      <w:r w:rsidR="00187725">
        <w:rPr>
          <w:rFonts w:eastAsia="Palatino Linotype"/>
        </w:rPr>
        <w:t xml:space="preserve">e </w:t>
      </w:r>
      <w:r w:rsidR="005A5525">
        <w:rPr>
          <w:rFonts w:eastAsia="Palatino Linotype"/>
        </w:rPr>
        <w:t>relation</w:t>
      </w:r>
      <w:r w:rsidR="00621016">
        <w:rPr>
          <w:rFonts w:eastAsia="Palatino Linotype"/>
        </w:rPr>
        <w:t xml:space="preserve"> between both events,</w:t>
      </w:r>
      <w:r w:rsidR="005A5525">
        <w:rPr>
          <w:rFonts w:eastAsia="Palatino Linotype"/>
        </w:rPr>
        <w:t xml:space="preserve"> </w:t>
      </w:r>
      <w:r w:rsidR="00187725">
        <w:rPr>
          <w:rFonts w:eastAsia="Palatino Linotype"/>
        </w:rPr>
        <w:t xml:space="preserve">to enhance the ability to diagnose and treat </w:t>
      </w:r>
      <w:proofErr w:type="gramStart"/>
      <w:r w:rsidR="00187725">
        <w:rPr>
          <w:rFonts w:eastAsia="Palatino Linotype"/>
        </w:rPr>
        <w:t xml:space="preserve">this </w:t>
      </w:r>
      <w:r w:rsidR="00621016">
        <w:rPr>
          <w:rFonts w:eastAsia="Palatino Linotype"/>
        </w:rPr>
        <w:t>patients</w:t>
      </w:r>
      <w:proofErr w:type="gramEnd"/>
      <w:r w:rsidR="00621016">
        <w:rPr>
          <w:rFonts w:eastAsia="Palatino Linotype"/>
        </w:rPr>
        <w:t>.</w:t>
      </w:r>
      <w:r w:rsidR="00621016" w:rsidRPr="00152CF1">
        <w:rPr>
          <w:rFonts w:eastAsia="Palatino Linotype"/>
        </w:rPr>
        <w:t xml:space="preserve"> Long</w:t>
      </w:r>
      <w:r w:rsidRPr="00152CF1">
        <w:rPr>
          <w:rFonts w:eastAsia="Palatino Linotype"/>
        </w:rPr>
        <w:t xml:space="preserve">-term systemic and inhaled corticosteroid use is also a potential risk factor. Corticosteroids impair the innate and adaptive host immune systems [17], which leads to an inability to eliminate fungi, increasing </w:t>
      </w:r>
      <w:r w:rsidRPr="00152CF1">
        <w:rPr>
          <w:rFonts w:eastAsia="Palatino Linotype"/>
          <w:i/>
          <w:iCs/>
        </w:rPr>
        <w:t>Aspergillus</w:t>
      </w:r>
      <w:r w:rsidRPr="00152CF1">
        <w:rPr>
          <w:rFonts w:eastAsia="Palatino Linotype"/>
        </w:rPr>
        <w:t xml:space="preserve"> colonization and the growth of </w:t>
      </w:r>
      <w:r w:rsidRPr="00152CF1">
        <w:rPr>
          <w:rFonts w:eastAsia="Palatino Linotype"/>
          <w:i/>
          <w:iCs/>
        </w:rPr>
        <w:t>Aspergillus</w:t>
      </w:r>
      <w:r w:rsidRPr="00152CF1">
        <w:rPr>
          <w:rFonts w:eastAsia="Palatino Linotype"/>
        </w:rPr>
        <w:t xml:space="preserve"> hyphae [17-19].</w:t>
      </w:r>
    </w:p>
    <w:p w14:paraId="45A404D5" w14:textId="77777777" w:rsidR="003C71C9" w:rsidRPr="00152CF1" w:rsidRDefault="009F36ED" w:rsidP="00FE7FEB">
      <w:pPr>
        <w:pStyle w:val="MDPI31text"/>
        <w:rPr>
          <w:rFonts w:eastAsia="Palatino Linotype"/>
        </w:rPr>
      </w:pPr>
      <w:r w:rsidRPr="00152CF1">
        <w:rPr>
          <w:rFonts w:eastAsia="Palatino Linotype"/>
        </w:rPr>
        <w:t xml:space="preserve">A diagnosis of PA and NTM pulmonary infection requires a combination of clinical characteristics, a consistent appearance in thoracic tomography, direct evidence of NTM and </w:t>
      </w:r>
      <w:r w:rsidRPr="00152CF1">
        <w:rPr>
          <w:rFonts w:eastAsia="Palatino Linotype"/>
          <w:i/>
          <w:iCs/>
        </w:rPr>
        <w:t>Aspergillus</w:t>
      </w:r>
      <w:r w:rsidRPr="00152CF1">
        <w:rPr>
          <w:rFonts w:eastAsia="Palatino Linotype"/>
        </w:rPr>
        <w:t xml:space="preserve"> infection and exclusion of alternative diagnoses. The most common symptoms found in our review were: cough, dyspnea, hemoptysis, fever and weight loss; similar as reported in the literature [20]. The clinical manifestations of the two diseases are indistinguishable, so the microbiological and radiological findings play an important role in making the final diagnosis. Common radiological findings that increase the possibility of PA in NTM-infected patients include thickening of pre-existing lung cavities, the presence of a fungal ball or aspergilloma, and infiltration surrounding the cavities [21]. In our review, the most frequent locations for these kinds of lesions were the middle lobe and the right upper lobe. Culture positivity of </w:t>
      </w:r>
      <w:r w:rsidRPr="00152CF1">
        <w:rPr>
          <w:rFonts w:eastAsia="Palatino Linotype"/>
          <w:i/>
          <w:iCs/>
        </w:rPr>
        <w:t>Aspergillus</w:t>
      </w:r>
      <w:r w:rsidRPr="00152CF1">
        <w:rPr>
          <w:rFonts w:eastAsia="Palatino Linotype"/>
        </w:rPr>
        <w:t xml:space="preserve"> species in patients with pulmonary NTM does not always indicate PA, but we found that colonization was assumed in very few cases. </w:t>
      </w:r>
    </w:p>
    <w:p w14:paraId="5E5AE1A5" w14:textId="2D812DB3" w:rsidR="003C71C9" w:rsidRPr="00152CF1" w:rsidRDefault="009F36ED" w:rsidP="00FE7FEB">
      <w:pPr>
        <w:pStyle w:val="MDPI31text"/>
        <w:rPr>
          <w:rFonts w:eastAsia="Palatino Linotype"/>
        </w:rPr>
      </w:pPr>
      <w:r w:rsidRPr="00152CF1">
        <w:rPr>
          <w:rFonts w:eastAsia="Palatino Linotype"/>
        </w:rPr>
        <w:t xml:space="preserve">Regarding treatment for PA, we found that the antifungals of choice were oral mold-active triazoles (itraconazole or voriconazole) for a minimum duration of 4 months. Treatment of CPA following NTM lung diseases may be challenging because of drug interaction between oral triazoles and antimycobacterial agents. Most patients required rifamycin (rifampicin or rifabutin) treatment, which is a strong CYP3A4 inducer, and so would lead to a significantly lower level of the antifungal, which would result in treatment failure [20].  </w:t>
      </w:r>
    </w:p>
    <w:p w14:paraId="720F53D7" w14:textId="6ACDA25F" w:rsidR="003C71C9" w:rsidRPr="00152CF1" w:rsidRDefault="009F36ED" w:rsidP="00F556B3">
      <w:pPr>
        <w:pStyle w:val="MDPI31text"/>
        <w:rPr>
          <w:rFonts w:eastAsia="Palatino Linotype"/>
        </w:rPr>
      </w:pPr>
      <w:r w:rsidRPr="00152CF1">
        <w:rPr>
          <w:rFonts w:eastAsia="Palatino Linotype"/>
        </w:rPr>
        <w:lastRenderedPageBreak/>
        <w:t xml:space="preserve">The outcome of NTM associated with PA is usually poor, as PA has been demonstrated as a predictor of mortality in patients with NTM lung disease [22, 23]. The high mortality rate in our review was striking. </w:t>
      </w:r>
      <w:r w:rsidR="00F556B3" w:rsidRPr="00F556B3">
        <w:rPr>
          <w:rFonts w:eastAsia="Palatino Linotype"/>
        </w:rPr>
        <w:t>Th</w:t>
      </w:r>
      <w:r w:rsidR="00F556B3">
        <w:rPr>
          <w:rFonts w:eastAsia="Palatino Linotype"/>
        </w:rPr>
        <w:t xml:space="preserve">e </w:t>
      </w:r>
      <w:r w:rsidR="00F556B3" w:rsidRPr="00F556B3">
        <w:rPr>
          <w:rFonts w:eastAsia="Palatino Linotype"/>
        </w:rPr>
        <w:t>global mortality was directly related to the NTM and Aspergillus co-infection, and was more frequently reported in patients with sub-acute aspergillosis such as CPA.</w:t>
      </w:r>
      <w:r w:rsidR="00F556B3">
        <w:rPr>
          <w:rFonts w:eastAsia="Palatino Linotype"/>
        </w:rPr>
        <w:t xml:space="preserve"> </w:t>
      </w:r>
      <w:r w:rsidRPr="00152CF1">
        <w:rPr>
          <w:rFonts w:eastAsia="Palatino Linotype"/>
        </w:rPr>
        <w:t xml:space="preserve">This mortality rate may be explained by the immunocompromised status of patients and use of long-term corticosteroids. Corticosteroid use in NTM patients should be avoided or tapered to the lowest possible dose. In addition, drug–drug interaction of antifungal therapy with rifampicin was commonly reported, which led to the end antifungal therapy in many cases [24]. Regarding the interactions between azoles and anti-TB therapy, antifungal treatment may be performed first, since clinical improvement was more related to the response to antifungal treatment than to the NTM therapy in the cases that were review. Once antifungal therapy is finished, NTM therapy could be started and completed. </w:t>
      </w:r>
      <w:r w:rsidR="003F442E" w:rsidRPr="00152CF1">
        <w:rPr>
          <w:rFonts w:eastAsia="Palatino Linotype"/>
        </w:rPr>
        <w:t>This way, a simultaneous treatment could be avoided, and, therefore, unnecessary pharmacological interactions.</w:t>
      </w:r>
    </w:p>
    <w:p w14:paraId="7A08C3C2" w14:textId="77777777" w:rsidR="003C71C9" w:rsidRPr="00152CF1" w:rsidRDefault="009F36ED" w:rsidP="00FE7FEB">
      <w:pPr>
        <w:pStyle w:val="MDPI62BackMatter"/>
        <w:spacing w:before="240"/>
        <w:rPr>
          <w:rFonts w:eastAsia="Palatino Linotype"/>
        </w:rPr>
      </w:pPr>
      <w:bookmarkStart w:id="2" w:name="_heading=h.1fob9te" w:colFirst="0" w:colLast="0"/>
      <w:bookmarkEnd w:id="2"/>
      <w:r w:rsidRPr="00FE7FEB">
        <w:rPr>
          <w:rFonts w:eastAsia="Palatino Linotype"/>
          <w:b/>
        </w:rPr>
        <w:t xml:space="preserve">Data Availability Statement: </w:t>
      </w:r>
      <w:r w:rsidRPr="00152CF1">
        <w:rPr>
          <w:rFonts w:eastAsia="Palatino Linotype"/>
        </w:rPr>
        <w:t>Data sharing is not applicable to this article as no new data were created or analyzed in this study.</w:t>
      </w:r>
    </w:p>
    <w:p w14:paraId="3D4AD154" w14:textId="77777777" w:rsidR="003C71C9" w:rsidRPr="00152CF1" w:rsidRDefault="009F36ED" w:rsidP="00FE7FEB">
      <w:pPr>
        <w:pStyle w:val="MDPI62BackMatter"/>
        <w:rPr>
          <w:rFonts w:eastAsia="Palatino Linotype"/>
        </w:rPr>
      </w:pPr>
      <w:r w:rsidRPr="00FE7FEB">
        <w:rPr>
          <w:rFonts w:eastAsia="Palatino Linotype"/>
          <w:b/>
        </w:rPr>
        <w:t>Acknowledgments:</w:t>
      </w:r>
      <w:r w:rsidRPr="00152CF1">
        <w:rPr>
          <w:rFonts w:eastAsia="Palatino Linotype"/>
        </w:rPr>
        <w:t xml:space="preserve"> The authors thank José Manuel Estrada Lorenzo, librarian, for his assistance with search strategies and the personnel of the library of the University Hospital “12 de </w:t>
      </w:r>
      <w:proofErr w:type="spellStart"/>
      <w:r w:rsidRPr="00152CF1">
        <w:rPr>
          <w:rFonts w:eastAsia="Palatino Linotype"/>
        </w:rPr>
        <w:t>Octubre</w:t>
      </w:r>
      <w:proofErr w:type="spellEnd"/>
      <w:r w:rsidRPr="00152CF1">
        <w:rPr>
          <w:rFonts w:eastAsia="Palatino Linotype"/>
        </w:rPr>
        <w:t>” for their assistance in collecting the articles.</w:t>
      </w:r>
    </w:p>
    <w:p w14:paraId="7A4D540F" w14:textId="77777777" w:rsidR="003C71C9" w:rsidRPr="00152CF1" w:rsidRDefault="009F36ED" w:rsidP="00FE7FEB">
      <w:pPr>
        <w:pStyle w:val="MDPI62BackMatter"/>
        <w:rPr>
          <w:rFonts w:eastAsia="Palatino Linotype"/>
        </w:rPr>
      </w:pPr>
      <w:r w:rsidRPr="00FE7FEB">
        <w:rPr>
          <w:rFonts w:eastAsia="Palatino Linotype"/>
          <w:b/>
        </w:rPr>
        <w:t xml:space="preserve">Conflicts of Interest: </w:t>
      </w:r>
      <w:r w:rsidRPr="00152CF1">
        <w:rPr>
          <w:rFonts w:eastAsia="Palatino Linotype"/>
        </w:rPr>
        <w:t>The authors declare no conflict of interest.</w:t>
      </w:r>
    </w:p>
    <w:p w14:paraId="039ECDC5" w14:textId="77777777" w:rsidR="003C71C9" w:rsidRPr="00152CF1" w:rsidRDefault="009F36ED" w:rsidP="00FE7FEB">
      <w:pPr>
        <w:pStyle w:val="MDPI21heading1"/>
        <w:ind w:left="0"/>
        <w:rPr>
          <w:rFonts w:eastAsia="Palatino Linotype"/>
        </w:rPr>
      </w:pPr>
      <w:r w:rsidRPr="00152CF1">
        <w:rPr>
          <w:rFonts w:eastAsia="Palatino Linotype"/>
        </w:rPr>
        <w:t>References</w:t>
      </w:r>
    </w:p>
    <w:p w14:paraId="47AF0CFA"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 xml:space="preserve">Park SJ, </w:t>
      </w:r>
      <w:proofErr w:type="spellStart"/>
      <w:r w:rsidRPr="00152CF1">
        <w:rPr>
          <w:rFonts w:ascii="Palatino Linotype" w:eastAsia="Palatino Linotype" w:hAnsi="Palatino Linotype" w:cs="Palatino Linotype"/>
          <w:color w:val="000000"/>
          <w:sz w:val="18"/>
          <w:szCs w:val="18"/>
          <w:lang w:val="en-US"/>
        </w:rPr>
        <w:t>Mehrad</w:t>
      </w:r>
      <w:proofErr w:type="spellEnd"/>
      <w:r w:rsidRPr="00152CF1">
        <w:rPr>
          <w:rFonts w:ascii="Palatino Linotype" w:eastAsia="Palatino Linotype" w:hAnsi="Palatino Linotype" w:cs="Palatino Linotype"/>
          <w:color w:val="000000"/>
          <w:sz w:val="18"/>
          <w:szCs w:val="18"/>
          <w:lang w:val="en-US"/>
        </w:rPr>
        <w:t xml:space="preserve"> B (2009) Innate immunity to Aspergillus species. Clin Microbiol Rev 22:535–551</w:t>
      </w:r>
    </w:p>
    <w:p w14:paraId="2191A52B" w14:textId="77777777" w:rsidR="003C71C9" w:rsidRPr="00152CF1" w:rsidRDefault="009F36ED" w:rsidP="00152CF1">
      <w:pPr>
        <w:pStyle w:val="Prrafodelista"/>
        <w:numPr>
          <w:ilvl w:val="0"/>
          <w:numId w:val="1"/>
        </w:numPr>
        <w:adjustRightInd w:val="0"/>
        <w:snapToGrid w:val="0"/>
        <w:rPr>
          <w:lang w:val="en-US"/>
        </w:rPr>
      </w:pPr>
      <w:r w:rsidRPr="00152CF1">
        <w:rPr>
          <w:rFonts w:ascii="Palatino Linotype" w:hAnsi="Palatino Linotype"/>
          <w:color w:val="000000"/>
          <w:sz w:val="18"/>
          <w:szCs w:val="18"/>
          <w:lang w:val="en-US"/>
        </w:rPr>
        <w:t xml:space="preserve">Godet C, Philippe B, Laurent F, </w:t>
      </w:r>
      <w:proofErr w:type="spellStart"/>
      <w:r w:rsidRPr="00152CF1">
        <w:rPr>
          <w:rFonts w:ascii="Palatino Linotype" w:hAnsi="Palatino Linotype"/>
          <w:color w:val="000000"/>
          <w:sz w:val="18"/>
          <w:szCs w:val="18"/>
          <w:lang w:val="en-US"/>
        </w:rPr>
        <w:t>Cadranel</w:t>
      </w:r>
      <w:proofErr w:type="spellEnd"/>
      <w:r w:rsidRPr="00152CF1">
        <w:rPr>
          <w:rFonts w:ascii="Palatino Linotype" w:hAnsi="Palatino Linotype"/>
          <w:color w:val="000000"/>
          <w:sz w:val="18"/>
          <w:szCs w:val="18"/>
          <w:lang w:val="en-US"/>
        </w:rPr>
        <w:t xml:space="preserve"> J (2014) Chronic pulmonary aspergillosis: an update on diagnosis and treatment. Respiration 88:162–174</w:t>
      </w:r>
    </w:p>
    <w:p w14:paraId="6B7A2DFF"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Dellière</w:t>
      </w:r>
      <w:proofErr w:type="spellEnd"/>
      <w:r w:rsidRPr="00152CF1">
        <w:rPr>
          <w:rFonts w:ascii="Palatino Linotype" w:eastAsia="Palatino Linotype" w:hAnsi="Palatino Linotype" w:cs="Palatino Linotype"/>
          <w:color w:val="000000"/>
          <w:sz w:val="18"/>
          <w:szCs w:val="18"/>
          <w:lang w:val="en-US"/>
        </w:rPr>
        <w:t xml:space="preserve"> S, </w:t>
      </w:r>
      <w:proofErr w:type="spellStart"/>
      <w:r w:rsidRPr="00152CF1">
        <w:rPr>
          <w:rFonts w:ascii="Palatino Linotype" w:eastAsia="Palatino Linotype" w:hAnsi="Palatino Linotype" w:cs="Palatino Linotype"/>
          <w:color w:val="000000"/>
          <w:sz w:val="18"/>
          <w:szCs w:val="18"/>
          <w:lang w:val="en-US"/>
        </w:rPr>
        <w:t>Angebault</w:t>
      </w:r>
      <w:proofErr w:type="spellEnd"/>
      <w:r w:rsidRPr="00152CF1">
        <w:rPr>
          <w:rFonts w:ascii="Palatino Linotype" w:eastAsia="Palatino Linotype" w:hAnsi="Palatino Linotype" w:cs="Palatino Linotype"/>
          <w:color w:val="000000"/>
          <w:sz w:val="18"/>
          <w:szCs w:val="18"/>
          <w:lang w:val="en-US"/>
        </w:rPr>
        <w:t xml:space="preserve"> C, </w:t>
      </w:r>
      <w:proofErr w:type="spellStart"/>
      <w:r w:rsidRPr="00152CF1">
        <w:rPr>
          <w:rFonts w:ascii="Palatino Linotype" w:eastAsia="Palatino Linotype" w:hAnsi="Palatino Linotype" w:cs="Palatino Linotype"/>
          <w:color w:val="000000"/>
          <w:sz w:val="18"/>
          <w:szCs w:val="18"/>
          <w:lang w:val="en-US"/>
        </w:rPr>
        <w:t>Fihman</w:t>
      </w:r>
      <w:proofErr w:type="spellEnd"/>
      <w:r w:rsidRPr="00152CF1">
        <w:rPr>
          <w:rFonts w:ascii="Palatino Linotype" w:eastAsia="Palatino Linotype" w:hAnsi="Palatino Linotype" w:cs="Palatino Linotype"/>
          <w:color w:val="000000"/>
          <w:sz w:val="18"/>
          <w:szCs w:val="18"/>
          <w:lang w:val="en-US"/>
        </w:rPr>
        <w:t xml:space="preserve"> V, et al.: Concomitant presence of Aspergillus species and Mycobacterium species in the respiratory tract of patients: underestimated co-</w:t>
      </w:r>
      <w:proofErr w:type="gramStart"/>
      <w:r w:rsidRPr="00152CF1">
        <w:rPr>
          <w:rFonts w:ascii="Palatino Linotype" w:eastAsia="Palatino Linotype" w:hAnsi="Palatino Linotype" w:cs="Palatino Linotype"/>
          <w:color w:val="000000"/>
          <w:sz w:val="18"/>
          <w:szCs w:val="18"/>
          <w:lang w:val="en-US"/>
        </w:rPr>
        <w:t>occurrence?.</w:t>
      </w:r>
      <w:proofErr w:type="gramEnd"/>
      <w:r w:rsidRPr="00152CF1">
        <w:rPr>
          <w:rFonts w:ascii="Palatino Linotype" w:eastAsia="Palatino Linotype" w:hAnsi="Palatino Linotype" w:cs="Palatino Linotype"/>
          <w:color w:val="000000"/>
          <w:sz w:val="18"/>
          <w:szCs w:val="18"/>
          <w:lang w:val="en-US"/>
        </w:rPr>
        <w:t xml:space="preserve"> Front Microbiol. 2019, 10:2980. 10.3389/fmicb.2019.02980</w:t>
      </w:r>
    </w:p>
    <w:p w14:paraId="49438580"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Adjemian</w:t>
      </w:r>
      <w:proofErr w:type="spellEnd"/>
      <w:r w:rsidRPr="00152CF1">
        <w:rPr>
          <w:rFonts w:ascii="Palatino Linotype" w:eastAsia="Palatino Linotype" w:hAnsi="Palatino Linotype" w:cs="Palatino Linotype"/>
          <w:color w:val="000000"/>
          <w:sz w:val="18"/>
          <w:szCs w:val="18"/>
          <w:lang w:val="en-US"/>
        </w:rPr>
        <w:t xml:space="preserve"> J, Olivier KN, Seitz AE, Holland SM, </w:t>
      </w:r>
      <w:proofErr w:type="spellStart"/>
      <w:r w:rsidRPr="00152CF1">
        <w:rPr>
          <w:rFonts w:ascii="Palatino Linotype" w:eastAsia="Palatino Linotype" w:hAnsi="Palatino Linotype" w:cs="Palatino Linotype"/>
          <w:color w:val="000000"/>
          <w:sz w:val="18"/>
          <w:szCs w:val="18"/>
          <w:lang w:val="en-US"/>
        </w:rPr>
        <w:t>Prevots</w:t>
      </w:r>
      <w:proofErr w:type="spellEnd"/>
      <w:r w:rsidRPr="00152CF1">
        <w:rPr>
          <w:rFonts w:ascii="Palatino Linotype" w:eastAsia="Palatino Linotype" w:hAnsi="Palatino Linotype" w:cs="Palatino Linotype"/>
          <w:color w:val="000000"/>
          <w:sz w:val="18"/>
          <w:szCs w:val="18"/>
          <w:lang w:val="en-US"/>
        </w:rPr>
        <w:t xml:space="preserve"> DR (2012) Prevalence of nontuberculous mycobacterial lung disease in US Medicare beneficiaries. Am J Respir Crit Care Med 185:881–886</w:t>
      </w:r>
    </w:p>
    <w:p w14:paraId="3E654EB3"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Prevots</w:t>
      </w:r>
      <w:proofErr w:type="spellEnd"/>
      <w:r w:rsidRPr="00152CF1">
        <w:rPr>
          <w:rFonts w:ascii="Palatino Linotype" w:eastAsia="Palatino Linotype" w:hAnsi="Palatino Linotype" w:cs="Palatino Linotype"/>
          <w:color w:val="000000"/>
          <w:sz w:val="18"/>
          <w:szCs w:val="18"/>
          <w:lang w:val="en-US"/>
        </w:rPr>
        <w:t xml:space="preserve"> DR, Shaw PA, Strickland D, Jackson LA, </w:t>
      </w:r>
      <w:proofErr w:type="spellStart"/>
      <w:r w:rsidRPr="00152CF1">
        <w:rPr>
          <w:rFonts w:ascii="Palatino Linotype" w:eastAsia="Palatino Linotype" w:hAnsi="Palatino Linotype" w:cs="Palatino Linotype"/>
          <w:color w:val="000000"/>
          <w:sz w:val="18"/>
          <w:szCs w:val="18"/>
          <w:lang w:val="en-US"/>
        </w:rPr>
        <w:t>Reabel</w:t>
      </w:r>
      <w:proofErr w:type="spellEnd"/>
      <w:r w:rsidRPr="00152CF1">
        <w:rPr>
          <w:rFonts w:ascii="Palatino Linotype" w:eastAsia="Palatino Linotype" w:hAnsi="Palatino Linotype" w:cs="Palatino Linotype"/>
          <w:color w:val="000000"/>
          <w:sz w:val="18"/>
          <w:szCs w:val="18"/>
          <w:lang w:val="en-US"/>
        </w:rPr>
        <w:t xml:space="preserve"> MA, </w:t>
      </w:r>
      <w:proofErr w:type="spellStart"/>
      <w:r w:rsidRPr="00152CF1">
        <w:rPr>
          <w:rFonts w:ascii="Palatino Linotype" w:eastAsia="Palatino Linotype" w:hAnsi="Palatino Linotype" w:cs="Palatino Linotype"/>
          <w:color w:val="000000"/>
          <w:sz w:val="18"/>
          <w:szCs w:val="18"/>
          <w:lang w:val="en-US"/>
        </w:rPr>
        <w:t>Blosky</w:t>
      </w:r>
      <w:proofErr w:type="spellEnd"/>
      <w:r w:rsidRPr="00152CF1">
        <w:rPr>
          <w:rFonts w:ascii="Palatino Linotype" w:eastAsia="Palatino Linotype" w:hAnsi="Palatino Linotype" w:cs="Palatino Linotype"/>
          <w:color w:val="000000"/>
          <w:sz w:val="18"/>
          <w:szCs w:val="18"/>
          <w:lang w:val="en-US"/>
        </w:rPr>
        <w:t xml:space="preserve"> MA, Montes de Oca R, Shea YR, Seitz AE, Holland SM, Olivier KN (2010) Nontuberculous mycobacterial lung disease prevalence at four integrated health care delivery systems. Am J Respir Crit Care Med 182:970–976</w:t>
      </w:r>
    </w:p>
    <w:p w14:paraId="4F8902A4"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Wickremasinghe</w:t>
      </w:r>
      <w:proofErr w:type="spellEnd"/>
      <w:r w:rsidRPr="00152CF1">
        <w:rPr>
          <w:rFonts w:ascii="Palatino Linotype" w:eastAsia="Palatino Linotype" w:hAnsi="Palatino Linotype" w:cs="Palatino Linotype"/>
          <w:color w:val="000000"/>
          <w:sz w:val="18"/>
          <w:szCs w:val="18"/>
          <w:lang w:val="en-US"/>
        </w:rPr>
        <w:t xml:space="preserve"> M, </w:t>
      </w:r>
      <w:proofErr w:type="spellStart"/>
      <w:r w:rsidRPr="00152CF1">
        <w:rPr>
          <w:rFonts w:ascii="Palatino Linotype" w:eastAsia="Palatino Linotype" w:hAnsi="Palatino Linotype" w:cs="Palatino Linotype"/>
          <w:color w:val="000000"/>
          <w:sz w:val="18"/>
          <w:szCs w:val="18"/>
          <w:lang w:val="en-US"/>
        </w:rPr>
        <w:t>Ozerovitch</w:t>
      </w:r>
      <w:proofErr w:type="spellEnd"/>
      <w:r w:rsidRPr="00152CF1">
        <w:rPr>
          <w:rFonts w:ascii="Palatino Linotype" w:eastAsia="Palatino Linotype" w:hAnsi="Palatino Linotype" w:cs="Palatino Linotype"/>
          <w:color w:val="000000"/>
          <w:sz w:val="18"/>
          <w:szCs w:val="18"/>
          <w:lang w:val="en-US"/>
        </w:rPr>
        <w:t xml:space="preserve"> LJ, Davies G, Wodehouse T, Chadwick MV, Abdallah S, Shah P, Wilson R (2005) Non- tuberculous mycobacteria in patients with bronchiectasis. Thorax 60:1045–1051</w:t>
      </w:r>
    </w:p>
    <w:p w14:paraId="563730B5"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Zoumot</w:t>
      </w:r>
      <w:proofErr w:type="spellEnd"/>
      <w:r w:rsidRPr="00152CF1">
        <w:rPr>
          <w:rFonts w:ascii="Palatino Linotype" w:eastAsia="Palatino Linotype" w:hAnsi="Palatino Linotype" w:cs="Palatino Linotype"/>
          <w:color w:val="000000"/>
          <w:sz w:val="18"/>
          <w:szCs w:val="18"/>
          <w:lang w:val="en-US"/>
        </w:rPr>
        <w:t xml:space="preserve"> Z, </w:t>
      </w:r>
      <w:proofErr w:type="spellStart"/>
      <w:r w:rsidRPr="00152CF1">
        <w:rPr>
          <w:rFonts w:ascii="Palatino Linotype" w:eastAsia="Palatino Linotype" w:hAnsi="Palatino Linotype" w:cs="Palatino Linotype"/>
          <w:color w:val="000000"/>
          <w:sz w:val="18"/>
          <w:szCs w:val="18"/>
          <w:lang w:val="en-US"/>
        </w:rPr>
        <w:t>Boutou</w:t>
      </w:r>
      <w:proofErr w:type="spellEnd"/>
      <w:r w:rsidRPr="00152CF1">
        <w:rPr>
          <w:rFonts w:ascii="Palatino Linotype" w:eastAsia="Palatino Linotype" w:hAnsi="Palatino Linotype" w:cs="Palatino Linotype"/>
          <w:color w:val="000000"/>
          <w:sz w:val="18"/>
          <w:szCs w:val="18"/>
          <w:lang w:val="en-US"/>
        </w:rPr>
        <w:t xml:space="preserve"> AK, Gill S, van Zeller M, Hansell DM, Wells AU, Wilson R, </w:t>
      </w:r>
      <w:proofErr w:type="spellStart"/>
      <w:r w:rsidRPr="00152CF1">
        <w:rPr>
          <w:rFonts w:ascii="Palatino Linotype" w:eastAsia="Palatino Linotype" w:hAnsi="Palatino Linotype" w:cs="Palatino Linotype"/>
          <w:color w:val="000000"/>
          <w:sz w:val="18"/>
          <w:szCs w:val="18"/>
          <w:lang w:val="en-US"/>
        </w:rPr>
        <w:t>Loebinger</w:t>
      </w:r>
      <w:proofErr w:type="spellEnd"/>
      <w:r w:rsidRPr="00152CF1">
        <w:rPr>
          <w:rFonts w:ascii="Palatino Linotype" w:eastAsia="Palatino Linotype" w:hAnsi="Palatino Linotype" w:cs="Palatino Linotype"/>
          <w:color w:val="000000"/>
          <w:sz w:val="18"/>
          <w:szCs w:val="18"/>
          <w:lang w:val="en-US"/>
        </w:rPr>
        <w:t xml:space="preserve"> MR (2014) Mycobacterium avium complex infection in non-cystic fibrosis bronchiectasis. Respirology 19: 714–722</w:t>
      </w:r>
    </w:p>
    <w:p w14:paraId="1E547582"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 xml:space="preserve">Takeda K, Imamura Y, </w:t>
      </w:r>
      <w:proofErr w:type="spellStart"/>
      <w:r w:rsidRPr="00152CF1">
        <w:rPr>
          <w:rFonts w:ascii="Palatino Linotype" w:eastAsia="Palatino Linotype" w:hAnsi="Palatino Linotype" w:cs="Palatino Linotype"/>
          <w:color w:val="000000"/>
          <w:sz w:val="18"/>
          <w:szCs w:val="18"/>
          <w:lang w:val="en-US"/>
        </w:rPr>
        <w:t>Takazono</w:t>
      </w:r>
      <w:proofErr w:type="spellEnd"/>
      <w:r w:rsidRPr="00152CF1">
        <w:rPr>
          <w:rFonts w:ascii="Palatino Linotype" w:eastAsia="Palatino Linotype" w:hAnsi="Palatino Linotype" w:cs="Palatino Linotype"/>
          <w:color w:val="000000"/>
          <w:sz w:val="18"/>
          <w:szCs w:val="18"/>
          <w:lang w:val="en-US"/>
        </w:rPr>
        <w:t xml:space="preserve"> T, Yoshida M, Ide S, Hirano K, Tashiro M, </w:t>
      </w:r>
      <w:proofErr w:type="spellStart"/>
      <w:r w:rsidRPr="00152CF1">
        <w:rPr>
          <w:rFonts w:ascii="Palatino Linotype" w:eastAsia="Palatino Linotype" w:hAnsi="Palatino Linotype" w:cs="Palatino Linotype"/>
          <w:color w:val="000000"/>
          <w:sz w:val="18"/>
          <w:szCs w:val="18"/>
          <w:lang w:val="en-US"/>
        </w:rPr>
        <w:t>Saijo</w:t>
      </w:r>
      <w:proofErr w:type="spellEnd"/>
      <w:r w:rsidRPr="00152CF1">
        <w:rPr>
          <w:rFonts w:ascii="Palatino Linotype" w:eastAsia="Palatino Linotype" w:hAnsi="Palatino Linotype" w:cs="Palatino Linotype"/>
          <w:color w:val="000000"/>
          <w:sz w:val="18"/>
          <w:szCs w:val="18"/>
          <w:lang w:val="en-US"/>
        </w:rPr>
        <w:t xml:space="preserve"> T, </w:t>
      </w:r>
      <w:proofErr w:type="spellStart"/>
      <w:r w:rsidRPr="00152CF1">
        <w:rPr>
          <w:rFonts w:ascii="Palatino Linotype" w:eastAsia="Palatino Linotype" w:hAnsi="Palatino Linotype" w:cs="Palatino Linotype"/>
          <w:color w:val="000000"/>
          <w:sz w:val="18"/>
          <w:szCs w:val="18"/>
          <w:lang w:val="en-US"/>
        </w:rPr>
        <w:t>Kosai</w:t>
      </w:r>
      <w:proofErr w:type="spellEnd"/>
      <w:r w:rsidRPr="00152CF1">
        <w:rPr>
          <w:rFonts w:ascii="Palatino Linotype" w:eastAsia="Palatino Linotype" w:hAnsi="Palatino Linotype" w:cs="Palatino Linotype"/>
          <w:color w:val="000000"/>
          <w:sz w:val="18"/>
          <w:szCs w:val="18"/>
          <w:lang w:val="en-US"/>
        </w:rPr>
        <w:t xml:space="preserve"> K, Morinaga Y, Nakamura S, </w:t>
      </w:r>
      <w:proofErr w:type="spellStart"/>
      <w:r w:rsidRPr="00152CF1">
        <w:rPr>
          <w:rFonts w:ascii="Palatino Linotype" w:eastAsia="Palatino Linotype" w:hAnsi="Palatino Linotype" w:cs="Palatino Linotype"/>
          <w:color w:val="000000"/>
          <w:sz w:val="18"/>
          <w:szCs w:val="18"/>
          <w:lang w:val="en-US"/>
        </w:rPr>
        <w:t>Kurihara</w:t>
      </w:r>
      <w:proofErr w:type="spellEnd"/>
      <w:r w:rsidRPr="00152CF1">
        <w:rPr>
          <w:rFonts w:ascii="Palatino Linotype" w:eastAsia="Palatino Linotype" w:hAnsi="Palatino Linotype" w:cs="Palatino Linotype"/>
          <w:color w:val="000000"/>
          <w:sz w:val="18"/>
          <w:szCs w:val="18"/>
          <w:lang w:val="en-US"/>
        </w:rPr>
        <w:t xml:space="preserve"> S, Tsukamoto M, Miyazaki T, Tashiro T, Kohno S, Yanagihara K, </w:t>
      </w:r>
      <w:proofErr w:type="spellStart"/>
      <w:r w:rsidRPr="00152CF1">
        <w:rPr>
          <w:rFonts w:ascii="Palatino Linotype" w:eastAsia="Palatino Linotype" w:hAnsi="Palatino Linotype" w:cs="Palatino Linotype"/>
          <w:color w:val="000000"/>
          <w:sz w:val="18"/>
          <w:szCs w:val="18"/>
          <w:lang w:val="en-US"/>
        </w:rPr>
        <w:t>Izumikawa</w:t>
      </w:r>
      <w:proofErr w:type="spellEnd"/>
      <w:r w:rsidRPr="00152CF1">
        <w:rPr>
          <w:rFonts w:ascii="Palatino Linotype" w:eastAsia="Palatino Linotype" w:hAnsi="Palatino Linotype" w:cs="Palatino Linotype"/>
          <w:color w:val="000000"/>
          <w:sz w:val="18"/>
          <w:szCs w:val="18"/>
          <w:lang w:val="en-US"/>
        </w:rPr>
        <w:t xml:space="preserve"> K (2016) The risk factors for developing of chronic pulmonary aspergillosis in nontuberculous mycobacteria patients and clinical characteristics and outcomes in chronic pulmonary aspergillosis patients coinfected with nontuberculous </w:t>
      </w:r>
      <w:proofErr w:type="spellStart"/>
      <w:r w:rsidRPr="00152CF1">
        <w:rPr>
          <w:rFonts w:ascii="Palatino Linotype" w:eastAsia="Palatino Linotype" w:hAnsi="Palatino Linotype" w:cs="Palatino Linotype"/>
          <w:color w:val="000000"/>
          <w:sz w:val="18"/>
          <w:szCs w:val="18"/>
          <w:lang w:val="en-US"/>
        </w:rPr>
        <w:t>mycobacteria.Med</w:t>
      </w:r>
      <w:proofErr w:type="spellEnd"/>
      <w:r w:rsidRPr="00152CF1">
        <w:rPr>
          <w:rFonts w:ascii="Palatino Linotype" w:eastAsia="Palatino Linotype" w:hAnsi="Palatino Linotype" w:cs="Palatino Linotype"/>
          <w:color w:val="000000"/>
          <w:sz w:val="18"/>
          <w:szCs w:val="18"/>
          <w:lang w:val="en-US"/>
        </w:rPr>
        <w:t xml:space="preserve"> </w:t>
      </w:r>
      <w:proofErr w:type="spellStart"/>
      <w:r w:rsidRPr="00152CF1">
        <w:rPr>
          <w:rFonts w:ascii="Palatino Linotype" w:eastAsia="Palatino Linotype" w:hAnsi="Palatino Linotype" w:cs="Palatino Linotype"/>
          <w:color w:val="000000"/>
          <w:sz w:val="18"/>
          <w:szCs w:val="18"/>
          <w:lang w:val="en-US"/>
        </w:rPr>
        <w:t>Mycol</w:t>
      </w:r>
      <w:proofErr w:type="spellEnd"/>
      <w:r w:rsidRPr="00152CF1">
        <w:rPr>
          <w:rFonts w:ascii="Palatino Linotype" w:eastAsia="Palatino Linotype" w:hAnsi="Palatino Linotype" w:cs="Palatino Linotype"/>
          <w:color w:val="000000"/>
          <w:sz w:val="18"/>
          <w:szCs w:val="18"/>
          <w:lang w:val="en-US"/>
        </w:rPr>
        <w:t xml:space="preserve"> 54:120–127.</w:t>
      </w:r>
    </w:p>
    <w:p w14:paraId="292CC954" w14:textId="77777777" w:rsidR="003C71C9" w:rsidRPr="00152CF1" w:rsidRDefault="009F36ED" w:rsidP="00152CF1">
      <w:pPr>
        <w:pStyle w:val="Prrafodelista"/>
        <w:numPr>
          <w:ilvl w:val="0"/>
          <w:numId w:val="1"/>
        </w:numPr>
        <w:adjustRightInd w:val="0"/>
        <w:snapToGrid w:val="0"/>
        <w:jc w:val="both"/>
        <w:rPr>
          <w:rFonts w:ascii="Palatino Linotype" w:hAnsi="Palatino Linotype"/>
          <w:sz w:val="18"/>
          <w:szCs w:val="18"/>
          <w:lang w:val="en-US"/>
        </w:rPr>
      </w:pPr>
      <w:r w:rsidRPr="00152CF1">
        <w:rPr>
          <w:rFonts w:ascii="Palatino Linotype" w:hAnsi="Palatino Linotype" w:cs="Segoe UI"/>
          <w:color w:val="212121"/>
          <w:sz w:val="18"/>
          <w:szCs w:val="18"/>
          <w:shd w:val="clear" w:color="auto" w:fill="FFFFFF"/>
          <w:lang w:val="en-US"/>
        </w:rPr>
        <w:t xml:space="preserve">Daley CL, </w:t>
      </w:r>
      <w:proofErr w:type="spellStart"/>
      <w:r w:rsidRPr="00152CF1">
        <w:rPr>
          <w:rFonts w:ascii="Palatino Linotype" w:hAnsi="Palatino Linotype" w:cs="Segoe UI"/>
          <w:color w:val="212121"/>
          <w:sz w:val="18"/>
          <w:szCs w:val="18"/>
          <w:shd w:val="clear" w:color="auto" w:fill="FFFFFF"/>
          <w:lang w:val="en-US"/>
        </w:rPr>
        <w:t>Iaccarino</w:t>
      </w:r>
      <w:proofErr w:type="spellEnd"/>
      <w:r w:rsidRPr="00152CF1">
        <w:rPr>
          <w:rFonts w:ascii="Palatino Linotype" w:hAnsi="Palatino Linotype" w:cs="Segoe UI"/>
          <w:color w:val="212121"/>
          <w:sz w:val="18"/>
          <w:szCs w:val="18"/>
          <w:shd w:val="clear" w:color="auto" w:fill="FFFFFF"/>
          <w:lang w:val="en-US"/>
        </w:rPr>
        <w:t xml:space="preserve"> JM, Lange C, </w:t>
      </w:r>
      <w:proofErr w:type="spellStart"/>
      <w:r w:rsidRPr="00152CF1">
        <w:rPr>
          <w:rFonts w:ascii="Palatino Linotype" w:hAnsi="Palatino Linotype" w:cs="Segoe UI"/>
          <w:color w:val="212121"/>
          <w:sz w:val="18"/>
          <w:szCs w:val="18"/>
          <w:shd w:val="clear" w:color="auto" w:fill="FFFFFF"/>
          <w:lang w:val="en-US"/>
        </w:rPr>
        <w:t>Cambau</w:t>
      </w:r>
      <w:proofErr w:type="spellEnd"/>
      <w:r w:rsidRPr="00152CF1">
        <w:rPr>
          <w:rFonts w:ascii="Palatino Linotype" w:hAnsi="Palatino Linotype" w:cs="Segoe UI"/>
          <w:color w:val="212121"/>
          <w:sz w:val="18"/>
          <w:szCs w:val="18"/>
          <w:shd w:val="clear" w:color="auto" w:fill="FFFFFF"/>
          <w:lang w:val="en-US"/>
        </w:rPr>
        <w:t xml:space="preserve"> E, Wallace RJ Jr, </w:t>
      </w:r>
      <w:proofErr w:type="spellStart"/>
      <w:r w:rsidRPr="00152CF1">
        <w:rPr>
          <w:rFonts w:ascii="Palatino Linotype" w:hAnsi="Palatino Linotype" w:cs="Segoe UI"/>
          <w:color w:val="212121"/>
          <w:sz w:val="18"/>
          <w:szCs w:val="18"/>
          <w:shd w:val="clear" w:color="auto" w:fill="FFFFFF"/>
          <w:lang w:val="en-US"/>
        </w:rPr>
        <w:t>Andrejak</w:t>
      </w:r>
      <w:proofErr w:type="spellEnd"/>
      <w:r w:rsidRPr="00152CF1">
        <w:rPr>
          <w:rFonts w:ascii="Palatino Linotype" w:hAnsi="Palatino Linotype" w:cs="Segoe UI"/>
          <w:color w:val="212121"/>
          <w:sz w:val="18"/>
          <w:szCs w:val="18"/>
          <w:shd w:val="clear" w:color="auto" w:fill="FFFFFF"/>
          <w:lang w:val="en-US"/>
        </w:rPr>
        <w:t xml:space="preserve"> C, </w:t>
      </w:r>
      <w:proofErr w:type="spellStart"/>
      <w:r w:rsidRPr="00152CF1">
        <w:rPr>
          <w:rFonts w:ascii="Palatino Linotype" w:hAnsi="Palatino Linotype" w:cs="Segoe UI"/>
          <w:color w:val="212121"/>
          <w:sz w:val="18"/>
          <w:szCs w:val="18"/>
          <w:shd w:val="clear" w:color="auto" w:fill="FFFFFF"/>
          <w:lang w:val="en-US"/>
        </w:rPr>
        <w:t>Böttger</w:t>
      </w:r>
      <w:proofErr w:type="spellEnd"/>
      <w:r w:rsidRPr="00152CF1">
        <w:rPr>
          <w:rFonts w:ascii="Palatino Linotype" w:hAnsi="Palatino Linotype" w:cs="Segoe UI"/>
          <w:color w:val="212121"/>
          <w:sz w:val="18"/>
          <w:szCs w:val="18"/>
          <w:shd w:val="clear" w:color="auto" w:fill="FFFFFF"/>
          <w:lang w:val="en-US"/>
        </w:rPr>
        <w:t xml:space="preserve"> EC, </w:t>
      </w:r>
      <w:proofErr w:type="spellStart"/>
      <w:r w:rsidRPr="00152CF1">
        <w:rPr>
          <w:rFonts w:ascii="Palatino Linotype" w:hAnsi="Palatino Linotype" w:cs="Segoe UI"/>
          <w:color w:val="212121"/>
          <w:sz w:val="18"/>
          <w:szCs w:val="18"/>
          <w:shd w:val="clear" w:color="auto" w:fill="FFFFFF"/>
          <w:lang w:val="en-US"/>
        </w:rPr>
        <w:t>Brozek</w:t>
      </w:r>
      <w:proofErr w:type="spellEnd"/>
      <w:r w:rsidRPr="00152CF1">
        <w:rPr>
          <w:rFonts w:ascii="Palatino Linotype" w:hAnsi="Palatino Linotype" w:cs="Segoe UI"/>
          <w:color w:val="212121"/>
          <w:sz w:val="18"/>
          <w:szCs w:val="18"/>
          <w:shd w:val="clear" w:color="auto" w:fill="FFFFFF"/>
          <w:lang w:val="en-US"/>
        </w:rPr>
        <w:t xml:space="preserve"> J, Griffith DE, </w:t>
      </w:r>
      <w:proofErr w:type="spellStart"/>
      <w:r w:rsidRPr="00152CF1">
        <w:rPr>
          <w:rFonts w:ascii="Palatino Linotype" w:hAnsi="Palatino Linotype" w:cs="Segoe UI"/>
          <w:color w:val="212121"/>
          <w:sz w:val="18"/>
          <w:szCs w:val="18"/>
          <w:shd w:val="clear" w:color="auto" w:fill="FFFFFF"/>
          <w:lang w:val="en-US"/>
        </w:rPr>
        <w:t>Guglielmetti</w:t>
      </w:r>
      <w:proofErr w:type="spellEnd"/>
      <w:r w:rsidRPr="00152CF1">
        <w:rPr>
          <w:rFonts w:ascii="Palatino Linotype" w:hAnsi="Palatino Linotype" w:cs="Segoe UI"/>
          <w:color w:val="212121"/>
          <w:sz w:val="18"/>
          <w:szCs w:val="18"/>
          <w:shd w:val="clear" w:color="auto" w:fill="FFFFFF"/>
          <w:lang w:val="en-US"/>
        </w:rPr>
        <w:t xml:space="preserve"> L, </w:t>
      </w:r>
      <w:proofErr w:type="spellStart"/>
      <w:r w:rsidRPr="00152CF1">
        <w:rPr>
          <w:rFonts w:ascii="Palatino Linotype" w:hAnsi="Palatino Linotype" w:cs="Segoe UI"/>
          <w:color w:val="212121"/>
          <w:sz w:val="18"/>
          <w:szCs w:val="18"/>
          <w:shd w:val="clear" w:color="auto" w:fill="FFFFFF"/>
          <w:lang w:val="en-US"/>
        </w:rPr>
        <w:t>Huitt</w:t>
      </w:r>
      <w:proofErr w:type="spellEnd"/>
      <w:r w:rsidRPr="00152CF1">
        <w:rPr>
          <w:rFonts w:ascii="Palatino Linotype" w:hAnsi="Palatino Linotype" w:cs="Segoe UI"/>
          <w:color w:val="212121"/>
          <w:sz w:val="18"/>
          <w:szCs w:val="18"/>
          <w:shd w:val="clear" w:color="auto" w:fill="FFFFFF"/>
          <w:lang w:val="en-US"/>
        </w:rPr>
        <w:t xml:space="preserve"> GA, Knight SL, </w:t>
      </w:r>
      <w:proofErr w:type="spellStart"/>
      <w:r w:rsidRPr="00152CF1">
        <w:rPr>
          <w:rFonts w:ascii="Palatino Linotype" w:hAnsi="Palatino Linotype" w:cs="Segoe UI"/>
          <w:color w:val="212121"/>
          <w:sz w:val="18"/>
          <w:szCs w:val="18"/>
          <w:shd w:val="clear" w:color="auto" w:fill="FFFFFF"/>
          <w:lang w:val="en-US"/>
        </w:rPr>
        <w:t>Leitman</w:t>
      </w:r>
      <w:proofErr w:type="spellEnd"/>
      <w:r w:rsidRPr="00152CF1">
        <w:rPr>
          <w:rFonts w:ascii="Palatino Linotype" w:hAnsi="Palatino Linotype" w:cs="Segoe UI"/>
          <w:color w:val="212121"/>
          <w:sz w:val="18"/>
          <w:szCs w:val="18"/>
          <w:shd w:val="clear" w:color="auto" w:fill="FFFFFF"/>
          <w:lang w:val="en-US"/>
        </w:rPr>
        <w:t xml:space="preserve"> P, </w:t>
      </w:r>
      <w:proofErr w:type="spellStart"/>
      <w:r w:rsidRPr="00152CF1">
        <w:rPr>
          <w:rFonts w:ascii="Palatino Linotype" w:hAnsi="Palatino Linotype" w:cs="Segoe UI"/>
          <w:color w:val="212121"/>
          <w:sz w:val="18"/>
          <w:szCs w:val="18"/>
          <w:shd w:val="clear" w:color="auto" w:fill="FFFFFF"/>
          <w:lang w:val="en-US"/>
        </w:rPr>
        <w:t>Marras</w:t>
      </w:r>
      <w:proofErr w:type="spellEnd"/>
      <w:r w:rsidRPr="00152CF1">
        <w:rPr>
          <w:rFonts w:ascii="Palatino Linotype" w:hAnsi="Palatino Linotype" w:cs="Segoe UI"/>
          <w:color w:val="212121"/>
          <w:sz w:val="18"/>
          <w:szCs w:val="18"/>
          <w:shd w:val="clear" w:color="auto" w:fill="FFFFFF"/>
          <w:lang w:val="en-US"/>
        </w:rPr>
        <w:t xml:space="preserve"> TK, Olivier KN, </w:t>
      </w:r>
      <w:proofErr w:type="spellStart"/>
      <w:r w:rsidRPr="00152CF1">
        <w:rPr>
          <w:rFonts w:ascii="Palatino Linotype" w:hAnsi="Palatino Linotype" w:cs="Segoe UI"/>
          <w:color w:val="212121"/>
          <w:sz w:val="18"/>
          <w:szCs w:val="18"/>
          <w:shd w:val="clear" w:color="auto" w:fill="FFFFFF"/>
          <w:lang w:val="en-US"/>
        </w:rPr>
        <w:t>Santin</w:t>
      </w:r>
      <w:proofErr w:type="spellEnd"/>
      <w:r w:rsidRPr="00152CF1">
        <w:rPr>
          <w:rFonts w:ascii="Palatino Linotype" w:hAnsi="Palatino Linotype" w:cs="Segoe UI"/>
          <w:color w:val="212121"/>
          <w:sz w:val="18"/>
          <w:szCs w:val="18"/>
          <w:shd w:val="clear" w:color="auto" w:fill="FFFFFF"/>
          <w:lang w:val="en-US"/>
        </w:rPr>
        <w:t xml:space="preserve"> M, Stout JE, </w:t>
      </w:r>
      <w:proofErr w:type="spellStart"/>
      <w:r w:rsidRPr="00152CF1">
        <w:rPr>
          <w:rFonts w:ascii="Palatino Linotype" w:hAnsi="Palatino Linotype" w:cs="Segoe UI"/>
          <w:color w:val="212121"/>
          <w:sz w:val="18"/>
          <w:szCs w:val="18"/>
          <w:shd w:val="clear" w:color="auto" w:fill="FFFFFF"/>
          <w:lang w:val="en-US"/>
        </w:rPr>
        <w:t>Tortoli</w:t>
      </w:r>
      <w:proofErr w:type="spellEnd"/>
      <w:r w:rsidRPr="00152CF1">
        <w:rPr>
          <w:rFonts w:ascii="Palatino Linotype" w:hAnsi="Palatino Linotype" w:cs="Segoe UI"/>
          <w:color w:val="212121"/>
          <w:sz w:val="18"/>
          <w:szCs w:val="18"/>
          <w:shd w:val="clear" w:color="auto" w:fill="FFFFFF"/>
          <w:lang w:val="en-US"/>
        </w:rPr>
        <w:t xml:space="preserve"> E, van Ingen J, Wagner D, Winthrop KL. Treatment of nontuberculous mycobacterial pulmonary disease: an official ATS/ERS/ESCMID/IDSA clinical practice guideline. Eur Respir J. 2020 Jul 7;56(1):2000535. </w:t>
      </w:r>
      <w:proofErr w:type="spellStart"/>
      <w:r w:rsidRPr="00152CF1">
        <w:rPr>
          <w:rFonts w:ascii="Palatino Linotype" w:hAnsi="Palatino Linotype" w:cs="Segoe UI"/>
          <w:color w:val="212121"/>
          <w:sz w:val="18"/>
          <w:szCs w:val="18"/>
          <w:shd w:val="clear" w:color="auto" w:fill="FFFFFF"/>
          <w:lang w:val="en-US"/>
        </w:rPr>
        <w:t>doi</w:t>
      </w:r>
      <w:proofErr w:type="spellEnd"/>
      <w:r w:rsidRPr="00152CF1">
        <w:rPr>
          <w:rFonts w:ascii="Palatino Linotype" w:hAnsi="Palatino Linotype" w:cs="Segoe UI"/>
          <w:color w:val="212121"/>
          <w:sz w:val="18"/>
          <w:szCs w:val="18"/>
          <w:shd w:val="clear" w:color="auto" w:fill="FFFFFF"/>
          <w:lang w:val="en-US"/>
        </w:rPr>
        <w:t xml:space="preserve">: 10.1183/13993003.00535-2020. PMID: 32636299; </w:t>
      </w:r>
      <w:proofErr w:type="gramStart"/>
      <w:r w:rsidRPr="00152CF1">
        <w:rPr>
          <w:rFonts w:ascii="Palatino Linotype" w:hAnsi="Palatino Linotype" w:cs="Segoe UI"/>
          <w:color w:val="212121"/>
          <w:sz w:val="18"/>
          <w:szCs w:val="18"/>
          <w:shd w:val="clear" w:color="auto" w:fill="FFFFFF"/>
          <w:lang w:val="en-US"/>
        </w:rPr>
        <w:t>PMCID:PMC</w:t>
      </w:r>
      <w:proofErr w:type="gramEnd"/>
      <w:r w:rsidRPr="00152CF1">
        <w:rPr>
          <w:rFonts w:ascii="Palatino Linotype" w:hAnsi="Palatino Linotype" w:cs="Segoe UI"/>
          <w:color w:val="212121"/>
          <w:sz w:val="18"/>
          <w:szCs w:val="18"/>
          <w:shd w:val="clear" w:color="auto" w:fill="FFFFFF"/>
          <w:lang w:val="en-US"/>
        </w:rPr>
        <w:t>8375621.</w:t>
      </w:r>
    </w:p>
    <w:p w14:paraId="363471D5"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 xml:space="preserve">Walsh </w:t>
      </w:r>
      <w:proofErr w:type="gramStart"/>
      <w:r w:rsidRPr="00152CF1">
        <w:rPr>
          <w:rFonts w:ascii="Palatino Linotype" w:eastAsia="Palatino Linotype" w:hAnsi="Palatino Linotype" w:cs="Palatino Linotype"/>
          <w:color w:val="000000"/>
          <w:sz w:val="18"/>
          <w:szCs w:val="18"/>
          <w:lang w:val="en-US"/>
        </w:rPr>
        <w:t>TJ ,</w:t>
      </w:r>
      <w:proofErr w:type="gramEnd"/>
      <w:r w:rsidRPr="00152CF1">
        <w:rPr>
          <w:rFonts w:ascii="Palatino Linotype" w:eastAsia="Palatino Linotype" w:hAnsi="Palatino Linotype" w:cs="Palatino Linotype"/>
          <w:color w:val="000000"/>
          <w:sz w:val="18"/>
          <w:szCs w:val="18"/>
          <w:lang w:val="en-US"/>
        </w:rPr>
        <w:t xml:space="preserve"> </w:t>
      </w:r>
      <w:proofErr w:type="spellStart"/>
      <w:r w:rsidRPr="00152CF1">
        <w:rPr>
          <w:rFonts w:ascii="Palatino Linotype" w:eastAsia="Palatino Linotype" w:hAnsi="Palatino Linotype" w:cs="Palatino Linotype"/>
          <w:color w:val="000000"/>
          <w:sz w:val="18"/>
          <w:szCs w:val="18"/>
          <w:lang w:val="en-US"/>
        </w:rPr>
        <w:t>Anaissie</w:t>
      </w:r>
      <w:proofErr w:type="spellEnd"/>
      <w:r w:rsidRPr="00152CF1">
        <w:rPr>
          <w:rFonts w:ascii="Palatino Linotype" w:eastAsia="Palatino Linotype" w:hAnsi="Palatino Linotype" w:cs="Palatino Linotype"/>
          <w:color w:val="000000"/>
          <w:sz w:val="18"/>
          <w:szCs w:val="18"/>
          <w:lang w:val="en-US"/>
        </w:rPr>
        <w:t xml:space="preserve"> EJ , Denning DW , et al . Treatment of aspergillosis: clinical practice guidelines of the Infectious Diseases Society of </w:t>
      </w:r>
      <w:proofErr w:type="gramStart"/>
      <w:r w:rsidRPr="00152CF1">
        <w:rPr>
          <w:rFonts w:ascii="Palatino Linotype" w:eastAsia="Palatino Linotype" w:hAnsi="Palatino Linotype" w:cs="Palatino Linotype"/>
          <w:color w:val="000000"/>
          <w:sz w:val="18"/>
          <w:szCs w:val="18"/>
          <w:lang w:val="en-US"/>
        </w:rPr>
        <w:t>America .</w:t>
      </w:r>
      <w:proofErr w:type="gramEnd"/>
      <w:r w:rsidRPr="00152CF1">
        <w:rPr>
          <w:rFonts w:ascii="Palatino Linotype" w:eastAsia="Palatino Linotype" w:hAnsi="Palatino Linotype" w:cs="Palatino Linotype"/>
          <w:color w:val="000000"/>
          <w:sz w:val="18"/>
          <w:szCs w:val="18"/>
          <w:lang w:val="en-US"/>
        </w:rPr>
        <w:t xml:space="preserve"> Clin Infect Dis </w:t>
      </w:r>
      <w:proofErr w:type="gramStart"/>
      <w:r w:rsidRPr="00152CF1">
        <w:rPr>
          <w:rFonts w:ascii="Palatino Linotype" w:eastAsia="Palatino Linotype" w:hAnsi="Palatino Linotype" w:cs="Palatino Linotype"/>
          <w:color w:val="000000"/>
          <w:sz w:val="18"/>
          <w:szCs w:val="18"/>
          <w:lang w:val="en-US"/>
        </w:rPr>
        <w:t>2008 ;</w:t>
      </w:r>
      <w:proofErr w:type="gramEnd"/>
      <w:r w:rsidRPr="00152CF1">
        <w:rPr>
          <w:rFonts w:ascii="Palatino Linotype" w:eastAsia="Palatino Linotype" w:hAnsi="Palatino Linotype" w:cs="Palatino Linotype"/>
          <w:color w:val="000000"/>
          <w:sz w:val="18"/>
          <w:szCs w:val="18"/>
          <w:lang w:val="en-US"/>
        </w:rPr>
        <w:t xml:space="preserve"> 46 : 327 – 360 .</w:t>
      </w:r>
    </w:p>
    <w:p w14:paraId="14FFDBD0"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Henkle</w:t>
      </w:r>
      <w:proofErr w:type="spellEnd"/>
      <w:r w:rsidRPr="00152CF1">
        <w:rPr>
          <w:rFonts w:ascii="Palatino Linotype" w:eastAsia="Palatino Linotype" w:hAnsi="Palatino Linotype" w:cs="Palatino Linotype"/>
          <w:color w:val="000000"/>
          <w:sz w:val="18"/>
          <w:szCs w:val="18"/>
          <w:lang w:val="en-US"/>
        </w:rPr>
        <w:t>, E.; Winthrop, K.L. Nontuberculous mycobacteria infections in immunosuppressed hosts. Clin. Chest Med. 2015, 36, 91–99.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 xml:space="preserve">] </w:t>
      </w:r>
    </w:p>
    <w:p w14:paraId="36A06F76"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 xml:space="preserve">Fowler, S.J.; French, J.; </w:t>
      </w:r>
      <w:proofErr w:type="spellStart"/>
      <w:r w:rsidRPr="00152CF1">
        <w:rPr>
          <w:rFonts w:ascii="Palatino Linotype" w:eastAsia="Palatino Linotype" w:hAnsi="Palatino Linotype" w:cs="Palatino Linotype"/>
          <w:color w:val="000000"/>
          <w:sz w:val="18"/>
          <w:szCs w:val="18"/>
          <w:lang w:val="en-US"/>
        </w:rPr>
        <w:t>Screaton</w:t>
      </w:r>
      <w:proofErr w:type="spellEnd"/>
      <w:r w:rsidRPr="00152CF1">
        <w:rPr>
          <w:rFonts w:ascii="Palatino Linotype" w:eastAsia="Palatino Linotype" w:hAnsi="Palatino Linotype" w:cs="Palatino Linotype"/>
          <w:color w:val="000000"/>
          <w:sz w:val="18"/>
          <w:szCs w:val="18"/>
          <w:lang w:val="en-US"/>
        </w:rPr>
        <w:t xml:space="preserve">, N.J.; </w:t>
      </w:r>
      <w:proofErr w:type="spellStart"/>
      <w:r w:rsidRPr="00152CF1">
        <w:rPr>
          <w:rFonts w:ascii="Palatino Linotype" w:eastAsia="Palatino Linotype" w:hAnsi="Palatino Linotype" w:cs="Palatino Linotype"/>
          <w:color w:val="000000"/>
          <w:sz w:val="18"/>
          <w:szCs w:val="18"/>
          <w:lang w:val="en-US"/>
        </w:rPr>
        <w:t>Foweraker</w:t>
      </w:r>
      <w:proofErr w:type="spellEnd"/>
      <w:r w:rsidRPr="00152CF1">
        <w:rPr>
          <w:rFonts w:ascii="Palatino Linotype" w:eastAsia="Palatino Linotype" w:hAnsi="Palatino Linotype" w:cs="Palatino Linotype"/>
          <w:color w:val="000000"/>
          <w:sz w:val="18"/>
          <w:szCs w:val="18"/>
          <w:lang w:val="en-US"/>
        </w:rPr>
        <w:t xml:space="preserve">, J.; </w:t>
      </w:r>
      <w:proofErr w:type="spellStart"/>
      <w:r w:rsidRPr="00152CF1">
        <w:rPr>
          <w:rFonts w:ascii="Palatino Linotype" w:eastAsia="Palatino Linotype" w:hAnsi="Palatino Linotype" w:cs="Palatino Linotype"/>
          <w:color w:val="000000"/>
          <w:sz w:val="18"/>
          <w:szCs w:val="18"/>
          <w:lang w:val="en-US"/>
        </w:rPr>
        <w:t>Condliffe</w:t>
      </w:r>
      <w:proofErr w:type="spellEnd"/>
      <w:r w:rsidRPr="00152CF1">
        <w:rPr>
          <w:rFonts w:ascii="Palatino Linotype" w:eastAsia="Palatino Linotype" w:hAnsi="Palatino Linotype" w:cs="Palatino Linotype"/>
          <w:color w:val="000000"/>
          <w:sz w:val="18"/>
          <w:szCs w:val="18"/>
          <w:lang w:val="en-US"/>
        </w:rPr>
        <w:t>, A.; Haworth, C.S. Nontuberculous mycobacteria in bronchiectasis: Prevalence and patient characteristics. Eur. Respir. J. 2006, 28, 1204–1210.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 xml:space="preserve">] </w:t>
      </w:r>
    </w:p>
    <w:p w14:paraId="43E0E4D9" w14:textId="77777777" w:rsidR="003C71C9" w:rsidRPr="00152CF1" w:rsidRDefault="009F36ED" w:rsidP="00152CF1">
      <w:pPr>
        <w:pBdr>
          <w:top w:val="nil"/>
          <w:left w:val="nil"/>
          <w:bottom w:val="nil"/>
          <w:right w:val="nil"/>
          <w:between w:val="nil"/>
        </w:pBdr>
        <w:adjustRightInd w:val="0"/>
        <w:snapToGrid w:val="0"/>
        <w:spacing w:line="228" w:lineRule="auto"/>
        <w:ind w:left="780"/>
        <w:jc w:val="both"/>
        <w:rPr>
          <w:lang w:val="en-US"/>
        </w:rPr>
      </w:pPr>
      <w:proofErr w:type="spellStart"/>
      <w:r w:rsidRPr="00152CF1">
        <w:rPr>
          <w:rFonts w:ascii="Palatino Linotype" w:eastAsia="Palatino Linotype" w:hAnsi="Palatino Linotype" w:cs="Palatino Linotype"/>
          <w:color w:val="000000"/>
          <w:sz w:val="18"/>
          <w:szCs w:val="18"/>
          <w:lang w:val="en-US"/>
        </w:rPr>
        <w:t>Damaraju</w:t>
      </w:r>
      <w:proofErr w:type="spellEnd"/>
      <w:r w:rsidRPr="00152CF1">
        <w:rPr>
          <w:rFonts w:ascii="Palatino Linotype" w:eastAsia="Palatino Linotype" w:hAnsi="Palatino Linotype" w:cs="Palatino Linotype"/>
          <w:color w:val="000000"/>
          <w:sz w:val="18"/>
          <w:szCs w:val="18"/>
          <w:lang w:val="en-US"/>
        </w:rPr>
        <w:t xml:space="preserve">, D.; Jamieson, F.; </w:t>
      </w:r>
      <w:proofErr w:type="spellStart"/>
      <w:r w:rsidRPr="00152CF1">
        <w:rPr>
          <w:rFonts w:ascii="Palatino Linotype" w:eastAsia="Palatino Linotype" w:hAnsi="Palatino Linotype" w:cs="Palatino Linotype"/>
          <w:color w:val="000000"/>
          <w:sz w:val="18"/>
          <w:szCs w:val="18"/>
          <w:lang w:val="en-US"/>
        </w:rPr>
        <w:t>Chedore</w:t>
      </w:r>
      <w:proofErr w:type="spellEnd"/>
      <w:r w:rsidRPr="00152CF1">
        <w:rPr>
          <w:rFonts w:ascii="Palatino Linotype" w:eastAsia="Palatino Linotype" w:hAnsi="Palatino Linotype" w:cs="Palatino Linotype"/>
          <w:color w:val="000000"/>
          <w:sz w:val="18"/>
          <w:szCs w:val="18"/>
          <w:lang w:val="en-US"/>
        </w:rPr>
        <w:t xml:space="preserve">, P.; </w:t>
      </w:r>
      <w:proofErr w:type="spellStart"/>
      <w:r w:rsidRPr="00152CF1">
        <w:rPr>
          <w:rFonts w:ascii="Palatino Linotype" w:eastAsia="Palatino Linotype" w:hAnsi="Palatino Linotype" w:cs="Palatino Linotype"/>
          <w:color w:val="000000"/>
          <w:sz w:val="18"/>
          <w:szCs w:val="18"/>
          <w:lang w:val="en-US"/>
        </w:rPr>
        <w:t>Marras</w:t>
      </w:r>
      <w:proofErr w:type="spellEnd"/>
      <w:r w:rsidRPr="00152CF1">
        <w:rPr>
          <w:rFonts w:ascii="Palatino Linotype" w:eastAsia="Palatino Linotype" w:hAnsi="Palatino Linotype" w:cs="Palatino Linotype"/>
          <w:color w:val="000000"/>
          <w:sz w:val="18"/>
          <w:szCs w:val="18"/>
          <w:lang w:val="en-US"/>
        </w:rPr>
        <w:t xml:space="preserve">, T.K. Isolation of non-tuberculous mycobacteria among patients with pulmonary tuberculosis in Ontario, Canada. Int. J. </w:t>
      </w:r>
      <w:proofErr w:type="spellStart"/>
      <w:r w:rsidRPr="00152CF1">
        <w:rPr>
          <w:rFonts w:ascii="Palatino Linotype" w:eastAsia="Palatino Linotype" w:hAnsi="Palatino Linotype" w:cs="Palatino Linotype"/>
          <w:color w:val="000000"/>
          <w:sz w:val="18"/>
          <w:szCs w:val="18"/>
          <w:lang w:val="en-US"/>
        </w:rPr>
        <w:t>Tuberc</w:t>
      </w:r>
      <w:proofErr w:type="spellEnd"/>
      <w:r w:rsidRPr="00152CF1">
        <w:rPr>
          <w:rFonts w:ascii="Palatino Linotype" w:eastAsia="Palatino Linotype" w:hAnsi="Palatino Linotype" w:cs="Palatino Linotype"/>
          <w:color w:val="000000"/>
          <w:sz w:val="18"/>
          <w:szCs w:val="18"/>
          <w:lang w:val="en-US"/>
        </w:rPr>
        <w:t>. Lung. Dis. 2013, 17, 676–681.</w:t>
      </w:r>
    </w:p>
    <w:p w14:paraId="25B830A6"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lastRenderedPageBreak/>
        <w:t xml:space="preserve">Takeda, K.; Imamura, Y.; </w:t>
      </w:r>
      <w:proofErr w:type="spellStart"/>
      <w:r w:rsidRPr="00152CF1">
        <w:rPr>
          <w:rFonts w:ascii="Palatino Linotype" w:eastAsia="Palatino Linotype" w:hAnsi="Palatino Linotype" w:cs="Palatino Linotype"/>
          <w:color w:val="000000"/>
          <w:sz w:val="18"/>
          <w:szCs w:val="18"/>
          <w:lang w:val="en-US"/>
        </w:rPr>
        <w:t>Takazono</w:t>
      </w:r>
      <w:proofErr w:type="spellEnd"/>
      <w:r w:rsidRPr="00152CF1">
        <w:rPr>
          <w:rFonts w:ascii="Palatino Linotype" w:eastAsia="Palatino Linotype" w:hAnsi="Palatino Linotype" w:cs="Palatino Linotype"/>
          <w:color w:val="000000"/>
          <w:sz w:val="18"/>
          <w:szCs w:val="18"/>
          <w:lang w:val="en-US"/>
        </w:rPr>
        <w:t xml:space="preserve">, T.; Yoshida, M.; Ide, S.; Hirano, K. The risk factors for developing of chronic pulmonary aspergillosis in nontuberculous mycobacteria patients and clinical characteristics and outcomes in chronic pulmonary </w:t>
      </w:r>
      <w:proofErr w:type="spellStart"/>
      <w:r w:rsidRPr="00152CF1">
        <w:rPr>
          <w:rFonts w:ascii="Palatino Linotype" w:eastAsia="Palatino Linotype" w:hAnsi="Palatino Linotype" w:cs="Palatino Linotype"/>
          <w:color w:val="000000"/>
          <w:sz w:val="18"/>
          <w:szCs w:val="18"/>
          <w:lang w:val="en-US"/>
        </w:rPr>
        <w:t>apergillosis</w:t>
      </w:r>
      <w:proofErr w:type="spellEnd"/>
      <w:r w:rsidRPr="00152CF1">
        <w:rPr>
          <w:rFonts w:ascii="Palatino Linotype" w:eastAsia="Palatino Linotype" w:hAnsi="Palatino Linotype" w:cs="Palatino Linotype"/>
          <w:color w:val="000000"/>
          <w:sz w:val="18"/>
          <w:szCs w:val="18"/>
          <w:lang w:val="en-US"/>
        </w:rPr>
        <w:t xml:space="preserve"> patients coinfected with nontuberculous mycobacteria. Med. Mycol. 2016, 54, 120–127.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 xml:space="preserve">] [PubMed] </w:t>
      </w:r>
    </w:p>
    <w:p w14:paraId="262F25A6"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 xml:space="preserve">Furuuchi, K.; Ito, A.; Hashimoto, T.; </w:t>
      </w:r>
      <w:proofErr w:type="spellStart"/>
      <w:r w:rsidRPr="00152CF1">
        <w:rPr>
          <w:rFonts w:ascii="Palatino Linotype" w:eastAsia="Palatino Linotype" w:hAnsi="Palatino Linotype" w:cs="Palatino Linotype"/>
          <w:color w:val="000000"/>
          <w:sz w:val="18"/>
          <w:szCs w:val="18"/>
          <w:lang w:val="en-US"/>
        </w:rPr>
        <w:t>Kumagai</w:t>
      </w:r>
      <w:proofErr w:type="spellEnd"/>
      <w:r w:rsidRPr="00152CF1">
        <w:rPr>
          <w:rFonts w:ascii="Palatino Linotype" w:eastAsia="Palatino Linotype" w:hAnsi="Palatino Linotype" w:cs="Palatino Linotype"/>
          <w:color w:val="000000"/>
          <w:sz w:val="18"/>
          <w:szCs w:val="18"/>
          <w:lang w:val="en-US"/>
        </w:rPr>
        <w:t>, S.; Ishida, T. Risk stratification for the development of chronic pulmonary aspergillosis in patients with Mycobacterium avium complex lung disease. J. Infect. Chemother. 2018, 24, 654–659.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 xml:space="preserve">] [PubMed] </w:t>
      </w:r>
    </w:p>
    <w:p w14:paraId="79C426DF"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Jhun</w:t>
      </w:r>
      <w:proofErr w:type="spellEnd"/>
      <w:r w:rsidRPr="00152CF1">
        <w:rPr>
          <w:rFonts w:ascii="Palatino Linotype" w:eastAsia="Palatino Linotype" w:hAnsi="Palatino Linotype" w:cs="Palatino Linotype"/>
          <w:color w:val="000000"/>
          <w:sz w:val="18"/>
          <w:szCs w:val="18"/>
          <w:lang w:val="en-US"/>
        </w:rPr>
        <w:t xml:space="preserve">, B.W.; Jung, W.J.; Hwang, N.Y.; Park, H.Y.; Jeon, K.; Kang, E.S. Risk factors for the development of chronic pulmonary aspergillosis in patients with nontuberculous mycobacterial lung disease. </w:t>
      </w:r>
      <w:proofErr w:type="spellStart"/>
      <w:r w:rsidRPr="00152CF1">
        <w:rPr>
          <w:rFonts w:ascii="Palatino Linotype" w:eastAsia="Palatino Linotype" w:hAnsi="Palatino Linotype" w:cs="Palatino Linotype"/>
          <w:color w:val="000000"/>
          <w:sz w:val="18"/>
          <w:szCs w:val="18"/>
          <w:lang w:val="en-US"/>
        </w:rPr>
        <w:t>PLoS</w:t>
      </w:r>
      <w:proofErr w:type="spellEnd"/>
      <w:r w:rsidRPr="00152CF1">
        <w:rPr>
          <w:rFonts w:ascii="Palatino Linotype" w:eastAsia="Palatino Linotype" w:hAnsi="Palatino Linotype" w:cs="Palatino Linotype"/>
          <w:color w:val="000000"/>
          <w:sz w:val="18"/>
          <w:szCs w:val="18"/>
          <w:lang w:val="en-US"/>
        </w:rPr>
        <w:t xml:space="preserve"> ONE 2017, 12, e0188716.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w:t>
      </w:r>
    </w:p>
    <w:p w14:paraId="7514237B"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Lionakis</w:t>
      </w:r>
      <w:proofErr w:type="spellEnd"/>
      <w:r w:rsidRPr="00152CF1">
        <w:rPr>
          <w:rFonts w:ascii="Palatino Linotype" w:eastAsia="Palatino Linotype" w:hAnsi="Palatino Linotype" w:cs="Palatino Linotype"/>
          <w:color w:val="000000"/>
          <w:sz w:val="18"/>
          <w:szCs w:val="18"/>
          <w:lang w:val="en-US"/>
        </w:rPr>
        <w:t xml:space="preserve">, M.S.; </w:t>
      </w:r>
      <w:proofErr w:type="spellStart"/>
      <w:r w:rsidRPr="00152CF1">
        <w:rPr>
          <w:rFonts w:ascii="Palatino Linotype" w:eastAsia="Palatino Linotype" w:hAnsi="Palatino Linotype" w:cs="Palatino Linotype"/>
          <w:color w:val="000000"/>
          <w:sz w:val="18"/>
          <w:szCs w:val="18"/>
          <w:lang w:val="en-US"/>
        </w:rPr>
        <w:t>Kontoyiannis</w:t>
      </w:r>
      <w:proofErr w:type="spellEnd"/>
      <w:r w:rsidRPr="00152CF1">
        <w:rPr>
          <w:rFonts w:ascii="Palatino Linotype" w:eastAsia="Palatino Linotype" w:hAnsi="Palatino Linotype" w:cs="Palatino Linotype"/>
          <w:color w:val="000000"/>
          <w:sz w:val="18"/>
          <w:szCs w:val="18"/>
          <w:lang w:val="en-US"/>
        </w:rPr>
        <w:t>, D.P. Glucocorticoids and invasive fungal infections. Lancet 2003, 362, 1828–1838.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 xml:space="preserve">] </w:t>
      </w:r>
    </w:p>
    <w:p w14:paraId="20A22A3C"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Ng, T.T.; Robson, G.D.; Denning, D.W. Hydrocortisone-enhanced growth of Aspergillus spp.: Implications for pathogenesis. Microbiology (Read.) 1994, 140 Pt 9, 2475–2479.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 xml:space="preserve">] </w:t>
      </w:r>
    </w:p>
    <w:p w14:paraId="083AFFB7"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Garnacho</w:t>
      </w:r>
      <w:proofErr w:type="spellEnd"/>
      <w:r w:rsidRPr="00152CF1">
        <w:rPr>
          <w:rFonts w:ascii="Palatino Linotype" w:eastAsia="Palatino Linotype" w:hAnsi="Palatino Linotype" w:cs="Palatino Linotype"/>
          <w:color w:val="000000"/>
          <w:sz w:val="18"/>
          <w:szCs w:val="18"/>
          <w:lang w:val="en-US"/>
        </w:rPr>
        <w:t>-Montero, J.; Amaya-Villar, R.; Ortiz-</w:t>
      </w:r>
      <w:proofErr w:type="spellStart"/>
      <w:r w:rsidRPr="00152CF1">
        <w:rPr>
          <w:rFonts w:ascii="Palatino Linotype" w:eastAsia="Palatino Linotype" w:hAnsi="Palatino Linotype" w:cs="Palatino Linotype"/>
          <w:color w:val="000000"/>
          <w:sz w:val="18"/>
          <w:szCs w:val="18"/>
          <w:lang w:val="en-US"/>
        </w:rPr>
        <w:t>Leyba</w:t>
      </w:r>
      <w:proofErr w:type="spellEnd"/>
      <w:r w:rsidRPr="00152CF1">
        <w:rPr>
          <w:rFonts w:ascii="Palatino Linotype" w:eastAsia="Palatino Linotype" w:hAnsi="Palatino Linotype" w:cs="Palatino Linotype"/>
          <w:color w:val="000000"/>
          <w:sz w:val="18"/>
          <w:szCs w:val="18"/>
          <w:lang w:val="en-US"/>
        </w:rPr>
        <w:t xml:space="preserve">, C.; Leon, C.; Alvarez-Lerma, F.; </w:t>
      </w:r>
      <w:proofErr w:type="spellStart"/>
      <w:r w:rsidRPr="00152CF1">
        <w:rPr>
          <w:rFonts w:ascii="Palatino Linotype" w:eastAsia="Palatino Linotype" w:hAnsi="Palatino Linotype" w:cs="Palatino Linotype"/>
          <w:color w:val="000000"/>
          <w:sz w:val="18"/>
          <w:szCs w:val="18"/>
          <w:lang w:val="en-US"/>
        </w:rPr>
        <w:t>Nolla</w:t>
      </w:r>
      <w:proofErr w:type="spellEnd"/>
      <w:r w:rsidRPr="00152CF1">
        <w:rPr>
          <w:rFonts w:ascii="Palatino Linotype" w:eastAsia="Palatino Linotype" w:hAnsi="Palatino Linotype" w:cs="Palatino Linotype"/>
          <w:color w:val="000000"/>
          <w:sz w:val="18"/>
          <w:szCs w:val="18"/>
          <w:lang w:val="en-US"/>
        </w:rPr>
        <w:t>-Salas, J. Isolation of Aspergillus spp. from the respiratory tract in critically ill patients: Risk factors, clinical presentation and outcome. Crit. Care 2005, 9, R191–R199.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w:t>
      </w:r>
    </w:p>
    <w:p w14:paraId="5A70C0A2"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r w:rsidRPr="00152CF1">
        <w:rPr>
          <w:rFonts w:ascii="Palatino Linotype" w:eastAsia="Palatino Linotype" w:hAnsi="Palatino Linotype" w:cs="Palatino Linotype"/>
          <w:color w:val="000000"/>
          <w:sz w:val="18"/>
          <w:szCs w:val="18"/>
          <w:lang w:val="en-US"/>
        </w:rPr>
        <w:t>Drayton, J.; Dickinson, G.; Rinaldi, M.G. Coadministration of rifampin and itraconazole leads to undetectable levels of serum itraconazole. Clin. Infect. Dis. 1994, 18, 266.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w:t>
      </w:r>
    </w:p>
    <w:p w14:paraId="329AE6B0"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Kobashi</w:t>
      </w:r>
      <w:proofErr w:type="spellEnd"/>
      <w:r w:rsidRPr="00152CF1">
        <w:rPr>
          <w:rFonts w:ascii="Palatino Linotype" w:eastAsia="Palatino Linotype" w:hAnsi="Palatino Linotype" w:cs="Palatino Linotype"/>
          <w:color w:val="000000"/>
          <w:sz w:val="18"/>
          <w:szCs w:val="18"/>
          <w:lang w:val="en-US"/>
        </w:rPr>
        <w:t>, Y.; Fukuda, M.; Yoshida, K.; Miyashita, N.; Niki, Y.; Oka, M. Chronic necrotizing pulmonary aspergillosis as a complication of pulmonary Mycobacterium avium complex disease. Respirology 2006, 11, 809–813.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w:t>
      </w:r>
    </w:p>
    <w:p w14:paraId="7B90ADA0"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Bollert</w:t>
      </w:r>
      <w:proofErr w:type="spellEnd"/>
      <w:r w:rsidRPr="00152CF1">
        <w:rPr>
          <w:rFonts w:ascii="Palatino Linotype" w:eastAsia="Palatino Linotype" w:hAnsi="Palatino Linotype" w:cs="Palatino Linotype"/>
          <w:color w:val="000000"/>
          <w:sz w:val="18"/>
          <w:szCs w:val="18"/>
          <w:lang w:val="en-US"/>
        </w:rPr>
        <w:t xml:space="preserve">, F.G.; Sime, P.J.; </w:t>
      </w:r>
      <w:proofErr w:type="spellStart"/>
      <w:r w:rsidRPr="00152CF1">
        <w:rPr>
          <w:rFonts w:ascii="Palatino Linotype" w:eastAsia="Palatino Linotype" w:hAnsi="Palatino Linotype" w:cs="Palatino Linotype"/>
          <w:color w:val="000000"/>
          <w:sz w:val="18"/>
          <w:szCs w:val="18"/>
          <w:lang w:val="en-US"/>
        </w:rPr>
        <w:t>MacNee</w:t>
      </w:r>
      <w:proofErr w:type="spellEnd"/>
      <w:r w:rsidRPr="00152CF1">
        <w:rPr>
          <w:rFonts w:ascii="Palatino Linotype" w:eastAsia="Palatino Linotype" w:hAnsi="Palatino Linotype" w:cs="Palatino Linotype"/>
          <w:color w:val="000000"/>
          <w:sz w:val="18"/>
          <w:szCs w:val="18"/>
          <w:lang w:val="en-US"/>
        </w:rPr>
        <w:t xml:space="preserve">, W.; Crompton, G.K. Pulmonary Mycobacterium </w:t>
      </w:r>
      <w:proofErr w:type="spellStart"/>
      <w:r w:rsidRPr="00152CF1">
        <w:rPr>
          <w:rFonts w:ascii="Palatino Linotype" w:eastAsia="Palatino Linotype" w:hAnsi="Palatino Linotype" w:cs="Palatino Linotype"/>
          <w:color w:val="000000"/>
          <w:sz w:val="18"/>
          <w:szCs w:val="18"/>
          <w:lang w:val="en-US"/>
        </w:rPr>
        <w:t>malmoense</w:t>
      </w:r>
      <w:proofErr w:type="spellEnd"/>
      <w:r w:rsidRPr="00152CF1">
        <w:rPr>
          <w:rFonts w:ascii="Palatino Linotype" w:eastAsia="Palatino Linotype" w:hAnsi="Palatino Linotype" w:cs="Palatino Linotype"/>
          <w:color w:val="000000"/>
          <w:sz w:val="18"/>
          <w:szCs w:val="18"/>
          <w:lang w:val="en-US"/>
        </w:rPr>
        <w:t xml:space="preserve"> and aspergillus infection: A fatal combination? Thorax 1994, 49, 521–522.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w:t>
      </w:r>
    </w:p>
    <w:p w14:paraId="7861BC19"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Debieuvre</w:t>
      </w:r>
      <w:proofErr w:type="spellEnd"/>
      <w:r w:rsidRPr="00152CF1">
        <w:rPr>
          <w:rFonts w:ascii="Palatino Linotype" w:eastAsia="Palatino Linotype" w:hAnsi="Palatino Linotype" w:cs="Palatino Linotype"/>
          <w:color w:val="000000"/>
          <w:sz w:val="18"/>
          <w:szCs w:val="18"/>
          <w:lang w:val="en-US"/>
        </w:rPr>
        <w:t xml:space="preserve">, D. Pulmonary Mycobacterium </w:t>
      </w:r>
      <w:proofErr w:type="spellStart"/>
      <w:r w:rsidRPr="00152CF1">
        <w:rPr>
          <w:rFonts w:ascii="Palatino Linotype" w:eastAsia="Palatino Linotype" w:hAnsi="Palatino Linotype" w:cs="Palatino Linotype"/>
          <w:color w:val="000000"/>
          <w:sz w:val="18"/>
          <w:szCs w:val="18"/>
          <w:lang w:val="en-US"/>
        </w:rPr>
        <w:t>malmoense</w:t>
      </w:r>
      <w:proofErr w:type="spellEnd"/>
      <w:r w:rsidRPr="00152CF1">
        <w:rPr>
          <w:rFonts w:ascii="Palatino Linotype" w:eastAsia="Palatino Linotype" w:hAnsi="Palatino Linotype" w:cs="Palatino Linotype"/>
          <w:color w:val="000000"/>
          <w:sz w:val="18"/>
          <w:szCs w:val="18"/>
          <w:lang w:val="en-US"/>
        </w:rPr>
        <w:t xml:space="preserve"> and Aspergillus infection. Thorax 1995, 50, 216. [</w:t>
      </w:r>
      <w:proofErr w:type="spellStart"/>
      <w:r w:rsidRPr="00152CF1">
        <w:rPr>
          <w:rFonts w:ascii="Palatino Linotype" w:eastAsia="Palatino Linotype" w:hAnsi="Palatino Linotype" w:cs="Palatino Linotype"/>
          <w:color w:val="000000"/>
          <w:sz w:val="18"/>
          <w:szCs w:val="18"/>
          <w:lang w:val="en-US"/>
        </w:rPr>
        <w:t>CrossRef</w:t>
      </w:r>
      <w:proofErr w:type="spellEnd"/>
      <w:r w:rsidRPr="00152CF1">
        <w:rPr>
          <w:rFonts w:ascii="Palatino Linotype" w:eastAsia="Palatino Linotype" w:hAnsi="Palatino Linotype" w:cs="Palatino Linotype"/>
          <w:color w:val="000000"/>
          <w:sz w:val="18"/>
          <w:szCs w:val="18"/>
          <w:lang w:val="en-US"/>
        </w:rPr>
        <w:t>]</w:t>
      </w:r>
    </w:p>
    <w:p w14:paraId="5879F75A" w14:textId="77777777" w:rsidR="003C71C9" w:rsidRPr="00152CF1" w:rsidRDefault="009F36ED" w:rsidP="00152CF1">
      <w:pPr>
        <w:numPr>
          <w:ilvl w:val="0"/>
          <w:numId w:val="1"/>
        </w:numPr>
        <w:pBdr>
          <w:top w:val="nil"/>
          <w:left w:val="nil"/>
          <w:bottom w:val="nil"/>
          <w:right w:val="nil"/>
          <w:between w:val="nil"/>
        </w:pBdr>
        <w:adjustRightInd w:val="0"/>
        <w:snapToGrid w:val="0"/>
        <w:spacing w:line="228" w:lineRule="auto"/>
        <w:jc w:val="both"/>
        <w:rPr>
          <w:lang w:val="en-US"/>
        </w:rPr>
      </w:pPr>
      <w:proofErr w:type="spellStart"/>
      <w:r w:rsidRPr="00152CF1">
        <w:rPr>
          <w:rFonts w:ascii="Palatino Linotype" w:eastAsia="Palatino Linotype" w:hAnsi="Palatino Linotype" w:cs="Palatino Linotype"/>
          <w:color w:val="000000"/>
          <w:sz w:val="18"/>
          <w:szCs w:val="18"/>
          <w:lang w:val="en-US"/>
        </w:rPr>
        <w:t>Phoompoung</w:t>
      </w:r>
      <w:proofErr w:type="spellEnd"/>
      <w:r w:rsidRPr="00152CF1">
        <w:rPr>
          <w:rFonts w:ascii="Palatino Linotype" w:eastAsia="Palatino Linotype" w:hAnsi="Palatino Linotype" w:cs="Palatino Linotype"/>
          <w:color w:val="000000"/>
          <w:sz w:val="18"/>
          <w:szCs w:val="18"/>
          <w:lang w:val="en-US"/>
        </w:rPr>
        <w:t xml:space="preserve"> P, </w:t>
      </w:r>
      <w:proofErr w:type="spellStart"/>
      <w:r w:rsidRPr="00152CF1">
        <w:rPr>
          <w:rFonts w:ascii="Palatino Linotype" w:eastAsia="Palatino Linotype" w:hAnsi="Palatino Linotype" w:cs="Palatino Linotype"/>
          <w:color w:val="000000"/>
          <w:sz w:val="18"/>
          <w:szCs w:val="18"/>
          <w:lang w:val="en-US"/>
        </w:rPr>
        <w:t>Chayakulkeeree</w:t>
      </w:r>
      <w:proofErr w:type="spellEnd"/>
      <w:r w:rsidRPr="00152CF1">
        <w:rPr>
          <w:rFonts w:ascii="Palatino Linotype" w:eastAsia="Palatino Linotype" w:hAnsi="Palatino Linotype" w:cs="Palatino Linotype"/>
          <w:color w:val="000000"/>
          <w:sz w:val="18"/>
          <w:szCs w:val="18"/>
          <w:lang w:val="en-US"/>
        </w:rPr>
        <w:t xml:space="preserve"> M. Chronic Pulmonary Aspergillosis Following Nontuberculous Mycobacterial Infections: An Emerging Disease. J Fungi (Basel). 2020 Dec 8;6(4):346. </w:t>
      </w:r>
      <w:proofErr w:type="spellStart"/>
      <w:r w:rsidRPr="00152CF1">
        <w:rPr>
          <w:rFonts w:ascii="Palatino Linotype" w:eastAsia="Palatino Linotype" w:hAnsi="Palatino Linotype" w:cs="Palatino Linotype"/>
          <w:color w:val="000000"/>
          <w:sz w:val="18"/>
          <w:szCs w:val="18"/>
          <w:lang w:val="en-US"/>
        </w:rPr>
        <w:t>doi</w:t>
      </w:r>
      <w:proofErr w:type="spellEnd"/>
      <w:r w:rsidRPr="00152CF1">
        <w:rPr>
          <w:rFonts w:ascii="Palatino Linotype" w:eastAsia="Palatino Linotype" w:hAnsi="Palatino Linotype" w:cs="Palatino Linotype"/>
          <w:color w:val="000000"/>
          <w:sz w:val="18"/>
          <w:szCs w:val="18"/>
          <w:lang w:val="en-US"/>
        </w:rPr>
        <w:t>: 10.3390/jof6040346. PMID: 33302348; PMCID: PMC7762599.</w:t>
      </w:r>
    </w:p>
    <w:sectPr w:rsidR="003C71C9" w:rsidRPr="00152CF1" w:rsidSect="00152CF1">
      <w:headerReference w:type="even" r:id="rId9"/>
      <w:headerReference w:type="default" r:id="rId10"/>
      <w:footerReference w:type="default" r:id="rId11"/>
      <w:headerReference w:type="first" r:id="rId12"/>
      <w:footerReference w:type="first" r:id="rId13"/>
      <w:type w:val="continuous"/>
      <w:pgSz w:w="11906" w:h="16838"/>
      <w:pgMar w:top="1417" w:right="720" w:bottom="1077" w:left="720" w:header="1020" w:footer="340" w:gutter="0"/>
      <w:lnNumType w:countBy="1" w:distance="255" w:restart="continuous"/>
      <w:pgNumType w:start="1"/>
      <w:cols w:space="720"/>
      <w:titlePg/>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8DE4A" w14:textId="77777777" w:rsidR="00851EB2" w:rsidRDefault="00851EB2">
      <w:r>
        <w:separator/>
      </w:r>
    </w:p>
  </w:endnote>
  <w:endnote w:type="continuationSeparator" w:id="0">
    <w:p w14:paraId="58F1A64F" w14:textId="77777777" w:rsidR="00851EB2" w:rsidRDefault="0085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Segoe UI">
    <w:altName w:val="Sylfaen"/>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FBBF1" w14:textId="77777777" w:rsidR="00673D92" w:rsidRDefault="00673D92">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5B66E" w14:textId="77777777" w:rsidR="00673D92" w:rsidRDefault="00673D92">
    <w:pPr>
      <w:pBdr>
        <w:top w:val="single" w:sz="4" w:space="0" w:color="000000"/>
        <w:left w:val="nil"/>
        <w:bottom w:val="nil"/>
        <w:right w:val="nil"/>
        <w:between w:val="nil"/>
      </w:pBdr>
      <w:tabs>
        <w:tab w:val="right" w:pos="8845"/>
      </w:tabs>
      <w:spacing w:before="480" w:line="100" w:lineRule="auto"/>
      <w:rPr>
        <w:rFonts w:ascii="Palatino Linotype" w:eastAsia="Palatino Linotype" w:hAnsi="Palatino Linotype" w:cs="Palatino Linotype"/>
        <w:i/>
        <w:color w:val="000000"/>
        <w:sz w:val="16"/>
        <w:szCs w:val="16"/>
      </w:rPr>
    </w:pPr>
  </w:p>
  <w:p w14:paraId="3E14662A" w14:textId="787681D3" w:rsidR="00673D92" w:rsidRDefault="00673D92">
    <w:pPr>
      <w:pBdr>
        <w:top w:val="nil"/>
        <w:left w:val="nil"/>
        <w:bottom w:val="nil"/>
        <w:right w:val="nil"/>
        <w:between w:val="nil"/>
      </w:pBdr>
      <w:tabs>
        <w:tab w:val="right" w:pos="8845"/>
        <w:tab w:val="right" w:pos="10466"/>
      </w:tabs>
      <w:jc w:val="both"/>
      <w:rPr>
        <w:rFonts w:ascii="Palatino Linotype" w:eastAsia="Palatino Linotype" w:hAnsi="Palatino Linotype" w:cs="Palatino Linotype"/>
        <w:color w:val="000000"/>
        <w:sz w:val="16"/>
        <w:szCs w:val="16"/>
        <w:lang w:val="en-US"/>
      </w:rPr>
    </w:pPr>
    <w:r>
      <w:rPr>
        <w:rFonts w:ascii="Palatino Linotype" w:eastAsia="Palatino Linotype" w:hAnsi="Palatino Linotype" w:cs="Palatino Linotype"/>
        <w:i/>
        <w:color w:val="000000"/>
        <w:sz w:val="16"/>
        <w:szCs w:val="16"/>
        <w:lang w:val="en-US"/>
      </w:rPr>
      <w:t>J. Clin. Med.</w:t>
    </w:r>
    <w:r>
      <w:rPr>
        <w:rFonts w:ascii="Palatino Linotype" w:eastAsia="Palatino Linotype" w:hAnsi="Palatino Linotype" w:cs="Palatino Linotype"/>
        <w:color w:val="000000"/>
        <w:sz w:val="16"/>
        <w:szCs w:val="16"/>
        <w:lang w:val="en-US"/>
      </w:rPr>
      <w:t xml:space="preserve"> </w:t>
    </w:r>
    <w:r>
      <w:rPr>
        <w:rFonts w:ascii="Palatino Linotype" w:eastAsia="Palatino Linotype" w:hAnsi="Palatino Linotype" w:cs="Palatino Linotype"/>
        <w:b/>
        <w:color w:val="000000"/>
        <w:sz w:val="16"/>
        <w:szCs w:val="16"/>
        <w:lang w:val="en-US"/>
      </w:rPr>
      <w:t>2022</w:t>
    </w:r>
    <w:r>
      <w:rPr>
        <w:rFonts w:ascii="Palatino Linotype" w:eastAsia="Palatino Linotype" w:hAnsi="Palatino Linotype" w:cs="Palatino Linotype"/>
        <w:color w:val="000000"/>
        <w:sz w:val="16"/>
        <w:szCs w:val="16"/>
        <w:lang w:val="en-US"/>
      </w:rPr>
      <w:t>,</w:t>
    </w:r>
    <w:r>
      <w:rPr>
        <w:rFonts w:ascii="Palatino Linotype" w:eastAsia="Palatino Linotype" w:hAnsi="Palatino Linotype" w:cs="Palatino Linotype"/>
        <w:i/>
        <w:color w:val="000000"/>
        <w:sz w:val="16"/>
        <w:szCs w:val="16"/>
        <w:lang w:val="en-US"/>
      </w:rPr>
      <w:t xml:space="preserve"> 11</w:t>
    </w:r>
    <w:r>
      <w:rPr>
        <w:rFonts w:ascii="Palatino Linotype" w:eastAsia="Palatino Linotype" w:hAnsi="Palatino Linotype" w:cs="Palatino Linotype"/>
        <w:color w:val="000000"/>
        <w:sz w:val="16"/>
        <w:szCs w:val="16"/>
        <w:lang w:val="en-US"/>
      </w:rPr>
      <w:t>, x. https://doi.org/10.3390/xxxxx</w:t>
    </w:r>
    <w:r>
      <w:rPr>
        <w:rFonts w:ascii="Palatino Linotype" w:eastAsia="Palatino Linotype" w:hAnsi="Palatino Linotype" w:cs="Palatino Linotype"/>
        <w:color w:val="000000"/>
        <w:sz w:val="16"/>
        <w:szCs w:val="16"/>
        <w:lang w:val="en-US"/>
      </w:rPr>
      <w:ptab w:relativeTo="margin" w:alignment="right" w:leader="none"/>
    </w:r>
    <w:r>
      <w:rPr>
        <w:rFonts w:ascii="Palatino Linotype" w:eastAsia="Palatino Linotype" w:hAnsi="Palatino Linotype" w:cs="Palatino Linotype"/>
        <w:color w:val="000000"/>
        <w:sz w:val="16"/>
        <w:szCs w:val="16"/>
        <w:lang w:val="en-US"/>
      </w:rPr>
      <w:t>www.mdpi.com/journal/jcm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099B8" w14:textId="77777777" w:rsidR="00851EB2" w:rsidRDefault="00851EB2">
      <w:r>
        <w:separator/>
      </w:r>
    </w:p>
  </w:footnote>
  <w:footnote w:type="continuationSeparator" w:id="0">
    <w:p w14:paraId="7AD06F8B" w14:textId="77777777" w:rsidR="00851EB2" w:rsidRDefault="0085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C5992" w14:textId="77777777" w:rsidR="00673D92" w:rsidRDefault="00673D92">
    <w:pPr>
      <w:pBdr>
        <w:top w:val="nil"/>
        <w:left w:val="nil"/>
        <w:bottom w:val="none" w:sz="0" w:space="0" w:color="000000"/>
        <w:right w:val="nil"/>
        <w:between w:val="nil"/>
      </w:pBdr>
      <w:tabs>
        <w:tab w:val="center" w:pos="4153"/>
        <w:tab w:val="right" w:pos="8306"/>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F42E0" w14:textId="1E76FF40" w:rsidR="00673D92" w:rsidRDefault="00673D92">
    <w:pPr>
      <w:tabs>
        <w:tab w:val="right" w:pos="10466"/>
      </w:tabs>
      <w:rPr>
        <w:sz w:val="16"/>
        <w:szCs w:val="16"/>
        <w:lang w:val="en-US"/>
      </w:rPr>
    </w:pPr>
    <w:r>
      <w:rPr>
        <w:i/>
        <w:sz w:val="16"/>
        <w:szCs w:val="16"/>
        <w:lang w:val="en-US"/>
      </w:rPr>
      <w:t xml:space="preserve">J. Clin. Med. </w:t>
    </w:r>
    <w:r>
      <w:rPr>
        <w:b/>
        <w:sz w:val="16"/>
        <w:szCs w:val="16"/>
        <w:lang w:val="en-US"/>
      </w:rPr>
      <w:t>2022</w:t>
    </w:r>
    <w:r>
      <w:rPr>
        <w:sz w:val="16"/>
        <w:szCs w:val="16"/>
        <w:lang w:val="en-US"/>
      </w:rPr>
      <w:t>,</w:t>
    </w:r>
    <w:r>
      <w:rPr>
        <w:i/>
        <w:sz w:val="16"/>
        <w:szCs w:val="16"/>
        <w:lang w:val="en-US"/>
      </w:rPr>
      <w:t xml:space="preserve"> 11</w:t>
    </w:r>
    <w:r>
      <w:rPr>
        <w:sz w:val="16"/>
        <w:szCs w:val="16"/>
        <w:lang w:val="en-US"/>
      </w:rPr>
      <w:t>, x FOR PEER REVIEW</w:t>
    </w:r>
    <w:r>
      <w:rPr>
        <w:sz w:val="16"/>
        <w:szCs w:val="16"/>
        <w:lang w:val="en-US"/>
      </w:rPr>
      <w:ptab w:relativeTo="margin" w:alignment="right" w:leader="none"/>
    </w:r>
    <w:r>
      <w:rPr>
        <w:sz w:val="16"/>
        <w:szCs w:val="16"/>
      </w:rPr>
      <w:fldChar w:fldCharType="begin"/>
    </w:r>
    <w:r>
      <w:rPr>
        <w:sz w:val="16"/>
        <w:szCs w:val="16"/>
        <w:lang w:val="en-US"/>
      </w:rPr>
      <w:instrText>PAGE</w:instrText>
    </w:r>
    <w:r>
      <w:rPr>
        <w:sz w:val="16"/>
        <w:szCs w:val="16"/>
      </w:rPr>
      <w:fldChar w:fldCharType="separate"/>
    </w:r>
    <w:r>
      <w:rPr>
        <w:noProof/>
        <w:sz w:val="16"/>
        <w:szCs w:val="16"/>
        <w:lang w:val="en-US"/>
      </w:rPr>
      <w:t>9</w:t>
    </w:r>
    <w:r>
      <w:rPr>
        <w:sz w:val="16"/>
        <w:szCs w:val="16"/>
      </w:rPr>
      <w:fldChar w:fldCharType="end"/>
    </w:r>
    <w:r>
      <w:rPr>
        <w:sz w:val="16"/>
        <w:szCs w:val="16"/>
        <w:lang w:val="en-US"/>
      </w:rPr>
      <w:t xml:space="preserve"> of </w:t>
    </w:r>
    <w:r>
      <w:rPr>
        <w:sz w:val="16"/>
        <w:szCs w:val="16"/>
      </w:rPr>
      <w:fldChar w:fldCharType="begin"/>
    </w:r>
    <w:r>
      <w:rPr>
        <w:sz w:val="16"/>
        <w:szCs w:val="16"/>
        <w:lang w:val="en-US"/>
      </w:rPr>
      <w:instrText>NUMPAGES</w:instrText>
    </w:r>
    <w:r>
      <w:rPr>
        <w:sz w:val="16"/>
        <w:szCs w:val="16"/>
      </w:rPr>
      <w:fldChar w:fldCharType="separate"/>
    </w:r>
    <w:r>
      <w:rPr>
        <w:noProof/>
        <w:sz w:val="16"/>
        <w:szCs w:val="16"/>
        <w:lang w:val="en-US"/>
      </w:rPr>
      <w:t>9</w:t>
    </w:r>
    <w:r>
      <w:rPr>
        <w:sz w:val="16"/>
        <w:szCs w:val="16"/>
      </w:rPr>
      <w:fldChar w:fldCharType="end"/>
    </w:r>
  </w:p>
  <w:p w14:paraId="3E257300" w14:textId="77777777" w:rsidR="00673D92" w:rsidRDefault="00673D92">
    <w:pPr>
      <w:pBdr>
        <w:bottom w:val="single" w:sz="4" w:space="1" w:color="000000"/>
      </w:pBdr>
      <w:tabs>
        <w:tab w:val="right" w:pos="8844"/>
      </w:tabs>
      <w:spacing w:after="480" w:line="100" w:lineRule="auto"/>
      <w:rPr>
        <w:sz w:val="16"/>
        <w:szCs w:val="16"/>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FDD80" w14:textId="77777777" w:rsidR="00673D92" w:rsidRDefault="00673D92">
    <w:pPr>
      <w:widowControl w:val="0"/>
      <w:pBdr>
        <w:top w:val="nil"/>
        <w:left w:val="nil"/>
        <w:bottom w:val="nil"/>
        <w:right w:val="nil"/>
        <w:between w:val="nil"/>
      </w:pBdr>
      <w:spacing w:line="276" w:lineRule="auto"/>
      <w:rPr>
        <w:color w:val="000000"/>
      </w:rPr>
    </w:pPr>
  </w:p>
  <w:tbl>
    <w:tblPr>
      <w:tblW w:w="10487" w:type="dxa"/>
      <w:tblLayout w:type="fixed"/>
      <w:tblLook w:val="0400" w:firstRow="0" w:lastRow="0" w:firstColumn="0" w:lastColumn="0" w:noHBand="0" w:noVBand="1"/>
    </w:tblPr>
    <w:tblGrid>
      <w:gridCol w:w="3679"/>
      <w:gridCol w:w="4535"/>
      <w:gridCol w:w="2273"/>
    </w:tblGrid>
    <w:tr w:rsidR="00673D92" w14:paraId="6CD9FED0" w14:textId="77777777">
      <w:trPr>
        <w:trHeight w:val="686"/>
      </w:trPr>
      <w:tc>
        <w:tcPr>
          <w:tcW w:w="3679" w:type="dxa"/>
          <w:shd w:val="clear" w:color="auto" w:fill="auto"/>
          <w:vAlign w:val="center"/>
        </w:tcPr>
        <w:p w14:paraId="283123B6" w14:textId="77777777" w:rsidR="00673D92" w:rsidRDefault="00673D92">
          <w:pPr>
            <w:pBdr>
              <w:top w:val="nil"/>
              <w:left w:val="nil"/>
              <w:bottom w:val="none" w:sz="0" w:space="0" w:color="000000"/>
              <w:right w:val="nil"/>
              <w:between w:val="nil"/>
            </w:pBdr>
            <w:tabs>
              <w:tab w:val="center" w:pos="4153"/>
              <w:tab w:val="right" w:pos="8306"/>
            </w:tabs>
            <w:rPr>
              <w:b/>
              <w:color w:val="000000"/>
            </w:rPr>
          </w:pPr>
          <w:r>
            <w:rPr>
              <w:b/>
              <w:noProof/>
              <w:color w:val="000000"/>
              <w:lang w:eastAsia="es-ES"/>
            </w:rPr>
            <w:drawing>
              <wp:inline distT="0" distB="0" distL="0" distR="0" wp14:anchorId="3CC1A1B3" wp14:editId="6B6536E7">
                <wp:extent cx="1676400" cy="429260"/>
                <wp:effectExtent l="0" t="0" r="0" b="0"/>
                <wp:docPr id="10" name="image3.png" descr="C:\Users\home\Desktop\logos\png\jcm-logo.png"/>
                <wp:cNvGraphicFramePr/>
                <a:graphic xmlns:a="http://schemas.openxmlformats.org/drawingml/2006/main">
                  <a:graphicData uri="http://schemas.openxmlformats.org/drawingml/2006/picture">
                    <pic:pic xmlns:pic="http://schemas.openxmlformats.org/drawingml/2006/picture">
                      <pic:nvPicPr>
                        <pic:cNvPr id="0" name="image3.png" descr="C:\Users\home\Desktop\logos\png\jcm-logo.png"/>
                        <pic:cNvPicPr preferRelativeResize="0"/>
                      </pic:nvPicPr>
                      <pic:blipFill>
                        <a:blip r:embed="rId1"/>
                        <a:srcRect/>
                        <a:stretch>
                          <a:fillRect/>
                        </a:stretch>
                      </pic:blipFill>
                      <pic:spPr>
                        <a:xfrm>
                          <a:off x="0" y="0"/>
                          <a:ext cx="1676400" cy="429260"/>
                        </a:xfrm>
                        <a:prstGeom prst="rect">
                          <a:avLst/>
                        </a:prstGeom>
                        <a:ln/>
                      </pic:spPr>
                    </pic:pic>
                  </a:graphicData>
                </a:graphic>
              </wp:inline>
            </w:drawing>
          </w:r>
        </w:p>
      </w:tc>
      <w:tc>
        <w:tcPr>
          <w:tcW w:w="4535" w:type="dxa"/>
          <w:shd w:val="clear" w:color="auto" w:fill="auto"/>
          <w:vAlign w:val="center"/>
        </w:tcPr>
        <w:p w14:paraId="0033B70A" w14:textId="77777777" w:rsidR="00673D92" w:rsidRDefault="00673D92">
          <w:pPr>
            <w:pBdr>
              <w:top w:val="nil"/>
              <w:left w:val="nil"/>
              <w:bottom w:val="none" w:sz="0" w:space="0" w:color="000000"/>
              <w:right w:val="nil"/>
              <w:between w:val="nil"/>
            </w:pBdr>
            <w:tabs>
              <w:tab w:val="center" w:pos="4153"/>
              <w:tab w:val="right" w:pos="8306"/>
            </w:tabs>
            <w:jc w:val="center"/>
            <w:rPr>
              <w:b/>
              <w:color w:val="000000"/>
            </w:rPr>
          </w:pPr>
        </w:p>
      </w:tc>
      <w:tc>
        <w:tcPr>
          <w:tcW w:w="2273" w:type="dxa"/>
          <w:shd w:val="clear" w:color="auto" w:fill="auto"/>
          <w:vAlign w:val="center"/>
        </w:tcPr>
        <w:p w14:paraId="5B01BDC4" w14:textId="77777777" w:rsidR="00673D92" w:rsidRDefault="00673D92">
          <w:pPr>
            <w:pBdr>
              <w:top w:val="nil"/>
              <w:left w:val="nil"/>
              <w:bottom w:val="none" w:sz="0" w:space="0" w:color="000000"/>
              <w:right w:val="nil"/>
              <w:between w:val="nil"/>
            </w:pBdr>
            <w:tabs>
              <w:tab w:val="center" w:pos="4153"/>
              <w:tab w:val="right" w:pos="8306"/>
            </w:tabs>
            <w:jc w:val="right"/>
            <w:rPr>
              <w:b/>
              <w:color w:val="000000"/>
            </w:rPr>
          </w:pPr>
          <w:r>
            <w:rPr>
              <w:b/>
              <w:noProof/>
              <w:color w:val="000000"/>
              <w:lang w:eastAsia="es-ES"/>
            </w:rPr>
            <w:drawing>
              <wp:inline distT="0" distB="0" distL="0" distR="0" wp14:anchorId="24F824D2" wp14:editId="5EA94B27">
                <wp:extent cx="540000" cy="360000"/>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540000" cy="360000"/>
                        </a:xfrm>
                        <a:prstGeom prst="rect">
                          <a:avLst/>
                        </a:prstGeom>
                        <a:ln/>
                      </pic:spPr>
                    </pic:pic>
                  </a:graphicData>
                </a:graphic>
              </wp:inline>
            </w:drawing>
          </w:r>
        </w:p>
      </w:tc>
    </w:tr>
  </w:tbl>
  <w:p w14:paraId="02116E66" w14:textId="77777777" w:rsidR="00673D92" w:rsidRDefault="00673D92">
    <w:pPr>
      <w:pBdr>
        <w:bottom w:val="single" w:sz="4" w:space="1" w:color="000000"/>
      </w:pBdr>
      <w:spacing w:line="10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4" w15:restartNumberingAfterBreak="0">
    <w:nsid w:val="55A67D1E"/>
    <w:multiLevelType w:val="multilevel"/>
    <w:tmpl w:val="73F615C4"/>
    <w:lvl w:ilvl="0">
      <w:start w:val="1"/>
      <w:numFmt w:val="decimal"/>
      <w:lvlText w:val="%1."/>
      <w:lvlJc w:val="left"/>
      <w:pPr>
        <w:ind w:left="288" w:firstLine="72"/>
      </w:pPr>
      <w:rPr>
        <w:vertAlign w:val="superscript"/>
      </w:rPr>
    </w:lvl>
    <w:lvl w:ilvl="1">
      <w:start w:val="1"/>
      <w:numFmt w:val="decimal"/>
      <w:isLgl/>
      <w:lvlText w:val="%1.%2."/>
      <w:lvlJc w:val="left"/>
      <w:pPr>
        <w:ind w:left="2968" w:hanging="360"/>
      </w:pPr>
      <w:rPr>
        <w:rFonts w:hint="default"/>
      </w:rPr>
    </w:lvl>
    <w:lvl w:ilvl="2">
      <w:start w:val="1"/>
      <w:numFmt w:val="decimal"/>
      <w:isLgl/>
      <w:lvlText w:val="%1.%2.%3."/>
      <w:lvlJc w:val="left"/>
      <w:pPr>
        <w:ind w:left="5576" w:hanging="720"/>
      </w:pPr>
      <w:rPr>
        <w:rFonts w:hint="default"/>
      </w:rPr>
    </w:lvl>
    <w:lvl w:ilvl="3">
      <w:start w:val="1"/>
      <w:numFmt w:val="decimal"/>
      <w:isLgl/>
      <w:lvlText w:val="%1.%2.%3.%4."/>
      <w:lvlJc w:val="left"/>
      <w:pPr>
        <w:ind w:left="7824" w:hanging="720"/>
      </w:pPr>
      <w:rPr>
        <w:rFonts w:hint="default"/>
      </w:rPr>
    </w:lvl>
    <w:lvl w:ilvl="4">
      <w:start w:val="1"/>
      <w:numFmt w:val="decimal"/>
      <w:isLgl/>
      <w:lvlText w:val="%1.%2.%3.%4.%5."/>
      <w:lvlJc w:val="left"/>
      <w:pPr>
        <w:ind w:left="10432" w:hanging="1080"/>
      </w:pPr>
      <w:rPr>
        <w:rFonts w:hint="default"/>
      </w:rPr>
    </w:lvl>
    <w:lvl w:ilvl="5">
      <w:start w:val="1"/>
      <w:numFmt w:val="decimal"/>
      <w:isLgl/>
      <w:lvlText w:val="%1.%2.%3.%4.%5.%6."/>
      <w:lvlJc w:val="left"/>
      <w:pPr>
        <w:ind w:left="12680" w:hanging="1080"/>
      </w:pPr>
      <w:rPr>
        <w:rFonts w:hint="default"/>
      </w:rPr>
    </w:lvl>
    <w:lvl w:ilvl="6">
      <w:start w:val="1"/>
      <w:numFmt w:val="decimal"/>
      <w:isLgl/>
      <w:lvlText w:val="%1.%2.%3.%4.%5.%6.%7."/>
      <w:lvlJc w:val="left"/>
      <w:pPr>
        <w:ind w:left="14928" w:hanging="1080"/>
      </w:pPr>
      <w:rPr>
        <w:rFonts w:hint="default"/>
      </w:rPr>
    </w:lvl>
    <w:lvl w:ilvl="7">
      <w:start w:val="1"/>
      <w:numFmt w:val="decimal"/>
      <w:isLgl/>
      <w:lvlText w:val="%1.%2.%3.%4.%5.%6.%7.%8."/>
      <w:lvlJc w:val="left"/>
      <w:pPr>
        <w:ind w:left="17536" w:hanging="1440"/>
      </w:pPr>
      <w:rPr>
        <w:rFonts w:hint="default"/>
      </w:rPr>
    </w:lvl>
    <w:lvl w:ilvl="8">
      <w:start w:val="1"/>
      <w:numFmt w:val="decimal"/>
      <w:isLgl/>
      <w:lvlText w:val="%1.%2.%3.%4.%5.%6.%7.%8.%9."/>
      <w:lvlJc w:val="left"/>
      <w:pPr>
        <w:ind w:left="19784" w:hanging="1440"/>
      </w:pPr>
      <w:rPr>
        <w:rFonts w:hint="default"/>
      </w:rPr>
    </w:lvl>
  </w:abstractNum>
  <w:abstractNum w:abstractNumId="5" w15:restartNumberingAfterBreak="0">
    <w:nsid w:val="69621A9F"/>
    <w:multiLevelType w:val="multilevel"/>
    <w:tmpl w:val="09789BF0"/>
    <w:lvl w:ilvl="0">
      <w:start w:val="1"/>
      <w:numFmt w:val="decimal"/>
      <w:lvlText w:val="%1"/>
      <w:lvlJc w:val="left"/>
      <w:pPr>
        <w:ind w:left="2968" w:hanging="360"/>
      </w:pPr>
    </w:lvl>
    <w:lvl w:ilvl="1">
      <w:start w:val="1"/>
      <w:numFmt w:val="lowerLetter"/>
      <w:lvlText w:val="%2."/>
      <w:lvlJc w:val="left"/>
      <w:pPr>
        <w:ind w:left="3688" w:hanging="360"/>
      </w:pPr>
    </w:lvl>
    <w:lvl w:ilvl="2">
      <w:start w:val="1"/>
      <w:numFmt w:val="lowerRoman"/>
      <w:lvlText w:val="%3."/>
      <w:lvlJc w:val="right"/>
      <w:pPr>
        <w:ind w:left="4408" w:hanging="180"/>
      </w:pPr>
    </w:lvl>
    <w:lvl w:ilvl="3">
      <w:start w:val="1"/>
      <w:numFmt w:val="decimal"/>
      <w:lvlText w:val="%4."/>
      <w:lvlJc w:val="left"/>
      <w:pPr>
        <w:ind w:left="5128" w:hanging="360"/>
      </w:pPr>
    </w:lvl>
    <w:lvl w:ilvl="4">
      <w:start w:val="1"/>
      <w:numFmt w:val="lowerLetter"/>
      <w:lvlText w:val="%5."/>
      <w:lvlJc w:val="left"/>
      <w:pPr>
        <w:ind w:left="5848" w:hanging="360"/>
      </w:pPr>
    </w:lvl>
    <w:lvl w:ilvl="5">
      <w:start w:val="1"/>
      <w:numFmt w:val="lowerRoman"/>
      <w:lvlText w:val="%6."/>
      <w:lvlJc w:val="right"/>
      <w:pPr>
        <w:ind w:left="6568" w:hanging="180"/>
      </w:pPr>
    </w:lvl>
    <w:lvl w:ilvl="6">
      <w:start w:val="1"/>
      <w:numFmt w:val="decimal"/>
      <w:lvlText w:val="%7."/>
      <w:lvlJc w:val="left"/>
      <w:pPr>
        <w:ind w:left="7288" w:hanging="360"/>
      </w:pPr>
    </w:lvl>
    <w:lvl w:ilvl="7">
      <w:start w:val="1"/>
      <w:numFmt w:val="lowerLetter"/>
      <w:lvlText w:val="%8."/>
      <w:lvlJc w:val="left"/>
      <w:pPr>
        <w:ind w:left="8008" w:hanging="360"/>
      </w:pPr>
    </w:lvl>
    <w:lvl w:ilvl="8">
      <w:start w:val="1"/>
      <w:numFmt w:val="lowerRoman"/>
      <w:lvlText w:val="%9."/>
      <w:lvlJc w:val="right"/>
      <w:pPr>
        <w:ind w:left="8728" w:hanging="180"/>
      </w:pPr>
    </w:lvl>
  </w:abstractNum>
  <w:abstractNum w:abstractNumId="6" w15:restartNumberingAfterBreak="0">
    <w:nsid w:val="73420E34"/>
    <w:multiLevelType w:val="multilevel"/>
    <w:tmpl w:val="05500B7E"/>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3"/>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1C9"/>
    <w:rsid w:val="00043747"/>
    <w:rsid w:val="000B4160"/>
    <w:rsid w:val="00152CF1"/>
    <w:rsid w:val="00187725"/>
    <w:rsid w:val="001B7699"/>
    <w:rsid w:val="0024046B"/>
    <w:rsid w:val="00247AA4"/>
    <w:rsid w:val="002517A6"/>
    <w:rsid w:val="002530D9"/>
    <w:rsid w:val="00340DAB"/>
    <w:rsid w:val="00356BC0"/>
    <w:rsid w:val="00384615"/>
    <w:rsid w:val="003B7B51"/>
    <w:rsid w:val="003C71C9"/>
    <w:rsid w:val="003F442E"/>
    <w:rsid w:val="003F6BA2"/>
    <w:rsid w:val="004F7032"/>
    <w:rsid w:val="00514D0C"/>
    <w:rsid w:val="00563DA9"/>
    <w:rsid w:val="005A5525"/>
    <w:rsid w:val="00621016"/>
    <w:rsid w:val="00665A01"/>
    <w:rsid w:val="00673D92"/>
    <w:rsid w:val="00753D92"/>
    <w:rsid w:val="00851EB2"/>
    <w:rsid w:val="008A1CCF"/>
    <w:rsid w:val="00933684"/>
    <w:rsid w:val="00980F6B"/>
    <w:rsid w:val="009F36ED"/>
    <w:rsid w:val="00A31E72"/>
    <w:rsid w:val="00C16080"/>
    <w:rsid w:val="00C7419B"/>
    <w:rsid w:val="00C8331F"/>
    <w:rsid w:val="00D13E3E"/>
    <w:rsid w:val="00D510FD"/>
    <w:rsid w:val="00DE0F96"/>
    <w:rsid w:val="00EC345D"/>
    <w:rsid w:val="00EF3986"/>
    <w:rsid w:val="00F556B3"/>
    <w:rsid w:val="00F90BA3"/>
    <w:rsid w:val="00F90D83"/>
    <w:rsid w:val="00F92AEF"/>
    <w:rsid w:val="00FD7343"/>
    <w:rsid w:val="00FE7FE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63124"/>
  <w15:chartTrackingRefBased/>
  <w15:docId w15:val="{16C9BA18-3E0E-F144-AA64-7F3C415D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3DA9"/>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rPr>
      <w:sz w:val="21"/>
      <w:szCs w:val="21"/>
    </w:rPr>
  </w:style>
  <w:style w:type="paragraph" w:styleId="Textocomentario">
    <w:name w:val="annotation text"/>
    <w:basedOn w:val="Normal"/>
    <w:link w:val="TextocomentarioCar"/>
  </w:style>
  <w:style w:type="character" w:customStyle="1" w:styleId="TextocomentarioCar">
    <w:name w:val="Texto comentario Car"/>
    <w:basedOn w:val="Fuentedeprrafopredeter"/>
    <w:link w:val="Textocomentario"/>
    <w:rPr>
      <w:rFonts w:ascii="Times New Roman" w:eastAsia="Times New Roman" w:hAnsi="Times New Roman" w:cs="Times New Roman"/>
      <w:lang w:eastAsia="es-ES_tradnl"/>
    </w:rPr>
  </w:style>
  <w:style w:type="paragraph" w:styleId="Prrafodelista">
    <w:name w:val="List Paragraph"/>
    <w:basedOn w:val="Normal"/>
    <w:uiPriority w:val="34"/>
    <w:qFormat/>
    <w:pPr>
      <w:ind w:left="720"/>
      <w:contextualSpacing/>
    </w:pPr>
  </w:style>
  <w:style w:type="paragraph" w:styleId="Textodeglobo">
    <w:name w:val="Balloon Text"/>
    <w:basedOn w:val="Normal"/>
    <w:link w:val="TextodegloboCar"/>
    <w:uiPriority w:val="99"/>
    <w:semiHidden/>
    <w:unhideWhenUsed/>
    <w:rPr>
      <w:sz w:val="18"/>
      <w:szCs w:val="18"/>
    </w:rPr>
  </w:style>
  <w:style w:type="character" w:customStyle="1" w:styleId="TextodegloboCar">
    <w:name w:val="Texto de globo Car"/>
    <w:basedOn w:val="Fuentedeprrafopredeter"/>
    <w:link w:val="Textodeglobo"/>
    <w:uiPriority w:val="99"/>
    <w:semiHidden/>
    <w:rPr>
      <w:rFonts w:ascii="Times New Roman" w:eastAsia="Times New Roman" w:hAnsi="Times New Roman" w:cs="Times New Roman"/>
      <w:sz w:val="18"/>
      <w:szCs w:val="18"/>
      <w:lang w:eastAsia="es-ES_tradnl"/>
    </w:rPr>
  </w:style>
  <w:style w:type="paragraph" w:styleId="Asuntodelcomentario">
    <w:name w:val="annotation subject"/>
    <w:basedOn w:val="Textocomentario"/>
    <w:next w:val="Textocomentario"/>
    <w:link w:val="AsuntodelcomentarioCar"/>
    <w:uiPriority w:val="99"/>
    <w:semiHidden/>
    <w:unhideWhenUsed/>
    <w:rPr>
      <w:b/>
      <w:bCs/>
      <w:sz w:val="20"/>
      <w:szCs w:val="20"/>
    </w:rPr>
  </w:style>
  <w:style w:type="character" w:customStyle="1" w:styleId="AsuntodelcomentarioCar">
    <w:name w:val="Asunto del comentario Car"/>
    <w:basedOn w:val="TextocomentarioCar"/>
    <w:link w:val="Asuntodelcomentario"/>
    <w:uiPriority w:val="99"/>
    <w:semiHidden/>
    <w:rPr>
      <w:rFonts w:ascii="Times New Roman" w:eastAsia="Times New Roman" w:hAnsi="Times New Roman" w:cs="Times New Roman"/>
      <w:b/>
      <w:bCs/>
      <w:sz w:val="20"/>
      <w:szCs w:val="20"/>
      <w:lang w:eastAsia="es-ES_tradnl"/>
    </w:rPr>
  </w:style>
  <w:style w:type="paragraph" w:styleId="Revisin">
    <w:name w:val="Revision"/>
    <w:hidden/>
    <w:uiPriority w:val="99"/>
    <w:semiHidden/>
    <w:rPr>
      <w:rFonts w:ascii="Times New Roman" w:eastAsia="Times New Roman" w:hAnsi="Times New Roman" w:cs="Times New Roman"/>
      <w:lang w:eastAsia="es-ES_tradnl"/>
    </w:rPr>
  </w:style>
  <w:style w:type="paragraph" w:customStyle="1" w:styleId="MDPI12title">
    <w:name w:val="MDPI_1.2_title"/>
    <w:next w:val="Normal"/>
    <w:qFormat/>
    <w:rsid w:val="00152CF1"/>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styleId="Piedepgina">
    <w:name w:val="footer"/>
    <w:basedOn w:val="Normal"/>
    <w:link w:val="PiedepginaCar"/>
    <w:uiPriority w:val="99"/>
    <w:unhideWhenUsed/>
    <w:rsid w:val="00152CF1"/>
    <w:pPr>
      <w:tabs>
        <w:tab w:val="center" w:pos="4320"/>
        <w:tab w:val="right" w:pos="8640"/>
      </w:tabs>
    </w:pPr>
  </w:style>
  <w:style w:type="character" w:customStyle="1" w:styleId="PiedepginaCar">
    <w:name w:val="Pie de página Car"/>
    <w:basedOn w:val="Fuentedeprrafopredeter"/>
    <w:link w:val="Piedepgina"/>
    <w:uiPriority w:val="99"/>
    <w:rsid w:val="00152CF1"/>
    <w:rPr>
      <w:rFonts w:ascii="Times New Roman" w:eastAsia="Times New Roman" w:hAnsi="Times New Roman" w:cs="Times New Roman"/>
      <w:lang w:eastAsia="es-ES_tradnl"/>
    </w:rPr>
  </w:style>
  <w:style w:type="paragraph" w:customStyle="1" w:styleId="MDPI11articletype">
    <w:name w:val="MDPI_1.1_article_type"/>
    <w:next w:val="Normal"/>
    <w:qFormat/>
    <w:rsid w:val="00152CF1"/>
    <w:pPr>
      <w:adjustRightInd w:val="0"/>
      <w:snapToGrid w:val="0"/>
      <w:spacing w:before="240"/>
    </w:pPr>
    <w:rPr>
      <w:rFonts w:ascii="Palatino Linotype" w:eastAsia="Times New Roman" w:hAnsi="Palatino Linotype" w:cs="Times New Roman"/>
      <w:i/>
      <w:snapToGrid w:val="0"/>
      <w:color w:val="000000"/>
      <w:sz w:val="20"/>
      <w:szCs w:val="22"/>
      <w:lang w:val="en-US" w:eastAsia="de-DE" w:bidi="en-US"/>
    </w:rPr>
  </w:style>
  <w:style w:type="paragraph" w:customStyle="1" w:styleId="MDPI13authornames">
    <w:name w:val="MDPI_1.3_authornames"/>
    <w:next w:val="Normal"/>
    <w:qFormat/>
    <w:rsid w:val="00152CF1"/>
    <w:pPr>
      <w:adjustRightInd w:val="0"/>
      <w:snapToGrid w:val="0"/>
      <w:spacing w:after="360" w:line="260" w:lineRule="atLeast"/>
    </w:pPr>
    <w:rPr>
      <w:rFonts w:ascii="Palatino Linotype" w:eastAsia="Times New Roman" w:hAnsi="Palatino Linotype" w:cs="Times New Roman"/>
      <w:b/>
      <w:color w:val="000000"/>
      <w:sz w:val="20"/>
      <w:szCs w:val="22"/>
      <w:lang w:val="en-US" w:eastAsia="de-DE" w:bidi="en-US"/>
    </w:rPr>
  </w:style>
  <w:style w:type="paragraph" w:customStyle="1" w:styleId="MDPI14history">
    <w:name w:val="MDPI_1.4_history"/>
    <w:basedOn w:val="Normal"/>
    <w:next w:val="Normal"/>
    <w:qFormat/>
    <w:rsid w:val="00152CF1"/>
    <w:pPr>
      <w:adjustRightInd w:val="0"/>
      <w:snapToGrid w:val="0"/>
      <w:spacing w:line="240" w:lineRule="atLeast"/>
      <w:ind w:right="113"/>
    </w:pPr>
    <w:rPr>
      <w:rFonts w:ascii="Palatino Linotype" w:hAnsi="Palatino Linotype"/>
      <w:color w:val="000000"/>
      <w:sz w:val="14"/>
      <w:szCs w:val="20"/>
      <w:lang w:val="en-US" w:eastAsia="de-DE" w:bidi="en-US"/>
    </w:rPr>
  </w:style>
  <w:style w:type="paragraph" w:customStyle="1" w:styleId="MDPI15academiceditor">
    <w:name w:val="MDPI_1.5_academic_editor"/>
    <w:qFormat/>
    <w:rsid w:val="00152CF1"/>
    <w:pPr>
      <w:adjustRightInd w:val="0"/>
      <w:snapToGrid w:val="0"/>
      <w:spacing w:before="240" w:line="240" w:lineRule="atLeast"/>
      <w:ind w:right="113"/>
    </w:pPr>
    <w:rPr>
      <w:rFonts w:ascii="Palatino Linotype" w:eastAsia="Times New Roman" w:hAnsi="Palatino Linotype" w:cs="Times New Roman"/>
      <w:color w:val="000000"/>
      <w:sz w:val="14"/>
      <w:szCs w:val="22"/>
      <w:lang w:val="en-US" w:eastAsia="de-DE" w:bidi="en-US"/>
    </w:rPr>
  </w:style>
  <w:style w:type="paragraph" w:customStyle="1" w:styleId="MDPI16affiliation">
    <w:name w:val="MDPI_1.6_affiliation"/>
    <w:qFormat/>
    <w:rsid w:val="00152CF1"/>
    <w:pPr>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152CF1"/>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rsid w:val="00152CF1"/>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19classification">
    <w:name w:val="MDPI_1.9_classification"/>
    <w:qFormat/>
    <w:rsid w:val="00152CF1"/>
    <w:pPr>
      <w:spacing w:before="240" w:line="260" w:lineRule="atLeast"/>
      <w:ind w:left="113"/>
      <w:jc w:val="both"/>
    </w:pPr>
    <w:rPr>
      <w:rFonts w:ascii="Palatino Linotype" w:eastAsia="Times New Roman" w:hAnsi="Palatino Linotype" w:cs="Times New Roman"/>
      <w:b/>
      <w:color w:val="000000"/>
      <w:sz w:val="20"/>
      <w:szCs w:val="22"/>
      <w:lang w:val="en-US" w:eastAsia="de-DE" w:bidi="en-US"/>
    </w:rPr>
  </w:style>
  <w:style w:type="paragraph" w:customStyle="1" w:styleId="MDPI19line">
    <w:name w:val="MDPI_1.9_line"/>
    <w:qFormat/>
    <w:rsid w:val="00152CF1"/>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lang w:val="en-US" w:eastAsia="de-DE" w:bidi="en-US"/>
    </w:rPr>
  </w:style>
  <w:style w:type="paragraph" w:customStyle="1" w:styleId="MDPI21heading1">
    <w:name w:val="MDPI_2.1_heading1"/>
    <w:qFormat/>
    <w:rsid w:val="00152CF1"/>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szCs w:val="22"/>
      <w:lang w:val="en-US" w:eastAsia="de-DE" w:bidi="en-US"/>
    </w:rPr>
  </w:style>
  <w:style w:type="paragraph" w:customStyle="1" w:styleId="MDPI22heading2">
    <w:name w:val="MDPI_2.2_heading2"/>
    <w:qFormat/>
    <w:rsid w:val="00152CF1"/>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val="en-US" w:eastAsia="de-DE" w:bidi="en-US"/>
    </w:rPr>
  </w:style>
  <w:style w:type="paragraph" w:customStyle="1" w:styleId="MDPI23heading3">
    <w:name w:val="MDPI_2.3_heading3"/>
    <w:qFormat/>
    <w:rsid w:val="00152CF1"/>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szCs w:val="22"/>
      <w:lang w:val="en-US" w:eastAsia="de-DE" w:bidi="en-US"/>
    </w:rPr>
  </w:style>
  <w:style w:type="paragraph" w:customStyle="1" w:styleId="MDPI31text">
    <w:name w:val="MDPI_3.1_text"/>
    <w:qFormat/>
    <w:rsid w:val="00152CF1"/>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32textnoindent">
    <w:name w:val="MDPI_3.2_text_no_indent"/>
    <w:basedOn w:val="MDPI31text"/>
    <w:qFormat/>
    <w:rsid w:val="00152CF1"/>
    <w:pPr>
      <w:ind w:firstLine="0"/>
    </w:pPr>
  </w:style>
  <w:style w:type="paragraph" w:customStyle="1" w:styleId="MDPI33textspaceafter">
    <w:name w:val="MDPI_3.3_text_space_after"/>
    <w:qFormat/>
    <w:rsid w:val="00152CF1"/>
    <w:pPr>
      <w:adjustRightInd w:val="0"/>
      <w:snapToGrid w:val="0"/>
      <w:spacing w:after="240" w:line="228" w:lineRule="auto"/>
      <w:ind w:left="2608"/>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34textspacebefore">
    <w:name w:val="MDPI_3.4_text_space_before"/>
    <w:qFormat/>
    <w:rsid w:val="00152CF1"/>
    <w:pPr>
      <w:adjustRightInd w:val="0"/>
      <w:snapToGrid w:val="0"/>
      <w:spacing w:before="240" w:line="228" w:lineRule="auto"/>
      <w:ind w:left="2608"/>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35textbeforelist">
    <w:name w:val="MDPI_3.5_text_before_list"/>
    <w:qFormat/>
    <w:rsid w:val="00152CF1"/>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36textafterlist">
    <w:name w:val="MDPI_3.6_text_after_list"/>
    <w:qFormat/>
    <w:rsid w:val="00152CF1"/>
    <w:pPr>
      <w:adjustRightInd w:val="0"/>
      <w:snapToGrid w:val="0"/>
      <w:spacing w:before="120" w:line="228" w:lineRule="auto"/>
      <w:ind w:left="2608"/>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37itemize">
    <w:name w:val="MDPI_3.7_itemize"/>
    <w:qFormat/>
    <w:rsid w:val="00152CF1"/>
    <w:pPr>
      <w:numPr>
        <w:numId w:val="3"/>
      </w:numPr>
      <w:adjustRightInd w:val="0"/>
      <w:snapToGrid w:val="0"/>
      <w:spacing w:line="228" w:lineRule="auto"/>
      <w:jc w:val="both"/>
    </w:pPr>
    <w:rPr>
      <w:rFonts w:ascii="Palatino Linotype" w:eastAsia="Times New Roman" w:hAnsi="Palatino Linotype" w:cs="Times New Roman"/>
      <w:color w:val="000000"/>
      <w:sz w:val="20"/>
      <w:szCs w:val="22"/>
      <w:lang w:val="en-US" w:eastAsia="de-DE" w:bidi="en-US"/>
    </w:rPr>
  </w:style>
  <w:style w:type="paragraph" w:customStyle="1" w:styleId="MDPI38bullet">
    <w:name w:val="MDPI_3.8_bullet"/>
    <w:qFormat/>
    <w:rsid w:val="00152CF1"/>
    <w:pPr>
      <w:numPr>
        <w:numId w:val="4"/>
      </w:numPr>
      <w:adjustRightInd w:val="0"/>
      <w:snapToGrid w:val="0"/>
      <w:spacing w:line="228" w:lineRule="auto"/>
      <w:jc w:val="both"/>
    </w:pPr>
    <w:rPr>
      <w:rFonts w:ascii="Palatino Linotype" w:eastAsia="Times New Roman" w:hAnsi="Palatino Linotype" w:cs="Times New Roman"/>
      <w:color w:val="000000"/>
      <w:sz w:val="20"/>
      <w:szCs w:val="22"/>
      <w:lang w:val="en-US" w:eastAsia="de-DE" w:bidi="en-US"/>
    </w:rPr>
  </w:style>
  <w:style w:type="paragraph" w:customStyle="1" w:styleId="MDPI39equation">
    <w:name w:val="MDPI_3.9_equation"/>
    <w:qFormat/>
    <w:rsid w:val="00152CF1"/>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szCs w:val="22"/>
      <w:lang w:val="en-US" w:eastAsia="de-DE" w:bidi="en-US"/>
    </w:rPr>
  </w:style>
  <w:style w:type="paragraph" w:customStyle="1" w:styleId="MDPI3aequationnumber">
    <w:name w:val="MDPI_3.a_equation_number"/>
    <w:qFormat/>
    <w:rsid w:val="00152CF1"/>
    <w:pPr>
      <w:spacing w:before="120" w:after="120"/>
      <w:jc w:val="right"/>
    </w:pPr>
    <w:rPr>
      <w:rFonts w:ascii="Palatino Linotype" w:eastAsia="Times New Roman" w:hAnsi="Palatino Linotype" w:cs="Times New Roman"/>
      <w:snapToGrid w:val="0"/>
      <w:color w:val="000000"/>
      <w:sz w:val="20"/>
      <w:szCs w:val="22"/>
      <w:lang w:val="en-US" w:eastAsia="de-DE" w:bidi="en-US"/>
    </w:rPr>
  </w:style>
  <w:style w:type="paragraph" w:customStyle="1" w:styleId="MDPI411onetablecaption">
    <w:name w:val="MDPI_4.1.1_one_table_caption"/>
    <w:qFormat/>
    <w:rsid w:val="00152CF1"/>
    <w:pPr>
      <w:adjustRightInd w:val="0"/>
      <w:snapToGrid w:val="0"/>
      <w:spacing w:before="240" w:after="120" w:line="260" w:lineRule="atLeast"/>
      <w:jc w:val="center"/>
    </w:pPr>
    <w:rPr>
      <w:rFonts w:ascii="Palatino Linotype" w:eastAsiaTheme="minorEastAsia" w:hAnsi="Palatino Linotype"/>
      <w:noProof/>
      <w:color w:val="000000"/>
      <w:sz w:val="18"/>
      <w:szCs w:val="22"/>
      <w:lang w:val="en-US" w:eastAsia="zh-CN" w:bidi="en-US"/>
    </w:rPr>
  </w:style>
  <w:style w:type="paragraph" w:customStyle="1" w:styleId="MDPI41tablecaption">
    <w:name w:val="MDPI_4.1_table_caption"/>
    <w:qFormat/>
    <w:rsid w:val="00152CF1"/>
    <w:pPr>
      <w:adjustRightInd w:val="0"/>
      <w:snapToGrid w:val="0"/>
      <w:spacing w:before="240" w:after="120" w:line="228" w:lineRule="auto"/>
      <w:ind w:left="2608"/>
    </w:pPr>
    <w:rPr>
      <w:rFonts w:ascii="Palatino Linotype" w:eastAsia="Times New Roman" w:hAnsi="Palatino Linotype"/>
      <w:color w:val="000000"/>
      <w:sz w:val="18"/>
      <w:szCs w:val="22"/>
      <w:lang w:val="en-US" w:eastAsia="de-DE" w:bidi="en-US"/>
    </w:rPr>
  </w:style>
  <w:style w:type="table" w:customStyle="1" w:styleId="MDPI41threelinetable">
    <w:name w:val="MDPI_4.1_three_line_table"/>
    <w:basedOn w:val="Tablanormal"/>
    <w:uiPriority w:val="99"/>
    <w:rsid w:val="00152CF1"/>
    <w:pPr>
      <w:adjustRightInd w:val="0"/>
      <w:snapToGrid w:val="0"/>
      <w:jc w:val="center"/>
    </w:pPr>
    <w:rPr>
      <w:rFonts w:ascii="Palatino Linotype" w:eastAsiaTheme="minorEastAsia"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2tablebody">
    <w:name w:val="MDPI_4.2_table_body"/>
    <w:qFormat/>
    <w:rsid w:val="00152CF1"/>
    <w:pPr>
      <w:adjustRightInd w:val="0"/>
      <w:snapToGrid w:val="0"/>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152CF1"/>
    <w:pPr>
      <w:adjustRightInd w:val="0"/>
      <w:snapToGrid w:val="0"/>
      <w:spacing w:after="240" w:line="228" w:lineRule="auto"/>
      <w:ind w:left="2608"/>
    </w:pPr>
    <w:rPr>
      <w:rFonts w:ascii="Palatino Linotype" w:eastAsia="Times New Roman" w:hAnsi="Palatino Linotype" w:cs="Cordia New"/>
      <w:color w:val="000000"/>
      <w:sz w:val="18"/>
      <w:szCs w:val="22"/>
      <w:lang w:val="en-US" w:eastAsia="de-DE" w:bidi="en-US"/>
    </w:rPr>
  </w:style>
  <w:style w:type="paragraph" w:customStyle="1" w:styleId="MDPI511onefigurecaption">
    <w:name w:val="MDPI_5.1.1_one_figure_caption"/>
    <w:qFormat/>
    <w:rsid w:val="00152CF1"/>
    <w:pPr>
      <w:adjustRightInd w:val="0"/>
      <w:snapToGrid w:val="0"/>
      <w:spacing w:before="240" w:after="120" w:line="260" w:lineRule="atLeast"/>
      <w:jc w:val="center"/>
    </w:pPr>
    <w:rPr>
      <w:rFonts w:ascii="Palatino Linotype" w:eastAsiaTheme="minorEastAsia" w:hAnsi="Palatino Linotype" w:cs="Times New Roman"/>
      <w:noProof/>
      <w:color w:val="000000"/>
      <w:sz w:val="18"/>
      <w:szCs w:val="20"/>
      <w:lang w:val="en-US" w:eastAsia="zh-CN" w:bidi="en-US"/>
    </w:rPr>
  </w:style>
  <w:style w:type="paragraph" w:customStyle="1" w:styleId="MDPI51figurecaption">
    <w:name w:val="MDPI_5.1_figure_caption"/>
    <w:qFormat/>
    <w:rsid w:val="00152CF1"/>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152CF1"/>
    <w:pPr>
      <w:adjustRightInd w:val="0"/>
      <w:snapToGrid w:val="0"/>
      <w:spacing w:before="240" w:after="120"/>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61Citation">
    <w:name w:val="MDPI_6.1_Citation"/>
    <w:qFormat/>
    <w:rsid w:val="00152CF1"/>
    <w:pPr>
      <w:adjustRightInd w:val="0"/>
      <w:snapToGrid w:val="0"/>
      <w:spacing w:line="240" w:lineRule="atLeast"/>
      <w:ind w:right="113"/>
    </w:pPr>
    <w:rPr>
      <w:rFonts w:ascii="Palatino Linotype" w:eastAsiaTheme="minorEastAsia" w:hAnsi="Palatino Linotype"/>
      <w:sz w:val="14"/>
      <w:szCs w:val="22"/>
      <w:lang w:val="en-US" w:eastAsia="zh-CN"/>
    </w:rPr>
  </w:style>
  <w:style w:type="paragraph" w:customStyle="1" w:styleId="MDPI62BackMatter">
    <w:name w:val="MDPI_6.2_BackMatter"/>
    <w:qFormat/>
    <w:rsid w:val="00152CF1"/>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152CF1"/>
    <w:pPr>
      <w:adjustRightInd w:val="0"/>
      <w:snapToGrid w:val="0"/>
      <w:spacing w:after="120" w:line="240" w:lineRule="atLeast"/>
      <w:ind w:right="113"/>
    </w:pPr>
    <w:rPr>
      <w:rFonts w:ascii="Palatino Linotype" w:eastAsia="SimSun" w:hAnsi="Palatino Linotype" w:cs="Times New Roman"/>
      <w:snapToGrid w:val="0"/>
      <w:color w:val="000000" w:themeColor="text1"/>
      <w:sz w:val="14"/>
      <w:szCs w:val="20"/>
      <w:lang w:val="en-US" w:bidi="en-US"/>
    </w:rPr>
  </w:style>
  <w:style w:type="paragraph" w:customStyle="1" w:styleId="MDPI71FootNotes">
    <w:name w:val="MDPI_7.1_FootNotes"/>
    <w:qFormat/>
    <w:rsid w:val="00152CF1"/>
    <w:pPr>
      <w:numPr>
        <w:numId w:val="5"/>
      </w:numPr>
      <w:adjustRightInd w:val="0"/>
      <w:snapToGrid w:val="0"/>
      <w:spacing w:line="228" w:lineRule="auto"/>
      <w:jc w:val="both"/>
    </w:pPr>
    <w:rPr>
      <w:rFonts w:ascii="Palatino Linotype" w:eastAsiaTheme="minorEastAsia" w:hAnsi="Palatino Linotype" w:cs="Times New Roman"/>
      <w:noProof/>
      <w:color w:val="000000"/>
      <w:sz w:val="18"/>
      <w:szCs w:val="20"/>
      <w:lang w:val="en-US" w:eastAsia="zh-CN"/>
    </w:rPr>
  </w:style>
  <w:style w:type="paragraph" w:customStyle="1" w:styleId="MDPI71References">
    <w:name w:val="MDPI_7.1_References"/>
    <w:qFormat/>
    <w:rsid w:val="00152CF1"/>
    <w:pPr>
      <w:numPr>
        <w:numId w:val="6"/>
      </w:numPr>
      <w:adjustRightInd w:val="0"/>
      <w:snapToGrid w:val="0"/>
      <w:spacing w:line="228" w:lineRule="auto"/>
      <w:jc w:val="both"/>
    </w:pPr>
    <w:rPr>
      <w:rFonts w:ascii="Palatino Linotype" w:eastAsia="Times New Roman" w:hAnsi="Palatino Linotype" w:cs="Times New Roman"/>
      <w:color w:val="000000"/>
      <w:sz w:val="18"/>
      <w:szCs w:val="20"/>
      <w:lang w:val="en-US" w:eastAsia="de-DE" w:bidi="en-US"/>
    </w:rPr>
  </w:style>
  <w:style w:type="paragraph" w:customStyle="1" w:styleId="MDPI72Copyright">
    <w:name w:val="MDPI_7.2_Copyright"/>
    <w:qFormat/>
    <w:rsid w:val="00152CF1"/>
    <w:pPr>
      <w:adjustRightInd w:val="0"/>
      <w:snapToGrid w:val="0"/>
      <w:spacing w:before="240" w:line="240" w:lineRule="atLeast"/>
      <w:ind w:right="113"/>
    </w:pPr>
    <w:rPr>
      <w:rFonts w:ascii="Palatino Linotype" w:eastAsia="Times New Roman" w:hAnsi="Palatino Linotype" w:cs="Times New Roman"/>
      <w:noProof/>
      <w:snapToGrid w:val="0"/>
      <w:color w:val="000000"/>
      <w:spacing w:val="-2"/>
      <w:sz w:val="14"/>
      <w:szCs w:val="20"/>
      <w:lang w:val="en-GB" w:eastAsia="en-GB"/>
    </w:rPr>
  </w:style>
  <w:style w:type="paragraph" w:customStyle="1" w:styleId="MDPI73CopyrightImage">
    <w:name w:val="MDPI_7.3_CopyrightImage"/>
    <w:rsid w:val="00152CF1"/>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81theorem">
    <w:name w:val="MDPI_8.1_theorem"/>
    <w:qFormat/>
    <w:rsid w:val="00152CF1"/>
    <w:pPr>
      <w:adjustRightInd w:val="0"/>
      <w:snapToGrid w:val="0"/>
      <w:spacing w:line="228" w:lineRule="auto"/>
      <w:ind w:left="2608"/>
      <w:jc w:val="both"/>
    </w:pPr>
    <w:rPr>
      <w:rFonts w:ascii="Palatino Linotype" w:eastAsia="Times New Roman" w:hAnsi="Palatino Linotype" w:cs="Times New Roman"/>
      <w:i/>
      <w:snapToGrid w:val="0"/>
      <w:color w:val="000000"/>
      <w:sz w:val="20"/>
      <w:szCs w:val="22"/>
      <w:lang w:val="en-US" w:eastAsia="de-DE" w:bidi="en-US"/>
    </w:rPr>
  </w:style>
  <w:style w:type="paragraph" w:customStyle="1" w:styleId="MDPI82proof">
    <w:name w:val="MDPI_8.2_proof"/>
    <w:qFormat/>
    <w:rsid w:val="00152CF1"/>
    <w:pPr>
      <w:adjustRightInd w:val="0"/>
      <w:snapToGrid w:val="0"/>
      <w:spacing w:line="228" w:lineRule="auto"/>
      <w:ind w:left="2608"/>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equationFram">
    <w:name w:val="MDPI_equationFram"/>
    <w:qFormat/>
    <w:rsid w:val="00152CF1"/>
    <w:pPr>
      <w:adjustRightInd w:val="0"/>
      <w:snapToGrid w:val="0"/>
      <w:spacing w:before="120" w:after="120"/>
      <w:jc w:val="center"/>
    </w:pPr>
    <w:rPr>
      <w:rFonts w:ascii="Palatino Linotype" w:eastAsia="Times New Roman" w:hAnsi="Palatino Linotype" w:cs="Times New Roman"/>
      <w:snapToGrid w:val="0"/>
      <w:color w:val="000000"/>
      <w:sz w:val="20"/>
      <w:szCs w:val="22"/>
      <w:lang w:val="en-US" w:eastAsia="de-DE" w:bidi="en-US"/>
    </w:rPr>
  </w:style>
  <w:style w:type="paragraph" w:customStyle="1" w:styleId="MDPIfooter">
    <w:name w:val="MDPI_footer"/>
    <w:qFormat/>
    <w:rsid w:val="00152CF1"/>
    <w:pPr>
      <w:adjustRightInd w:val="0"/>
      <w:snapToGrid w:val="0"/>
      <w:spacing w:before="12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152CF1"/>
    <w:pPr>
      <w:tabs>
        <w:tab w:val="right" w:pos="8845"/>
      </w:tabs>
      <w:spacing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152CF1"/>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152CF1"/>
    <w:pPr>
      <w:spacing w:after="240"/>
    </w:pPr>
    <w:rPr>
      <w:rFonts w:ascii="Palatino Linotype" w:eastAsia="Times New Roman" w:hAnsi="Palatino Linotype" w:cs="Times New Roman"/>
      <w:snapToGrid w:val="0"/>
      <w:color w:val="000000"/>
      <w:sz w:val="18"/>
      <w:szCs w:val="20"/>
      <w:lang w:val="en-US" w:eastAsia="de-DE" w:bidi="en-US"/>
    </w:rPr>
  </w:style>
  <w:style w:type="paragraph" w:customStyle="1" w:styleId="MDPIheaderjournallogo">
    <w:name w:val="MDPI_header_journal_logo"/>
    <w:qFormat/>
    <w:rsid w:val="00152CF1"/>
    <w:pPr>
      <w:adjustRightInd w:val="0"/>
      <w:snapToGrid w:val="0"/>
      <w:spacing w:line="260" w:lineRule="atLeast"/>
      <w:jc w:val="both"/>
    </w:pPr>
    <w:rPr>
      <w:rFonts w:ascii="Palatino Linotype" w:eastAsia="Times New Roman" w:hAnsi="Palatino Linotype" w:cs="Times New Roman"/>
      <w:i/>
      <w:color w:val="000000"/>
      <w:szCs w:val="22"/>
      <w:lang w:val="en-US" w:eastAsia="de-CH"/>
    </w:rPr>
  </w:style>
  <w:style w:type="paragraph" w:customStyle="1" w:styleId="MDPIheadermdpilogo">
    <w:name w:val="MDPI_header_mdpi_logo"/>
    <w:qFormat/>
    <w:rsid w:val="00152CF1"/>
    <w:pPr>
      <w:adjustRightInd w:val="0"/>
      <w:snapToGrid w:val="0"/>
      <w:spacing w:line="260" w:lineRule="atLeast"/>
      <w:jc w:val="right"/>
    </w:pPr>
    <w:rPr>
      <w:rFonts w:ascii="Palatino Linotype" w:eastAsia="Times New Roman" w:hAnsi="Palatino Linotype" w:cs="Times New Roman"/>
      <w:color w:val="000000"/>
      <w:szCs w:val="22"/>
      <w:lang w:val="en-US" w:eastAsia="de-CH"/>
    </w:rPr>
  </w:style>
  <w:style w:type="table" w:customStyle="1" w:styleId="MDPITable">
    <w:name w:val="MDPI_Table"/>
    <w:basedOn w:val="Tablanormal"/>
    <w:uiPriority w:val="99"/>
    <w:rsid w:val="00152CF1"/>
    <w:rPr>
      <w:rFonts w:ascii="Palatino Linotype" w:eastAsia="SimSun" w:hAnsi="Palatino Linotype" w:cs="Times New Roman"/>
      <w:color w:val="000000" w:themeColor="text1"/>
      <w:sz w:val="20"/>
      <w:szCs w:val="20"/>
      <w:lang w:val="en-CA"/>
    </w:rPr>
    <w:tblPr>
      <w:tblCellMar>
        <w:left w:w="0" w:type="dxa"/>
        <w:right w:w="0" w:type="dxa"/>
      </w:tblCellMar>
    </w:tblPr>
  </w:style>
  <w:style w:type="paragraph" w:customStyle="1" w:styleId="MDPItext">
    <w:name w:val="MDPI_text"/>
    <w:qFormat/>
    <w:rsid w:val="00152CF1"/>
    <w:pPr>
      <w:spacing w:line="260" w:lineRule="atLeast"/>
      <w:ind w:left="425" w:right="425" w:firstLine="284"/>
      <w:jc w:val="both"/>
    </w:pPr>
    <w:rPr>
      <w:rFonts w:ascii="Times New Roman" w:eastAsia="Times New Roman" w:hAnsi="Times New Roman" w:cs="Times New Roman"/>
      <w:noProof/>
      <w:snapToGrid w:val="0"/>
      <w:color w:val="000000"/>
      <w:sz w:val="22"/>
      <w:szCs w:val="22"/>
      <w:lang w:val="en-US" w:eastAsia="de-DE" w:bidi="en-US"/>
    </w:rPr>
  </w:style>
  <w:style w:type="paragraph" w:customStyle="1" w:styleId="MDPItitle">
    <w:name w:val="MDPI_title"/>
    <w:qFormat/>
    <w:rsid w:val="00152CF1"/>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styleId="Nmerodelnea">
    <w:name w:val="line number"/>
    <w:uiPriority w:val="99"/>
    <w:rsid w:val="00152CF1"/>
    <w:rPr>
      <w:rFonts w:ascii="Palatino Linotype" w:hAnsi="Palatino Linotype"/>
      <w:sz w:val="16"/>
    </w:rPr>
  </w:style>
  <w:style w:type="table" w:styleId="Tablaconcuadrcula">
    <w:name w:val="Table Grid"/>
    <w:basedOn w:val="Tablanormal"/>
    <w:uiPriority w:val="39"/>
    <w:rsid w:val="00152C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80098">
      <w:bodyDiv w:val="1"/>
      <w:marLeft w:val="0"/>
      <w:marRight w:val="0"/>
      <w:marTop w:val="0"/>
      <w:marBottom w:val="0"/>
      <w:divBdr>
        <w:top w:val="none" w:sz="0" w:space="0" w:color="auto"/>
        <w:left w:val="none" w:sz="0" w:space="0" w:color="auto"/>
        <w:bottom w:val="none" w:sz="0" w:space="0" w:color="auto"/>
        <w:right w:val="none" w:sz="0" w:space="0" w:color="auto"/>
      </w:divBdr>
    </w:div>
    <w:div w:id="417748791">
      <w:bodyDiv w:val="1"/>
      <w:marLeft w:val="0"/>
      <w:marRight w:val="0"/>
      <w:marTop w:val="0"/>
      <w:marBottom w:val="0"/>
      <w:divBdr>
        <w:top w:val="none" w:sz="0" w:space="0" w:color="auto"/>
        <w:left w:val="none" w:sz="0" w:space="0" w:color="auto"/>
        <w:bottom w:val="none" w:sz="0" w:space="0" w:color="auto"/>
        <w:right w:val="none" w:sz="0" w:space="0" w:color="auto"/>
      </w:divBdr>
    </w:div>
    <w:div w:id="600647141">
      <w:bodyDiv w:val="1"/>
      <w:marLeft w:val="0"/>
      <w:marRight w:val="0"/>
      <w:marTop w:val="0"/>
      <w:marBottom w:val="0"/>
      <w:divBdr>
        <w:top w:val="none" w:sz="0" w:space="0" w:color="auto"/>
        <w:left w:val="none" w:sz="0" w:space="0" w:color="auto"/>
        <w:bottom w:val="none" w:sz="0" w:space="0" w:color="auto"/>
        <w:right w:val="none" w:sz="0" w:space="0" w:color="auto"/>
      </w:divBdr>
    </w:div>
    <w:div w:id="1312563294">
      <w:bodyDiv w:val="1"/>
      <w:marLeft w:val="0"/>
      <w:marRight w:val="0"/>
      <w:marTop w:val="0"/>
      <w:marBottom w:val="0"/>
      <w:divBdr>
        <w:top w:val="none" w:sz="0" w:space="0" w:color="auto"/>
        <w:left w:val="none" w:sz="0" w:space="0" w:color="auto"/>
        <w:bottom w:val="none" w:sz="0" w:space="0" w:color="auto"/>
        <w:right w:val="none" w:sz="0" w:space="0" w:color="auto"/>
      </w:divBdr>
    </w:div>
    <w:div w:id="192526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9</Pages>
  <Words>4255</Words>
  <Characters>23408</Characters>
  <Application>Microsoft Office Word</Application>
  <DocSecurity>0</DocSecurity>
  <Lines>195</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vt:lpstr>
      <vt:lpstr/>
    </vt:vector>
  </TitlesOfParts>
  <Company/>
  <LinksUpToDate>false</LinksUpToDate>
  <CharactersWithSpaces>27608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c:title>
  <dc:subject/>
  <dc:creator>MDPI</dc:creator>
  <cp:keywords/>
  <dc:description/>
  <cp:lastModifiedBy>Microsoft Office User</cp:lastModifiedBy>
  <cp:revision>11</cp:revision>
  <cp:lastPrinted>2022-08-15T03:44:00Z</cp:lastPrinted>
  <dcterms:created xsi:type="dcterms:W3CDTF">2022-08-15T03:37:00Z</dcterms:created>
  <dcterms:modified xsi:type="dcterms:W3CDTF">2022-09-07T23:47:00Z</dcterms:modified>
</cp:coreProperties>
</file>