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5DA" w:rsidRPr="009645DA" w:rsidRDefault="009645DA" w:rsidP="009645DA">
      <w:pPr>
        <w:widowControl/>
        <w:wordWrap/>
        <w:autoSpaceDE/>
        <w:autoSpaceDN/>
        <w:rPr>
          <w:rFonts w:ascii="Calibri" w:eastAsia="맑은 고딕" w:hAnsi="Calibri" w:cs="Times New Roman"/>
          <w:b/>
          <w:kern w:val="0"/>
          <w:sz w:val="22"/>
        </w:rPr>
      </w:pPr>
      <w:r w:rsidRPr="009645DA">
        <w:rPr>
          <w:rFonts w:ascii="Calibri" w:eastAsia="맑은 고딕" w:hAnsi="Calibri" w:cs="Times New Roman"/>
          <w:b/>
          <w:kern w:val="0"/>
          <w:sz w:val="28"/>
        </w:rPr>
        <w:t>Reviewer 1</w:t>
      </w:r>
    </w:p>
    <w:p w:rsidR="009645DA" w:rsidRPr="009645DA" w:rsidRDefault="009645DA" w:rsidP="009645DA">
      <w:pPr>
        <w:widowControl/>
        <w:wordWrap/>
        <w:autoSpaceDE/>
        <w:autoSpaceDN/>
        <w:rPr>
          <w:rFonts w:ascii="Calibri" w:eastAsia="맑은 고딕" w:hAnsi="Calibri" w:cs="Times New Roman"/>
          <w:kern w:val="0"/>
          <w:sz w:val="22"/>
        </w:rPr>
      </w:pPr>
    </w:p>
    <w:p w:rsidR="009645DA" w:rsidRPr="009645DA" w:rsidRDefault="009645DA" w:rsidP="009645DA">
      <w:pPr>
        <w:widowControl/>
        <w:wordWrap/>
        <w:autoSpaceDE/>
        <w:autoSpaceDN/>
        <w:rPr>
          <w:rFonts w:ascii="Calibri" w:eastAsia="맑은 고딕" w:hAnsi="Calibri" w:cs="Times New Roman"/>
          <w:kern w:val="0"/>
          <w:sz w:val="22"/>
        </w:rPr>
      </w:pPr>
      <w:r w:rsidRPr="009645DA">
        <w:rPr>
          <w:rFonts w:ascii="Calibri" w:eastAsia="맑은 고딕" w:hAnsi="Calibri" w:cs="Times New Roman"/>
          <w:kern w:val="0"/>
          <w:sz w:val="22"/>
        </w:rPr>
        <w:t>Comments to Authors:</w:t>
      </w:r>
    </w:p>
    <w:p w:rsidR="009645DA" w:rsidRPr="009645DA" w:rsidRDefault="009645DA" w:rsidP="009645DA">
      <w:pPr>
        <w:widowControl/>
        <w:wordWrap/>
        <w:autoSpaceDE/>
        <w:autoSpaceDN/>
        <w:rPr>
          <w:rFonts w:ascii="Calibri" w:eastAsia="맑은 고딕" w:hAnsi="Calibri" w:cs="Times New Roman"/>
          <w:kern w:val="0"/>
          <w:sz w:val="22"/>
        </w:rPr>
      </w:pPr>
      <w:r w:rsidRPr="009645DA">
        <w:rPr>
          <w:rFonts w:ascii="Calibri" w:eastAsia="맑은 고딕" w:hAnsi="Calibri" w:cs="Times New Roman"/>
          <w:kern w:val="0"/>
          <w:sz w:val="22"/>
        </w:rPr>
        <w:t>This is an interesting article on a relevant topic. However, there are some aspects that need correction or review before publication:</w:t>
      </w:r>
    </w:p>
    <w:p w:rsidR="009645DA" w:rsidRPr="009645DA" w:rsidRDefault="009645DA" w:rsidP="009645DA">
      <w:pPr>
        <w:widowControl/>
        <w:wordWrap/>
        <w:autoSpaceDE/>
        <w:autoSpaceDN/>
        <w:rPr>
          <w:rFonts w:ascii="Calibri" w:eastAsia="맑은 고딕" w:hAnsi="Calibri" w:cs="Times New Roman"/>
          <w:kern w:val="0"/>
          <w:sz w:val="22"/>
        </w:rPr>
      </w:pPr>
      <w:r w:rsidRPr="009645DA">
        <w:rPr>
          <w:rFonts w:ascii="Calibri" w:eastAsia="맑은 고딕" w:hAnsi="Calibri" w:cs="Times New Roman"/>
          <w:kern w:val="0"/>
          <w:sz w:val="22"/>
        </w:rPr>
        <w:t>Major issues:</w:t>
      </w:r>
    </w:p>
    <w:p w:rsidR="009645DA" w:rsidRPr="009645DA" w:rsidRDefault="009645DA" w:rsidP="009645DA">
      <w:pPr>
        <w:widowControl/>
        <w:wordWrap/>
        <w:autoSpaceDE/>
        <w:autoSpaceDN/>
        <w:rPr>
          <w:rFonts w:ascii="Calibri" w:eastAsia="맑은 고딕" w:hAnsi="Calibri" w:cs="Times New Roman"/>
          <w:kern w:val="0"/>
          <w:sz w:val="22"/>
        </w:rPr>
      </w:pPr>
      <w:r w:rsidRPr="009645DA">
        <w:rPr>
          <w:rFonts w:ascii="Calibri" w:eastAsia="맑은 고딕" w:hAnsi="Calibri" w:cs="Times New Roman"/>
          <w:kern w:val="0"/>
          <w:sz w:val="22"/>
        </w:rPr>
        <w:t xml:space="preserve">1. The Introduction section (Page 2/11, para 1): would benefit from adding a further description regarding the clinical significance of examining the impact of </w:t>
      </w:r>
      <w:proofErr w:type="spellStart"/>
      <w:r w:rsidRPr="009645DA">
        <w:rPr>
          <w:rFonts w:ascii="Calibri" w:eastAsia="맑은 고딕" w:hAnsi="Calibri" w:cs="Times New Roman"/>
          <w:kern w:val="0"/>
          <w:sz w:val="22"/>
        </w:rPr>
        <w:t>sarcopenia</w:t>
      </w:r>
      <w:proofErr w:type="spellEnd"/>
      <w:r w:rsidRPr="009645DA">
        <w:rPr>
          <w:rFonts w:ascii="Calibri" w:eastAsia="맑은 고딕" w:hAnsi="Calibri" w:cs="Times New Roman"/>
          <w:kern w:val="0"/>
          <w:sz w:val="22"/>
        </w:rPr>
        <w:t>-related factors on the presence of neuropathic pain components in patients with chronic musculoskeletal pain. The lack of relevant research is not sufficient. In addition, it is important to present a few words in the Introduction section regarding the potential mechanistic association between neuropathic-like pain symptoms and their association with muscle strength.</w:t>
      </w:r>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xml:space="preserve">→ We truly thank you for your thorough review and constructive comments on our study. </w:t>
      </w:r>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xml:space="preserve">→ </w:t>
      </w:r>
      <w:r w:rsidRPr="009645DA">
        <w:rPr>
          <w:rFonts w:ascii="Calibri" w:eastAsia="맑은 고딕" w:hAnsi="Calibri" w:cs="Times New Roman" w:hint="eastAsia"/>
          <w:color w:val="FF0000"/>
          <w:kern w:val="0"/>
          <w:sz w:val="22"/>
        </w:rPr>
        <w:t xml:space="preserve">We have </w:t>
      </w:r>
      <w:r w:rsidRPr="009645DA">
        <w:rPr>
          <w:rFonts w:ascii="Calibri" w:eastAsia="맑은 고딕" w:hAnsi="Calibri" w:cs="Times New Roman"/>
          <w:color w:val="FF0000"/>
          <w:kern w:val="0"/>
          <w:sz w:val="22"/>
        </w:rPr>
        <w:t xml:space="preserve">revised this part in the introduction section. </w:t>
      </w:r>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The fear of pain following movement or physical activity in patients experiencing neuropathic-like pain symptoms can be a predisposing factor relevant to the development and aggravation of loss of muscle strength and mass. We hypothesized that reduced muscle strength or muscle mass might be associated with neuropathic-like pain symptoms in patients with chronic musculoskeletal pain.</w:t>
      </w:r>
    </w:p>
    <w:p w:rsidR="009645DA" w:rsidRPr="009645DA" w:rsidRDefault="009645DA" w:rsidP="009645DA">
      <w:pPr>
        <w:widowControl/>
        <w:wordWrap/>
        <w:autoSpaceDE/>
        <w:autoSpaceDN/>
        <w:rPr>
          <w:rFonts w:ascii="Calibri" w:eastAsia="맑은 고딕" w:hAnsi="Calibri" w:cs="Times New Roman"/>
          <w:kern w:val="0"/>
          <w:sz w:val="22"/>
        </w:rPr>
      </w:pPr>
    </w:p>
    <w:p w:rsidR="009645DA" w:rsidRPr="009645DA" w:rsidRDefault="009645DA" w:rsidP="009645DA">
      <w:pPr>
        <w:widowControl/>
        <w:wordWrap/>
        <w:autoSpaceDE/>
        <w:autoSpaceDN/>
        <w:rPr>
          <w:rFonts w:ascii="Calibri" w:eastAsia="맑은 고딕" w:hAnsi="Calibri" w:cs="Times New Roman"/>
          <w:kern w:val="0"/>
          <w:sz w:val="22"/>
        </w:rPr>
      </w:pPr>
      <w:r w:rsidRPr="009645DA">
        <w:rPr>
          <w:rFonts w:ascii="Calibri" w:eastAsia="맑은 고딕" w:hAnsi="Calibri" w:cs="Times New Roman"/>
          <w:kern w:val="0"/>
          <w:sz w:val="22"/>
        </w:rPr>
        <w:t>2. Different pain locations of chronic musculoskeletal muscle pain play a significant role in physical performance and adverse outcomes. Thus, it is critically important for you to provide further analyses regarding the impacts of different chronic musculoskeletal pain locations on neuropathic-like pain and their association with muscle strength.</w:t>
      </w:r>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xml:space="preserve">→ We absolutely agree your opinion. We have sub-analyzed the data as you suggested. </w:t>
      </w:r>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xml:space="preserve">→ As shown in results section, patients with pain on back or chest wall and lower limbs reported higher </w:t>
      </w:r>
      <w:proofErr w:type="spellStart"/>
      <w:r w:rsidRPr="009645DA">
        <w:rPr>
          <w:rFonts w:ascii="Calibri" w:eastAsia="맑은 고딕" w:hAnsi="Calibri" w:cs="Times New Roman"/>
          <w:color w:val="FF0000"/>
          <w:kern w:val="0"/>
          <w:sz w:val="22"/>
        </w:rPr>
        <w:t>painDETECT</w:t>
      </w:r>
      <w:proofErr w:type="spellEnd"/>
      <w:r w:rsidRPr="009645DA">
        <w:rPr>
          <w:rFonts w:ascii="Calibri" w:eastAsia="맑은 고딕" w:hAnsi="Calibri" w:cs="Times New Roman"/>
          <w:color w:val="FF0000"/>
          <w:kern w:val="0"/>
          <w:sz w:val="22"/>
        </w:rPr>
        <w:t xml:space="preserve"> scores. In multivariate analysis, only lower limbs pain among pain location categories was associated with </w:t>
      </w:r>
      <w:proofErr w:type="spellStart"/>
      <w:r w:rsidRPr="009645DA">
        <w:rPr>
          <w:rFonts w:ascii="Calibri" w:eastAsia="맑은 고딕" w:hAnsi="Calibri" w:cs="Times New Roman"/>
          <w:color w:val="FF0000"/>
          <w:kern w:val="0"/>
          <w:sz w:val="22"/>
        </w:rPr>
        <w:t>painDETECT</w:t>
      </w:r>
      <w:proofErr w:type="spellEnd"/>
      <w:r w:rsidRPr="009645DA">
        <w:rPr>
          <w:rFonts w:ascii="Calibri" w:eastAsia="맑은 고딕" w:hAnsi="Calibri" w:cs="Times New Roman"/>
          <w:color w:val="FF0000"/>
          <w:kern w:val="0"/>
          <w:sz w:val="22"/>
        </w:rPr>
        <w:t xml:space="preserve"> </w:t>
      </w:r>
      <w:r w:rsidRPr="009645DA">
        <w:rPr>
          <w:rFonts w:ascii="Calibri" w:eastAsia="맑은 고딕" w:hAnsi="Calibri" w:cs="Calibri"/>
          <w:color w:val="FF0000"/>
          <w:kern w:val="0"/>
          <w:sz w:val="22"/>
        </w:rPr>
        <w:t>≥</w:t>
      </w:r>
      <w:r w:rsidRPr="009645DA">
        <w:rPr>
          <w:rFonts w:ascii="Calibri" w:eastAsia="맑은 고딕" w:hAnsi="Calibri" w:cs="Times New Roman"/>
          <w:color w:val="FF0000"/>
          <w:kern w:val="0"/>
          <w:sz w:val="22"/>
        </w:rPr>
        <w:t xml:space="preserve">13.  Patients with pain on upper limbs or low back area showed lower HGS than those with pain on other pain sites.  </w:t>
      </w:r>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xml:space="preserve">→ We have briefly described this to the results section of the revised manuscript. </w:t>
      </w:r>
    </w:p>
    <w:tbl>
      <w:tblPr>
        <w:tblStyle w:val="1"/>
        <w:tblW w:w="0" w:type="auto"/>
        <w:tblLook w:val="04A0" w:firstRow="1" w:lastRow="0" w:firstColumn="1" w:lastColumn="0" w:noHBand="0" w:noVBand="1"/>
      </w:tblPr>
      <w:tblGrid>
        <w:gridCol w:w="1495"/>
        <w:gridCol w:w="1496"/>
        <w:gridCol w:w="1516"/>
        <w:gridCol w:w="1496"/>
        <w:gridCol w:w="1517"/>
        <w:gridCol w:w="1496"/>
      </w:tblGrid>
      <w:tr w:rsidR="009645DA" w:rsidRPr="009645DA" w:rsidTr="00C930E4">
        <w:tc>
          <w:tcPr>
            <w:tcW w:w="1558" w:type="dxa"/>
          </w:tcPr>
          <w:p w:rsidR="009645DA" w:rsidRPr="009645DA" w:rsidRDefault="009645DA" w:rsidP="009645DA">
            <w:pPr>
              <w:widowControl/>
              <w:wordWrap/>
              <w:autoSpaceDE/>
              <w:autoSpaceDN/>
              <w:rPr>
                <w:rFonts w:ascii="Calibri" w:eastAsia="맑은 고딕" w:hAnsi="Calibri" w:cs="Times New Roman"/>
                <w:color w:val="FF0000"/>
              </w:rPr>
            </w:pPr>
          </w:p>
        </w:tc>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Neck (cervical spine)</w:t>
            </w:r>
          </w:p>
        </w:tc>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Upper limbs (shoulder, elbow, wrist, hand)</w:t>
            </w:r>
          </w:p>
        </w:tc>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Back (thoracic spine) and chest wall</w:t>
            </w:r>
          </w:p>
        </w:tc>
        <w:tc>
          <w:tcPr>
            <w:tcW w:w="1559"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Low back (lumbar spine)</w:t>
            </w:r>
          </w:p>
        </w:tc>
        <w:tc>
          <w:tcPr>
            <w:tcW w:w="1559"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Lower limbs (hip, knee, ankle, foot)</w:t>
            </w:r>
          </w:p>
        </w:tc>
      </w:tr>
      <w:tr w:rsidR="009645DA" w:rsidRPr="009645DA" w:rsidTr="00C930E4">
        <w:tc>
          <w:tcPr>
            <w:tcW w:w="1558" w:type="dxa"/>
          </w:tcPr>
          <w:p w:rsidR="009645DA" w:rsidRPr="009645DA" w:rsidRDefault="009645DA" w:rsidP="009645DA">
            <w:pPr>
              <w:widowControl/>
              <w:wordWrap/>
              <w:autoSpaceDE/>
              <w:autoSpaceDN/>
              <w:rPr>
                <w:rFonts w:ascii="Calibri" w:eastAsia="맑은 고딕" w:hAnsi="Calibri" w:cs="Times New Roman"/>
                <w:color w:val="FF0000"/>
              </w:rPr>
            </w:pPr>
            <w:proofErr w:type="spellStart"/>
            <w:r w:rsidRPr="009645DA">
              <w:rPr>
                <w:rFonts w:ascii="Calibri" w:eastAsia="맑은 고딕" w:hAnsi="Calibri" w:cs="Times New Roman" w:hint="eastAsia"/>
                <w:color w:val="FF0000"/>
              </w:rPr>
              <w:t>painDETECT</w:t>
            </w:r>
            <w:proofErr w:type="spellEnd"/>
            <w:r w:rsidRPr="009645DA">
              <w:rPr>
                <w:rFonts w:ascii="Calibri" w:eastAsia="맑은 고딕" w:hAnsi="Calibri" w:cs="Times New Roman"/>
                <w:color w:val="FF0000"/>
              </w:rPr>
              <w:t xml:space="preserve"> score</w:t>
            </w:r>
          </w:p>
        </w:tc>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 xml:space="preserve">6.00 (2.00-10.00) </w:t>
            </w:r>
            <w:proofErr w:type="spellStart"/>
            <w:r w:rsidRPr="009645DA">
              <w:rPr>
                <w:rFonts w:ascii="Calibri" w:eastAsia="맑은 고딕" w:hAnsi="Calibri" w:cs="Times New Roman"/>
                <w:i/>
                <w:color w:val="FF0000"/>
                <w:vertAlign w:val="superscript"/>
              </w:rPr>
              <w:t>c,e</w:t>
            </w:r>
            <w:proofErr w:type="spellEnd"/>
          </w:p>
        </w:tc>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 xml:space="preserve">6.00 (3.00-10.00) </w:t>
            </w:r>
            <w:proofErr w:type="spellStart"/>
            <w:r w:rsidRPr="009645DA">
              <w:rPr>
                <w:rFonts w:ascii="Calibri" w:eastAsia="맑은 고딕" w:hAnsi="Calibri" w:cs="Times New Roman"/>
                <w:i/>
                <w:color w:val="FF0000"/>
                <w:vertAlign w:val="superscript"/>
              </w:rPr>
              <w:t>c,e</w:t>
            </w:r>
            <w:proofErr w:type="spellEnd"/>
          </w:p>
        </w:tc>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 xml:space="preserve">6.00 (3.00-13.00) </w:t>
            </w:r>
            <w:proofErr w:type="spellStart"/>
            <w:r w:rsidRPr="009645DA">
              <w:rPr>
                <w:rFonts w:ascii="Calibri" w:eastAsia="맑은 고딕" w:hAnsi="Calibri" w:cs="Times New Roman"/>
                <w:color w:val="FF0000"/>
                <w:vertAlign w:val="superscript"/>
              </w:rPr>
              <w:t>a,b,d</w:t>
            </w:r>
            <w:proofErr w:type="spellEnd"/>
          </w:p>
        </w:tc>
        <w:tc>
          <w:tcPr>
            <w:tcW w:w="1559"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 xml:space="preserve">6.00 (2.00-10.00) </w:t>
            </w:r>
            <w:proofErr w:type="spellStart"/>
            <w:r w:rsidRPr="009645DA">
              <w:rPr>
                <w:rFonts w:ascii="Calibri" w:eastAsia="맑은 고딕" w:hAnsi="Calibri" w:cs="Times New Roman"/>
                <w:color w:val="FF0000"/>
                <w:vertAlign w:val="superscript"/>
              </w:rPr>
              <w:t>c,e</w:t>
            </w:r>
            <w:proofErr w:type="spellEnd"/>
          </w:p>
        </w:tc>
        <w:tc>
          <w:tcPr>
            <w:tcW w:w="1559"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 xml:space="preserve">7.00 (3.00-13.00) </w:t>
            </w:r>
            <w:proofErr w:type="spellStart"/>
            <w:r w:rsidRPr="009645DA">
              <w:rPr>
                <w:rFonts w:ascii="Calibri" w:eastAsia="맑은 고딕" w:hAnsi="Calibri" w:cs="Times New Roman"/>
                <w:color w:val="FF0000"/>
                <w:vertAlign w:val="superscript"/>
              </w:rPr>
              <w:t>a,b,d</w:t>
            </w:r>
            <w:proofErr w:type="spellEnd"/>
          </w:p>
        </w:tc>
      </w:tr>
      <w:tr w:rsidR="009645DA" w:rsidRPr="009645DA" w:rsidTr="00C930E4">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HGS, kg</w:t>
            </w:r>
          </w:p>
        </w:tc>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26.6±11.1</w:t>
            </w:r>
            <w:r w:rsidRPr="009645DA">
              <w:rPr>
                <w:rFonts w:ascii="Calibri" w:eastAsia="맑은 고딕" w:hAnsi="Calibri" w:cs="Times New Roman"/>
                <w:i/>
                <w:color w:val="FF0000"/>
                <w:vertAlign w:val="superscript"/>
              </w:rPr>
              <w:t>b,d</w:t>
            </w:r>
          </w:p>
        </w:tc>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22.8±10.2</w:t>
            </w:r>
            <w:r w:rsidRPr="009645DA">
              <w:rPr>
                <w:rFonts w:ascii="Calibri" w:eastAsia="맑은 고딕" w:hAnsi="Calibri" w:cs="Times New Roman"/>
                <w:i/>
                <w:color w:val="FF0000"/>
                <w:vertAlign w:val="superscript"/>
              </w:rPr>
              <w:t>a,c,e</w:t>
            </w:r>
          </w:p>
        </w:tc>
        <w:tc>
          <w:tcPr>
            <w:tcW w:w="1558"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25.5±10.8</w:t>
            </w:r>
            <w:r w:rsidRPr="009645DA">
              <w:rPr>
                <w:rFonts w:ascii="Calibri" w:eastAsia="맑은 고딕" w:hAnsi="Calibri" w:cs="Times New Roman"/>
                <w:i/>
                <w:color w:val="FF0000"/>
                <w:vertAlign w:val="superscript"/>
              </w:rPr>
              <w:t>b,d</w:t>
            </w:r>
          </w:p>
        </w:tc>
        <w:tc>
          <w:tcPr>
            <w:tcW w:w="1559"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23.8±10.1</w:t>
            </w:r>
            <w:r w:rsidRPr="009645DA">
              <w:rPr>
                <w:rFonts w:ascii="Calibri" w:eastAsia="맑은 고딕" w:hAnsi="Calibri" w:cs="Times New Roman"/>
                <w:i/>
                <w:color w:val="FF0000"/>
                <w:vertAlign w:val="superscript"/>
              </w:rPr>
              <w:t>a,c,e</w:t>
            </w:r>
          </w:p>
        </w:tc>
        <w:tc>
          <w:tcPr>
            <w:tcW w:w="1559" w:type="dxa"/>
          </w:tcPr>
          <w:p w:rsidR="009645DA" w:rsidRPr="009645DA" w:rsidRDefault="009645DA" w:rsidP="009645DA">
            <w:pPr>
              <w:widowControl/>
              <w:wordWrap/>
              <w:autoSpaceDE/>
              <w:autoSpaceDN/>
              <w:rPr>
                <w:rFonts w:ascii="Calibri" w:eastAsia="맑은 고딕" w:hAnsi="Calibri" w:cs="Times New Roman"/>
                <w:color w:val="FF0000"/>
              </w:rPr>
            </w:pPr>
            <w:r w:rsidRPr="009645DA">
              <w:rPr>
                <w:rFonts w:ascii="Calibri" w:eastAsia="맑은 고딕" w:hAnsi="Calibri" w:cs="Times New Roman"/>
                <w:color w:val="FF0000"/>
              </w:rPr>
              <w:t>25.8±10.1</w:t>
            </w:r>
            <w:r w:rsidRPr="009645DA">
              <w:rPr>
                <w:rFonts w:ascii="Calibri" w:eastAsia="맑은 고딕" w:hAnsi="Calibri" w:cs="Times New Roman"/>
                <w:i/>
                <w:color w:val="FF0000"/>
                <w:vertAlign w:val="superscript"/>
              </w:rPr>
              <w:t>b,d</w:t>
            </w:r>
          </w:p>
        </w:tc>
      </w:tr>
    </w:tbl>
    <w:p w:rsidR="009645DA" w:rsidRPr="009645DA" w:rsidRDefault="009645DA" w:rsidP="009645DA">
      <w:pPr>
        <w:widowControl/>
        <w:wordWrap/>
        <w:autoSpaceDE/>
        <w:autoSpaceDN/>
        <w:rPr>
          <w:rFonts w:ascii="Calibri" w:eastAsia="맑은 고딕" w:hAnsi="Calibri" w:cs="Times New Roman"/>
          <w:kern w:val="0"/>
          <w:sz w:val="22"/>
        </w:rPr>
      </w:pPr>
      <w:r w:rsidRPr="009645DA">
        <w:rPr>
          <w:rFonts w:ascii="Calibri" w:eastAsia="맑은 고딕" w:hAnsi="Calibri" w:cs="Times New Roman"/>
          <w:color w:val="FF0000"/>
          <w:kern w:val="0"/>
          <w:sz w:val="22"/>
        </w:rPr>
        <w:t xml:space="preserve">Values are presented as mean ± standard deviation (SD) or median (interquartile range). </w:t>
      </w:r>
      <w:r w:rsidRPr="009645DA">
        <w:rPr>
          <w:rFonts w:ascii="Calibri" w:eastAsia="맑은 고딕" w:hAnsi="Calibri" w:cs="Times New Roman" w:hint="eastAsia"/>
          <w:color w:val="FF0000"/>
          <w:kern w:val="0"/>
          <w:sz w:val="22"/>
        </w:rPr>
        <w:t xml:space="preserve">The results of post-hoc testing with p &lt; 0.05 are indicated as: </w:t>
      </w:r>
      <w:r w:rsidRPr="009645DA">
        <w:rPr>
          <w:rFonts w:ascii="Calibri" w:eastAsia="맑은 고딕" w:hAnsi="Calibri" w:cs="Times New Roman" w:hint="eastAsia"/>
          <w:i/>
          <w:color w:val="FF0000"/>
          <w:kern w:val="0"/>
          <w:sz w:val="22"/>
        </w:rPr>
        <w:t>a</w:t>
      </w:r>
      <w:r w:rsidRPr="009645DA">
        <w:rPr>
          <w:rFonts w:ascii="Calibri" w:eastAsia="맑은 고딕" w:hAnsi="Calibri" w:cs="Times New Roman" w:hint="eastAsia"/>
          <w:color w:val="FF0000"/>
          <w:kern w:val="0"/>
          <w:sz w:val="22"/>
        </w:rPr>
        <w:t xml:space="preserve">, vs. &lt; </w:t>
      </w:r>
      <w:r w:rsidRPr="009645DA">
        <w:rPr>
          <w:rFonts w:ascii="Calibri" w:eastAsia="맑은 고딕" w:hAnsi="Calibri" w:cs="Times New Roman"/>
          <w:color w:val="FF0000"/>
          <w:kern w:val="0"/>
          <w:sz w:val="22"/>
        </w:rPr>
        <w:t>neck pain group</w:t>
      </w:r>
      <w:r w:rsidRPr="009645DA">
        <w:rPr>
          <w:rFonts w:ascii="Calibri" w:eastAsia="맑은 고딕" w:hAnsi="Calibri" w:cs="Times New Roman" w:hint="eastAsia"/>
          <w:color w:val="FF0000"/>
          <w:kern w:val="0"/>
          <w:sz w:val="22"/>
        </w:rPr>
        <w:t xml:space="preserve">; </w:t>
      </w:r>
      <w:r w:rsidRPr="009645DA">
        <w:rPr>
          <w:rFonts w:ascii="Calibri" w:eastAsia="맑은 고딕" w:hAnsi="Calibri" w:cs="Times New Roman" w:hint="eastAsia"/>
          <w:i/>
          <w:color w:val="FF0000"/>
          <w:kern w:val="0"/>
          <w:sz w:val="22"/>
        </w:rPr>
        <w:t>b</w:t>
      </w:r>
      <w:r w:rsidRPr="009645DA">
        <w:rPr>
          <w:rFonts w:ascii="Calibri" w:eastAsia="맑은 고딕" w:hAnsi="Calibri" w:cs="Times New Roman" w:hint="eastAsia"/>
          <w:color w:val="FF0000"/>
          <w:kern w:val="0"/>
          <w:sz w:val="22"/>
        </w:rPr>
        <w:t xml:space="preserve">, vs. </w:t>
      </w:r>
      <w:r w:rsidRPr="009645DA">
        <w:rPr>
          <w:rFonts w:ascii="Calibri" w:eastAsia="맑은 고딕" w:hAnsi="Calibri" w:cs="Times New Roman"/>
          <w:color w:val="FF0000"/>
          <w:kern w:val="0"/>
          <w:sz w:val="22"/>
        </w:rPr>
        <w:t>upper limbs pain</w:t>
      </w:r>
      <w:r w:rsidRPr="009645DA">
        <w:rPr>
          <w:rFonts w:ascii="Calibri" w:eastAsia="맑은 고딕" w:hAnsi="Calibri" w:cs="Times New Roman" w:hint="eastAsia"/>
          <w:color w:val="FF0000"/>
          <w:kern w:val="0"/>
          <w:sz w:val="22"/>
        </w:rPr>
        <w:t xml:space="preserve"> group; </w:t>
      </w:r>
      <w:r w:rsidRPr="009645DA">
        <w:rPr>
          <w:rFonts w:ascii="Calibri" w:eastAsia="맑은 고딕" w:hAnsi="Calibri" w:cs="Times New Roman" w:hint="eastAsia"/>
          <w:i/>
          <w:color w:val="FF0000"/>
          <w:kern w:val="0"/>
          <w:sz w:val="22"/>
        </w:rPr>
        <w:t>c</w:t>
      </w:r>
      <w:r w:rsidRPr="009645DA">
        <w:rPr>
          <w:rFonts w:ascii="Calibri" w:eastAsia="맑은 고딕" w:hAnsi="Calibri" w:cs="Times New Roman" w:hint="eastAsia"/>
          <w:color w:val="FF0000"/>
          <w:kern w:val="0"/>
          <w:sz w:val="22"/>
        </w:rPr>
        <w:t xml:space="preserve">, vs. </w:t>
      </w:r>
      <w:r w:rsidRPr="009645DA">
        <w:rPr>
          <w:rFonts w:ascii="Calibri" w:eastAsia="맑은 고딕" w:hAnsi="Calibri" w:cs="Times New Roman"/>
          <w:color w:val="FF0000"/>
          <w:kern w:val="0"/>
          <w:sz w:val="22"/>
        </w:rPr>
        <w:t>back or chest wall pain group</w:t>
      </w:r>
      <w:r w:rsidRPr="009645DA">
        <w:rPr>
          <w:rFonts w:ascii="Calibri" w:eastAsia="맑은 고딕" w:hAnsi="Calibri" w:cs="Times New Roman" w:hint="eastAsia"/>
          <w:color w:val="FF0000"/>
          <w:kern w:val="0"/>
          <w:sz w:val="22"/>
        </w:rPr>
        <w:t xml:space="preserve">; </w:t>
      </w:r>
      <w:r w:rsidRPr="009645DA">
        <w:rPr>
          <w:rFonts w:ascii="Calibri" w:eastAsia="맑은 고딕" w:hAnsi="Calibri" w:cs="Times New Roman" w:hint="eastAsia"/>
          <w:i/>
          <w:color w:val="FF0000"/>
          <w:kern w:val="0"/>
          <w:sz w:val="22"/>
        </w:rPr>
        <w:t>d</w:t>
      </w:r>
      <w:r w:rsidRPr="009645DA">
        <w:rPr>
          <w:rFonts w:ascii="Calibri" w:eastAsia="맑은 고딕" w:hAnsi="Calibri" w:cs="Times New Roman" w:hint="eastAsia"/>
          <w:color w:val="FF0000"/>
          <w:kern w:val="0"/>
          <w:sz w:val="22"/>
        </w:rPr>
        <w:t>, vs. l</w:t>
      </w:r>
      <w:r w:rsidRPr="009645DA">
        <w:rPr>
          <w:rFonts w:ascii="Calibri" w:eastAsia="맑은 고딕" w:hAnsi="Calibri" w:cs="Times New Roman"/>
          <w:color w:val="FF0000"/>
          <w:kern w:val="0"/>
          <w:sz w:val="22"/>
        </w:rPr>
        <w:t>ow back pain group</w:t>
      </w:r>
      <w:r w:rsidRPr="009645DA">
        <w:rPr>
          <w:rFonts w:ascii="Calibri" w:eastAsia="맑은 고딕" w:hAnsi="Calibri" w:cs="Times New Roman" w:hint="eastAsia"/>
          <w:color w:val="FF0000"/>
          <w:kern w:val="0"/>
          <w:sz w:val="22"/>
        </w:rPr>
        <w:t xml:space="preserve">; </w:t>
      </w:r>
      <w:r w:rsidRPr="009645DA">
        <w:rPr>
          <w:rFonts w:ascii="Calibri" w:eastAsia="맑은 고딕" w:hAnsi="Calibri" w:cs="Times New Roman" w:hint="eastAsia"/>
          <w:i/>
          <w:color w:val="FF0000"/>
          <w:kern w:val="0"/>
          <w:sz w:val="22"/>
        </w:rPr>
        <w:t>e</w:t>
      </w:r>
      <w:r w:rsidRPr="009645DA">
        <w:rPr>
          <w:rFonts w:ascii="Calibri" w:eastAsia="맑은 고딕" w:hAnsi="Calibri" w:cs="Times New Roman" w:hint="eastAsia"/>
          <w:color w:val="FF0000"/>
          <w:kern w:val="0"/>
          <w:sz w:val="22"/>
        </w:rPr>
        <w:t>, vs. l</w:t>
      </w:r>
      <w:r w:rsidRPr="009645DA">
        <w:rPr>
          <w:rFonts w:ascii="Calibri" w:eastAsia="맑은 고딕" w:hAnsi="Calibri" w:cs="Times New Roman"/>
          <w:color w:val="FF0000"/>
          <w:kern w:val="0"/>
          <w:sz w:val="22"/>
        </w:rPr>
        <w:t>ower limbs pain group</w:t>
      </w:r>
      <w:r w:rsidRPr="009645DA">
        <w:rPr>
          <w:rFonts w:ascii="Calibri" w:eastAsia="맑은 고딕" w:hAnsi="Calibri" w:cs="Times New Roman" w:hint="eastAsia"/>
          <w:color w:val="FF0000"/>
          <w:kern w:val="0"/>
          <w:sz w:val="22"/>
        </w:rPr>
        <w:t>.</w:t>
      </w:r>
    </w:p>
    <w:p w:rsidR="009645DA" w:rsidRPr="009645DA" w:rsidRDefault="009645DA" w:rsidP="009645DA">
      <w:pPr>
        <w:widowControl/>
        <w:wordWrap/>
        <w:autoSpaceDE/>
        <w:autoSpaceDN/>
        <w:rPr>
          <w:rFonts w:ascii="Calibri" w:eastAsia="맑은 고딕" w:hAnsi="Calibri" w:cs="Times New Roman"/>
          <w:kern w:val="0"/>
          <w:sz w:val="22"/>
        </w:rPr>
      </w:pPr>
    </w:p>
    <w:p w:rsidR="009645DA" w:rsidRPr="009645DA" w:rsidRDefault="009645DA" w:rsidP="009645DA">
      <w:pPr>
        <w:widowControl/>
        <w:wordWrap/>
        <w:autoSpaceDE/>
        <w:autoSpaceDN/>
        <w:rPr>
          <w:rFonts w:ascii="Calibri" w:eastAsia="맑은 고딕" w:hAnsi="Calibri" w:cs="Times New Roman"/>
          <w:kern w:val="0"/>
          <w:sz w:val="22"/>
        </w:rPr>
      </w:pPr>
      <w:r w:rsidRPr="009645DA">
        <w:rPr>
          <w:rFonts w:ascii="Calibri" w:eastAsia="맑은 고딕" w:hAnsi="Calibri" w:cs="Times New Roman"/>
          <w:kern w:val="0"/>
          <w:sz w:val="22"/>
        </w:rPr>
        <w:t>3. Line 110-111: Despite the appendicular skeletal muscle mass (ASM) being estimated using a previously anthropometric equation, we still doubt the actual validity of this equation. Reference 19 (Anthropometric equation for estimating appendicular skeletal muscle mass in Chinese adults. PMID: 22094840) developed the anthropometric equation based on 763 community-dwelling adults aged 18-69. Therefore, this prediction model may not apply to patients with chronic musculoskeletal pain. I recommend authors to address this important issue.</w:t>
      </w:r>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xml:space="preserve">→ </w:t>
      </w:r>
      <w:r w:rsidRPr="009645DA">
        <w:rPr>
          <w:rFonts w:ascii="Calibri" w:eastAsia="맑은 고딕" w:hAnsi="Calibri" w:cs="Times New Roman" w:hint="eastAsia"/>
          <w:color w:val="FF0000"/>
          <w:kern w:val="0"/>
          <w:sz w:val="22"/>
        </w:rPr>
        <w:t>T</w:t>
      </w:r>
      <w:r w:rsidRPr="009645DA">
        <w:rPr>
          <w:rFonts w:ascii="Calibri" w:eastAsia="맑은 고딕" w:hAnsi="Calibri" w:cs="Times New Roman"/>
          <w:color w:val="FF0000"/>
          <w:kern w:val="0"/>
          <w:sz w:val="22"/>
        </w:rPr>
        <w:t xml:space="preserve">hank you for valuable comments. We have added some limitation regarding the estimation methodology of muscle mass used in this study. </w:t>
      </w:r>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xml:space="preserve">→ Although ASM and SMI were calculated with the validated equation, this equation was not validated in patients with chronic pain. Also, bioelectrical impedance analysis or dual-energy X-ray absorptiometry were not used in this study. Thus, low HGS alone did not fully satisfy the current diagnosis criteria for </w:t>
      </w:r>
      <w:proofErr w:type="spellStart"/>
      <w:r w:rsidRPr="009645DA">
        <w:rPr>
          <w:rFonts w:ascii="Calibri" w:eastAsia="맑은 고딕" w:hAnsi="Calibri" w:cs="Times New Roman"/>
          <w:color w:val="FF0000"/>
          <w:kern w:val="0"/>
          <w:sz w:val="22"/>
        </w:rPr>
        <w:t>sarcopenia</w:t>
      </w:r>
      <w:proofErr w:type="spellEnd"/>
      <w:r w:rsidRPr="009645DA">
        <w:rPr>
          <w:rFonts w:ascii="Calibri" w:eastAsia="맑은 고딕" w:hAnsi="Calibri" w:cs="Times New Roman"/>
          <w:color w:val="FF0000"/>
          <w:kern w:val="0"/>
          <w:sz w:val="22"/>
        </w:rPr>
        <w:t xml:space="preserve"> in the present results. </w:t>
      </w:r>
    </w:p>
    <w:p w:rsidR="009645DA" w:rsidRPr="009645DA" w:rsidRDefault="009645DA" w:rsidP="009645DA">
      <w:pPr>
        <w:widowControl/>
        <w:wordWrap/>
        <w:autoSpaceDE/>
        <w:autoSpaceDN/>
        <w:rPr>
          <w:rFonts w:ascii="Calibri" w:eastAsia="맑은 고딕" w:hAnsi="Calibri" w:cs="Times New Roman"/>
          <w:kern w:val="0"/>
          <w:sz w:val="22"/>
        </w:rPr>
      </w:pPr>
    </w:p>
    <w:p w:rsidR="009645DA" w:rsidRPr="009645DA" w:rsidRDefault="009645DA" w:rsidP="009645DA">
      <w:pPr>
        <w:widowControl/>
        <w:wordWrap/>
        <w:autoSpaceDE/>
        <w:autoSpaceDN/>
        <w:rPr>
          <w:rFonts w:ascii="Calibri" w:eastAsia="맑은 고딕" w:hAnsi="Calibri" w:cs="Times New Roman"/>
          <w:kern w:val="0"/>
          <w:sz w:val="22"/>
        </w:rPr>
      </w:pPr>
      <w:r w:rsidRPr="009645DA">
        <w:rPr>
          <w:rFonts w:ascii="Calibri" w:eastAsia="맑은 고딕" w:hAnsi="Calibri" w:cs="Times New Roman"/>
          <w:kern w:val="0"/>
          <w:sz w:val="22"/>
        </w:rPr>
        <w:t>4. Line 122- Pain intensity was assessed using the average pain score on the numeric rating scale (NRS, 0 to 10) in the last 4 weeks. Examining the impacts of different pain intensities on primary outcomes was critical for risk stratification in clinical practice. Please add an explanation of why the threshold of 7 points was used for NRS categories in Table 1.</w:t>
      </w:r>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According to the International Association for the Study of Pain (IASP) guideline, pain intensity in patients with chronic pain was classified by mild (1-3 on NRS), moderate (4-6 on NRS), and severe (7-10 on NRS) pain. (</w:t>
      </w:r>
      <w:proofErr w:type="spellStart"/>
      <w:r w:rsidRPr="009645DA">
        <w:rPr>
          <w:rFonts w:ascii="Calibri" w:eastAsia="맑은 고딕" w:hAnsi="Calibri" w:cs="Times New Roman"/>
          <w:color w:val="FF0000"/>
          <w:kern w:val="0"/>
          <w:sz w:val="22"/>
        </w:rPr>
        <w:t>Treede</w:t>
      </w:r>
      <w:proofErr w:type="spellEnd"/>
      <w:r w:rsidRPr="009645DA">
        <w:rPr>
          <w:rFonts w:ascii="Calibri" w:eastAsia="맑은 고딕" w:hAnsi="Calibri" w:cs="Times New Roman"/>
          <w:color w:val="FF0000"/>
          <w:kern w:val="0"/>
          <w:sz w:val="22"/>
        </w:rPr>
        <w:t xml:space="preserve"> RD, </w:t>
      </w:r>
      <w:proofErr w:type="spellStart"/>
      <w:r w:rsidRPr="009645DA">
        <w:rPr>
          <w:rFonts w:ascii="Calibri" w:eastAsia="맑은 고딕" w:hAnsi="Calibri" w:cs="Times New Roman"/>
          <w:color w:val="FF0000"/>
          <w:kern w:val="0"/>
          <w:sz w:val="22"/>
        </w:rPr>
        <w:t>Rief</w:t>
      </w:r>
      <w:proofErr w:type="spellEnd"/>
      <w:r w:rsidRPr="009645DA">
        <w:rPr>
          <w:rFonts w:ascii="Calibri" w:eastAsia="맑은 고딕" w:hAnsi="Calibri" w:cs="Times New Roman"/>
          <w:color w:val="FF0000"/>
          <w:kern w:val="0"/>
          <w:sz w:val="22"/>
        </w:rPr>
        <w:t xml:space="preserve"> W, </w:t>
      </w:r>
      <w:proofErr w:type="spellStart"/>
      <w:r w:rsidRPr="009645DA">
        <w:rPr>
          <w:rFonts w:ascii="Calibri" w:eastAsia="맑은 고딕" w:hAnsi="Calibri" w:cs="Times New Roman"/>
          <w:color w:val="FF0000"/>
          <w:kern w:val="0"/>
          <w:sz w:val="22"/>
        </w:rPr>
        <w:t>Barke</w:t>
      </w:r>
      <w:proofErr w:type="spellEnd"/>
      <w:r w:rsidRPr="009645DA">
        <w:rPr>
          <w:rFonts w:ascii="Calibri" w:eastAsia="맑은 고딕" w:hAnsi="Calibri" w:cs="Times New Roman"/>
          <w:color w:val="FF0000"/>
          <w:kern w:val="0"/>
          <w:sz w:val="22"/>
        </w:rPr>
        <w:t xml:space="preserve"> A, et al. Chronic pain as a symptom or a disease: the IASP Classification of Chronic Pain for the International Classification of Diseases (ICD-11). Pain. 2019;160(1):19-27.). Therefore, we choose severe pain (7-10 on NRS) as a high pain intensity in this study.  </w:t>
      </w:r>
    </w:p>
    <w:p w:rsidR="009645DA" w:rsidRPr="009645DA" w:rsidRDefault="009645DA" w:rsidP="009645DA">
      <w:pPr>
        <w:widowControl/>
        <w:wordWrap/>
        <w:autoSpaceDE/>
        <w:autoSpaceDN/>
        <w:rPr>
          <w:rFonts w:ascii="Calibri" w:eastAsia="맑은 고딕" w:hAnsi="Calibri" w:cs="Times New Roman"/>
          <w:kern w:val="0"/>
          <w:sz w:val="22"/>
        </w:rPr>
      </w:pPr>
    </w:p>
    <w:p w:rsidR="009645DA" w:rsidRPr="009645DA" w:rsidRDefault="009645DA" w:rsidP="009645DA">
      <w:pPr>
        <w:widowControl/>
        <w:wordWrap/>
        <w:autoSpaceDE/>
        <w:autoSpaceDN/>
        <w:rPr>
          <w:rFonts w:ascii="Calibri" w:eastAsia="맑은 고딕" w:hAnsi="Calibri" w:cs="Times New Roman" w:hint="eastAsia"/>
          <w:kern w:val="0"/>
          <w:sz w:val="22"/>
        </w:rPr>
      </w:pPr>
      <w:r w:rsidRPr="009645DA">
        <w:rPr>
          <w:rFonts w:ascii="Calibri" w:eastAsia="맑은 고딕" w:hAnsi="Calibri" w:cs="Times New Roman"/>
          <w:kern w:val="0"/>
          <w:sz w:val="22"/>
        </w:rPr>
        <w:t>5. Line 267-270- Theoretically, longer pain duration was associated with many adverse outcomes, especially for patients reporting chronic musculoskeletal muscle mass. While the finding was inconsistent with previous studies. Please provide a further discussion on this issue.</w:t>
      </w:r>
      <w:bookmarkStart w:id="0" w:name="_GoBack"/>
      <w:bookmarkEnd w:id="0"/>
    </w:p>
    <w:p w:rsidR="009645DA" w:rsidRPr="009645DA" w:rsidRDefault="009645DA" w:rsidP="009645DA">
      <w:pPr>
        <w:widowControl/>
        <w:wordWrap/>
        <w:autoSpaceDE/>
        <w:autoSpaceDN/>
        <w:rPr>
          <w:rFonts w:ascii="Calibri" w:eastAsia="맑은 고딕" w:hAnsi="Calibri" w:cs="Times New Roman"/>
          <w:color w:val="FF0000"/>
          <w:kern w:val="0"/>
          <w:sz w:val="22"/>
        </w:rPr>
      </w:pPr>
      <w:r w:rsidRPr="009645DA">
        <w:rPr>
          <w:rFonts w:ascii="Calibri" w:eastAsia="맑은 고딕" w:hAnsi="Calibri" w:cs="Times New Roman"/>
          <w:color w:val="FF0000"/>
          <w:kern w:val="0"/>
          <w:sz w:val="22"/>
        </w:rPr>
        <w:t xml:space="preserve">→ It is generally held that the prevalence of a neuropathic component in chronic pain gradually increases with time elapsed since pain onset. However, a recent study based on </w:t>
      </w:r>
      <w:proofErr w:type="spellStart"/>
      <w:r w:rsidRPr="009645DA">
        <w:rPr>
          <w:rFonts w:ascii="Calibri" w:eastAsia="맑은 고딕" w:hAnsi="Calibri" w:cs="Times New Roman"/>
          <w:color w:val="FF0000"/>
          <w:kern w:val="0"/>
          <w:sz w:val="22"/>
        </w:rPr>
        <w:t>painDETECT</w:t>
      </w:r>
      <w:proofErr w:type="spellEnd"/>
      <w:r w:rsidRPr="009645DA">
        <w:rPr>
          <w:rFonts w:ascii="Calibri" w:eastAsia="맑은 고딕" w:hAnsi="Calibri" w:cs="Times New Roman"/>
          <w:color w:val="FF0000"/>
          <w:kern w:val="0"/>
          <w:sz w:val="22"/>
        </w:rPr>
        <w:t xml:space="preserve"> results reported a similar level of neuropathic pain component in patients whose current episodes of pain had lasted for only one week, several months, or years (Berthelot JM, </w:t>
      </w:r>
      <w:proofErr w:type="spellStart"/>
      <w:r w:rsidRPr="009645DA">
        <w:rPr>
          <w:rFonts w:ascii="Calibri" w:eastAsia="맑은 고딕" w:hAnsi="Calibri" w:cs="Times New Roman"/>
          <w:color w:val="FF0000"/>
          <w:kern w:val="0"/>
          <w:sz w:val="22"/>
        </w:rPr>
        <w:t>Biha</w:t>
      </w:r>
      <w:proofErr w:type="spellEnd"/>
      <w:r w:rsidRPr="009645DA">
        <w:rPr>
          <w:rFonts w:ascii="Calibri" w:eastAsia="맑은 고딕" w:hAnsi="Calibri" w:cs="Times New Roman"/>
          <w:color w:val="FF0000"/>
          <w:kern w:val="0"/>
          <w:sz w:val="22"/>
        </w:rPr>
        <w:t xml:space="preserve"> N, </w:t>
      </w:r>
      <w:proofErr w:type="spellStart"/>
      <w:r w:rsidRPr="009645DA">
        <w:rPr>
          <w:rFonts w:ascii="Calibri" w:eastAsia="맑은 고딕" w:hAnsi="Calibri" w:cs="Times New Roman"/>
          <w:color w:val="FF0000"/>
          <w:kern w:val="0"/>
          <w:sz w:val="22"/>
        </w:rPr>
        <w:t>Darrieutort</w:t>
      </w:r>
      <w:proofErr w:type="spellEnd"/>
      <w:r w:rsidRPr="009645DA">
        <w:rPr>
          <w:rFonts w:ascii="Calibri" w:eastAsia="맑은 고딕" w:hAnsi="Calibri" w:cs="Times New Roman"/>
          <w:color w:val="FF0000"/>
          <w:kern w:val="0"/>
          <w:sz w:val="22"/>
        </w:rPr>
        <w:t xml:space="preserve">-Laffite C, et al. Are </w:t>
      </w:r>
      <w:proofErr w:type="spellStart"/>
      <w:r w:rsidRPr="009645DA">
        <w:rPr>
          <w:rFonts w:ascii="Calibri" w:eastAsia="맑은 고딕" w:hAnsi="Calibri" w:cs="Times New Roman"/>
          <w:color w:val="FF0000"/>
          <w:kern w:val="0"/>
          <w:sz w:val="22"/>
        </w:rPr>
        <w:t>painDETECT</w:t>
      </w:r>
      <w:proofErr w:type="spellEnd"/>
      <w:r w:rsidRPr="009645DA">
        <w:rPr>
          <w:rFonts w:ascii="Calibri" w:eastAsia="맑은 고딕" w:hAnsi="Calibri" w:cs="Times New Roman"/>
          <w:color w:val="FF0000"/>
          <w:kern w:val="0"/>
          <w:sz w:val="22"/>
        </w:rPr>
        <w:t xml:space="preserve"> scores in musculoskeletal disorders associated with duration of daily pain and time elapsed since current pain onset? Pain Rep. 2019;</w:t>
      </w:r>
      <w:proofErr w:type="gramStart"/>
      <w:r w:rsidRPr="009645DA">
        <w:rPr>
          <w:rFonts w:ascii="Calibri" w:eastAsia="맑은 고딕" w:hAnsi="Calibri" w:cs="Times New Roman"/>
          <w:color w:val="FF0000"/>
          <w:kern w:val="0"/>
          <w:sz w:val="22"/>
        </w:rPr>
        <w:t>4:e</w:t>
      </w:r>
      <w:proofErr w:type="gramEnd"/>
      <w:r w:rsidRPr="009645DA">
        <w:rPr>
          <w:rFonts w:ascii="Calibri" w:eastAsia="맑은 고딕" w:hAnsi="Calibri" w:cs="Times New Roman"/>
          <w:color w:val="FF0000"/>
          <w:kern w:val="0"/>
          <w:sz w:val="22"/>
        </w:rPr>
        <w:t xml:space="preserve">739.). This finding was contrary to the general expectation that patients suffering from pain for a long time present higher </w:t>
      </w:r>
      <w:proofErr w:type="spellStart"/>
      <w:r w:rsidRPr="009645DA">
        <w:rPr>
          <w:rFonts w:ascii="Calibri" w:eastAsia="맑은 고딕" w:hAnsi="Calibri" w:cs="Times New Roman"/>
          <w:color w:val="FF0000"/>
          <w:kern w:val="0"/>
          <w:sz w:val="22"/>
        </w:rPr>
        <w:t>painDETECT</w:t>
      </w:r>
      <w:proofErr w:type="spellEnd"/>
      <w:r w:rsidRPr="009645DA">
        <w:rPr>
          <w:rFonts w:ascii="Calibri" w:eastAsia="맑은 고딕" w:hAnsi="Calibri" w:cs="Times New Roman"/>
          <w:color w:val="FF0000"/>
          <w:kern w:val="0"/>
          <w:sz w:val="22"/>
        </w:rPr>
        <w:t xml:space="preserve"> scores than those with acute pain. To assess the stage of chronicity in pain, multidimensional tools such as the Mainz Pain Staging System have been proposed to go beyond pain duration alone and consider pain intensity and frequency, pain spread, medication use, and health care utilization patterns (</w:t>
      </w:r>
      <w:proofErr w:type="spellStart"/>
      <w:r w:rsidRPr="009645DA">
        <w:rPr>
          <w:rFonts w:ascii="Calibri" w:eastAsia="맑은 고딕" w:hAnsi="Calibri" w:cs="Times New Roman"/>
          <w:color w:val="FF0000"/>
          <w:kern w:val="0"/>
          <w:sz w:val="22"/>
        </w:rPr>
        <w:t>Schmerz</w:t>
      </w:r>
      <w:proofErr w:type="spellEnd"/>
      <w:r w:rsidRPr="009645DA">
        <w:rPr>
          <w:rFonts w:ascii="Calibri" w:eastAsia="맑은 고딕" w:hAnsi="Calibri" w:cs="Times New Roman"/>
          <w:color w:val="FF0000"/>
          <w:kern w:val="0"/>
          <w:sz w:val="22"/>
        </w:rPr>
        <w:t xml:space="preserve">. </w:t>
      </w:r>
      <w:proofErr w:type="gramStart"/>
      <w:r w:rsidRPr="009645DA">
        <w:rPr>
          <w:rFonts w:ascii="Calibri" w:eastAsia="맑은 고딕" w:hAnsi="Calibri" w:cs="Times New Roman"/>
          <w:color w:val="FF0000"/>
          <w:kern w:val="0"/>
          <w:sz w:val="22"/>
        </w:rPr>
        <w:t>2006;20:198</w:t>
      </w:r>
      <w:proofErr w:type="gramEnd"/>
      <w:r w:rsidRPr="009645DA">
        <w:rPr>
          <w:rFonts w:ascii="Calibri" w:eastAsia="맑은 고딕" w:hAnsi="Calibri" w:cs="Times New Roman"/>
          <w:color w:val="FF0000"/>
          <w:kern w:val="0"/>
          <w:sz w:val="22"/>
        </w:rPr>
        <w:t>-209.). Moreover, psychological and physical/functional parameters appear to be important in assessing the chronicity of pain (</w:t>
      </w:r>
      <w:proofErr w:type="spellStart"/>
      <w:r w:rsidRPr="009645DA">
        <w:rPr>
          <w:rFonts w:ascii="Calibri" w:eastAsia="맑은 고딕" w:hAnsi="Calibri" w:cs="Times New Roman"/>
          <w:color w:val="FF0000"/>
          <w:kern w:val="0"/>
          <w:sz w:val="22"/>
        </w:rPr>
        <w:t>Schmerz</w:t>
      </w:r>
      <w:proofErr w:type="spellEnd"/>
      <w:r w:rsidRPr="009645DA">
        <w:rPr>
          <w:rFonts w:ascii="Calibri" w:eastAsia="맑은 고딕" w:hAnsi="Calibri" w:cs="Times New Roman"/>
          <w:color w:val="FF0000"/>
          <w:kern w:val="0"/>
          <w:sz w:val="22"/>
        </w:rPr>
        <w:t xml:space="preserve">. </w:t>
      </w:r>
      <w:proofErr w:type="gramStart"/>
      <w:r w:rsidRPr="009645DA">
        <w:rPr>
          <w:rFonts w:ascii="Calibri" w:eastAsia="맑은 고딕" w:hAnsi="Calibri" w:cs="Times New Roman"/>
          <w:color w:val="FF0000"/>
          <w:kern w:val="0"/>
          <w:sz w:val="22"/>
        </w:rPr>
        <w:t>2009;23:154</w:t>
      </w:r>
      <w:proofErr w:type="gramEnd"/>
      <w:r w:rsidRPr="009645DA">
        <w:rPr>
          <w:rFonts w:ascii="Calibri" w:eastAsia="맑은 고딕" w:hAnsi="Calibri" w:cs="Times New Roman"/>
          <w:color w:val="FF0000"/>
          <w:kern w:val="0"/>
          <w:sz w:val="22"/>
        </w:rPr>
        <w:t>-65.). Our results support these previous findings that the likelihood of neuropathic component in patients with chronic pain should not be judged by pain duration alone.</w:t>
      </w:r>
    </w:p>
    <w:p w:rsidR="004F5EE8" w:rsidRDefault="009645DA" w:rsidP="009645DA">
      <w:r w:rsidRPr="009645DA">
        <w:rPr>
          <w:rFonts w:ascii="Calibri" w:eastAsia="맑은 고딕" w:hAnsi="Calibri" w:cs="Times New Roman"/>
          <w:color w:val="FF0000"/>
          <w:kern w:val="0"/>
          <w:sz w:val="22"/>
        </w:rPr>
        <w:lastRenderedPageBreak/>
        <w:t>→ Our study conducted at the pain clinic of a tertiary university hospital, thus, many patients, especially patients suffering pain for a long time, were already taking some analgesics for neuropathic pain treatment. The binary category for pain duration (&lt; 1 or ≥ 1 year) was used in this study, this classification could also affect the results.</w:t>
      </w:r>
    </w:p>
    <w:sectPr w:rsidR="004F5EE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5DA"/>
    <w:rsid w:val="008C25B3"/>
    <w:rsid w:val="009645DA"/>
    <w:rsid w:val="00AD30C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F76E5"/>
  <w15:chartTrackingRefBased/>
  <w15:docId w15:val="{FD46AF6B-D603-48BA-B6B2-1FB7A3B1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표 구분선1"/>
    <w:basedOn w:val="a1"/>
    <w:next w:val="a3"/>
    <w:uiPriority w:val="39"/>
    <w:rsid w:val="009645DA"/>
    <w:pPr>
      <w:spacing w:after="0" w:line="240" w:lineRule="auto"/>
      <w:jc w:val="left"/>
    </w:pPr>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964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5668</Characters>
  <Application>Microsoft Office Word</Application>
  <DocSecurity>0</DocSecurity>
  <Lines>47</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김희정(마취통증의학교실)</dc:creator>
  <cp:keywords/>
  <dc:description/>
  <cp:lastModifiedBy>김희정(마취통증의학교실)</cp:lastModifiedBy>
  <cp:revision>1</cp:revision>
  <dcterms:created xsi:type="dcterms:W3CDTF">2022-09-11T04:08:00Z</dcterms:created>
  <dcterms:modified xsi:type="dcterms:W3CDTF">2022-09-11T04:09:00Z</dcterms:modified>
</cp:coreProperties>
</file>