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auto"/>
        <w:rPr>
          <w:rFonts w:hint="default" w:ascii="TimesNewRomanPSMT" w:hAnsi="TimesNewRomanPSMT" w:eastAsia="TimesNewRomanPSMT" w:cs="TimesNewRomanPSMT"/>
          <w:b/>
          <w:bCs/>
          <w:color w:val="0A0A0A"/>
          <w:kern w:val="0"/>
          <w:sz w:val="36"/>
          <w:szCs w:val="36"/>
          <w:lang w:val="en-US" w:eastAsia="zh-CN" w:bidi="ar"/>
        </w:rPr>
      </w:pPr>
      <w:r>
        <w:rPr>
          <w:rFonts w:hint="eastAsia" w:ascii="TimesNewRomanPSMT" w:hAnsi="TimesNewRomanPSMT" w:eastAsia="TimesNewRomanPSMT" w:cs="TimesNewRomanPSMT"/>
          <w:b/>
          <w:bCs/>
          <w:color w:val="0A0A0A"/>
          <w:kern w:val="0"/>
          <w:sz w:val="36"/>
          <w:szCs w:val="36"/>
          <w:lang w:val="en-US" w:eastAsia="zh-CN" w:bidi="ar"/>
        </w:rPr>
        <w:t>Response to Reviewer 2 Comments of Paper sustainability-1877271</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TimesNewRomanPSMT" w:cs="Times New Roman"/>
          <w:b w:val="0"/>
          <w:bCs w:val="0"/>
          <w:color w:val="0A0A0A"/>
          <w:kern w:val="0"/>
          <w:sz w:val="24"/>
          <w:szCs w:val="24"/>
          <w:lang w:val="en-US" w:eastAsia="zh-CN" w:bidi="ar"/>
        </w:rPr>
      </w:pPr>
      <w:r>
        <w:rPr>
          <w:rFonts w:hint="eastAsia" w:ascii="TimesNewRomanPSMT" w:hAnsi="TimesNewRomanPSMT" w:eastAsia="TimesNewRomanPSMT" w:cs="TimesNewRomanPSMT"/>
          <w:color w:val="0A0A0A"/>
          <w:kern w:val="0"/>
          <w:sz w:val="24"/>
          <w:szCs w:val="24"/>
          <w:lang w:val="en-US" w:eastAsia="zh-CN" w:bidi="ar"/>
        </w:rPr>
        <w:t>Title：</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Research on Water Rights Trading and Pricing Model between Agriculture and Energy development in Ningxia, China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TimesNewRomanPSMT" w:cs="Times New Roman"/>
          <w:color w:val="0A0A0A"/>
          <w:kern w:val="0"/>
          <w:sz w:val="24"/>
          <w:szCs w:val="24"/>
          <w:lang w:val="en-US" w:eastAsia="zh-CN" w:bidi="ar"/>
        </w:rPr>
      </w:pPr>
      <w:r>
        <w:rPr>
          <w:rFonts w:hint="eastAsia" w:ascii="TimesNewRomanPSMT" w:hAnsi="TimesNewRomanPSMT" w:eastAsia="TimesNewRomanPSMT" w:cs="TimesNewRomanPSMT"/>
          <w:color w:val="0A0A0A"/>
          <w:kern w:val="0"/>
          <w:sz w:val="24"/>
          <w:szCs w:val="24"/>
          <w:lang w:val="en-US" w:eastAsia="zh-CN" w:bidi="ar"/>
        </w:rPr>
        <w:t>Authors：</w:t>
      </w:r>
      <w:r>
        <w:rPr>
          <w:rFonts w:hint="default" w:ascii="Times New Roman" w:hAnsi="Times New Roman" w:cs="Times New Roman"/>
        </w:rPr>
        <w:t>Changhai QIN, Shan JIANG</w:t>
      </w:r>
      <w:r>
        <w:rPr>
          <w:rFonts w:hint="default" w:ascii="Times New Roman" w:hAnsi="Times New Roman" w:cs="Times New Roman"/>
          <w:vertAlign w:val="superscript"/>
        </w:rPr>
        <w:t>*</w:t>
      </w:r>
      <w:r>
        <w:rPr>
          <w:rFonts w:hint="default" w:ascii="Times New Roman" w:hAnsi="Times New Roman" w:cs="Times New Roman"/>
        </w:rPr>
        <w:t xml:space="preserve">, </w:t>
      </w:r>
      <w:r>
        <w:rPr>
          <w:rFonts w:hint="default" w:ascii="Times New Roman" w:hAnsi="Times New Roman" w:eastAsia="宋体" w:cs="Times New Roman"/>
          <w:lang w:eastAsia="zh-CN"/>
        </w:rPr>
        <w:t>Yong Zhao</w:t>
      </w:r>
      <w:r>
        <w:rPr>
          <w:rFonts w:hint="default" w:ascii="Times New Roman" w:hAnsi="Times New Roman" w:cs="Times New Roman"/>
        </w:rPr>
        <w:t xml:space="preserve">, Yongnan ZHU, Qingming WANG, Lizhen Wang, </w:t>
      </w:r>
      <w:r>
        <w:rPr>
          <w:rFonts w:hint="default" w:ascii="Times New Roman" w:hAnsi="Times New Roman" w:eastAsia="黑体" w:cs="Times New Roman"/>
        </w:rPr>
        <w:t>QU Junlin</w:t>
      </w:r>
      <w:r>
        <w:rPr>
          <w:rFonts w:hint="default" w:ascii="Times New Roman" w:hAnsi="Times New Roman" w:eastAsia="黑体" w:cs="Times New Roman"/>
          <w:vertAlign w:val="superscript"/>
        </w:rPr>
        <w:t>*</w:t>
      </w:r>
      <w:r>
        <w:rPr>
          <w:rFonts w:hint="eastAsia" w:ascii="Times New Roman" w:hAnsi="Times New Roman" w:eastAsia="黑体" w:cs="Times New Roman"/>
          <w:vertAlign w:val="baseline"/>
          <w:lang w:val="en-US" w:eastAsia="zh-CN"/>
        </w:rPr>
        <w:t xml:space="preserve">and </w:t>
      </w:r>
      <w:r>
        <w:rPr>
          <w:rFonts w:hint="default" w:ascii="Times New Roman" w:hAnsi="Times New Roman" w:eastAsia="黑体" w:cs="Times New Roman"/>
          <w:lang w:eastAsia="zh-CN"/>
        </w:rPr>
        <w:t>WANG Ming</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NewRomanPSMT" w:hAnsi="TimesNewRomanPSMT" w:eastAsia="TimesNewRomanPSMT" w:cs="TimesNewRomanPSMT"/>
          <w:color w:val="0A0A0A"/>
          <w:kern w:val="0"/>
          <w:sz w:val="24"/>
          <w:szCs w:val="24"/>
          <w:lang w:val="en-US" w:eastAsia="zh-CN" w:bidi="ar"/>
        </w:rPr>
      </w:pPr>
      <w:r>
        <w:rPr>
          <w:rFonts w:hint="eastAsia" w:ascii="TimesNewRomanPSMT" w:hAnsi="TimesNewRomanPSMT" w:eastAsia="TimesNewRomanPSMT" w:cs="TimesNewRomanPSMT"/>
          <w:color w:val="0A0A0A"/>
          <w:kern w:val="0"/>
          <w:sz w:val="24"/>
          <w:szCs w:val="24"/>
          <w:lang w:val="en-US" w:eastAsia="zh-CN" w:bidi="ar"/>
        </w:rPr>
        <w:t>Manuscript ID:sustainability-1877271</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pPr>
      <w:r>
        <w:rPr>
          <w:rFonts w:ascii="TimesNewRomanPSMT" w:hAnsi="TimesNewRomanPSMT" w:eastAsia="TimesNewRomanPSMT" w:cs="TimesNewRomanPSMT"/>
          <w:color w:val="0A0A0A"/>
          <w:kern w:val="0"/>
          <w:sz w:val="24"/>
          <w:szCs w:val="24"/>
          <w:lang w:val="en-US" w:eastAsia="zh-CN" w:bidi="ar"/>
        </w:rPr>
        <w:t xml:space="preserve">We are greatly grateful for your valuable and constructive comments. In this </w:t>
      </w:r>
      <w:r>
        <w:rPr>
          <w:rFonts w:hint="default" w:ascii="TimesNewRomanPSMT" w:hAnsi="TimesNewRomanPSMT" w:eastAsia="TimesNewRomanPSMT" w:cs="TimesNewRomanPSMT"/>
          <w:color w:val="0A0A0A"/>
          <w:kern w:val="0"/>
          <w:sz w:val="24"/>
          <w:szCs w:val="24"/>
          <w:lang w:val="en-US" w:eastAsia="zh-CN" w:bidi="ar"/>
        </w:rPr>
        <w:t>version, we carefully checked the manuscript again and amended some statements</w:t>
      </w:r>
      <w:bookmarkStart w:id="5" w:name="_GoBack"/>
      <w:bookmarkEnd w:id="5"/>
      <w:r>
        <w:rPr>
          <w:rFonts w:hint="eastAsia" w:ascii="TimesNewRomanPSMT" w:hAnsi="TimesNewRomanPSMT" w:eastAsia="TimesNewRomanPSMT" w:cs="TimesNewRomanPSMT"/>
          <w:color w:val="0A0A0A"/>
          <w:kern w:val="0"/>
          <w:sz w:val="24"/>
          <w:szCs w:val="24"/>
          <w:lang w:val="en-US" w:eastAsia="zh-CN" w:bidi="ar"/>
        </w:rPr>
        <w:t xml:space="preserve">, as well as </w:t>
      </w:r>
      <w:r>
        <w:rPr>
          <w:rFonts w:hint="default" w:ascii="TimesNewRomanPSMT" w:hAnsi="TimesNewRomanPSMT" w:eastAsia="TimesNewRomanPSMT" w:cs="TimesNewRomanPSMT"/>
          <w:color w:val="0A0A0A"/>
          <w:kern w:val="0"/>
          <w:sz w:val="24"/>
          <w:szCs w:val="24"/>
          <w:lang w:val="en-US" w:eastAsia="zh-CN" w:bidi="ar"/>
        </w:rPr>
        <w:t xml:space="preserve">revised our manuscript accordingly with changes marked in </w:t>
      </w:r>
      <w:r>
        <w:rPr>
          <w:rFonts w:hint="default" w:ascii="TimesNewRomanPSMT" w:hAnsi="TimesNewRomanPSMT" w:eastAsia="TimesNewRomanPSMT" w:cs="TimesNewRomanPSMT"/>
          <w:color w:val="C00000"/>
          <w:kern w:val="0"/>
          <w:sz w:val="24"/>
          <w:szCs w:val="24"/>
          <w:lang w:val="en-US" w:eastAsia="zh-CN" w:bidi="ar"/>
        </w:rPr>
        <w:t>red</w:t>
      </w:r>
      <w:r>
        <w:rPr>
          <w:rFonts w:hint="eastAsia" w:ascii="TimesNewRomanPSMT" w:hAnsi="TimesNewRomanPSMT" w:eastAsia="TimesNewRomanPSMT" w:cs="TimesNewRomanPSMT"/>
          <w:color w:val="0A0A0A"/>
          <w:kern w:val="0"/>
          <w:sz w:val="24"/>
          <w:szCs w:val="24"/>
          <w:lang w:val="en-US" w:eastAsia="zh-CN" w:bidi="ar"/>
        </w:rPr>
        <w:t>.</w:t>
      </w:r>
      <w:r>
        <w:rPr>
          <w:rFonts w:hint="default" w:ascii="TimesNewRomanPSMT" w:hAnsi="TimesNewRomanPSMT" w:eastAsia="TimesNewRomanPSMT" w:cs="TimesNewRomanPSMT"/>
          <w:color w:val="0A0A0A"/>
          <w:kern w:val="0"/>
          <w:sz w:val="24"/>
          <w:szCs w:val="24"/>
          <w:lang w:val="en-US" w:eastAsia="zh-CN" w:bidi="ar"/>
        </w:rPr>
        <w:t xml:space="preserve"> Based on the above modification, our responses and modifications for this paper are as follows:</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sz w:val="24"/>
        </w:rPr>
      </w:pPr>
      <w:r>
        <w:rPr>
          <w:rFonts w:hint="eastAsia" w:ascii="Times New Roman" w:hAnsi="Times New Roman" w:eastAsia="宋体" w:cs="Times New Roman"/>
          <w:color w:val="0070C0"/>
          <w:kern w:val="0"/>
          <w:sz w:val="24"/>
          <w:lang w:val="en-US" w:eastAsia="zh-CN" w:bidi="ar"/>
        </w:rPr>
        <w:t>Comment 1：</w:t>
      </w:r>
      <w:r>
        <w:rPr>
          <w:rFonts w:ascii="Times New Roman" w:hAnsi="Times New Roman" w:cs="Times New Roman"/>
          <w:sz w:val="24"/>
        </w:rPr>
        <w:t>There are some typing errors, the text should be revised for language and editing.</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70C0"/>
          <w:kern w:val="0"/>
          <w:sz w:val="24"/>
          <w:lang w:val="en-US" w:eastAsia="zh-CN" w:bidi="ar"/>
        </w:rPr>
      </w:pPr>
      <w:r>
        <w:rPr>
          <w:rFonts w:hint="eastAsia" w:ascii="Times New Roman" w:hAnsi="Times New Roman" w:eastAsia="宋体" w:cs="Times New Roman"/>
          <w:color w:val="0070C0"/>
          <w:kern w:val="0"/>
          <w:sz w:val="24"/>
          <w:lang w:val="en-US" w:eastAsia="zh-CN" w:bidi="ar"/>
        </w:rPr>
        <w:t>Response：</w:t>
      </w:r>
      <w:bookmarkStart w:id="0" w:name="OLE_LINK1"/>
      <w:r>
        <w:rPr>
          <w:rFonts w:hint="eastAsia" w:ascii="Times New Roman" w:hAnsi="Times New Roman" w:eastAsia="宋体" w:cs="Times New Roman"/>
          <w:color w:val="0070C0"/>
          <w:kern w:val="0"/>
          <w:sz w:val="24"/>
          <w:lang w:val="en-US" w:eastAsia="zh-CN" w:bidi="ar"/>
        </w:rPr>
        <w:t>Thanks for your comments.</w:t>
      </w:r>
      <w:bookmarkEnd w:id="0"/>
      <w:r>
        <w:rPr>
          <w:rFonts w:hint="eastAsia" w:ascii="Times New Roman" w:hAnsi="Times New Roman" w:eastAsia="宋体" w:cs="Times New Roman"/>
          <w:color w:val="0070C0"/>
          <w:kern w:val="0"/>
          <w:sz w:val="24"/>
          <w:lang w:val="en-US" w:eastAsia="zh-CN" w:bidi="ar"/>
        </w:rPr>
        <w:t>The full text has been checked in English and we apologize for any language errors in the article.</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sz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sz w:val="24"/>
        </w:rPr>
      </w:pPr>
      <w:r>
        <w:rPr>
          <w:rFonts w:hint="eastAsia" w:ascii="Times New Roman" w:hAnsi="Times New Roman" w:eastAsia="宋体" w:cs="Times New Roman"/>
          <w:color w:val="0070C0"/>
          <w:kern w:val="0"/>
          <w:sz w:val="24"/>
          <w:lang w:val="en-US" w:eastAsia="zh-CN" w:bidi="ar"/>
        </w:rPr>
        <w:t>Comment 2：</w:t>
      </w:r>
      <w:r>
        <w:rPr>
          <w:rFonts w:ascii="Times New Roman" w:hAnsi="Times New Roman" w:cs="Times New Roman"/>
          <w:sz w:val="24"/>
        </w:rPr>
        <w:t>Canal water utilization (L125) is 0.8, this means that the loss is 0.52, thus this paper is dealing on improving the technical method system of water rights and water market for only 0.48, what about the rest?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70C0"/>
          <w:kern w:val="0"/>
          <w:sz w:val="24"/>
          <w:lang w:val="en-US" w:eastAsia="zh-CN" w:bidi="ar"/>
        </w:rPr>
      </w:pPr>
      <w:r>
        <w:rPr>
          <w:rFonts w:hint="eastAsia" w:ascii="Times New Roman" w:hAnsi="Times New Roman" w:eastAsia="宋体" w:cs="Times New Roman"/>
          <w:color w:val="0070C0"/>
          <w:kern w:val="0"/>
          <w:sz w:val="24"/>
          <w:lang w:val="en-US" w:eastAsia="zh-CN" w:bidi="ar"/>
        </w:rPr>
        <w:t>Response：</w:t>
      </w:r>
      <w:bookmarkStart w:id="1" w:name="OLE_LINK2"/>
      <w:r>
        <w:rPr>
          <w:rFonts w:hint="eastAsia" w:ascii="Times New Roman" w:hAnsi="Times New Roman" w:eastAsia="宋体" w:cs="Times New Roman"/>
          <w:color w:val="0070C0"/>
          <w:kern w:val="0"/>
          <w:sz w:val="24"/>
          <w:lang w:val="en-US" w:eastAsia="zh-CN" w:bidi="ar"/>
        </w:rPr>
        <w:t>Thanks for your comments.</w:t>
      </w:r>
      <w:bookmarkEnd w:id="1"/>
      <w:r>
        <w:rPr>
          <w:rFonts w:hint="eastAsia" w:ascii="Times New Roman" w:hAnsi="Times New Roman" w:eastAsia="宋体" w:cs="Times New Roman"/>
          <w:color w:val="0070C0"/>
          <w:kern w:val="0"/>
          <w:sz w:val="24"/>
          <w:lang w:val="en-US" w:eastAsia="zh-CN" w:bidi="ar"/>
        </w:rPr>
        <w:t>The canal water utilization rate is the ratio of net flow and gross flow of irrigation canal system, which which reflects the water loss of all levels of water transmission and distribution channels from one canal to the agricultural canal. The canal water utilization rate is only 0.48 means more than half of the water is wasted in the water transfer process. This fact is only an introduction to the water resources situation in the study area. Through this indicator, we can basically draw the conclusion that agricultural water use efficiency is low, which is also an important reason why we choose this region to carry out research on the conversion of agricultural to industrial water rights under non-market conditions.</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sz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sz w:val="24"/>
        </w:rPr>
      </w:pPr>
      <w:r>
        <w:rPr>
          <w:rFonts w:hint="eastAsia" w:ascii="Times New Roman" w:hAnsi="Times New Roman" w:eastAsia="宋体" w:cs="Times New Roman"/>
          <w:color w:val="0070C0"/>
          <w:kern w:val="0"/>
          <w:sz w:val="24"/>
          <w:lang w:val="en-US" w:eastAsia="zh-CN" w:bidi="ar"/>
        </w:rPr>
        <w:t>Comment 3：</w:t>
      </w:r>
      <w:r>
        <w:rPr>
          <w:rFonts w:ascii="Times New Roman" w:hAnsi="Times New Roman" w:cs="Times New Roman"/>
          <w:sz w:val="24"/>
        </w:rPr>
        <w:t>Pricing model (Fig (2)); equilibrium price is concentrated on industry only, what about other sectors?</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70C0"/>
          <w:kern w:val="0"/>
          <w:sz w:val="24"/>
          <w:lang w:val="en-US" w:eastAsia="zh-CN" w:bidi="ar"/>
        </w:rPr>
      </w:pPr>
      <w:bookmarkStart w:id="2" w:name="OLE_LINK4"/>
      <w:r>
        <w:rPr>
          <w:rFonts w:hint="eastAsia" w:ascii="Times New Roman" w:hAnsi="Times New Roman" w:eastAsia="宋体" w:cs="Times New Roman"/>
          <w:color w:val="0070C0"/>
          <w:kern w:val="0"/>
          <w:sz w:val="24"/>
          <w:lang w:val="en-US" w:eastAsia="zh-CN" w:bidi="ar"/>
        </w:rPr>
        <w:t>Response：</w:t>
      </w:r>
      <w:bookmarkStart w:id="3" w:name="OLE_LINK3"/>
      <w:r>
        <w:rPr>
          <w:rFonts w:hint="eastAsia" w:ascii="Times New Roman" w:hAnsi="Times New Roman" w:eastAsia="宋体" w:cs="Times New Roman"/>
          <w:color w:val="0070C0"/>
          <w:kern w:val="0"/>
          <w:sz w:val="24"/>
          <w:lang w:val="en-US" w:eastAsia="zh-CN" w:bidi="ar"/>
        </w:rPr>
        <w:t>Thanks for your comments.</w:t>
      </w:r>
      <w:bookmarkEnd w:id="3"/>
      <w:r>
        <w:rPr>
          <w:rFonts w:hint="eastAsia" w:ascii="Times New Roman" w:hAnsi="Times New Roman" w:eastAsia="宋体" w:cs="Times New Roman"/>
          <w:color w:val="0070C0"/>
          <w:kern w:val="0"/>
          <w:sz w:val="24"/>
          <w:lang w:val="en-US" w:eastAsia="zh-CN" w:bidi="ar"/>
        </w:rPr>
        <w:t xml:space="preserve"> </w:t>
      </w:r>
      <w:bookmarkEnd w:id="2"/>
      <w:r>
        <w:rPr>
          <w:rFonts w:hint="eastAsia" w:ascii="Times New Roman" w:hAnsi="Times New Roman" w:eastAsia="宋体" w:cs="Times New Roman"/>
          <w:color w:val="0070C0"/>
          <w:kern w:val="0"/>
          <w:sz w:val="24"/>
          <w:lang w:val="en-US" w:eastAsia="zh-CN" w:bidi="ar"/>
        </w:rPr>
        <w:t>The model constructed in this paper is based on the fact that the supply side has transferable water volume, and the demand side has the basic conditions for the transfer of water demand. In the process of water rights transfer, the supplier and third-party stakeholders are the compensated parties, and the demander is the compensator. The final water rights transfer price should be able to compensate the rights and interests of the supplier and the third party. This paper chooses the transfer of water rights from agriculture to industry based on the fact that there is a transferable water quantity for agricultural water use in Ningxia, and the industry has the basic conditions for transferring water quantity demand. The model is also applicable when applied to other regions or other industries, as long as the basic conditions of supply and demand sides can be met.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sz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sz w:val="24"/>
        </w:rPr>
      </w:pPr>
      <w:r>
        <w:rPr>
          <w:rFonts w:hint="eastAsia" w:ascii="Times New Roman" w:hAnsi="Times New Roman" w:eastAsia="宋体" w:cs="Times New Roman"/>
          <w:color w:val="0070C0"/>
          <w:kern w:val="0"/>
          <w:sz w:val="24"/>
          <w:lang w:val="en-US" w:eastAsia="zh-CN" w:bidi="ar"/>
        </w:rPr>
        <w:t>Comment 4：</w:t>
      </w:r>
      <w:r>
        <w:rPr>
          <w:rFonts w:ascii="Times New Roman" w:hAnsi="Times New Roman" w:cs="Times New Roman"/>
          <w:sz w:val="24"/>
        </w:rPr>
        <w:t>L197 - 214: How these impacts can be quantified?</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70C0"/>
          <w:kern w:val="0"/>
          <w:sz w:val="24"/>
          <w:lang w:val="en-US" w:eastAsia="zh-CN" w:bidi="ar"/>
        </w:rPr>
      </w:pPr>
      <w:r>
        <w:rPr>
          <w:rFonts w:hint="eastAsia" w:ascii="Times New Roman" w:hAnsi="Times New Roman" w:eastAsia="宋体" w:cs="Times New Roman"/>
          <w:color w:val="0070C0"/>
          <w:kern w:val="0"/>
          <w:sz w:val="24"/>
          <w:lang w:val="en-US" w:eastAsia="zh-CN" w:bidi="ar"/>
        </w:rPr>
        <w:t>Response：</w:t>
      </w:r>
      <w:bookmarkStart w:id="4" w:name="OLE_LINK5"/>
      <w:r>
        <w:rPr>
          <w:rFonts w:hint="eastAsia" w:ascii="Times New Roman" w:hAnsi="Times New Roman" w:eastAsia="宋体" w:cs="Times New Roman"/>
          <w:color w:val="0070C0"/>
          <w:kern w:val="0"/>
          <w:sz w:val="24"/>
          <w:lang w:val="en-US" w:eastAsia="zh-CN" w:bidi="ar"/>
        </w:rPr>
        <w:t xml:space="preserve">Thanks for your comments. </w:t>
      </w:r>
      <w:bookmarkEnd w:id="4"/>
      <w:r>
        <w:rPr>
          <w:rFonts w:hint="eastAsia" w:ascii="Times New Roman" w:hAnsi="Times New Roman" w:eastAsia="宋体" w:cs="Times New Roman"/>
          <w:color w:val="0070C0"/>
          <w:kern w:val="0"/>
          <w:sz w:val="24"/>
          <w:lang w:val="en-US" w:eastAsia="zh-CN" w:bidi="ar"/>
        </w:rPr>
        <w:t>Compensation price should reflect the loss of benefits caused by the transfer of water rights to a third party. L197 - 214 explains four situations need to be compensated by a third party, how to quantified these impacts should be analysied in specific cases. In the article 3.1.3 Compensation price of the third-parties, it is introduced that the compensation price mainly includes sewage discharge compensation and resource utilization compensation to the environment, and both compensation costs are quantified. The sewage discharge compensation part is borne by the sewage treatment enterprise by improving the sewage treatment standard. Therefore, the sewage treatment fee paid to the sewage treatment enterprise is 1.50 yuan/m</w:t>
      </w:r>
      <w:r>
        <w:rPr>
          <w:rFonts w:hint="eastAsia" w:ascii="Times New Roman" w:hAnsi="Times New Roman" w:eastAsia="宋体" w:cs="Times New Roman"/>
          <w:color w:val="0070C0"/>
          <w:kern w:val="0"/>
          <w:sz w:val="24"/>
          <w:vertAlign w:val="superscript"/>
          <w:lang w:val="en-US" w:eastAsia="zh-CN" w:bidi="ar"/>
        </w:rPr>
        <w:t>3</w:t>
      </w:r>
      <w:r>
        <w:rPr>
          <w:rFonts w:hint="eastAsia" w:ascii="Times New Roman" w:hAnsi="Times New Roman" w:eastAsia="宋体" w:cs="Times New Roman"/>
          <w:color w:val="0070C0"/>
          <w:kern w:val="0"/>
          <w:sz w:val="24"/>
          <w:lang w:val="en-US" w:eastAsia="zh-CN" w:bidi="ar"/>
        </w:rPr>
        <w:t>. Compensation for resource utilization is based on the value attribute of water resources. It is paid to respect the scarcity of resources. Since the ownership of water resources belongs to the state, corresponding compensation fees should be paid to the state.</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sz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sz w:val="24"/>
        </w:rPr>
      </w:pPr>
      <w:r>
        <w:rPr>
          <w:rFonts w:hint="eastAsia" w:ascii="Times New Roman" w:hAnsi="Times New Roman" w:eastAsia="宋体" w:cs="Times New Roman"/>
          <w:color w:val="0070C0"/>
          <w:kern w:val="0"/>
          <w:sz w:val="24"/>
          <w:lang w:val="en-US" w:eastAsia="zh-CN" w:bidi="ar"/>
        </w:rPr>
        <w:t>Comment 5：</w:t>
      </w:r>
      <w:r>
        <w:rPr>
          <w:rFonts w:ascii="Times New Roman" w:hAnsi="Times New Roman" w:cs="Times New Roman"/>
          <w:sz w:val="24"/>
        </w:rPr>
        <w:t>Table 4 (L341): It seems this table is summarizing the final findings, however it needs further explanations, and their impacts on Xingxia water situation.</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70C0"/>
          <w:kern w:val="0"/>
          <w:sz w:val="24"/>
          <w:lang w:val="en-US" w:eastAsia="zh-CN" w:bidi="ar"/>
        </w:rPr>
      </w:pPr>
      <w:r>
        <w:rPr>
          <w:rFonts w:hint="eastAsia" w:ascii="Times New Roman" w:hAnsi="Times New Roman" w:eastAsia="宋体" w:cs="Times New Roman"/>
          <w:color w:val="0070C0"/>
          <w:kern w:val="0"/>
          <w:sz w:val="24"/>
          <w:lang w:val="en-US" w:eastAsia="zh-CN" w:bidi="ar"/>
        </w:rPr>
        <w:t>Response：Thanks for your comments. Table 1 are the intermediate process of model processing, and the data comes from the Ningxia input-output table. The connection between water use and national economic output is established through the combination of input-output table and water resource utilization. Table 2 is the parameters which is calculated in eq10, the shadow price of water resources under a certain amount of water is calculated by setting the goal of maximizing production profits in the industry, which is used as a market transaction model. The price range for the transfer of water rights. We have added further explanation from P10 L359 to L369.</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i/>
          <w:iCs/>
          <w:color w:val="0070C0"/>
          <w:kern w:val="0"/>
          <w:sz w:val="24"/>
          <w:lang w:val="en-US" w:eastAsia="zh-CN" w:bidi="ar"/>
        </w:rPr>
      </w:pPr>
      <w:r>
        <w:rPr>
          <w:rFonts w:hint="eastAsia" w:ascii="Times New Roman" w:hAnsi="Times New Roman" w:eastAsia="宋体" w:cs="Times New Roman"/>
          <w:i/>
          <w:iCs/>
          <w:color w:val="0070C0"/>
          <w:kern w:val="0"/>
          <w:sz w:val="24"/>
          <w:lang w:val="en-US" w:eastAsia="zh-CN" w:bidi="ar"/>
        </w:rPr>
        <w:t>Coefficients of linear programming model could be calculated based on the matrix of direct consumption coefficients of six water users of Ningxia water in 2017, including Agriculture, Industry, Construction, Transportation and telecommunication, Wholesale, retail and catering and others, which is shown in table 1. The direct consumption coefficient of industry is the largest, indicating that the total expenditure of each sector on industrial products accounts for the largest proportion.</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i/>
          <w:iCs/>
          <w:color w:val="0070C0"/>
          <w:kern w:val="0"/>
          <w:sz w:val="24"/>
          <w:lang w:val="en-US" w:eastAsia="zh-CN" w:bidi="ar"/>
        </w:rPr>
      </w:pPr>
      <w:r>
        <w:rPr>
          <w:rFonts w:hint="eastAsia" w:ascii="Times New Roman" w:hAnsi="Times New Roman" w:eastAsia="宋体" w:cs="Times New Roman"/>
          <w:i/>
          <w:iCs/>
          <w:color w:val="0070C0"/>
          <w:kern w:val="0"/>
          <w:sz w:val="24"/>
          <w:lang w:val="en-US" w:eastAsia="zh-CN" w:bidi="ar"/>
        </w:rPr>
        <w:t>Based on the 2017 Ningxia input-output table and Ningxia Water Resources Bulletin,  the values of model parameter in eq. 10 are calculated (Table 2), In industry, the lower and upper limits of the total production are 197.8 billion yuan and 395.6 billion yuan, the profit rate of industry is 0.036. From the model, under different water constraints, the duality solution is calculated between 10.91~40.52 yuan/m</w:t>
      </w:r>
      <w:r>
        <w:rPr>
          <w:rFonts w:hint="eastAsia" w:ascii="Times New Roman" w:hAnsi="Times New Roman" w:eastAsia="宋体" w:cs="Times New Roman"/>
          <w:i/>
          <w:iCs/>
          <w:color w:val="0070C0"/>
          <w:kern w:val="0"/>
          <w:sz w:val="24"/>
          <w:vertAlign w:val="superscript"/>
          <w:lang w:val="en-US" w:eastAsia="zh-CN" w:bidi="ar"/>
        </w:rPr>
        <w:t>3</w:t>
      </w:r>
      <w:r>
        <w:rPr>
          <w:rFonts w:hint="eastAsia" w:ascii="Times New Roman" w:hAnsi="Times New Roman" w:eastAsia="宋体" w:cs="Times New Roman"/>
          <w:i/>
          <w:iCs/>
          <w:color w:val="0070C0"/>
          <w:kern w:val="0"/>
          <w:sz w:val="24"/>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sz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sz w:val="24"/>
        </w:rPr>
      </w:pPr>
      <w:r>
        <w:rPr>
          <w:rFonts w:hint="eastAsia" w:ascii="Times New Roman" w:hAnsi="Times New Roman" w:eastAsia="宋体" w:cs="Times New Roman"/>
          <w:color w:val="0070C0"/>
          <w:kern w:val="0"/>
          <w:sz w:val="24"/>
          <w:lang w:val="en-US" w:eastAsia="zh-CN" w:bidi="ar"/>
        </w:rPr>
        <w:t>Comment 6：</w:t>
      </w:r>
      <w:r>
        <w:rPr>
          <w:rFonts w:ascii="Times New Roman" w:hAnsi="Times New Roman" w:cs="Times New Roman"/>
          <w:sz w:val="24"/>
        </w:rPr>
        <w:t>L383: Is this means that it was not solved? Did this affects the accuracy of your previous assumptions?</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70C0"/>
          <w:kern w:val="0"/>
          <w:sz w:val="24"/>
          <w:lang w:val="en-US" w:eastAsia="zh-CN" w:bidi="ar"/>
        </w:rPr>
      </w:pPr>
      <w:r>
        <w:rPr>
          <w:rFonts w:hint="eastAsia" w:ascii="Times New Roman" w:hAnsi="Times New Roman" w:eastAsia="宋体" w:cs="Times New Roman"/>
          <w:color w:val="0070C0"/>
          <w:kern w:val="0"/>
          <w:sz w:val="24"/>
          <w:lang w:val="en-US" w:eastAsia="zh-CN" w:bidi="ar"/>
        </w:rPr>
        <w:t>Response：Thanks for your comments. We are sorry that the inappropriate written expression have caused misunderstanding. The conversion of water rights brings direct economic benefits to agriculture and other water users, and improves the level of water management. Under market economy conditions, the price formation should be the market equilibrium price under the joint action of supply and demand,  and the water price that fully reflect market supply and demand and resource scarcity guarantees the implementation of water rights trading. Although China has formed a set of water right ideas that “clarify water rights and introduce markets”. At present, during the formulation of water prices for water rights allocation, the administrative approach still occupies a dominant position, the market approach is relatively subordinate, which neglected interests of involved parties and the balanced supply of water resources and the equilibrium price between water supply and demand under the effect of the market. Based on the theory of water resources value, this article defines the relationship between the rights and interests of water rights transferor, transferees, and third parties, and analyzes the value and its structure of water resources for each entity. A reasonable evaluation method was put forward for each type of price composition analysis, and a practice analysis was carried out in a typical district of Ningxia Hui Autonomous Region to quantitatively evaluate the transfer price of water rights and the distribution among various stakeholders.</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70C0"/>
          <w:kern w:val="0"/>
          <w:sz w:val="24"/>
          <w:lang w:val="en-US" w:eastAsia="zh-CN" w:bidi="ar"/>
        </w:rPr>
      </w:pPr>
      <w:r>
        <w:rPr>
          <w:rFonts w:hint="eastAsia" w:ascii="Times New Roman" w:hAnsi="Times New Roman" w:eastAsia="宋体" w:cs="Times New Roman"/>
          <w:color w:val="0070C0"/>
          <w:kern w:val="0"/>
          <w:sz w:val="24"/>
          <w:lang w:val="en-US" w:eastAsia="zh-CN" w:bidi="ar"/>
        </w:rPr>
        <w:t xml:space="preserve">In order illustrate the innovation of the article, this sentence has changed into </w:t>
      </w:r>
      <w:r>
        <w:rPr>
          <w:rFonts w:hint="default" w:ascii="Times New Roman" w:hAnsi="Times New Roman" w:eastAsia="宋体" w:cs="Times New Roman"/>
          <w:color w:val="0070C0"/>
          <w:kern w:val="0"/>
          <w:sz w:val="24"/>
          <w:lang w:val="en-US" w:eastAsia="zh-CN" w:bidi="ar"/>
        </w:rPr>
        <w:t>“</w:t>
      </w:r>
      <w:r>
        <w:rPr>
          <w:rFonts w:hint="default" w:ascii="Times New Roman" w:hAnsi="Times New Roman" w:eastAsia="宋体" w:cs="Times New Roman"/>
          <w:i/>
          <w:iCs/>
          <w:color w:val="0070C0"/>
          <w:kern w:val="0"/>
          <w:sz w:val="24"/>
          <w:lang w:val="en-US" w:eastAsia="zh-CN" w:bidi="ar"/>
        </w:rPr>
        <w:t>Implementing the strategy of maximizing the support of water resources for the energy industry will help solve the development problems in Ningxia and provide assistance for accelerating the formation of a domestic large-scale circular development pattern. Using the transaction water rights in the market is an important way to solve the water shortage in this region and ensure the water demand for energy development.”</w:t>
      </w:r>
      <w:r>
        <w:rPr>
          <w:rFonts w:hint="eastAsia" w:ascii="Times New Roman" w:hAnsi="Times New Roman" w:eastAsia="宋体" w:cs="Times New Roman"/>
          <w:i w:val="0"/>
          <w:iCs w:val="0"/>
          <w:color w:val="0070C0"/>
          <w:kern w:val="0"/>
          <w:sz w:val="24"/>
          <w:lang w:val="en-US" w:eastAsia="zh-CN" w:bidi="ar"/>
        </w:rPr>
        <w:t xml:space="preserve"> in</w:t>
      </w:r>
      <w:r>
        <w:rPr>
          <w:rFonts w:hint="default" w:ascii="Times New Roman" w:hAnsi="Times New Roman" w:eastAsia="宋体" w:cs="Times New Roman"/>
          <w:i w:val="0"/>
          <w:iCs w:val="0"/>
          <w:color w:val="0070C0"/>
          <w:kern w:val="0"/>
          <w:sz w:val="24"/>
          <w:lang w:val="en-US" w:eastAsia="zh-CN" w:bidi="ar"/>
        </w:rPr>
        <w:t xml:space="preserve"> </w:t>
      </w:r>
      <w:r>
        <w:rPr>
          <w:rFonts w:hint="eastAsia" w:ascii="Times New Roman" w:hAnsi="Times New Roman" w:eastAsia="宋体" w:cs="Times New Roman"/>
          <w:i w:val="0"/>
          <w:iCs w:val="0"/>
          <w:color w:val="0070C0"/>
          <w:kern w:val="0"/>
          <w:sz w:val="24"/>
          <w:lang w:val="en-US" w:eastAsia="zh-CN" w:bidi="ar"/>
        </w:rPr>
        <w:t>P 13 L472 to L476.</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sz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sz w:val="24"/>
        </w:rPr>
      </w:pPr>
      <w:r>
        <w:rPr>
          <w:rFonts w:hint="eastAsia" w:ascii="Times New Roman" w:hAnsi="Times New Roman" w:eastAsia="宋体" w:cs="Times New Roman"/>
          <w:color w:val="0070C0"/>
          <w:kern w:val="0"/>
          <w:sz w:val="24"/>
          <w:lang w:val="en-US" w:eastAsia="zh-CN" w:bidi="ar"/>
        </w:rPr>
        <w:t>Comment 7：</w:t>
      </w:r>
      <w:r>
        <w:rPr>
          <w:rFonts w:ascii="Times New Roman" w:hAnsi="Times New Roman" w:cs="Times New Roman"/>
          <w:sz w:val="24"/>
        </w:rPr>
        <w:t xml:space="preserve">L419-421: How, this was explicitly not clear.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i/>
          <w:iCs/>
          <w:color w:val="0070C0"/>
          <w:kern w:val="0"/>
          <w:sz w:val="24"/>
          <w:lang w:val="en-US" w:eastAsia="zh-CN" w:bidi="ar"/>
        </w:rPr>
      </w:pPr>
      <w:r>
        <w:rPr>
          <w:rFonts w:hint="eastAsia" w:ascii="Times New Roman" w:hAnsi="Times New Roman" w:eastAsia="宋体" w:cs="Times New Roman"/>
          <w:color w:val="0070C0"/>
          <w:kern w:val="0"/>
          <w:sz w:val="24"/>
          <w:lang w:val="en-US" w:eastAsia="zh-CN" w:bidi="ar"/>
        </w:rPr>
        <w:t xml:space="preserve">Response：We are extremely grateful to reviewer for pointing out this problem. These sentences have revised </w:t>
      </w:r>
      <w:r>
        <w:rPr>
          <w:rFonts w:hint="default" w:ascii="Times New Roman" w:hAnsi="Times New Roman" w:eastAsia="宋体" w:cs="Times New Roman"/>
          <w:color w:val="0070C0"/>
          <w:kern w:val="0"/>
          <w:sz w:val="24"/>
          <w:lang w:val="en-US" w:eastAsia="zh-CN" w:bidi="ar"/>
        </w:rPr>
        <w:t>“</w:t>
      </w:r>
      <w:r>
        <w:rPr>
          <w:rFonts w:hint="default" w:ascii="Times New Roman" w:hAnsi="Times New Roman" w:eastAsia="宋体" w:cs="Times New Roman"/>
          <w:i/>
          <w:iCs/>
          <w:color w:val="0070C0"/>
          <w:kern w:val="0"/>
          <w:sz w:val="24"/>
          <w:lang w:val="en-US" w:eastAsia="zh-CN" w:bidi="ar"/>
        </w:rPr>
        <w:t>That is contrary to the goal of water rights transfer. Based on the theory of water resources value, this article take into account the role of policies and the market, and each type of price composition could be analysed by used of a reasonable evaluation method, which can promote the optimal allocation of water resources and achieve a rational distribution and allocation model.”</w:t>
      </w:r>
      <w:r>
        <w:rPr>
          <w:rFonts w:hint="eastAsia" w:ascii="Times New Roman" w:hAnsi="Times New Roman" w:eastAsia="宋体" w:cs="Times New Roman"/>
          <w:i/>
          <w:iCs/>
          <w:color w:val="0070C0"/>
          <w:kern w:val="0"/>
          <w:sz w:val="24"/>
          <w:lang w:val="en-US" w:eastAsia="zh-CN" w:bidi="ar"/>
        </w:rPr>
        <w:t xml:space="preserve"> in P 13 L448 to L 452.</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70C0"/>
          <w:kern w:val="0"/>
          <w:sz w:val="24"/>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sz w:val="24"/>
        </w:rPr>
      </w:pPr>
      <w:r>
        <w:rPr>
          <w:rFonts w:hint="eastAsia" w:ascii="Times New Roman" w:hAnsi="Times New Roman" w:eastAsia="宋体" w:cs="Times New Roman"/>
          <w:color w:val="0070C0"/>
          <w:kern w:val="0"/>
          <w:sz w:val="24"/>
          <w:lang w:val="en-US" w:eastAsia="zh-CN" w:bidi="ar"/>
        </w:rPr>
        <w:t>Comment 8：</w:t>
      </w:r>
      <w:r>
        <w:rPr>
          <w:rFonts w:ascii="Times New Roman" w:hAnsi="Times New Roman" w:cs="Times New Roman"/>
          <w:sz w:val="24"/>
        </w:rPr>
        <w:t>What is the milestone or deliverable that ensure this conclusion?</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70C0"/>
          <w:kern w:val="0"/>
          <w:sz w:val="24"/>
          <w:lang w:val="en-US" w:eastAsia="zh-CN" w:bidi="ar"/>
        </w:rPr>
      </w:pPr>
      <w:r>
        <w:rPr>
          <w:rFonts w:hint="eastAsia" w:ascii="Times New Roman" w:hAnsi="Times New Roman" w:eastAsia="宋体" w:cs="Times New Roman"/>
          <w:color w:val="0070C0"/>
          <w:kern w:val="0"/>
          <w:sz w:val="24"/>
          <w:lang w:val="en-US" w:eastAsia="zh-CN" w:bidi="ar"/>
        </w:rPr>
        <w:t xml:space="preserve">Response：Thanks for your kind question, as for thedeliversbles, the paper discusses the compensation cost of investment and operation cost of water-saving projects and the compensation cost of benefit reduction respectively in Discussion part from P13 L453 to L469.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i/>
          <w:iCs/>
          <w:color w:val="0070C0"/>
          <w:kern w:val="0"/>
          <w:sz w:val="24"/>
          <w:lang w:val="en-US" w:eastAsia="zh-CN" w:bidi="ar"/>
        </w:rPr>
      </w:pPr>
      <w:r>
        <w:rPr>
          <w:rFonts w:hint="eastAsia" w:ascii="Times New Roman" w:hAnsi="Times New Roman" w:eastAsia="宋体" w:cs="Times New Roman"/>
          <w:i/>
          <w:iCs/>
          <w:color w:val="0070C0"/>
          <w:kern w:val="0"/>
          <w:sz w:val="24"/>
          <w:lang w:val="en-US" w:eastAsia="zh-CN" w:bidi="ar"/>
        </w:rPr>
        <w:t>The payment method for the transfer fee of water rights can be considered from the cost of compensation for the investment in water conservation projects and the operating expenses and the reduction of benefits. With regard to compensation fees for investment and operating costs of water-saving projects, the one-time payment of compensation fees is relatively large, and simultaneous investment with the construction investment of the assignee’s industrial project will increase the financial pressure of the assignee. So it is advised to divide the payment to the construction and management units of water saving projects into three phases: at the beginning of the project construction period, paying 20% of the total compensation for investment and operating expenses, at the final year and at the fifth operating year of the construction period paying 40% respectively. In the dry year after the water rights transfer project operation, the water consumption of the agricultural water users in the water-saving irrigation areas will be reduced to varying extents, and the benefits will be lost. Therefore, the benefit reduction compensation fee will be paid to the water users in the water-saving irrigation area through the annual compensation method. In addition to the cash compensation, sharing holding and employment arrangements may also be considered as the compensation to the farmers.</w:t>
      </w:r>
    </w:p>
    <w:p>
      <w:pPr>
        <w:jc w:val="both"/>
      </w:pP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At last, we are so grateful for the constructive comments from you. Maybe there are still a few errors in the revised manuscript although we have had a careful check and modification. Please don’t hesitate to point out the remaining errors in the new version, and we will respond and correct them carefully.</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Thanks a lot again.</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NewRomanPSMT">
    <w:altName w:val="Times New Roman"/>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xYTBmOWExNzY4N2YwMWFjODJkYjVjYTI1MzRlNWUifQ=="/>
  </w:docVars>
  <w:rsids>
    <w:rsidRoot w:val="0828571B"/>
    <w:rsid w:val="0828571B"/>
    <w:rsid w:val="10A75FB1"/>
    <w:rsid w:val="16D83A00"/>
    <w:rsid w:val="1EDD7367"/>
    <w:rsid w:val="284D64D2"/>
    <w:rsid w:val="2A693A20"/>
    <w:rsid w:val="2AED63FF"/>
    <w:rsid w:val="31A240F4"/>
    <w:rsid w:val="350E3A5C"/>
    <w:rsid w:val="41131F0E"/>
    <w:rsid w:val="458111DC"/>
    <w:rsid w:val="459800D3"/>
    <w:rsid w:val="52484953"/>
    <w:rsid w:val="59927FEE"/>
    <w:rsid w:val="5E624433"/>
    <w:rsid w:val="61B551C2"/>
    <w:rsid w:val="6ACF05BC"/>
    <w:rsid w:val="744E12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annotation text"/>
    <w:basedOn w:val="1"/>
    <w:qFormat/>
    <w:uiPriority w:val="0"/>
  </w:style>
  <w:style w:type="character" w:styleId="5">
    <w:name w:val="annotation reference"/>
    <w:qFormat/>
    <w:uiPriority w:val="0"/>
    <w:rPr>
      <w:sz w:val="21"/>
      <w:szCs w:val="21"/>
    </w:rPr>
  </w:style>
  <w:style w:type="paragraph" w:customStyle="1" w:styleId="6">
    <w:name w:val="我的正文"/>
    <w:basedOn w:val="1"/>
    <w:qFormat/>
    <w:uiPriority w:val="0"/>
    <w:pPr>
      <w:spacing w:line="360" w:lineRule="auto"/>
      <w:ind w:firstLine="200" w:firstLineChars="200"/>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1672</Words>
  <Characters>8935</Characters>
  <Lines>0</Lines>
  <Paragraphs>0</Paragraphs>
  <TotalTime>4</TotalTime>
  <ScaleCrop>false</ScaleCrop>
  <LinksUpToDate>false</LinksUpToDate>
  <CharactersWithSpaces>10544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2022-09-16T09:26:00Z</dcterms:created>
  <dc:creator>王明</dc:creator>
  <cp:lastModifiedBy>sandra</cp:lastModifiedBy>
  <dcterms:modified xsi:type="dcterms:W3CDTF">2022-10-07T07:42:01Z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846E9BB7864D45A8AE26C262FA864503</vt:lpwstr>
  </property>
</Properties>
</file>