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7DD8" w:rsidRPr="00244E4E" w:rsidRDefault="00A97DD8" w:rsidP="00A97DD8">
      <w:pPr>
        <w:spacing w:after="0" w:line="240" w:lineRule="auto"/>
        <w:rPr>
          <w:i/>
          <w:sz w:val="24"/>
          <w:szCs w:val="24"/>
          <w:lang w:val="en-US"/>
        </w:rPr>
      </w:pPr>
      <w:bookmarkStart w:id="0" w:name="_GoBack"/>
      <w:bookmarkEnd w:id="0"/>
      <w:r w:rsidRPr="00244E4E">
        <w:rPr>
          <w:i/>
          <w:sz w:val="24"/>
          <w:szCs w:val="24"/>
          <w:lang w:val="en-US"/>
        </w:rPr>
        <w:t xml:space="preserve">Dear Reviewer </w:t>
      </w:r>
      <w:r w:rsidR="00C25A6A">
        <w:rPr>
          <w:i/>
          <w:sz w:val="24"/>
          <w:szCs w:val="24"/>
          <w:lang w:val="en-US"/>
        </w:rPr>
        <w:t>2</w:t>
      </w:r>
      <w:r w:rsidRPr="00244E4E">
        <w:rPr>
          <w:i/>
          <w:sz w:val="24"/>
          <w:szCs w:val="24"/>
          <w:lang w:val="en-US"/>
        </w:rPr>
        <w:t xml:space="preserve">, </w:t>
      </w:r>
      <w:r>
        <w:rPr>
          <w:i/>
          <w:sz w:val="24"/>
          <w:szCs w:val="24"/>
          <w:lang w:val="en-US"/>
        </w:rPr>
        <w:t>I</w:t>
      </w:r>
      <w:r w:rsidRPr="00244E4E">
        <w:rPr>
          <w:i/>
          <w:sz w:val="24"/>
          <w:szCs w:val="24"/>
          <w:lang w:val="en-US"/>
        </w:rPr>
        <w:t xml:space="preserve"> would first express to thank for the work done</w:t>
      </w:r>
      <w:r>
        <w:rPr>
          <w:i/>
          <w:sz w:val="24"/>
          <w:szCs w:val="24"/>
          <w:lang w:val="en-US"/>
        </w:rPr>
        <w:t xml:space="preserve">, </w:t>
      </w:r>
      <w:r w:rsidR="00BB6244">
        <w:rPr>
          <w:i/>
          <w:sz w:val="24"/>
          <w:szCs w:val="24"/>
          <w:lang w:val="en-US"/>
        </w:rPr>
        <w:t>in this very short time</w:t>
      </w:r>
      <w:r w:rsidRPr="00244E4E">
        <w:rPr>
          <w:i/>
          <w:sz w:val="24"/>
          <w:szCs w:val="24"/>
          <w:lang w:val="en-US"/>
        </w:rPr>
        <w:t xml:space="preserve">. </w:t>
      </w:r>
    </w:p>
    <w:p w:rsidR="00A97DD8" w:rsidRPr="00244E4E" w:rsidRDefault="00A97DD8" w:rsidP="00A97DD8">
      <w:pPr>
        <w:spacing w:after="0" w:line="240" w:lineRule="auto"/>
        <w:rPr>
          <w:i/>
          <w:sz w:val="24"/>
          <w:szCs w:val="24"/>
          <w:lang w:val="en-US"/>
        </w:rPr>
      </w:pPr>
      <w:r w:rsidRPr="00244E4E">
        <w:rPr>
          <w:i/>
          <w:sz w:val="24"/>
          <w:szCs w:val="24"/>
          <w:lang w:val="en-US"/>
        </w:rPr>
        <w:t xml:space="preserve">In the rest of this letter </w:t>
      </w:r>
      <w:r>
        <w:rPr>
          <w:i/>
          <w:sz w:val="24"/>
          <w:szCs w:val="24"/>
          <w:lang w:val="en-US"/>
        </w:rPr>
        <w:t>I</w:t>
      </w:r>
      <w:r w:rsidRPr="00244E4E">
        <w:rPr>
          <w:i/>
          <w:sz w:val="24"/>
          <w:szCs w:val="24"/>
          <w:lang w:val="en-US"/>
        </w:rPr>
        <w:t xml:space="preserve"> report the changes and additions You requested and the modification introduced in the new version. </w:t>
      </w:r>
    </w:p>
    <w:p w:rsidR="00A97DD8" w:rsidRDefault="00A97DD8" w:rsidP="00A97DD8">
      <w:pPr>
        <w:spacing w:after="0" w:line="240" w:lineRule="auto"/>
        <w:rPr>
          <w:i/>
          <w:sz w:val="24"/>
          <w:szCs w:val="24"/>
          <w:lang w:val="en-US"/>
        </w:rPr>
      </w:pPr>
    </w:p>
    <w:p w:rsidR="00A97DD8" w:rsidRPr="00244E4E" w:rsidRDefault="00A97DD8" w:rsidP="00A97DD8">
      <w:pPr>
        <w:spacing w:after="0" w:line="240" w:lineRule="auto"/>
        <w:rPr>
          <w:sz w:val="24"/>
          <w:szCs w:val="24"/>
          <w:lang w:val="en-US"/>
        </w:rPr>
      </w:pPr>
      <w:r w:rsidRPr="00244E4E">
        <w:rPr>
          <w:i/>
          <w:sz w:val="24"/>
          <w:szCs w:val="24"/>
          <w:lang w:val="en-US"/>
        </w:rPr>
        <w:t xml:space="preserve">Specifically, </w:t>
      </w:r>
      <w:r>
        <w:rPr>
          <w:i/>
          <w:sz w:val="24"/>
          <w:szCs w:val="24"/>
          <w:lang w:val="en-US"/>
        </w:rPr>
        <w:t>I</w:t>
      </w:r>
      <w:r w:rsidRPr="00244E4E">
        <w:rPr>
          <w:i/>
          <w:sz w:val="24"/>
          <w:szCs w:val="24"/>
          <w:lang w:val="en-US"/>
        </w:rPr>
        <w:t xml:space="preserve"> use:</w:t>
      </w:r>
    </w:p>
    <w:p w:rsidR="00A97DD8" w:rsidRPr="00C00DDD" w:rsidRDefault="00A97DD8" w:rsidP="00A97DD8">
      <w:pPr>
        <w:spacing w:after="0" w:line="240" w:lineRule="auto"/>
        <w:rPr>
          <w:strike/>
          <w:sz w:val="24"/>
          <w:szCs w:val="24"/>
          <w:lang w:val="en-US"/>
        </w:rPr>
      </w:pPr>
      <w:r w:rsidRPr="00244E4E">
        <w:rPr>
          <w:sz w:val="24"/>
          <w:szCs w:val="24"/>
          <w:lang w:val="en-US"/>
        </w:rPr>
        <w:t>1)</w:t>
      </w:r>
      <w:r w:rsidRPr="00C00DDD">
        <w:rPr>
          <w:strike/>
          <w:sz w:val="24"/>
          <w:szCs w:val="24"/>
          <w:lang w:val="en-US"/>
        </w:rPr>
        <w:t xml:space="preserve"> </w:t>
      </w:r>
      <w:r w:rsidRPr="00C00DDD">
        <w:rPr>
          <w:strike/>
          <w:sz w:val="24"/>
          <w:szCs w:val="24"/>
          <w:highlight w:val="yellow"/>
          <w:lang w:val="en-US"/>
        </w:rPr>
        <w:t>yellow highlight for removed parts</w:t>
      </w:r>
      <w:r w:rsidRPr="00C00DDD">
        <w:rPr>
          <w:strike/>
          <w:sz w:val="24"/>
          <w:szCs w:val="24"/>
          <w:lang w:val="en-US"/>
        </w:rPr>
        <w:t>;</w:t>
      </w:r>
    </w:p>
    <w:p w:rsidR="00A97DD8" w:rsidRPr="00244E4E" w:rsidRDefault="00A97DD8" w:rsidP="00A97DD8">
      <w:pPr>
        <w:spacing w:after="0" w:line="240" w:lineRule="auto"/>
        <w:rPr>
          <w:sz w:val="24"/>
          <w:szCs w:val="24"/>
          <w:lang w:val="en-US"/>
        </w:rPr>
      </w:pPr>
      <w:r w:rsidRPr="00244E4E">
        <w:rPr>
          <w:sz w:val="24"/>
          <w:szCs w:val="24"/>
          <w:lang w:val="en-US"/>
        </w:rPr>
        <w:t xml:space="preserve">2) </w:t>
      </w:r>
      <w:r w:rsidRPr="00244E4E">
        <w:rPr>
          <w:color w:val="FF0000"/>
          <w:sz w:val="24"/>
          <w:szCs w:val="24"/>
          <w:lang w:val="en-US"/>
        </w:rPr>
        <w:t>red font for new parts inserted or significantly modified</w:t>
      </w:r>
      <w:r w:rsidRPr="00244E4E">
        <w:rPr>
          <w:sz w:val="24"/>
          <w:szCs w:val="24"/>
          <w:lang w:val="en-US"/>
        </w:rPr>
        <w:t>;</w:t>
      </w:r>
    </w:p>
    <w:p w:rsidR="00A97DD8" w:rsidRPr="00244E4E" w:rsidRDefault="00A97DD8" w:rsidP="00A97DD8">
      <w:pPr>
        <w:spacing w:after="0" w:line="240" w:lineRule="auto"/>
        <w:rPr>
          <w:sz w:val="24"/>
          <w:szCs w:val="24"/>
          <w:lang w:val="en-US"/>
        </w:rPr>
      </w:pPr>
      <w:r w:rsidRPr="00244E4E">
        <w:rPr>
          <w:sz w:val="24"/>
          <w:szCs w:val="24"/>
          <w:lang w:val="en-US"/>
        </w:rPr>
        <w:t>3) black font for the connection parts identical to the original;</w:t>
      </w:r>
    </w:p>
    <w:p w:rsidR="00A97DD8" w:rsidRPr="00244E4E" w:rsidRDefault="00A97DD8" w:rsidP="00A97DD8">
      <w:pPr>
        <w:spacing w:after="0" w:line="240" w:lineRule="auto"/>
        <w:rPr>
          <w:sz w:val="24"/>
          <w:szCs w:val="24"/>
          <w:lang w:val="en-US"/>
        </w:rPr>
      </w:pPr>
      <w:r w:rsidRPr="00244E4E">
        <w:rPr>
          <w:sz w:val="24"/>
          <w:szCs w:val="24"/>
          <w:lang w:val="en-US"/>
        </w:rPr>
        <w:t xml:space="preserve">4) </w:t>
      </w:r>
      <w:r w:rsidRPr="00244E4E">
        <w:rPr>
          <w:color w:val="00B050"/>
          <w:sz w:val="24"/>
          <w:szCs w:val="24"/>
          <w:lang w:val="en-US"/>
        </w:rPr>
        <w:t>green font for Your original suggestion</w:t>
      </w:r>
      <w:r w:rsidRPr="00244E4E">
        <w:rPr>
          <w:sz w:val="24"/>
          <w:szCs w:val="24"/>
          <w:lang w:val="en-US"/>
        </w:rPr>
        <w:t>;</w:t>
      </w:r>
    </w:p>
    <w:p w:rsidR="00A97DD8" w:rsidRPr="00244E4E" w:rsidRDefault="00A97DD8" w:rsidP="00A97DD8">
      <w:pPr>
        <w:spacing w:after="0" w:line="240" w:lineRule="auto"/>
        <w:rPr>
          <w:sz w:val="24"/>
          <w:szCs w:val="24"/>
          <w:lang w:val="en-US"/>
        </w:rPr>
      </w:pPr>
      <w:r w:rsidRPr="00244E4E">
        <w:rPr>
          <w:sz w:val="24"/>
          <w:szCs w:val="24"/>
          <w:lang w:val="en-US"/>
        </w:rPr>
        <w:t xml:space="preserve">5) </w:t>
      </w:r>
      <w:r w:rsidRPr="00244E4E">
        <w:rPr>
          <w:i/>
          <w:sz w:val="24"/>
          <w:szCs w:val="24"/>
          <w:lang w:val="en-US"/>
        </w:rPr>
        <w:t>italic font for our comments</w:t>
      </w:r>
      <w:r w:rsidRPr="00244E4E">
        <w:rPr>
          <w:sz w:val="24"/>
          <w:szCs w:val="24"/>
          <w:lang w:val="en-US"/>
        </w:rPr>
        <w:t>.</w:t>
      </w:r>
    </w:p>
    <w:p w:rsidR="00A97DD8" w:rsidRDefault="00A97DD8" w:rsidP="004348B2">
      <w:pPr>
        <w:rPr>
          <w:lang w:val="en-US"/>
        </w:rPr>
      </w:pPr>
    </w:p>
    <w:p w:rsidR="00A97DD8" w:rsidRDefault="00A97DD8" w:rsidP="004348B2">
      <w:pPr>
        <w:rPr>
          <w:lang w:val="en-US"/>
        </w:rPr>
      </w:pPr>
    </w:p>
    <w:p w:rsidR="004348B2" w:rsidRPr="00BB6244" w:rsidRDefault="004348B2" w:rsidP="004348B2">
      <w:pPr>
        <w:rPr>
          <w:color w:val="00B050"/>
          <w:lang w:val="en-US"/>
        </w:rPr>
      </w:pPr>
      <w:r w:rsidRPr="00BB6244">
        <w:rPr>
          <w:color w:val="00B050"/>
          <w:lang w:val="en-US"/>
        </w:rPr>
        <w:t>In general</w:t>
      </w:r>
    </w:p>
    <w:p w:rsidR="004348B2" w:rsidRPr="004348B2" w:rsidRDefault="004348B2" w:rsidP="004348B2">
      <w:pPr>
        <w:rPr>
          <w:lang w:val="en-US"/>
        </w:rPr>
      </w:pPr>
      <w:r w:rsidRPr="00BB6244">
        <w:rPr>
          <w:color w:val="00B050"/>
          <w:lang w:val="en-US"/>
        </w:rPr>
        <w:t>There is moderate progress in the new version of the manuscript. However, due to the lack of an introduction, it is very difficult to understand the novelty of this manuscript. The background must be described in order to appreciate the novelty of this manuscript.</w:t>
      </w:r>
    </w:p>
    <w:p w:rsidR="00BB6244" w:rsidRDefault="00BB6244" w:rsidP="00BB6244">
      <w:pPr>
        <w:rPr>
          <w:color w:val="00B050"/>
          <w:lang w:val="en-US"/>
        </w:rPr>
      </w:pPr>
      <w:r w:rsidRPr="00BB6244">
        <w:rPr>
          <w:color w:val="00B050"/>
          <w:lang w:val="en-US"/>
        </w:rPr>
        <w:t>Lines 121-127. The authors provide three areas of novelty. However, the above introduction does not allow us to appreciate these three areas of novelty.</w:t>
      </w:r>
    </w:p>
    <w:p w:rsidR="00BB6244" w:rsidRDefault="00BB6244" w:rsidP="00BB6244">
      <w:pPr>
        <w:rPr>
          <w:color w:val="00B050"/>
          <w:lang w:val="en-US"/>
        </w:rPr>
      </w:pPr>
    </w:p>
    <w:p w:rsidR="00BB6244" w:rsidRPr="00BB6244" w:rsidRDefault="00BB6244" w:rsidP="00BB6244">
      <w:pPr>
        <w:rPr>
          <w:i/>
          <w:lang w:val="en-US"/>
        </w:rPr>
      </w:pPr>
      <w:r w:rsidRPr="00BB6244">
        <w:rPr>
          <w:i/>
          <w:lang w:val="en-US"/>
        </w:rPr>
        <w:t>Modified following the indication</w:t>
      </w:r>
    </w:p>
    <w:p w:rsidR="00BB6244" w:rsidRDefault="00BB6244" w:rsidP="00BB6244">
      <w:pPr>
        <w:rPr>
          <w:color w:val="00B050"/>
          <w:lang w:val="en-US"/>
        </w:rPr>
      </w:pPr>
    </w:p>
    <w:p w:rsidR="00BB6244" w:rsidRPr="00326B7C" w:rsidRDefault="00BB6244" w:rsidP="00BB6244">
      <w:pPr>
        <w:pStyle w:val="MDPI31text"/>
        <w:rPr>
          <w:color w:val="000000" w:themeColor="text1"/>
          <w:lang w:val="en"/>
        </w:rPr>
      </w:pPr>
      <w:r>
        <w:rPr>
          <w:color w:val="auto"/>
          <w:lang w:val="en"/>
        </w:rPr>
        <w:t xml:space="preserve">In the final discussion the main elements of the paper are </w:t>
      </w:r>
      <w:r w:rsidRPr="0011278E">
        <w:rPr>
          <w:color w:val="000000" w:themeColor="text1"/>
          <w:lang w:val="en"/>
        </w:rPr>
        <w:t>highlighted and different ideas are provided for the further development of theoretical and applied research.</w:t>
      </w:r>
      <w:r w:rsidRPr="0011278E">
        <w:rPr>
          <w:color w:val="000000" w:themeColor="text1"/>
        </w:rPr>
        <w:t xml:space="preserve"> </w:t>
      </w:r>
    </w:p>
    <w:p w:rsidR="00BB6244" w:rsidRPr="003C7922" w:rsidRDefault="00BB6244" w:rsidP="00BB6244">
      <w:pPr>
        <w:pStyle w:val="MDPI31text"/>
        <w:rPr>
          <w:strike/>
          <w:color w:val="000000" w:themeColor="text1"/>
          <w:highlight w:val="yellow"/>
          <w:lang w:val="en"/>
        </w:rPr>
      </w:pPr>
      <w:bookmarkStart w:id="1" w:name="_Hlk108263555"/>
      <w:r w:rsidRPr="003C7922">
        <w:rPr>
          <w:strike/>
          <w:color w:val="000000" w:themeColor="text1"/>
          <w:highlight w:val="yellow"/>
          <w:lang w:val="en"/>
        </w:rPr>
        <w:t>The novelty of the paper consists:</w:t>
      </w:r>
    </w:p>
    <w:p w:rsidR="00BB6244" w:rsidRPr="003C7922" w:rsidRDefault="00BB6244" w:rsidP="00BB6244">
      <w:pPr>
        <w:pStyle w:val="MDPI31text"/>
        <w:numPr>
          <w:ilvl w:val="0"/>
          <w:numId w:val="1"/>
        </w:numPr>
        <w:rPr>
          <w:strike/>
          <w:color w:val="000000" w:themeColor="text1"/>
          <w:highlight w:val="yellow"/>
          <w:lang w:val="en"/>
        </w:rPr>
      </w:pPr>
      <w:r w:rsidRPr="003C7922">
        <w:rPr>
          <w:strike/>
          <w:color w:val="000000" w:themeColor="text1"/>
          <w:highlight w:val="yellow"/>
          <w:lang w:val="en"/>
        </w:rPr>
        <w:t>in the identification of the 2030 Agenda targets that can be pursued with MaaS;</w:t>
      </w:r>
    </w:p>
    <w:p w:rsidR="00BB6244" w:rsidRPr="003C7922" w:rsidRDefault="00BB6244" w:rsidP="00BB6244">
      <w:pPr>
        <w:pStyle w:val="MDPI31text"/>
        <w:numPr>
          <w:ilvl w:val="0"/>
          <w:numId w:val="1"/>
        </w:numPr>
        <w:rPr>
          <w:strike/>
          <w:color w:val="000000" w:themeColor="text1"/>
          <w:highlight w:val="yellow"/>
          <w:lang w:val="en"/>
        </w:rPr>
      </w:pPr>
      <w:r w:rsidRPr="003C7922">
        <w:rPr>
          <w:strike/>
          <w:color w:val="000000" w:themeColor="text1"/>
          <w:highlight w:val="yellow"/>
          <w:lang w:val="en"/>
        </w:rPr>
        <w:t>in the formulation of a dynamic model, in the TSM field, which allows to quantitatively evaluate the development policies of the MaaS with respect to the goals of the 2030 agenda;</w:t>
      </w:r>
    </w:p>
    <w:p w:rsidR="00BB6244" w:rsidRDefault="00BB6244" w:rsidP="00BB6244">
      <w:pPr>
        <w:pStyle w:val="MDPI31text"/>
        <w:numPr>
          <w:ilvl w:val="0"/>
          <w:numId w:val="1"/>
        </w:numPr>
        <w:rPr>
          <w:color w:val="000000" w:themeColor="text1"/>
          <w:lang w:val="en"/>
        </w:rPr>
      </w:pPr>
      <w:r w:rsidRPr="003C7922">
        <w:rPr>
          <w:strike/>
          <w:color w:val="000000" w:themeColor="text1"/>
          <w:highlight w:val="yellow"/>
          <w:lang w:val="en"/>
        </w:rPr>
        <w:t>in the explicit insertion, in the dynamic model, of emerging technologies, which in none of the cited experimental cases has been proposed</w:t>
      </w:r>
      <w:r w:rsidRPr="003C7922">
        <w:rPr>
          <w:strike/>
          <w:color w:val="000000" w:themeColor="text1"/>
          <w:lang w:val="en"/>
        </w:rPr>
        <w:t>.</w:t>
      </w:r>
      <w:bookmarkEnd w:id="1"/>
      <w:r w:rsidRPr="0011278E">
        <w:rPr>
          <w:color w:val="000000" w:themeColor="text1"/>
          <w:lang w:val="en"/>
        </w:rPr>
        <w:t xml:space="preserve"> </w:t>
      </w:r>
    </w:p>
    <w:p w:rsidR="00BB6244" w:rsidRDefault="00BB6244" w:rsidP="00BB6244">
      <w:pPr>
        <w:pStyle w:val="MDPI31text"/>
        <w:rPr>
          <w:color w:val="FF0000"/>
          <w:lang w:val="en"/>
        </w:rPr>
      </w:pPr>
      <w:r w:rsidRPr="003C7922">
        <w:rPr>
          <w:color w:val="FF0000"/>
          <w:lang w:val="en"/>
        </w:rPr>
        <w:t>The main novelties of the paper consist of:</w:t>
      </w:r>
    </w:p>
    <w:p w:rsidR="00BB6244" w:rsidRPr="003C7922" w:rsidRDefault="00BB6244" w:rsidP="00BB6244">
      <w:pPr>
        <w:pStyle w:val="MDPI31text"/>
        <w:numPr>
          <w:ilvl w:val="0"/>
          <w:numId w:val="3"/>
        </w:numPr>
        <w:rPr>
          <w:color w:val="FF0000"/>
          <w:lang w:val="en"/>
        </w:rPr>
      </w:pPr>
      <w:r w:rsidRPr="003C7922">
        <w:rPr>
          <w:color w:val="FF0000"/>
          <w:lang w:val="en"/>
        </w:rPr>
        <w:t>analysis of the goals and targets of the Agenda 2030 and highlighting those for which the MaaS can contribute to the pursuit;</w:t>
      </w:r>
    </w:p>
    <w:p w:rsidR="00BB6244" w:rsidRDefault="00BB6244" w:rsidP="00BB6244">
      <w:pPr>
        <w:pStyle w:val="MDPI31text"/>
        <w:numPr>
          <w:ilvl w:val="0"/>
          <w:numId w:val="3"/>
        </w:numPr>
        <w:rPr>
          <w:color w:val="FF0000"/>
          <w:lang w:val="en"/>
        </w:rPr>
      </w:pPr>
      <w:r w:rsidRPr="003C7922">
        <w:rPr>
          <w:color w:val="FF0000"/>
          <w:lang w:val="en"/>
        </w:rPr>
        <w:t>formulation of a dynamic model in the TSM field, with the formalization of emerging ICT technologies, not present in the literature, in the demand model, in the supply model and in the interaction model, with the use of a scheduled-service model for the supply;</w:t>
      </w:r>
    </w:p>
    <w:p w:rsidR="00BB6244" w:rsidRPr="00BB6244" w:rsidRDefault="00BB6244" w:rsidP="00BB6244">
      <w:pPr>
        <w:pStyle w:val="MDPI31text"/>
        <w:numPr>
          <w:ilvl w:val="0"/>
          <w:numId w:val="3"/>
        </w:numPr>
        <w:rPr>
          <w:color w:val="FF0000"/>
          <w:lang w:val="en"/>
        </w:rPr>
      </w:pPr>
      <w:r w:rsidRPr="003C7922">
        <w:rPr>
          <w:color w:val="FF0000"/>
          <w:lang w:val="en"/>
        </w:rPr>
        <w:t>use of TSM models existing in the literature, and proposed in the paper, for the quantitative evaluation of MaaS development policies with respect to the targets of the 2030 Agenda.</w:t>
      </w:r>
    </w:p>
    <w:p w:rsidR="004348B2" w:rsidRPr="004348B2" w:rsidRDefault="004348B2" w:rsidP="004348B2">
      <w:pPr>
        <w:rPr>
          <w:lang w:val="en-US"/>
        </w:rPr>
      </w:pPr>
    </w:p>
    <w:p w:rsidR="00447E85" w:rsidRDefault="00447E85" w:rsidP="004348B2">
      <w:pPr>
        <w:rPr>
          <w:b/>
          <w:color w:val="00B050"/>
          <w:lang w:val="en-US"/>
        </w:rPr>
      </w:pPr>
    </w:p>
    <w:p w:rsidR="004348B2" w:rsidRPr="00BB6244" w:rsidRDefault="004348B2" w:rsidP="004348B2">
      <w:pPr>
        <w:rPr>
          <w:b/>
          <w:color w:val="00B050"/>
          <w:lang w:val="en-US"/>
        </w:rPr>
      </w:pPr>
      <w:r w:rsidRPr="00BB6244">
        <w:rPr>
          <w:b/>
          <w:color w:val="00B050"/>
          <w:lang w:val="en-US"/>
        </w:rPr>
        <w:lastRenderedPageBreak/>
        <w:t>In specific</w:t>
      </w:r>
    </w:p>
    <w:p w:rsidR="004348B2" w:rsidRPr="004348B2" w:rsidRDefault="004348B2" w:rsidP="004348B2">
      <w:pPr>
        <w:rPr>
          <w:lang w:val="en-US"/>
        </w:rPr>
      </w:pPr>
    </w:p>
    <w:p w:rsidR="004348B2" w:rsidRPr="00BB6244" w:rsidRDefault="004348B2" w:rsidP="004348B2">
      <w:pPr>
        <w:rPr>
          <w:color w:val="00B050"/>
          <w:lang w:val="en-US"/>
        </w:rPr>
      </w:pPr>
      <w:r w:rsidRPr="00BB6244">
        <w:rPr>
          <w:color w:val="00B050"/>
          <w:lang w:val="en-US"/>
        </w:rPr>
        <w:t>Lines 68- 74. Specifying geographic locations for links [5-7] is not an essential description of the essence of MaaS.</w:t>
      </w:r>
    </w:p>
    <w:p w:rsidR="004348B2" w:rsidRPr="00BB6244" w:rsidRDefault="00BB6244" w:rsidP="004348B2">
      <w:pPr>
        <w:rPr>
          <w:i/>
          <w:lang w:val="en-US"/>
        </w:rPr>
      </w:pPr>
      <w:r w:rsidRPr="00BB6244">
        <w:rPr>
          <w:i/>
          <w:lang w:val="en-US"/>
        </w:rPr>
        <w:t>Modified following the indication</w:t>
      </w:r>
    </w:p>
    <w:p w:rsidR="00BB6244" w:rsidRPr="00BB6244" w:rsidRDefault="00BB6244" w:rsidP="00BB6244">
      <w:pPr>
        <w:pStyle w:val="MDPI31text"/>
        <w:rPr>
          <w:color w:val="000000" w:themeColor="text1"/>
          <w:lang w:val="en"/>
        </w:rPr>
      </w:pPr>
      <w:bookmarkStart w:id="2" w:name="_Hlk108419449"/>
      <w:r w:rsidRPr="00093F0C">
        <w:rPr>
          <w:color w:val="auto"/>
          <w:lang w:val="en"/>
        </w:rPr>
        <w:t xml:space="preserve">The current state of development of the </w:t>
      </w:r>
      <w:r>
        <w:rPr>
          <w:color w:val="auto"/>
          <w:lang w:val="en"/>
        </w:rPr>
        <w:t>MaaS</w:t>
      </w:r>
      <w:r w:rsidRPr="00093F0C">
        <w:rPr>
          <w:color w:val="auto"/>
          <w:lang w:val="en"/>
        </w:rPr>
        <w:t xml:space="preserve"> is determined by the advanced use of ICT technologies, of which there is an extensive </w:t>
      </w:r>
      <w:r w:rsidRPr="0011278E">
        <w:rPr>
          <w:color w:val="000000" w:themeColor="text1"/>
          <w:lang w:val="en"/>
        </w:rPr>
        <w:t xml:space="preserve">literature. </w:t>
      </w:r>
      <w:bookmarkStart w:id="3" w:name="_Hlk108259107"/>
      <w:r w:rsidRPr="0011278E">
        <w:rPr>
          <w:color w:val="000000" w:themeColor="text1"/>
          <w:lang w:val="en"/>
        </w:rPr>
        <w:t xml:space="preserve">The literature on MaaS and the technologies used is all very recent, a subsequent section is dedicated to it where it is treated in detail. </w:t>
      </w:r>
      <w:r w:rsidRPr="00E76DD1">
        <w:rPr>
          <w:strike/>
          <w:color w:val="000000" w:themeColor="text1"/>
          <w:highlight w:val="yellow"/>
          <w:lang w:val="en"/>
        </w:rPr>
        <w:t>Here it is useful to recall the focal references to the most qualified experiences at international level: Helsinki which can be considered the prototype experience [5], Sydney which can be considered the most in-depth experience from a theoretical point of view [6], the Italian experience [7] involving several cities by introducing shared architecture.</w:t>
      </w:r>
      <w:r w:rsidRPr="0011278E">
        <w:rPr>
          <w:color w:val="000000" w:themeColor="text1"/>
          <w:lang w:val="en"/>
        </w:rPr>
        <w:t xml:space="preserve"> </w:t>
      </w:r>
      <w:bookmarkEnd w:id="2"/>
      <w:bookmarkEnd w:id="3"/>
      <w:r w:rsidRPr="00E76DD1">
        <w:rPr>
          <w:color w:val="FF0000"/>
          <w:lang w:val="en"/>
        </w:rPr>
        <w:t xml:space="preserve">It is useful here to recall some references, at an international level, which can be considered topical </w:t>
      </w:r>
      <w:r>
        <w:rPr>
          <w:color w:val="FF0000"/>
          <w:lang w:val="en"/>
        </w:rPr>
        <w:t>points</w:t>
      </w:r>
      <w:r w:rsidRPr="00E76DD1">
        <w:rPr>
          <w:color w:val="FF0000"/>
          <w:lang w:val="en"/>
        </w:rPr>
        <w:t xml:space="preserve"> in the development of Maas: the prototype experience, carried out in the city of Helsinki since 2014, with the design of the first platform with 4 bundles [5]; the in-depth theoretical development of the services model, with the expansion of the bundles offered to users</w:t>
      </w:r>
      <w:r>
        <w:rPr>
          <w:color w:val="FF0000"/>
          <w:lang w:val="en"/>
        </w:rPr>
        <w:t>,</w:t>
      </w:r>
      <w:r w:rsidRPr="00E76DD1">
        <w:rPr>
          <w:color w:val="FF0000"/>
          <w:lang w:val="en"/>
        </w:rPr>
        <w:t xml:space="preserve"> carried out starting from 2017 by a group of Australian researchers [6]; the Italian experience, currently underway [7] which, in addition to the integration of services, to offer bundles, is integrating more cities, introducing for the first time, on an operational level, an ICT architecture shared between all cities.</w:t>
      </w:r>
    </w:p>
    <w:p w:rsidR="00BB6244" w:rsidRPr="004348B2" w:rsidRDefault="00BB6244" w:rsidP="004348B2">
      <w:pPr>
        <w:rPr>
          <w:lang w:val="en-US"/>
        </w:rPr>
      </w:pPr>
    </w:p>
    <w:p w:rsidR="004348B2" w:rsidRPr="00BB6244" w:rsidRDefault="004348B2" w:rsidP="004348B2">
      <w:pPr>
        <w:rPr>
          <w:color w:val="00B050"/>
          <w:lang w:val="en-US"/>
        </w:rPr>
      </w:pPr>
      <w:r w:rsidRPr="00BB6244">
        <w:rPr>
          <w:color w:val="00B050"/>
          <w:lang w:val="en-US"/>
        </w:rPr>
        <w:t>Lines 79-84 (old version). The author cites four articles that are directly related to the stated topic. However, a critical analysis of these articles is not presented. Perhaps the introduction should begin with an analysis of these articles. This remark was ignored.</w:t>
      </w:r>
    </w:p>
    <w:p w:rsidR="004348B2" w:rsidRPr="004348B2" w:rsidRDefault="004348B2" w:rsidP="004348B2">
      <w:pPr>
        <w:rPr>
          <w:lang w:val="en-US"/>
        </w:rPr>
      </w:pPr>
      <w:r w:rsidRPr="00BB6244">
        <w:rPr>
          <w:color w:val="00B050"/>
          <w:lang w:val="en-US"/>
        </w:rPr>
        <w:t>Lines 79-84 (old version). “The theme becomes to identify the indicators of Agenda 2030 that require the use of the TSM in order to verify the policies that you want to implement. It emerges that the availability of advanced modeling tools is essential to be able to verify the results of public policies, both for goals on which MaaS impacts directly and for goals on which it indirectly impacts. The MaaS evolved in the TSM field, which allows to study the impacts, is called Sustainable MaaS, SmaaS [3–7]”.</w:t>
      </w:r>
    </w:p>
    <w:p w:rsidR="00BB6244" w:rsidRPr="00BB6244" w:rsidRDefault="00BB6244" w:rsidP="00BB6244">
      <w:pPr>
        <w:rPr>
          <w:i/>
          <w:lang w:val="en-US"/>
        </w:rPr>
      </w:pPr>
      <w:r w:rsidRPr="00BB6244">
        <w:rPr>
          <w:i/>
          <w:lang w:val="en-US"/>
        </w:rPr>
        <w:t>Modified following the indication</w:t>
      </w:r>
    </w:p>
    <w:p w:rsidR="00BB6244" w:rsidRDefault="00BB6244" w:rsidP="00BB6244">
      <w:pPr>
        <w:pStyle w:val="MDPI31text"/>
        <w:rPr>
          <w:strike/>
          <w:color w:val="000000" w:themeColor="text1"/>
          <w:highlight w:val="yellow"/>
          <w:lang w:val="en"/>
        </w:rPr>
      </w:pPr>
      <w:r w:rsidRPr="00960F34">
        <w:rPr>
          <w:strike/>
          <w:color w:val="auto"/>
          <w:highlight w:val="yellow"/>
          <w:lang w:val="en"/>
        </w:rPr>
        <w:t>The theme becomes to identify the indicators of Agenda 2030 that require the use of the TSM in order to verify the policies that you want to implement.</w:t>
      </w:r>
      <w:r w:rsidRPr="00960F34">
        <w:rPr>
          <w:strike/>
          <w:color w:val="auto"/>
          <w:highlight w:val="yellow"/>
        </w:rPr>
        <w:t xml:space="preserve"> </w:t>
      </w:r>
      <w:r w:rsidRPr="00960F34">
        <w:rPr>
          <w:strike/>
          <w:color w:val="auto"/>
          <w:highlight w:val="yellow"/>
          <w:lang w:val="en"/>
        </w:rPr>
        <w:t xml:space="preserve">It emerges that the availability of advanced modeling tools is essential to be able to verify the results of public policies, both for goals on which MaaS impacts directly and for goals on which it indirectly impacts. </w:t>
      </w:r>
      <w:bookmarkStart w:id="4" w:name="_Hlk108260834"/>
      <w:r w:rsidRPr="00960F34">
        <w:rPr>
          <w:strike/>
          <w:color w:val="auto"/>
          <w:highlight w:val="yellow"/>
          <w:lang w:val="en"/>
        </w:rPr>
        <w:t>The MaaS evolved in the TSM field, which allows to study the impacts, is called Sustainable MaaS, SmaaS.</w:t>
      </w:r>
      <w:r w:rsidRPr="00960F34">
        <w:rPr>
          <w:strike/>
          <w:highlight w:val="yellow"/>
        </w:rPr>
        <w:t xml:space="preserve"> </w:t>
      </w:r>
      <w:bookmarkStart w:id="5" w:name="_Hlk108260797"/>
      <w:bookmarkEnd w:id="4"/>
      <w:r w:rsidRPr="00960F34">
        <w:rPr>
          <w:strike/>
          <w:color w:val="auto"/>
          <w:highlight w:val="yellow"/>
          <w:lang w:val="en"/>
        </w:rPr>
        <w:t xml:space="preserve">The MaaS can have an important evolution if it is studied with the TSM, this allows to simulate the impacts. The MaaS with this evolution is called Sustainable MaaS, </w:t>
      </w:r>
      <w:r w:rsidRPr="00960F34">
        <w:rPr>
          <w:strike/>
          <w:color w:val="000000" w:themeColor="text1"/>
          <w:highlight w:val="yellow"/>
          <w:lang w:val="en"/>
        </w:rPr>
        <w:t xml:space="preserve">SmaaS. </w:t>
      </w:r>
      <w:bookmarkStart w:id="6" w:name="_Hlk108419576"/>
      <w:r w:rsidRPr="00960F34">
        <w:rPr>
          <w:strike/>
          <w:color w:val="000000" w:themeColor="text1"/>
          <w:highlight w:val="yellow"/>
          <w:lang w:val="en"/>
        </w:rPr>
        <w:t>A specific literature is available on SMaaS in which the different aspects are explored: supply-demand interaction [8], basic supply components and their bundle organization [9], demand analysis and its specification in cases real [10], network design structure [11], impact of MaaS in the strategic evolution of the smart city [12].</w:t>
      </w:r>
      <w:bookmarkEnd w:id="5"/>
      <w:bookmarkEnd w:id="6"/>
    </w:p>
    <w:p w:rsidR="004348B2" w:rsidRPr="00BB6244" w:rsidRDefault="00BB6244" w:rsidP="00BB6244">
      <w:pPr>
        <w:pStyle w:val="MDPI31text"/>
        <w:rPr>
          <w:strike/>
          <w:color w:val="000000" w:themeColor="text1"/>
          <w:lang w:val="en"/>
        </w:rPr>
      </w:pPr>
      <w:r w:rsidRPr="00BB6244">
        <w:rPr>
          <w:color w:val="FF0000"/>
        </w:rPr>
        <w:t xml:space="preserve">The theme becomes identifying the indicators of the Agenda 2030 that require the use of the TSM to verify, ex ante in the planning stage, the policies to be implemented. Advanced modeling tools are therefore required in order to </w:t>
      </w:r>
      <w:r w:rsidRPr="00BB6244">
        <w:rPr>
          <w:color w:val="FF0000"/>
        </w:rPr>
        <w:lastRenderedPageBreak/>
        <w:t>verify the results of public policies aimed at Agenda 2030: both for goals on which the MaaS directly impacts, and for goals on which it impacts indirectly. On the line of research, which evolves the MaaS towards sustainability, an internally deeply integrated literature is proposed, in which the different aspects of the MaaS-TSM relationship are explored: the interaction between supply and demand is deepened considering all the contributions to the development of the theoretical model [8]; the basic components of the supply and their bundled organization are studied in real cases where the supply is more extensive [9]; the MaaS demand is analyzed, starting from the real cases, in the different components considering also the induced demand, and with the different specifications [10]; on the basis of supply, demand and interaction, the network design modeling is proposed, setting sustainability objectives [11]; after the tactical-operational scale investigated with network design, the impact of MaaS in the strategic planning of the smart city is considered [12].</w:t>
      </w:r>
    </w:p>
    <w:p w:rsidR="004348B2" w:rsidRPr="004348B2" w:rsidRDefault="004348B2" w:rsidP="004348B2">
      <w:pPr>
        <w:rPr>
          <w:lang w:val="en-US"/>
        </w:rPr>
      </w:pPr>
    </w:p>
    <w:p w:rsidR="008C667B" w:rsidRPr="004348B2" w:rsidRDefault="008C667B" w:rsidP="008C667B">
      <w:pPr>
        <w:rPr>
          <w:lang w:val="en-US"/>
        </w:rPr>
      </w:pPr>
      <w:r w:rsidRPr="008C667B">
        <w:rPr>
          <w:color w:val="00B050"/>
          <w:lang w:val="en-US"/>
        </w:rPr>
        <w:t>The following sentences “…The economic, social and environmental impacts are the founding elements for a sustainable development strategy, defined starting from the Brundtland report [3] and specified by Agenda 2030. [4]. The policies that can be pursued to a sustainable development, concern interventions on vehicles, material and immaterial infrastructures and governance, with the aim of enhancing the positive (economic and social) impacts, while reducing the negative (environmental) ones…” contain only a general explanation of the “2030 Agenda.</w:t>
      </w:r>
    </w:p>
    <w:p w:rsidR="008C667B" w:rsidRDefault="008C667B" w:rsidP="008C667B">
      <w:pPr>
        <w:rPr>
          <w:i/>
          <w:lang w:val="en-US"/>
        </w:rPr>
      </w:pPr>
      <w:r w:rsidRPr="004348B2">
        <w:rPr>
          <w:lang w:val="en-US"/>
        </w:rPr>
        <w:t xml:space="preserve"> </w:t>
      </w:r>
      <w:r w:rsidRPr="00BB6244">
        <w:rPr>
          <w:i/>
          <w:lang w:val="en-US"/>
        </w:rPr>
        <w:t xml:space="preserve">Modified </w:t>
      </w:r>
      <w:r w:rsidR="005B27F4">
        <w:rPr>
          <w:i/>
          <w:lang w:val="en-US"/>
        </w:rPr>
        <w:t xml:space="preserve">two parts, as reported before, </w:t>
      </w:r>
      <w:r w:rsidRPr="00BB6244">
        <w:rPr>
          <w:i/>
          <w:lang w:val="en-US"/>
        </w:rPr>
        <w:t>following the indication</w:t>
      </w:r>
    </w:p>
    <w:p w:rsidR="005B27F4" w:rsidRPr="00BB6244" w:rsidRDefault="005B27F4" w:rsidP="008C667B">
      <w:pPr>
        <w:rPr>
          <w:i/>
          <w:lang w:val="en-US"/>
        </w:rPr>
      </w:pPr>
      <w:r>
        <w:rPr>
          <w:i/>
          <w:lang w:val="en-US"/>
        </w:rPr>
        <w:t>First part</w:t>
      </w:r>
    </w:p>
    <w:p w:rsidR="008C667B" w:rsidRPr="009F2C26" w:rsidRDefault="008C667B" w:rsidP="008C667B">
      <w:pPr>
        <w:pStyle w:val="MDPI31text"/>
        <w:rPr>
          <w:strike/>
          <w:highlight w:val="yellow"/>
        </w:rPr>
      </w:pPr>
      <w:r w:rsidRPr="009F2C26">
        <w:rPr>
          <w:strike/>
          <w:highlight w:val="yellow"/>
        </w:rPr>
        <w:t>The economic, social and environmental impacts are the founding elements for a sustainable development strategy, defined starting from the Brundtland report [3]and specified by Agenda 2030 [4]. The policies that can be pursued to a sustainable development, concern interventions on vehicles, material and immaterial infrastructures and governance, with the aim of enhancing the positive (economic and social) impacts, while reducing the negative (environmental) ones.</w:t>
      </w:r>
      <w:r w:rsidRPr="009F2C26">
        <w:rPr>
          <w:highlight w:val="yellow"/>
        </w:rPr>
        <w:t xml:space="preserve"> </w:t>
      </w:r>
      <w:r w:rsidRPr="009F2C26">
        <w:rPr>
          <w:strike/>
          <w:highlight w:val="yellow"/>
        </w:rPr>
        <w:t>Great attention is paid to the policy regarding development of new generation transport services at urban scale. In this context, the most promising fields is that of MaaS: Mobility as a Service.</w:t>
      </w:r>
    </w:p>
    <w:p w:rsidR="008C667B" w:rsidRPr="009F2C26" w:rsidRDefault="008C667B" w:rsidP="008C667B">
      <w:pPr>
        <w:pStyle w:val="MDPI31text"/>
        <w:rPr>
          <w:color w:val="FF0000"/>
        </w:rPr>
      </w:pPr>
      <w:r w:rsidRPr="009F2C26">
        <w:rPr>
          <w:color w:val="FF0000"/>
        </w:rPr>
        <w:t>Economic, social and environmental impacts are the founding elements of a sustainable development strategy, defined by the Brundtland report [3], which introduced social and economic issues into sustainable development, while previously sustainability was theorized only with respect to environmental issues.</w:t>
      </w:r>
    </w:p>
    <w:p w:rsidR="008C667B" w:rsidRDefault="008C667B" w:rsidP="008C667B">
      <w:pPr>
        <w:pStyle w:val="MDPI31text"/>
        <w:rPr>
          <w:color w:val="FF0000"/>
        </w:rPr>
      </w:pPr>
      <w:r w:rsidRPr="009F2C26">
        <w:rPr>
          <w:color w:val="FF0000"/>
        </w:rPr>
        <w:t xml:space="preserve">The Brundtland report has allowed for a wide debate at the international level among the countries that have different development. On the basis of the results of the international discussion, a document was formulated, called Agenda 2030, which found wide consensus [4]. </w:t>
      </w:r>
    </w:p>
    <w:p w:rsidR="008C667B" w:rsidRPr="008C667B" w:rsidRDefault="008C667B" w:rsidP="008C667B">
      <w:pPr>
        <w:pStyle w:val="MDPI31text"/>
        <w:rPr>
          <w:color w:val="FF0000"/>
        </w:rPr>
      </w:pPr>
      <w:r w:rsidRPr="008C667B">
        <w:rPr>
          <w:color w:val="FF0000"/>
        </w:rPr>
        <w:t xml:space="preserve">Agenda 2030 specifies the sustainability of development in terms of 17 goals that must be pursued by the signatory countries. Quantitative targets are specified for each goal. The mobility of passengers and goods is one of the crucial elements in pursuing the targets. The mobility policies that can be used for the 2030 Agenda targets concern interventions on vehicles, tangible and intangible infrastructures and governance, in order to enhance the positive impacts and reduce the negative ones. Great attention must be given to the development policy of new generation transport services on an urban scale, because it allows to pursue different goals with the respective targets. In this context, the most promising field is that of MaaS: Mobility as a Service. In the following the goals </w:t>
      </w:r>
      <w:r w:rsidRPr="008C667B">
        <w:rPr>
          <w:color w:val="FF0000"/>
        </w:rPr>
        <w:lastRenderedPageBreak/>
        <w:t>and targets on which MaaS can have a significant direct or indirect impact will be examined</w:t>
      </w:r>
      <w:r w:rsidRPr="008C667B">
        <w:t>.</w:t>
      </w:r>
    </w:p>
    <w:p w:rsidR="008C667B" w:rsidRDefault="008C667B" w:rsidP="008C667B">
      <w:pPr>
        <w:rPr>
          <w:lang w:val="en-US"/>
        </w:rPr>
      </w:pPr>
    </w:p>
    <w:p w:rsidR="008C667B" w:rsidRDefault="008C667B" w:rsidP="008C667B">
      <w:pPr>
        <w:rPr>
          <w:lang w:val="en-US"/>
        </w:rPr>
      </w:pPr>
    </w:p>
    <w:p w:rsidR="004348B2" w:rsidRPr="008C667B" w:rsidRDefault="004348B2" w:rsidP="008C667B">
      <w:pPr>
        <w:rPr>
          <w:color w:val="00B050"/>
          <w:lang w:val="en-US"/>
        </w:rPr>
      </w:pPr>
      <w:r w:rsidRPr="008C667B">
        <w:rPr>
          <w:color w:val="00B050"/>
          <w:lang w:val="en-US"/>
        </w:rPr>
        <w:t>(1)   Lines 49-54, “…in the identification of the Agenda 2030”.</w:t>
      </w:r>
    </w:p>
    <w:p w:rsidR="004348B2" w:rsidRDefault="004348B2" w:rsidP="004348B2">
      <w:pPr>
        <w:rPr>
          <w:color w:val="00B050"/>
          <w:lang w:val="en-US"/>
        </w:rPr>
      </w:pPr>
      <w:r w:rsidRPr="008C667B">
        <w:rPr>
          <w:color w:val="00B050"/>
          <w:lang w:val="en-US"/>
        </w:rPr>
        <w:t xml:space="preserve">      Linea 93-97. The following sentences “The theme becomes to identify the indicators of Agenda 2030 that require the use of the TSM in order to verify the policies that you want to implement. It emerges that the availability of advanced modeling tools is essential to be able to verify the results of public policies, both for goals on which MaaS impacts directly and for goals on which it indirectly impacts…” contain also only a general explanation of the “2030 Agenda.</w:t>
      </w:r>
    </w:p>
    <w:p w:rsidR="005B27F4" w:rsidRDefault="005B27F4" w:rsidP="005B27F4">
      <w:pPr>
        <w:rPr>
          <w:i/>
          <w:lang w:val="en-US"/>
        </w:rPr>
      </w:pPr>
      <w:r w:rsidRPr="00BB6244">
        <w:rPr>
          <w:i/>
          <w:lang w:val="en-US"/>
        </w:rPr>
        <w:t xml:space="preserve">Modified </w:t>
      </w:r>
      <w:r>
        <w:rPr>
          <w:i/>
          <w:lang w:val="en-US"/>
        </w:rPr>
        <w:t xml:space="preserve">two parts, as reported before, </w:t>
      </w:r>
      <w:r w:rsidRPr="00BB6244">
        <w:rPr>
          <w:i/>
          <w:lang w:val="en-US"/>
        </w:rPr>
        <w:t>following the indication</w:t>
      </w:r>
    </w:p>
    <w:p w:rsidR="005B27F4" w:rsidRPr="00BB6244" w:rsidRDefault="005B27F4" w:rsidP="005B27F4">
      <w:pPr>
        <w:rPr>
          <w:i/>
          <w:lang w:val="en-US"/>
        </w:rPr>
      </w:pPr>
      <w:r>
        <w:rPr>
          <w:i/>
          <w:lang w:val="en-US"/>
        </w:rPr>
        <w:t>First part</w:t>
      </w:r>
    </w:p>
    <w:p w:rsidR="008C667B" w:rsidRDefault="008C667B" w:rsidP="008C667B">
      <w:pPr>
        <w:pStyle w:val="MDPI31text"/>
        <w:rPr>
          <w:strike/>
          <w:color w:val="000000" w:themeColor="text1"/>
          <w:highlight w:val="yellow"/>
          <w:lang w:val="en"/>
        </w:rPr>
      </w:pPr>
      <w:r w:rsidRPr="00960F34">
        <w:rPr>
          <w:strike/>
          <w:color w:val="auto"/>
          <w:highlight w:val="yellow"/>
          <w:lang w:val="en"/>
        </w:rPr>
        <w:t>The theme becomes to identify the indicators of Agenda 2030 that require the use of the TSM in order to verify the policies that you want to implement.</w:t>
      </w:r>
      <w:r w:rsidRPr="00960F34">
        <w:rPr>
          <w:strike/>
          <w:color w:val="auto"/>
          <w:highlight w:val="yellow"/>
        </w:rPr>
        <w:t xml:space="preserve"> </w:t>
      </w:r>
      <w:r w:rsidRPr="00960F34">
        <w:rPr>
          <w:strike/>
          <w:color w:val="auto"/>
          <w:highlight w:val="yellow"/>
          <w:lang w:val="en"/>
        </w:rPr>
        <w:t>It emerges that the availability of advanced modeling tools is essential to be able to verify the results of public policies, both for goals on which MaaS impacts directly and for goals on which it indirectly impacts. The MaaS evolved in the TSM field, which allows to study the impacts, is called Sustainable MaaS, SmaaS.</w:t>
      </w:r>
      <w:r w:rsidRPr="00960F34">
        <w:rPr>
          <w:strike/>
          <w:highlight w:val="yellow"/>
        </w:rPr>
        <w:t xml:space="preserve"> </w:t>
      </w:r>
      <w:r w:rsidRPr="00960F34">
        <w:rPr>
          <w:strike/>
          <w:color w:val="auto"/>
          <w:highlight w:val="yellow"/>
          <w:lang w:val="en"/>
        </w:rPr>
        <w:t xml:space="preserve">The MaaS can have an important evolution if it is studied with the TSM, this allows to simulate the impacts. The MaaS with this evolution is called Sustainable MaaS, </w:t>
      </w:r>
      <w:r w:rsidRPr="00960F34">
        <w:rPr>
          <w:strike/>
          <w:color w:val="000000" w:themeColor="text1"/>
          <w:highlight w:val="yellow"/>
          <w:lang w:val="en"/>
        </w:rPr>
        <w:t>SmaaS. A specific literature is available on SMaaS in which the different aspects are explored: supply-demand interaction [8], basic supply components and their bundle organization [9], demand analysis and its specification in cases real [10], network design structure [11], impact of MaaS in the strategic evolution of the smart city [12].</w:t>
      </w:r>
    </w:p>
    <w:p w:rsidR="008C667B" w:rsidRPr="008C667B" w:rsidRDefault="008C667B" w:rsidP="008C667B">
      <w:pPr>
        <w:pStyle w:val="MDPI31text"/>
        <w:rPr>
          <w:strike/>
          <w:color w:val="000000" w:themeColor="text1"/>
          <w:lang w:val="en"/>
        </w:rPr>
      </w:pPr>
      <w:r w:rsidRPr="008C667B">
        <w:rPr>
          <w:color w:val="FF0000"/>
        </w:rPr>
        <w:t>The theme becomes identifying the indicators of the Agenda 2030 that require the use of the TSM to verify, ex ante in the planning stage, the policies to be implemented. Advanced modeling tools are therefore required in order to verify the results of public policies aimed at Agenda 2030: both for goals on which the MaaS directly impacts, and for goals on which it impacts indirectly. On the line of research, which evolves the MaaS towards sustainability, an internally deeply integrated literature is proposed, in which the different aspects of the MaaS-TSM relationship are explored: the interaction between supply and demand is deepened considering all the contributions to the development of the theoretical model [8]; the basic components of the supply and their bundled organization are studied in real cases where the supply is more extensive [9]; the MaaS demand is analyzed, starting from the real cases, in the different components considering also the induced demand, and with the different specifications [10]; on the basis of supply, demand and interaction, the network design modeling is proposed, setting sustainability objectives [11]; after the tactical-operational scale investigated with network design, the impact of MaaS in the strategic planning of the smart city is considered [12].</w:t>
      </w:r>
    </w:p>
    <w:p w:rsidR="004348B2" w:rsidRPr="005B27F4" w:rsidRDefault="005B27F4" w:rsidP="004348B2">
      <w:pPr>
        <w:rPr>
          <w:i/>
          <w:lang w:val="en-US"/>
        </w:rPr>
      </w:pPr>
      <w:r w:rsidRPr="005B27F4">
        <w:rPr>
          <w:i/>
          <w:lang w:val="en-US"/>
        </w:rPr>
        <w:t>Second part</w:t>
      </w:r>
    </w:p>
    <w:p w:rsidR="005B27F4" w:rsidRPr="008C667B" w:rsidRDefault="005B27F4" w:rsidP="005B27F4">
      <w:pPr>
        <w:pStyle w:val="MDPI31text"/>
        <w:rPr>
          <w:color w:val="FF0000"/>
        </w:rPr>
      </w:pPr>
      <w:r w:rsidRPr="008C667B">
        <w:rPr>
          <w:color w:val="FF0000"/>
        </w:rPr>
        <w:t xml:space="preserve">Agenda 2030 specifies the sustainability of development in terms of 17 goals that must be pursued by the signatory countries. Quantitative targets are specified for each goal. The mobility of passengers and goods is one of the crucial elements in pursuing the targets. The mobility policies that can be used for the 2030 Agenda targets concern interventions on vehicles, tangible and intangible infrastructures and governance, in order to enhance the positive impacts and </w:t>
      </w:r>
      <w:r w:rsidRPr="008C667B">
        <w:rPr>
          <w:color w:val="FF0000"/>
        </w:rPr>
        <w:lastRenderedPageBreak/>
        <w:t>reduce the negative ones. Great attention must be given to the development policy of new generation transport services on an urban scale, because it allows to pursue different goals with the respective targets. In this context, the most promising field is that of MaaS: Mobility as a Service. In the following the goals and targets on which MaaS can have a significant direct or indirect impact will be examined</w:t>
      </w:r>
      <w:r w:rsidRPr="008C667B">
        <w:t>.</w:t>
      </w:r>
    </w:p>
    <w:p w:rsidR="005B27F4" w:rsidRPr="004348B2" w:rsidRDefault="005B27F4" w:rsidP="004348B2">
      <w:pPr>
        <w:rPr>
          <w:lang w:val="en-US"/>
        </w:rPr>
      </w:pPr>
    </w:p>
    <w:p w:rsidR="004348B2" w:rsidRDefault="004348B2" w:rsidP="004348B2">
      <w:pPr>
        <w:rPr>
          <w:color w:val="00B050"/>
          <w:lang w:val="en-US"/>
        </w:rPr>
      </w:pPr>
      <w:r w:rsidRPr="004348B2">
        <w:rPr>
          <w:lang w:val="en-US"/>
        </w:rPr>
        <w:t xml:space="preserve">      </w:t>
      </w:r>
      <w:r w:rsidRPr="005B27F4">
        <w:rPr>
          <w:color w:val="00B050"/>
          <w:lang w:val="en-US"/>
        </w:rPr>
        <w:t>Lines 105-106. It was written: “After a brief review of the main characteristics of MaaS, the goals of Agenda 2030, on which the policies related to the MaaS impact, are recalled…”. However, there was no "... a brief review" in the introduction.</w:t>
      </w:r>
    </w:p>
    <w:p w:rsidR="005B27F4" w:rsidRPr="00BB6244" w:rsidRDefault="005B27F4" w:rsidP="005B27F4">
      <w:pPr>
        <w:rPr>
          <w:i/>
          <w:lang w:val="en-US"/>
        </w:rPr>
      </w:pPr>
      <w:bookmarkStart w:id="7" w:name="_Hlk108884214"/>
      <w:r w:rsidRPr="00BB6244">
        <w:rPr>
          <w:i/>
          <w:lang w:val="en-US"/>
        </w:rPr>
        <w:t>Modified following the indication</w:t>
      </w:r>
    </w:p>
    <w:bookmarkEnd w:id="7"/>
    <w:p w:rsidR="005B27F4" w:rsidRDefault="005B27F4" w:rsidP="005B27F4">
      <w:pPr>
        <w:rPr>
          <w:color w:val="FF0000"/>
          <w:lang w:val="en"/>
        </w:rPr>
      </w:pPr>
      <w:r w:rsidRPr="0011278E">
        <w:rPr>
          <w:color w:val="000000" w:themeColor="text1"/>
          <w:lang w:val="en"/>
        </w:rPr>
        <w:t xml:space="preserve"> </w:t>
      </w:r>
      <w:r w:rsidRPr="00326B7C">
        <w:rPr>
          <w:strike/>
          <w:color w:val="000000" w:themeColor="text1"/>
          <w:highlight w:val="yellow"/>
          <w:lang w:val="en"/>
        </w:rPr>
        <w:t>After a brief review of the main characteristics of MaaS, the goals of Agenda 2030, on which the policies related to the MaaS impact, are recalled.</w:t>
      </w:r>
      <w:r w:rsidRPr="0011278E">
        <w:rPr>
          <w:color w:val="000000" w:themeColor="text1"/>
          <w:lang w:val="en"/>
        </w:rPr>
        <w:t xml:space="preserve"> </w:t>
      </w:r>
      <w:r w:rsidRPr="00326B7C">
        <w:rPr>
          <w:color w:val="FF0000"/>
          <w:lang w:val="en"/>
        </w:rPr>
        <w:t>In section 2 the main characteristics of the MaaS are first recalled, then the goals and targets of Agenda 2030 are identified, for which MaaS can contribute.</w:t>
      </w:r>
    </w:p>
    <w:p w:rsidR="005B27F4" w:rsidRDefault="005B27F4" w:rsidP="005B27F4">
      <w:pPr>
        <w:rPr>
          <w:color w:val="00B050"/>
          <w:lang w:val="en-US"/>
        </w:rPr>
      </w:pPr>
    </w:p>
    <w:p w:rsidR="005B27F4" w:rsidRPr="004348B2" w:rsidRDefault="004348B2" w:rsidP="005B27F4">
      <w:pPr>
        <w:rPr>
          <w:lang w:val="en-US"/>
        </w:rPr>
      </w:pPr>
      <w:r w:rsidRPr="005B27F4">
        <w:rPr>
          <w:color w:val="00B050"/>
          <w:lang w:val="en-US"/>
        </w:rPr>
        <w:t>(2)   Line 123. “dynamic model”. The introduction does not contain this term.</w:t>
      </w:r>
      <w:r w:rsidR="005B27F4" w:rsidRPr="005B27F4">
        <w:rPr>
          <w:lang w:val="en-US"/>
        </w:rPr>
        <w:t xml:space="preserve"> </w:t>
      </w:r>
    </w:p>
    <w:p w:rsidR="00CB3700" w:rsidRDefault="004348B2" w:rsidP="004348B2">
      <w:pPr>
        <w:rPr>
          <w:color w:val="00B050"/>
          <w:lang w:val="en-US"/>
        </w:rPr>
      </w:pPr>
      <w:r w:rsidRPr="005B27F4">
        <w:rPr>
          <w:color w:val="00B050"/>
          <w:lang w:val="en-US"/>
        </w:rPr>
        <w:t>(3)   Lines 126. “dynamic model”. The introduction does not contain this term.</w:t>
      </w:r>
    </w:p>
    <w:p w:rsidR="005B27F4" w:rsidRPr="00BB6244" w:rsidRDefault="005B27F4" w:rsidP="005B27F4">
      <w:pPr>
        <w:rPr>
          <w:i/>
          <w:lang w:val="en-US"/>
        </w:rPr>
      </w:pPr>
      <w:r w:rsidRPr="00BB6244">
        <w:rPr>
          <w:i/>
          <w:lang w:val="en-US"/>
        </w:rPr>
        <w:t>Modified following the indication</w:t>
      </w:r>
      <w:r>
        <w:rPr>
          <w:i/>
          <w:lang w:val="en-US"/>
        </w:rPr>
        <w:t xml:space="preserve"> with the introduction of the term</w:t>
      </w:r>
    </w:p>
    <w:p w:rsidR="005B27F4" w:rsidRPr="005B27F4" w:rsidRDefault="005B27F4" w:rsidP="004348B2">
      <w:pPr>
        <w:rPr>
          <w:lang w:val="en-US"/>
        </w:rPr>
      </w:pPr>
      <w:r w:rsidRPr="00CE5E90">
        <w:rPr>
          <w:rFonts w:ascii="Palatino Linotype" w:eastAsia="SimSun" w:hAnsi="Palatino Linotype" w:cs="Times New Roman"/>
          <w:strike/>
          <w:noProof/>
          <w:color w:val="000000"/>
          <w:sz w:val="20"/>
          <w:szCs w:val="20"/>
          <w:highlight w:val="yellow"/>
          <w:lang w:val="en" w:eastAsia="zh-CN"/>
        </w:rPr>
        <w:t xml:space="preserve">In the literature there are no works that report the study of user behavior in the daily choice of the service-path, with explicit emerging </w:t>
      </w:r>
      <w:r w:rsidRPr="00CE5E90">
        <w:rPr>
          <w:rFonts w:ascii="Palatino Linotype" w:eastAsia="SimSun" w:hAnsi="Palatino Linotype" w:cs="Times New Roman"/>
          <w:strike/>
          <w:noProof/>
          <w:sz w:val="20"/>
          <w:szCs w:val="20"/>
          <w:highlight w:val="yellow"/>
          <w:lang w:val="en" w:eastAsia="zh-CN"/>
        </w:rPr>
        <w:t>ICT technologies available, thus considering the dynamic components.</w:t>
      </w:r>
      <w:r w:rsidRPr="005B27F4">
        <w:rPr>
          <w:rFonts w:ascii="Palatino Linotype" w:eastAsia="SimSun" w:hAnsi="Palatino Linotype" w:cs="Times New Roman"/>
          <w:noProof/>
          <w:sz w:val="20"/>
          <w:szCs w:val="20"/>
          <w:lang w:val="en-US" w:eastAsia="zh-CN"/>
        </w:rPr>
        <w:t xml:space="preserve"> </w:t>
      </w:r>
      <w:r w:rsidRPr="005B27F4">
        <w:rPr>
          <w:rFonts w:ascii="Palatino Linotype" w:eastAsia="SimSun" w:hAnsi="Palatino Linotype" w:cs="Times New Roman"/>
          <w:noProof/>
          <w:color w:val="FF0000"/>
          <w:sz w:val="20"/>
          <w:szCs w:val="20"/>
          <w:lang w:val="en-US" w:eastAsia="zh-CN"/>
        </w:rPr>
        <w:t>In the literature there are no works that report the study of user behavior in the daily choice of the path-service when the user is supported by emerging ICT technologies, and then there are no dynamic models that consider the evolution of behavior due to available ICTs. Likewise, there are no models that consider the scheduled services components of the supply, and finally there are no dynamic models for interaction.</w:t>
      </w:r>
    </w:p>
    <w:sectPr w:rsidR="005B27F4" w:rsidRPr="005B27F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620F2"/>
    <w:multiLevelType w:val="hybridMultilevel"/>
    <w:tmpl w:val="27E0214E"/>
    <w:lvl w:ilvl="0" w:tplc="04100001">
      <w:start w:val="1"/>
      <w:numFmt w:val="bullet"/>
      <w:lvlText w:val=""/>
      <w:lvlJc w:val="left"/>
      <w:pPr>
        <w:ind w:left="3753" w:hanging="360"/>
      </w:pPr>
      <w:rPr>
        <w:rFonts w:ascii="Symbol" w:hAnsi="Symbol" w:hint="default"/>
      </w:rPr>
    </w:lvl>
    <w:lvl w:ilvl="1" w:tplc="04100003" w:tentative="1">
      <w:start w:val="1"/>
      <w:numFmt w:val="bullet"/>
      <w:lvlText w:val="o"/>
      <w:lvlJc w:val="left"/>
      <w:pPr>
        <w:ind w:left="4473" w:hanging="360"/>
      </w:pPr>
      <w:rPr>
        <w:rFonts w:ascii="Courier New" w:hAnsi="Courier New" w:cs="Courier New" w:hint="default"/>
      </w:rPr>
    </w:lvl>
    <w:lvl w:ilvl="2" w:tplc="04100005" w:tentative="1">
      <w:start w:val="1"/>
      <w:numFmt w:val="bullet"/>
      <w:lvlText w:val=""/>
      <w:lvlJc w:val="left"/>
      <w:pPr>
        <w:ind w:left="5193" w:hanging="360"/>
      </w:pPr>
      <w:rPr>
        <w:rFonts w:ascii="Wingdings" w:hAnsi="Wingdings" w:hint="default"/>
      </w:rPr>
    </w:lvl>
    <w:lvl w:ilvl="3" w:tplc="04100001" w:tentative="1">
      <w:start w:val="1"/>
      <w:numFmt w:val="bullet"/>
      <w:lvlText w:val=""/>
      <w:lvlJc w:val="left"/>
      <w:pPr>
        <w:ind w:left="5913" w:hanging="360"/>
      </w:pPr>
      <w:rPr>
        <w:rFonts w:ascii="Symbol" w:hAnsi="Symbol" w:hint="default"/>
      </w:rPr>
    </w:lvl>
    <w:lvl w:ilvl="4" w:tplc="04100003" w:tentative="1">
      <w:start w:val="1"/>
      <w:numFmt w:val="bullet"/>
      <w:lvlText w:val="o"/>
      <w:lvlJc w:val="left"/>
      <w:pPr>
        <w:ind w:left="6633" w:hanging="360"/>
      </w:pPr>
      <w:rPr>
        <w:rFonts w:ascii="Courier New" w:hAnsi="Courier New" w:cs="Courier New" w:hint="default"/>
      </w:rPr>
    </w:lvl>
    <w:lvl w:ilvl="5" w:tplc="04100005" w:tentative="1">
      <w:start w:val="1"/>
      <w:numFmt w:val="bullet"/>
      <w:lvlText w:val=""/>
      <w:lvlJc w:val="left"/>
      <w:pPr>
        <w:ind w:left="7353" w:hanging="360"/>
      </w:pPr>
      <w:rPr>
        <w:rFonts w:ascii="Wingdings" w:hAnsi="Wingdings" w:hint="default"/>
      </w:rPr>
    </w:lvl>
    <w:lvl w:ilvl="6" w:tplc="04100001" w:tentative="1">
      <w:start w:val="1"/>
      <w:numFmt w:val="bullet"/>
      <w:lvlText w:val=""/>
      <w:lvlJc w:val="left"/>
      <w:pPr>
        <w:ind w:left="8073" w:hanging="360"/>
      </w:pPr>
      <w:rPr>
        <w:rFonts w:ascii="Symbol" w:hAnsi="Symbol" w:hint="default"/>
      </w:rPr>
    </w:lvl>
    <w:lvl w:ilvl="7" w:tplc="04100003" w:tentative="1">
      <w:start w:val="1"/>
      <w:numFmt w:val="bullet"/>
      <w:lvlText w:val="o"/>
      <w:lvlJc w:val="left"/>
      <w:pPr>
        <w:ind w:left="8793" w:hanging="360"/>
      </w:pPr>
      <w:rPr>
        <w:rFonts w:ascii="Courier New" w:hAnsi="Courier New" w:cs="Courier New" w:hint="default"/>
      </w:rPr>
    </w:lvl>
    <w:lvl w:ilvl="8" w:tplc="04100005" w:tentative="1">
      <w:start w:val="1"/>
      <w:numFmt w:val="bullet"/>
      <w:lvlText w:val=""/>
      <w:lvlJc w:val="left"/>
      <w:pPr>
        <w:ind w:left="9513" w:hanging="360"/>
      </w:pPr>
      <w:rPr>
        <w:rFonts w:ascii="Wingdings" w:hAnsi="Wingdings" w:hint="default"/>
      </w:rPr>
    </w:lvl>
  </w:abstractNum>
  <w:abstractNum w:abstractNumId="1" w15:restartNumberingAfterBreak="0">
    <w:nsid w:val="40CF0CBA"/>
    <w:multiLevelType w:val="hybridMultilevel"/>
    <w:tmpl w:val="BDAC13B6"/>
    <w:lvl w:ilvl="0" w:tplc="04100001">
      <w:start w:val="1"/>
      <w:numFmt w:val="bullet"/>
      <w:lvlText w:val=""/>
      <w:lvlJc w:val="left"/>
      <w:pPr>
        <w:ind w:left="3753" w:hanging="360"/>
      </w:pPr>
      <w:rPr>
        <w:rFonts w:ascii="Symbol" w:hAnsi="Symbol" w:hint="default"/>
      </w:rPr>
    </w:lvl>
    <w:lvl w:ilvl="1" w:tplc="04100003" w:tentative="1">
      <w:start w:val="1"/>
      <w:numFmt w:val="bullet"/>
      <w:lvlText w:val="o"/>
      <w:lvlJc w:val="left"/>
      <w:pPr>
        <w:ind w:left="4473" w:hanging="360"/>
      </w:pPr>
      <w:rPr>
        <w:rFonts w:ascii="Courier New" w:hAnsi="Courier New" w:cs="Courier New" w:hint="default"/>
      </w:rPr>
    </w:lvl>
    <w:lvl w:ilvl="2" w:tplc="04100005" w:tentative="1">
      <w:start w:val="1"/>
      <w:numFmt w:val="bullet"/>
      <w:lvlText w:val=""/>
      <w:lvlJc w:val="left"/>
      <w:pPr>
        <w:ind w:left="5193" w:hanging="360"/>
      </w:pPr>
      <w:rPr>
        <w:rFonts w:ascii="Wingdings" w:hAnsi="Wingdings" w:hint="default"/>
      </w:rPr>
    </w:lvl>
    <w:lvl w:ilvl="3" w:tplc="04100001" w:tentative="1">
      <w:start w:val="1"/>
      <w:numFmt w:val="bullet"/>
      <w:lvlText w:val=""/>
      <w:lvlJc w:val="left"/>
      <w:pPr>
        <w:ind w:left="5913" w:hanging="360"/>
      </w:pPr>
      <w:rPr>
        <w:rFonts w:ascii="Symbol" w:hAnsi="Symbol" w:hint="default"/>
      </w:rPr>
    </w:lvl>
    <w:lvl w:ilvl="4" w:tplc="04100003" w:tentative="1">
      <w:start w:val="1"/>
      <w:numFmt w:val="bullet"/>
      <w:lvlText w:val="o"/>
      <w:lvlJc w:val="left"/>
      <w:pPr>
        <w:ind w:left="6633" w:hanging="360"/>
      </w:pPr>
      <w:rPr>
        <w:rFonts w:ascii="Courier New" w:hAnsi="Courier New" w:cs="Courier New" w:hint="default"/>
      </w:rPr>
    </w:lvl>
    <w:lvl w:ilvl="5" w:tplc="04100005" w:tentative="1">
      <w:start w:val="1"/>
      <w:numFmt w:val="bullet"/>
      <w:lvlText w:val=""/>
      <w:lvlJc w:val="left"/>
      <w:pPr>
        <w:ind w:left="7353" w:hanging="360"/>
      </w:pPr>
      <w:rPr>
        <w:rFonts w:ascii="Wingdings" w:hAnsi="Wingdings" w:hint="default"/>
      </w:rPr>
    </w:lvl>
    <w:lvl w:ilvl="6" w:tplc="04100001" w:tentative="1">
      <w:start w:val="1"/>
      <w:numFmt w:val="bullet"/>
      <w:lvlText w:val=""/>
      <w:lvlJc w:val="left"/>
      <w:pPr>
        <w:ind w:left="8073" w:hanging="360"/>
      </w:pPr>
      <w:rPr>
        <w:rFonts w:ascii="Symbol" w:hAnsi="Symbol" w:hint="default"/>
      </w:rPr>
    </w:lvl>
    <w:lvl w:ilvl="7" w:tplc="04100003" w:tentative="1">
      <w:start w:val="1"/>
      <w:numFmt w:val="bullet"/>
      <w:lvlText w:val="o"/>
      <w:lvlJc w:val="left"/>
      <w:pPr>
        <w:ind w:left="8793" w:hanging="360"/>
      </w:pPr>
      <w:rPr>
        <w:rFonts w:ascii="Courier New" w:hAnsi="Courier New" w:cs="Courier New" w:hint="default"/>
      </w:rPr>
    </w:lvl>
    <w:lvl w:ilvl="8" w:tplc="04100005" w:tentative="1">
      <w:start w:val="1"/>
      <w:numFmt w:val="bullet"/>
      <w:lvlText w:val=""/>
      <w:lvlJc w:val="left"/>
      <w:pPr>
        <w:ind w:left="9513" w:hanging="360"/>
      </w:pPr>
      <w:rPr>
        <w:rFonts w:ascii="Wingdings" w:hAnsi="Wingdings" w:hint="default"/>
      </w:rPr>
    </w:lvl>
  </w:abstractNum>
  <w:abstractNum w:abstractNumId="2" w15:restartNumberingAfterBreak="0">
    <w:nsid w:val="7422164C"/>
    <w:multiLevelType w:val="hybridMultilevel"/>
    <w:tmpl w:val="4C5A6B22"/>
    <w:lvl w:ilvl="0" w:tplc="04100001">
      <w:start w:val="1"/>
      <w:numFmt w:val="bullet"/>
      <w:lvlText w:val=""/>
      <w:lvlJc w:val="left"/>
      <w:pPr>
        <w:ind w:left="3753" w:hanging="360"/>
      </w:pPr>
      <w:rPr>
        <w:rFonts w:ascii="Symbol" w:hAnsi="Symbol" w:hint="default"/>
      </w:rPr>
    </w:lvl>
    <w:lvl w:ilvl="1" w:tplc="04100003" w:tentative="1">
      <w:start w:val="1"/>
      <w:numFmt w:val="bullet"/>
      <w:lvlText w:val="o"/>
      <w:lvlJc w:val="left"/>
      <w:pPr>
        <w:ind w:left="4473" w:hanging="360"/>
      </w:pPr>
      <w:rPr>
        <w:rFonts w:ascii="Courier New" w:hAnsi="Courier New" w:cs="Courier New" w:hint="default"/>
      </w:rPr>
    </w:lvl>
    <w:lvl w:ilvl="2" w:tplc="04100005" w:tentative="1">
      <w:start w:val="1"/>
      <w:numFmt w:val="bullet"/>
      <w:lvlText w:val=""/>
      <w:lvlJc w:val="left"/>
      <w:pPr>
        <w:ind w:left="5193" w:hanging="360"/>
      </w:pPr>
      <w:rPr>
        <w:rFonts w:ascii="Wingdings" w:hAnsi="Wingdings" w:hint="default"/>
      </w:rPr>
    </w:lvl>
    <w:lvl w:ilvl="3" w:tplc="04100001" w:tentative="1">
      <w:start w:val="1"/>
      <w:numFmt w:val="bullet"/>
      <w:lvlText w:val=""/>
      <w:lvlJc w:val="left"/>
      <w:pPr>
        <w:ind w:left="5913" w:hanging="360"/>
      </w:pPr>
      <w:rPr>
        <w:rFonts w:ascii="Symbol" w:hAnsi="Symbol" w:hint="default"/>
      </w:rPr>
    </w:lvl>
    <w:lvl w:ilvl="4" w:tplc="04100003" w:tentative="1">
      <w:start w:val="1"/>
      <w:numFmt w:val="bullet"/>
      <w:lvlText w:val="o"/>
      <w:lvlJc w:val="left"/>
      <w:pPr>
        <w:ind w:left="6633" w:hanging="360"/>
      </w:pPr>
      <w:rPr>
        <w:rFonts w:ascii="Courier New" w:hAnsi="Courier New" w:cs="Courier New" w:hint="default"/>
      </w:rPr>
    </w:lvl>
    <w:lvl w:ilvl="5" w:tplc="04100005" w:tentative="1">
      <w:start w:val="1"/>
      <w:numFmt w:val="bullet"/>
      <w:lvlText w:val=""/>
      <w:lvlJc w:val="left"/>
      <w:pPr>
        <w:ind w:left="7353" w:hanging="360"/>
      </w:pPr>
      <w:rPr>
        <w:rFonts w:ascii="Wingdings" w:hAnsi="Wingdings" w:hint="default"/>
      </w:rPr>
    </w:lvl>
    <w:lvl w:ilvl="6" w:tplc="04100001" w:tentative="1">
      <w:start w:val="1"/>
      <w:numFmt w:val="bullet"/>
      <w:lvlText w:val=""/>
      <w:lvlJc w:val="left"/>
      <w:pPr>
        <w:ind w:left="8073" w:hanging="360"/>
      </w:pPr>
      <w:rPr>
        <w:rFonts w:ascii="Symbol" w:hAnsi="Symbol" w:hint="default"/>
      </w:rPr>
    </w:lvl>
    <w:lvl w:ilvl="7" w:tplc="04100003" w:tentative="1">
      <w:start w:val="1"/>
      <w:numFmt w:val="bullet"/>
      <w:lvlText w:val="o"/>
      <w:lvlJc w:val="left"/>
      <w:pPr>
        <w:ind w:left="8793" w:hanging="360"/>
      </w:pPr>
      <w:rPr>
        <w:rFonts w:ascii="Courier New" w:hAnsi="Courier New" w:cs="Courier New" w:hint="default"/>
      </w:rPr>
    </w:lvl>
    <w:lvl w:ilvl="8" w:tplc="04100005" w:tentative="1">
      <w:start w:val="1"/>
      <w:numFmt w:val="bullet"/>
      <w:lvlText w:val=""/>
      <w:lvlJc w:val="left"/>
      <w:pPr>
        <w:ind w:left="9513"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8B2"/>
    <w:rsid w:val="004348B2"/>
    <w:rsid w:val="00447E85"/>
    <w:rsid w:val="005B27F4"/>
    <w:rsid w:val="008C667B"/>
    <w:rsid w:val="00A97DD8"/>
    <w:rsid w:val="00BB6244"/>
    <w:rsid w:val="00C25A6A"/>
    <w:rsid w:val="00CB3700"/>
    <w:rsid w:val="00CE5E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7C439"/>
  <w15:chartTrackingRefBased/>
  <w15:docId w15:val="{2FD0E78E-32A8-43DA-A10D-1B82711F8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MDPI31text">
    <w:name w:val="MDPI_3.1_text"/>
    <w:qFormat/>
    <w:rsid w:val="00BB6244"/>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2210</Words>
  <Characters>12600</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Russo</dc:creator>
  <cp:keywords/>
  <dc:description/>
  <cp:lastModifiedBy>Francesco Russo</cp:lastModifiedBy>
  <cp:revision>2</cp:revision>
  <dcterms:created xsi:type="dcterms:W3CDTF">2022-07-16T15:48:00Z</dcterms:created>
  <dcterms:modified xsi:type="dcterms:W3CDTF">2022-07-16T15:48:00Z</dcterms:modified>
</cp:coreProperties>
</file>