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51B75" w14:textId="78A4C184" w:rsidR="00E8200A" w:rsidRPr="004F182C" w:rsidRDefault="0077514C" w:rsidP="004F182C">
      <w:pPr>
        <w:spacing w:line="360" w:lineRule="auto"/>
        <w:jc w:val="both"/>
        <w:rPr>
          <w:rFonts w:ascii="Times New Roman" w:hAnsi="Times New Roman" w:cs="Times New Roman"/>
          <w:sz w:val="24"/>
          <w:szCs w:val="24"/>
        </w:rPr>
      </w:pPr>
      <w:r w:rsidRPr="004F182C">
        <w:rPr>
          <w:rFonts w:ascii="Times New Roman" w:hAnsi="Times New Roman" w:cs="Times New Roman"/>
          <w:sz w:val="24"/>
          <w:szCs w:val="24"/>
        </w:rPr>
        <w:t>To:</w:t>
      </w:r>
    </w:p>
    <w:p w14:paraId="04C0FE18" w14:textId="235972A6" w:rsidR="0077514C" w:rsidRPr="004F182C" w:rsidRDefault="0077514C" w:rsidP="004F182C">
      <w:pPr>
        <w:spacing w:line="360" w:lineRule="auto"/>
        <w:jc w:val="both"/>
        <w:rPr>
          <w:rFonts w:ascii="Times New Roman" w:hAnsi="Times New Roman" w:cs="Times New Roman"/>
          <w:sz w:val="24"/>
          <w:szCs w:val="24"/>
        </w:rPr>
      </w:pPr>
      <w:r w:rsidRPr="004F182C">
        <w:rPr>
          <w:rFonts w:ascii="Times New Roman" w:hAnsi="Times New Roman" w:cs="Times New Roman"/>
          <w:sz w:val="24"/>
          <w:szCs w:val="24"/>
        </w:rPr>
        <w:t>The Editor</w:t>
      </w:r>
    </w:p>
    <w:p w14:paraId="3990116A" w14:textId="08EB48A3" w:rsidR="0077514C" w:rsidRPr="004F182C" w:rsidRDefault="0077514C" w:rsidP="004F182C">
      <w:pPr>
        <w:spacing w:line="360" w:lineRule="auto"/>
        <w:jc w:val="center"/>
        <w:rPr>
          <w:rFonts w:ascii="Times New Roman" w:hAnsi="Times New Roman" w:cs="Times New Roman"/>
          <w:sz w:val="24"/>
          <w:szCs w:val="24"/>
        </w:rPr>
      </w:pPr>
      <w:r w:rsidRPr="004F182C">
        <w:rPr>
          <w:rFonts w:ascii="Times New Roman" w:hAnsi="Times New Roman" w:cs="Times New Roman"/>
          <w:sz w:val="24"/>
          <w:szCs w:val="24"/>
        </w:rPr>
        <w:t>Submission of Manuscript for publication</w:t>
      </w:r>
    </w:p>
    <w:p w14:paraId="454E4EE9" w14:textId="2A0F6B63" w:rsidR="0077514C" w:rsidRDefault="0077514C" w:rsidP="004F182C">
      <w:pPr>
        <w:spacing w:line="360" w:lineRule="auto"/>
        <w:jc w:val="both"/>
        <w:rPr>
          <w:rFonts w:ascii="Times New Roman" w:hAnsi="Times New Roman" w:cs="Times New Roman"/>
          <w:sz w:val="24"/>
          <w:szCs w:val="24"/>
        </w:rPr>
      </w:pPr>
      <w:r w:rsidRPr="004F182C">
        <w:rPr>
          <w:rFonts w:ascii="Times New Roman" w:hAnsi="Times New Roman" w:cs="Times New Roman"/>
          <w:sz w:val="24"/>
          <w:szCs w:val="24"/>
        </w:rPr>
        <w:t>Dear Sir,</w:t>
      </w:r>
    </w:p>
    <w:p w14:paraId="2C978A29" w14:textId="2CE32CFC" w:rsidR="00E962BD" w:rsidRDefault="00E962BD" w:rsidP="004F182C">
      <w:pPr>
        <w:spacing w:line="360" w:lineRule="auto"/>
        <w:jc w:val="both"/>
        <w:rPr>
          <w:rFonts w:ascii="Times New Roman" w:hAnsi="Times New Roman" w:cs="Times New Roman"/>
          <w:sz w:val="24"/>
          <w:szCs w:val="24"/>
        </w:rPr>
      </w:pPr>
      <w:r w:rsidRPr="00E962BD">
        <w:rPr>
          <w:rFonts w:ascii="Times New Roman" w:hAnsi="Times New Roman" w:cs="Times New Roman"/>
          <w:sz w:val="24"/>
          <w:szCs w:val="24"/>
        </w:rPr>
        <w:t>Following the revision required for an article entitled “</w:t>
      </w:r>
      <w:r w:rsidRPr="00B71139">
        <w:rPr>
          <w:rFonts w:ascii="Times New Roman" w:hAnsi="Times New Roman" w:cs="Times New Roman"/>
          <w:b/>
          <w:bCs/>
          <w:sz w:val="24"/>
          <w:szCs w:val="24"/>
        </w:rPr>
        <w:t>Meta-analysis of the association between Dietary Inflammatory Index (DII) and colorectal cancer</w:t>
      </w:r>
      <w:r w:rsidRPr="00E962BD">
        <w:rPr>
          <w:rFonts w:ascii="Times New Roman" w:hAnsi="Times New Roman" w:cs="Times New Roman"/>
          <w:sz w:val="24"/>
          <w:szCs w:val="24"/>
        </w:rPr>
        <w:t xml:space="preserve">” submitted to your journal as a Review Article earlier. Attached herewith is the revised version of the article </w:t>
      </w:r>
      <w:r>
        <w:rPr>
          <w:rFonts w:ascii="Times New Roman" w:hAnsi="Times New Roman" w:cs="Times New Roman"/>
          <w:sz w:val="24"/>
          <w:szCs w:val="24"/>
        </w:rPr>
        <w:t>to fulfil the reviewers’ comments</w:t>
      </w:r>
      <w:r w:rsidRPr="00E962BD">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048"/>
        <w:gridCol w:w="3544"/>
        <w:gridCol w:w="2976"/>
        <w:gridCol w:w="1332"/>
      </w:tblGrid>
      <w:tr w:rsidR="00E962BD" w:rsidRPr="00E962BD" w14:paraId="43350827" w14:textId="77777777" w:rsidTr="00C917F9">
        <w:tc>
          <w:tcPr>
            <w:tcW w:w="1048" w:type="dxa"/>
          </w:tcPr>
          <w:p w14:paraId="651F9287" w14:textId="77777777" w:rsidR="00E962BD" w:rsidRPr="00E962BD" w:rsidRDefault="00E962BD" w:rsidP="00C917F9">
            <w:pPr>
              <w:rPr>
                <w:rFonts w:ascii="Times New Roman" w:hAnsi="Times New Roman" w:cs="Times New Roman"/>
                <w:b/>
                <w:bCs/>
                <w:sz w:val="24"/>
                <w:szCs w:val="24"/>
              </w:rPr>
            </w:pPr>
            <w:r w:rsidRPr="00E962BD">
              <w:rPr>
                <w:rFonts w:ascii="Times New Roman" w:hAnsi="Times New Roman" w:cs="Times New Roman"/>
                <w:b/>
                <w:bCs/>
                <w:sz w:val="24"/>
                <w:szCs w:val="24"/>
              </w:rPr>
              <w:t>No</w:t>
            </w:r>
          </w:p>
        </w:tc>
        <w:tc>
          <w:tcPr>
            <w:tcW w:w="3544" w:type="dxa"/>
          </w:tcPr>
          <w:p w14:paraId="07454327" w14:textId="77777777" w:rsidR="00E962BD" w:rsidRPr="00E962BD" w:rsidRDefault="00E962BD" w:rsidP="00C917F9">
            <w:pPr>
              <w:rPr>
                <w:rFonts w:ascii="Times New Roman" w:hAnsi="Times New Roman" w:cs="Times New Roman"/>
                <w:b/>
                <w:bCs/>
                <w:sz w:val="24"/>
                <w:szCs w:val="24"/>
              </w:rPr>
            </w:pPr>
            <w:r w:rsidRPr="00E962BD">
              <w:rPr>
                <w:rFonts w:ascii="Times New Roman" w:hAnsi="Times New Roman" w:cs="Times New Roman"/>
                <w:b/>
                <w:bCs/>
                <w:sz w:val="24"/>
                <w:szCs w:val="24"/>
              </w:rPr>
              <w:t>Reviewers’ comments</w:t>
            </w:r>
          </w:p>
        </w:tc>
        <w:tc>
          <w:tcPr>
            <w:tcW w:w="2976" w:type="dxa"/>
          </w:tcPr>
          <w:p w14:paraId="072DD72F" w14:textId="77777777" w:rsidR="00E962BD" w:rsidRPr="00E962BD" w:rsidRDefault="00E962BD" w:rsidP="00C917F9">
            <w:pPr>
              <w:rPr>
                <w:rFonts w:ascii="Times New Roman" w:hAnsi="Times New Roman" w:cs="Times New Roman"/>
                <w:b/>
                <w:bCs/>
                <w:sz w:val="24"/>
                <w:szCs w:val="24"/>
              </w:rPr>
            </w:pPr>
            <w:r w:rsidRPr="00E962BD">
              <w:rPr>
                <w:rFonts w:ascii="Times New Roman" w:hAnsi="Times New Roman" w:cs="Times New Roman"/>
                <w:b/>
                <w:bCs/>
                <w:sz w:val="24"/>
                <w:szCs w:val="24"/>
              </w:rPr>
              <w:t>Author response</w:t>
            </w:r>
          </w:p>
        </w:tc>
        <w:tc>
          <w:tcPr>
            <w:tcW w:w="1332" w:type="dxa"/>
          </w:tcPr>
          <w:p w14:paraId="04A4D967" w14:textId="15531ADF" w:rsidR="00E962BD" w:rsidRPr="00E962BD" w:rsidRDefault="007F0467" w:rsidP="00C917F9">
            <w:pPr>
              <w:rPr>
                <w:rFonts w:ascii="Times New Roman" w:hAnsi="Times New Roman" w:cs="Times New Roman"/>
                <w:b/>
                <w:bCs/>
                <w:sz w:val="24"/>
                <w:szCs w:val="24"/>
              </w:rPr>
            </w:pPr>
            <w:r>
              <w:rPr>
                <w:rFonts w:ascii="Times New Roman" w:hAnsi="Times New Roman" w:cs="Times New Roman"/>
                <w:b/>
                <w:bCs/>
                <w:sz w:val="24"/>
                <w:szCs w:val="24"/>
              </w:rPr>
              <w:t>Word line</w:t>
            </w:r>
          </w:p>
        </w:tc>
      </w:tr>
      <w:tr w:rsidR="00E962BD" w:rsidRPr="00E962BD" w14:paraId="1BFA02F3" w14:textId="77777777" w:rsidTr="00C917F9">
        <w:tc>
          <w:tcPr>
            <w:tcW w:w="8900" w:type="dxa"/>
            <w:gridSpan w:val="4"/>
          </w:tcPr>
          <w:p w14:paraId="6486A1CC" w14:textId="77777777" w:rsidR="00E962BD" w:rsidRPr="00E962BD" w:rsidRDefault="00E962BD" w:rsidP="00C917F9">
            <w:pPr>
              <w:rPr>
                <w:rFonts w:ascii="Times New Roman" w:hAnsi="Times New Roman" w:cs="Times New Roman"/>
                <w:b/>
                <w:bCs/>
                <w:sz w:val="24"/>
                <w:szCs w:val="24"/>
              </w:rPr>
            </w:pPr>
            <w:r w:rsidRPr="00E962BD">
              <w:rPr>
                <w:rFonts w:ascii="Times New Roman" w:hAnsi="Times New Roman" w:cs="Times New Roman"/>
                <w:b/>
                <w:bCs/>
                <w:sz w:val="24"/>
                <w:szCs w:val="24"/>
              </w:rPr>
              <w:t>Reviewer 1</w:t>
            </w:r>
          </w:p>
        </w:tc>
      </w:tr>
      <w:tr w:rsidR="00E962BD" w:rsidRPr="00E962BD" w14:paraId="7591C2A7" w14:textId="77777777" w:rsidTr="00C917F9">
        <w:tc>
          <w:tcPr>
            <w:tcW w:w="1048" w:type="dxa"/>
          </w:tcPr>
          <w:p w14:paraId="614FF712" w14:textId="77777777" w:rsidR="00E962BD" w:rsidRPr="00E962BD" w:rsidRDefault="00E962BD" w:rsidP="00C917F9">
            <w:pPr>
              <w:rPr>
                <w:rFonts w:ascii="Times New Roman" w:hAnsi="Times New Roman" w:cs="Times New Roman"/>
                <w:sz w:val="24"/>
                <w:szCs w:val="24"/>
              </w:rPr>
            </w:pPr>
          </w:p>
        </w:tc>
        <w:tc>
          <w:tcPr>
            <w:tcW w:w="3544" w:type="dxa"/>
          </w:tcPr>
          <w:p w14:paraId="53C662BA" w14:textId="7361A5D1" w:rsidR="00E962BD" w:rsidRPr="00E962BD" w:rsidRDefault="00E962BD" w:rsidP="00C917F9">
            <w:pPr>
              <w:rPr>
                <w:rFonts w:ascii="Times New Roman" w:hAnsi="Times New Roman" w:cs="Times New Roman"/>
                <w:color w:val="0A0A0A"/>
                <w:sz w:val="24"/>
                <w:szCs w:val="24"/>
                <w:shd w:val="clear" w:color="auto" w:fill="FEFEFE"/>
              </w:rPr>
            </w:pPr>
            <w:r w:rsidRPr="00E962BD">
              <w:rPr>
                <w:rFonts w:ascii="Times New Roman" w:hAnsi="Times New Roman" w:cs="Times New Roman"/>
                <w:color w:val="0A0A0A"/>
                <w:sz w:val="24"/>
                <w:szCs w:val="24"/>
                <w:shd w:val="clear" w:color="auto" w:fill="FEFEFE"/>
              </w:rPr>
              <w:t>Please state in the Methods section why only studies published between 2017 and 2021 were included in the analysis.</w:t>
            </w:r>
            <w:r w:rsidRPr="00E962BD">
              <w:rPr>
                <w:rFonts w:ascii="Times New Roman" w:hAnsi="Times New Roman" w:cs="Times New Roman"/>
                <w:color w:val="0A0A0A"/>
                <w:sz w:val="24"/>
                <w:szCs w:val="24"/>
              </w:rPr>
              <w:br/>
            </w:r>
          </w:p>
        </w:tc>
        <w:tc>
          <w:tcPr>
            <w:tcW w:w="2976" w:type="dxa"/>
          </w:tcPr>
          <w:p w14:paraId="7CC656B4" w14:textId="77777777"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sz w:val="24"/>
                <w:szCs w:val="24"/>
              </w:rPr>
              <w:t>Despite the consistency of DII as an instrument in substantial evidence-based research, the additional food parameters and revised scoring algorithms enhanced the comparability between studies [19]. Considering the utilization of revised version DII in recently published studies concerning colorectal cancer justifies the selection of the latest five years duration.</w:t>
            </w:r>
          </w:p>
        </w:tc>
        <w:tc>
          <w:tcPr>
            <w:tcW w:w="1332" w:type="dxa"/>
          </w:tcPr>
          <w:p w14:paraId="5FF92F20" w14:textId="77777777"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sz w:val="24"/>
                <w:szCs w:val="24"/>
              </w:rPr>
              <w:t>Line 102-106</w:t>
            </w:r>
          </w:p>
        </w:tc>
      </w:tr>
      <w:tr w:rsidR="00E962BD" w:rsidRPr="00E962BD" w14:paraId="3BCFB4BF" w14:textId="77777777" w:rsidTr="00C917F9">
        <w:tc>
          <w:tcPr>
            <w:tcW w:w="1048" w:type="dxa"/>
          </w:tcPr>
          <w:p w14:paraId="73E56D50" w14:textId="77777777" w:rsidR="00E962BD" w:rsidRPr="00E962BD" w:rsidRDefault="00E962BD" w:rsidP="00C917F9">
            <w:pPr>
              <w:rPr>
                <w:rFonts w:ascii="Times New Roman" w:hAnsi="Times New Roman" w:cs="Times New Roman"/>
                <w:sz w:val="24"/>
                <w:szCs w:val="24"/>
              </w:rPr>
            </w:pPr>
          </w:p>
        </w:tc>
        <w:tc>
          <w:tcPr>
            <w:tcW w:w="3544" w:type="dxa"/>
          </w:tcPr>
          <w:p w14:paraId="439F7E96" w14:textId="77777777"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color w:val="0A0A0A"/>
                <w:sz w:val="24"/>
                <w:szCs w:val="24"/>
                <w:shd w:val="clear" w:color="auto" w:fill="FEFEFE"/>
              </w:rPr>
              <w:t>Although the authors state in the Introduction that the studies published in previous years (Fowler 2017) dealt with the western type diet, in addition to studies from Europe and America, they also included studies from Australia, Korea, Jamaica, and Iran, so it cannot be said that only the western diet type was analyzed. The same variables were also examined and the same results were obtained.</w:t>
            </w:r>
          </w:p>
        </w:tc>
        <w:tc>
          <w:tcPr>
            <w:tcW w:w="2976" w:type="dxa"/>
          </w:tcPr>
          <w:p w14:paraId="58C82951" w14:textId="77777777"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sz w:val="24"/>
                <w:szCs w:val="24"/>
              </w:rPr>
              <w:t>To date, the evidence on the usefulness of the DII in predicting the risk of CRC is established mainly focus on the western diet with little input from other parts of the world based on the studies published before 2017 [14,15].</w:t>
            </w:r>
          </w:p>
        </w:tc>
        <w:tc>
          <w:tcPr>
            <w:tcW w:w="1332" w:type="dxa"/>
          </w:tcPr>
          <w:p w14:paraId="11E5E6B0" w14:textId="77777777"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sz w:val="24"/>
                <w:szCs w:val="24"/>
              </w:rPr>
              <w:t>Line 59-62</w:t>
            </w:r>
          </w:p>
        </w:tc>
      </w:tr>
      <w:tr w:rsidR="00E962BD" w:rsidRPr="00E962BD" w14:paraId="153B9373" w14:textId="77777777" w:rsidTr="00C917F9">
        <w:tc>
          <w:tcPr>
            <w:tcW w:w="1048" w:type="dxa"/>
          </w:tcPr>
          <w:p w14:paraId="2A55CFD1" w14:textId="77777777" w:rsidR="00E962BD" w:rsidRPr="00E962BD" w:rsidRDefault="00E962BD" w:rsidP="00C917F9">
            <w:pPr>
              <w:rPr>
                <w:rFonts w:ascii="Times New Roman" w:hAnsi="Times New Roman" w:cs="Times New Roman"/>
                <w:sz w:val="24"/>
                <w:szCs w:val="24"/>
              </w:rPr>
            </w:pPr>
          </w:p>
        </w:tc>
        <w:tc>
          <w:tcPr>
            <w:tcW w:w="3544" w:type="dxa"/>
          </w:tcPr>
          <w:p w14:paraId="391242E4" w14:textId="57B09C49"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color w:val="0A0A0A"/>
                <w:sz w:val="24"/>
                <w:szCs w:val="24"/>
                <w:shd w:val="clear" w:color="auto" w:fill="FEFEFE"/>
              </w:rPr>
              <w:t xml:space="preserve">Another major objection is that both the variables examined, diet and sedentary lifestyle ultimately lead to an increase in BMI. BMI has been researched in at least 13 </w:t>
            </w:r>
            <w:r w:rsidRPr="00E962BD">
              <w:rPr>
                <w:rFonts w:ascii="Times New Roman" w:hAnsi="Times New Roman" w:cs="Times New Roman"/>
                <w:color w:val="0A0A0A"/>
                <w:sz w:val="24"/>
                <w:szCs w:val="24"/>
                <w:shd w:val="clear" w:color="auto" w:fill="FEFEFE"/>
              </w:rPr>
              <w:lastRenderedPageBreak/>
              <w:t>of these studies and presents a result that will interest readers of this article. The authors did not mention its significance in a single sentence. This addition would represent a good new contribution to the significance of the study, even in the case of a negative finding, because in an earlier meta-analysis (Fowler 2017) that already had the same results and population, BMI data were not analyzed.</w:t>
            </w:r>
            <w:r w:rsidRPr="00E962BD">
              <w:rPr>
                <w:rFonts w:ascii="Times New Roman" w:hAnsi="Times New Roman" w:cs="Times New Roman"/>
                <w:color w:val="0A0A0A"/>
                <w:sz w:val="24"/>
                <w:szCs w:val="24"/>
              </w:rPr>
              <w:br/>
            </w:r>
            <w:r w:rsidRPr="00E962BD">
              <w:rPr>
                <w:rFonts w:ascii="Times New Roman" w:hAnsi="Times New Roman" w:cs="Times New Roman"/>
                <w:color w:val="0A0A0A"/>
                <w:sz w:val="24"/>
                <w:szCs w:val="24"/>
                <w:shd w:val="clear" w:color="auto" w:fill="FEFEFE"/>
              </w:rPr>
              <w:t>If this changes will not done the study is a simple replica of a paper published by Mackenzie E. Fowler, Tomi F. Akinyemi from 2017.</w:t>
            </w:r>
          </w:p>
        </w:tc>
        <w:tc>
          <w:tcPr>
            <w:tcW w:w="2976" w:type="dxa"/>
          </w:tcPr>
          <w:p w14:paraId="0C9D06FD" w14:textId="77777777"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sz w:val="24"/>
                <w:szCs w:val="24"/>
              </w:rPr>
              <w:lastRenderedPageBreak/>
              <w:t xml:space="preserve">The interplay of modifiable risk factors such as unhealthy dietary patterns and sedentary lifestyles have partly contributed to </w:t>
            </w:r>
            <w:r w:rsidRPr="00E962BD">
              <w:rPr>
                <w:rFonts w:ascii="Times New Roman" w:hAnsi="Times New Roman" w:cs="Times New Roman"/>
                <w:sz w:val="24"/>
                <w:szCs w:val="24"/>
              </w:rPr>
              <w:lastRenderedPageBreak/>
              <w:t>the complexity of obesity to an extent [49]. Several epidemiological evidence have demonstrated that individuals with higher-than-normal BMI are likely to have a higher risk for CRC [49,50,51,52,53]. In a large population-based cohort trial, obesity during early adulthood and the constantly increasing BMI throughout the lifespan were significantly associated with CRC [54]. Recent genetic studies suggested that for every one-unit increase in genetically predicted BMI, there is an increase in the odds ratios for CRC [55,56,57], indirectly implies the causality relationship between obesity and CRC. Although the current review reported statistically significant heterogeneity between studies with adjustment for BMI, future studies should consider the influence of residual confounding to delineate the true effect of BMI on CRC.</w:t>
            </w:r>
          </w:p>
          <w:p w14:paraId="7F21C96F" w14:textId="77777777" w:rsidR="00E962BD" w:rsidRPr="00E962BD" w:rsidRDefault="00E962BD" w:rsidP="00C917F9">
            <w:pPr>
              <w:rPr>
                <w:rFonts w:ascii="Times New Roman" w:hAnsi="Times New Roman" w:cs="Times New Roman"/>
                <w:sz w:val="24"/>
                <w:szCs w:val="24"/>
              </w:rPr>
            </w:pPr>
          </w:p>
        </w:tc>
        <w:tc>
          <w:tcPr>
            <w:tcW w:w="1332" w:type="dxa"/>
          </w:tcPr>
          <w:p w14:paraId="4E39AA00" w14:textId="77777777" w:rsidR="00E962BD" w:rsidRPr="00E962BD" w:rsidRDefault="00E962BD" w:rsidP="00C917F9">
            <w:pPr>
              <w:rPr>
                <w:rFonts w:ascii="Times New Roman" w:hAnsi="Times New Roman" w:cs="Times New Roman"/>
                <w:sz w:val="24"/>
                <w:szCs w:val="24"/>
              </w:rPr>
            </w:pPr>
            <w:r w:rsidRPr="00E962BD">
              <w:rPr>
                <w:rFonts w:ascii="Times New Roman" w:hAnsi="Times New Roman" w:cs="Times New Roman"/>
                <w:sz w:val="24"/>
                <w:szCs w:val="24"/>
              </w:rPr>
              <w:lastRenderedPageBreak/>
              <w:t>Line 282-292</w:t>
            </w:r>
          </w:p>
        </w:tc>
      </w:tr>
      <w:tr w:rsidR="00E962BD" w:rsidRPr="00E962BD" w14:paraId="3D4A4FEE" w14:textId="77777777" w:rsidTr="00C917F9">
        <w:tc>
          <w:tcPr>
            <w:tcW w:w="8900" w:type="dxa"/>
            <w:gridSpan w:val="4"/>
          </w:tcPr>
          <w:p w14:paraId="29946743" w14:textId="77777777" w:rsidR="00E962BD" w:rsidRPr="00E962BD" w:rsidRDefault="00E962BD" w:rsidP="00C917F9">
            <w:pPr>
              <w:rPr>
                <w:rFonts w:ascii="Times New Roman" w:hAnsi="Times New Roman" w:cs="Times New Roman"/>
                <w:b/>
                <w:bCs/>
                <w:sz w:val="24"/>
                <w:szCs w:val="24"/>
              </w:rPr>
            </w:pPr>
            <w:r w:rsidRPr="00E962BD">
              <w:rPr>
                <w:rFonts w:ascii="Times New Roman" w:hAnsi="Times New Roman" w:cs="Times New Roman"/>
                <w:b/>
                <w:bCs/>
                <w:sz w:val="24"/>
                <w:szCs w:val="24"/>
              </w:rPr>
              <w:t>Reviewer 2</w:t>
            </w:r>
          </w:p>
        </w:tc>
      </w:tr>
      <w:tr w:rsidR="00E962BD" w:rsidRPr="00E962BD" w14:paraId="393465D6" w14:textId="77777777" w:rsidTr="00C917F9">
        <w:tc>
          <w:tcPr>
            <w:tcW w:w="1048" w:type="dxa"/>
          </w:tcPr>
          <w:p w14:paraId="66E92816" w14:textId="77777777" w:rsidR="00E962BD" w:rsidRPr="00E962BD" w:rsidRDefault="00E962BD" w:rsidP="00C917F9">
            <w:pPr>
              <w:rPr>
                <w:rFonts w:ascii="Times New Roman" w:hAnsi="Times New Roman" w:cs="Times New Roman"/>
                <w:sz w:val="24"/>
                <w:szCs w:val="24"/>
              </w:rPr>
            </w:pPr>
          </w:p>
        </w:tc>
        <w:tc>
          <w:tcPr>
            <w:tcW w:w="3544" w:type="dxa"/>
          </w:tcPr>
          <w:p w14:paraId="008FA7A9" w14:textId="2AAF76F3" w:rsidR="00E962BD" w:rsidRPr="00E962BD" w:rsidRDefault="00E962BD" w:rsidP="007F0467">
            <w:pPr>
              <w:pStyle w:val="NormalWeb"/>
              <w:shd w:val="clear" w:color="auto" w:fill="FEFEFE"/>
            </w:pPr>
            <w:r w:rsidRPr="00E962BD">
              <w:rPr>
                <w:color w:val="0A0A0A"/>
              </w:rPr>
              <w:t>The figures are not immediately readable, please check the size and/or the pixels/inch, because they look blurry.</w:t>
            </w:r>
          </w:p>
        </w:tc>
        <w:tc>
          <w:tcPr>
            <w:tcW w:w="2976" w:type="dxa"/>
          </w:tcPr>
          <w:p w14:paraId="221FA549" w14:textId="58D54C9A" w:rsidR="00E962BD" w:rsidRPr="00E962BD" w:rsidRDefault="002E6C55" w:rsidP="00C917F9">
            <w:pPr>
              <w:rPr>
                <w:rFonts w:ascii="Times New Roman" w:hAnsi="Times New Roman" w:cs="Times New Roman"/>
                <w:sz w:val="24"/>
                <w:szCs w:val="24"/>
              </w:rPr>
            </w:pPr>
            <w:r>
              <w:rPr>
                <w:rFonts w:ascii="Times New Roman" w:hAnsi="Times New Roman" w:cs="Times New Roman"/>
                <w:sz w:val="24"/>
                <w:szCs w:val="24"/>
              </w:rPr>
              <w:t>The author has improved the figures</w:t>
            </w:r>
          </w:p>
        </w:tc>
        <w:tc>
          <w:tcPr>
            <w:tcW w:w="1332" w:type="dxa"/>
          </w:tcPr>
          <w:p w14:paraId="33149F6A" w14:textId="2DB58297" w:rsidR="00E962BD" w:rsidRPr="00E962BD" w:rsidRDefault="004C309B" w:rsidP="00C917F9">
            <w:pPr>
              <w:rPr>
                <w:rFonts w:ascii="Times New Roman" w:hAnsi="Times New Roman" w:cs="Times New Roman"/>
                <w:sz w:val="24"/>
                <w:szCs w:val="24"/>
              </w:rPr>
            </w:pPr>
            <w:r>
              <w:rPr>
                <w:rFonts w:ascii="Times New Roman" w:hAnsi="Times New Roman" w:cs="Times New Roman"/>
                <w:sz w:val="24"/>
                <w:szCs w:val="24"/>
              </w:rPr>
              <w:t>Figure 2 and Figure 3</w:t>
            </w:r>
          </w:p>
        </w:tc>
      </w:tr>
    </w:tbl>
    <w:p w14:paraId="224179B2" w14:textId="77777777" w:rsidR="00E962BD" w:rsidRPr="004F182C" w:rsidRDefault="00E962BD" w:rsidP="004F182C">
      <w:pPr>
        <w:spacing w:line="360" w:lineRule="auto"/>
        <w:jc w:val="both"/>
        <w:rPr>
          <w:rFonts w:ascii="Times New Roman" w:hAnsi="Times New Roman" w:cs="Times New Roman"/>
          <w:sz w:val="24"/>
          <w:szCs w:val="24"/>
        </w:rPr>
      </w:pPr>
    </w:p>
    <w:p w14:paraId="669D3243" w14:textId="08F7FE4B" w:rsidR="0077514C" w:rsidRDefault="0077514C" w:rsidP="004F182C">
      <w:pPr>
        <w:spacing w:line="360" w:lineRule="auto"/>
        <w:jc w:val="both"/>
        <w:rPr>
          <w:rFonts w:ascii="Times New Roman" w:hAnsi="Times New Roman" w:cs="Times New Roman"/>
          <w:sz w:val="24"/>
          <w:szCs w:val="24"/>
        </w:rPr>
      </w:pPr>
      <w:r w:rsidRPr="004F182C">
        <w:rPr>
          <w:rFonts w:ascii="Times New Roman" w:hAnsi="Times New Roman" w:cs="Times New Roman"/>
          <w:sz w:val="24"/>
          <w:szCs w:val="24"/>
        </w:rPr>
        <w:t xml:space="preserve">The article provides </w:t>
      </w:r>
      <w:r w:rsidR="00B71139">
        <w:rPr>
          <w:rFonts w:ascii="Times New Roman" w:hAnsi="Times New Roman" w:cs="Times New Roman"/>
          <w:sz w:val="24"/>
          <w:szCs w:val="24"/>
        </w:rPr>
        <w:t>updates on the recent evidence pertaining to the potential dietary inflammatory of diet associated with risk for colorectal cancer</w:t>
      </w:r>
      <w:r w:rsidR="0019046B" w:rsidRPr="004F182C">
        <w:rPr>
          <w:rFonts w:ascii="Times New Roman" w:hAnsi="Times New Roman" w:cs="Times New Roman"/>
          <w:sz w:val="24"/>
          <w:szCs w:val="24"/>
        </w:rPr>
        <w:t xml:space="preserve">. It gives </w:t>
      </w:r>
      <w:r w:rsidR="00B71139">
        <w:rPr>
          <w:rFonts w:ascii="Times New Roman" w:hAnsi="Times New Roman" w:cs="Times New Roman"/>
          <w:sz w:val="24"/>
          <w:szCs w:val="24"/>
        </w:rPr>
        <w:t>an explicit</w:t>
      </w:r>
      <w:r w:rsidR="0019046B" w:rsidRPr="004F182C">
        <w:rPr>
          <w:rFonts w:ascii="Times New Roman" w:hAnsi="Times New Roman" w:cs="Times New Roman"/>
          <w:sz w:val="24"/>
          <w:szCs w:val="24"/>
        </w:rPr>
        <w:t xml:space="preserve"> overview </w:t>
      </w:r>
      <w:r w:rsidR="00B71139">
        <w:rPr>
          <w:rFonts w:ascii="Times New Roman" w:hAnsi="Times New Roman" w:cs="Times New Roman"/>
          <w:sz w:val="24"/>
          <w:szCs w:val="24"/>
        </w:rPr>
        <w:t>of</w:t>
      </w:r>
      <w:r w:rsidR="0019046B" w:rsidRPr="004F182C">
        <w:rPr>
          <w:rFonts w:ascii="Times New Roman" w:hAnsi="Times New Roman" w:cs="Times New Roman"/>
          <w:sz w:val="24"/>
          <w:szCs w:val="24"/>
        </w:rPr>
        <w:t xml:space="preserve"> </w:t>
      </w:r>
      <w:r w:rsidR="00B71139">
        <w:rPr>
          <w:rFonts w:ascii="Times New Roman" w:hAnsi="Times New Roman" w:cs="Times New Roman"/>
          <w:sz w:val="24"/>
          <w:szCs w:val="24"/>
        </w:rPr>
        <w:t>culture-specific dietary patterns that may influence the timely development of colorectal cancer, thus the need for global guidelines</w:t>
      </w:r>
      <w:r w:rsidR="005628E4">
        <w:rPr>
          <w:rFonts w:ascii="Times New Roman" w:hAnsi="Times New Roman" w:cs="Times New Roman"/>
          <w:sz w:val="24"/>
          <w:szCs w:val="24"/>
        </w:rPr>
        <w:t xml:space="preserve"> as prevention strategies.</w:t>
      </w:r>
      <w:r w:rsidR="00B71139">
        <w:rPr>
          <w:rFonts w:ascii="Times New Roman" w:hAnsi="Times New Roman" w:cs="Times New Roman"/>
          <w:sz w:val="24"/>
          <w:szCs w:val="24"/>
        </w:rPr>
        <w:t xml:space="preserve"> </w:t>
      </w:r>
      <w:r w:rsidR="0019046B" w:rsidRPr="004F182C">
        <w:rPr>
          <w:rFonts w:ascii="Times New Roman" w:hAnsi="Times New Roman" w:cs="Times New Roman"/>
          <w:sz w:val="24"/>
          <w:szCs w:val="24"/>
        </w:rPr>
        <w:t xml:space="preserve">The article fits the scope of the journal due to the topic coverage on </w:t>
      </w:r>
      <w:r w:rsidR="005628E4">
        <w:rPr>
          <w:rFonts w:ascii="Times New Roman" w:hAnsi="Times New Roman" w:cs="Times New Roman"/>
          <w:sz w:val="24"/>
          <w:szCs w:val="24"/>
        </w:rPr>
        <w:t xml:space="preserve">nutrition and cancer </w:t>
      </w:r>
      <w:r w:rsidR="0019046B" w:rsidRPr="004F182C">
        <w:rPr>
          <w:rFonts w:ascii="Times New Roman" w:hAnsi="Times New Roman" w:cs="Times New Roman"/>
          <w:sz w:val="24"/>
          <w:szCs w:val="24"/>
        </w:rPr>
        <w:t xml:space="preserve">issues discussed in depth. </w:t>
      </w:r>
      <w:r w:rsidR="00BA0162">
        <w:rPr>
          <w:rFonts w:ascii="Times New Roman" w:hAnsi="Times New Roman" w:cs="Times New Roman"/>
          <w:sz w:val="24"/>
          <w:szCs w:val="24"/>
        </w:rPr>
        <w:t xml:space="preserve">We confirm that neither the manuscript nor any parts of its content are currently under </w:t>
      </w:r>
      <w:r w:rsidR="00BA0162">
        <w:rPr>
          <w:rFonts w:ascii="Times New Roman" w:hAnsi="Times New Roman" w:cs="Times New Roman"/>
          <w:sz w:val="24"/>
          <w:szCs w:val="24"/>
        </w:rPr>
        <w:lastRenderedPageBreak/>
        <w:t>consideration or published in another journal. All authors have approved the manuscript and agree with its submission to Nutrients.</w:t>
      </w:r>
    </w:p>
    <w:p w14:paraId="3FC05BCD" w14:textId="77777777" w:rsidR="004F182C" w:rsidRPr="004F182C" w:rsidRDefault="004F182C" w:rsidP="004F182C">
      <w:pPr>
        <w:spacing w:line="360" w:lineRule="auto"/>
        <w:jc w:val="both"/>
        <w:rPr>
          <w:rFonts w:ascii="Times New Roman" w:hAnsi="Times New Roman" w:cs="Times New Roman"/>
          <w:sz w:val="24"/>
          <w:szCs w:val="24"/>
        </w:rPr>
      </w:pPr>
    </w:p>
    <w:p w14:paraId="1BD373DC" w14:textId="518E92A0" w:rsidR="004F182C" w:rsidRDefault="004F182C" w:rsidP="004F182C">
      <w:pPr>
        <w:spacing w:line="360" w:lineRule="auto"/>
        <w:jc w:val="both"/>
        <w:rPr>
          <w:rFonts w:ascii="Times New Roman" w:hAnsi="Times New Roman" w:cs="Times New Roman"/>
          <w:sz w:val="24"/>
          <w:szCs w:val="24"/>
        </w:rPr>
      </w:pPr>
      <w:r w:rsidRPr="004F182C">
        <w:rPr>
          <w:rFonts w:ascii="Times New Roman" w:hAnsi="Times New Roman" w:cs="Times New Roman"/>
          <w:sz w:val="24"/>
          <w:szCs w:val="24"/>
        </w:rPr>
        <w:t>Thank you.</w:t>
      </w:r>
    </w:p>
    <w:p w14:paraId="659BE515" w14:textId="77777777" w:rsidR="004F182C" w:rsidRPr="004F182C" w:rsidRDefault="004F182C" w:rsidP="004F182C">
      <w:pPr>
        <w:spacing w:line="360" w:lineRule="auto"/>
        <w:jc w:val="both"/>
        <w:rPr>
          <w:rFonts w:ascii="Times New Roman" w:hAnsi="Times New Roman" w:cs="Times New Roman"/>
          <w:sz w:val="24"/>
          <w:szCs w:val="24"/>
        </w:rPr>
      </w:pPr>
    </w:p>
    <w:p w14:paraId="58E64F3D" w14:textId="436ECF12" w:rsidR="004F182C" w:rsidRPr="004F182C" w:rsidRDefault="004F182C" w:rsidP="004F182C">
      <w:pPr>
        <w:spacing w:line="360" w:lineRule="auto"/>
        <w:jc w:val="both"/>
        <w:rPr>
          <w:rFonts w:ascii="Times New Roman" w:hAnsi="Times New Roman" w:cs="Times New Roman"/>
          <w:sz w:val="24"/>
          <w:szCs w:val="24"/>
        </w:rPr>
      </w:pPr>
      <w:r w:rsidRPr="004F182C">
        <w:rPr>
          <w:rFonts w:ascii="Times New Roman" w:hAnsi="Times New Roman" w:cs="Times New Roman"/>
          <w:sz w:val="24"/>
          <w:szCs w:val="24"/>
        </w:rPr>
        <w:t>Yours sincerely,</w:t>
      </w:r>
    </w:p>
    <w:p w14:paraId="0D0AB065" w14:textId="16B1B68A" w:rsidR="004F182C" w:rsidRPr="004F182C" w:rsidRDefault="005628E4">
      <w:pPr>
        <w:rPr>
          <w:rFonts w:ascii="Edwardian Script ITC" w:hAnsi="Edwardian Script ITC"/>
        </w:rPr>
      </w:pPr>
      <w:r>
        <w:rPr>
          <w:rFonts w:ascii="Edwardian Script ITC" w:hAnsi="Edwardian Script ITC"/>
        </w:rPr>
        <w:t>Asmawati</w:t>
      </w:r>
    </w:p>
    <w:sectPr w:rsidR="004F182C" w:rsidRPr="004F18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77"/>
    <w:rsid w:val="0019046B"/>
    <w:rsid w:val="002E6C55"/>
    <w:rsid w:val="004C309B"/>
    <w:rsid w:val="004F182C"/>
    <w:rsid w:val="005628E4"/>
    <w:rsid w:val="00584927"/>
    <w:rsid w:val="0077514C"/>
    <w:rsid w:val="007F0467"/>
    <w:rsid w:val="00970369"/>
    <w:rsid w:val="00B71139"/>
    <w:rsid w:val="00BA0162"/>
    <w:rsid w:val="00E8200A"/>
    <w:rsid w:val="00E962BD"/>
    <w:rsid w:val="00F6637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61DE"/>
  <w15:chartTrackingRefBased/>
  <w15:docId w15:val="{7C8597AF-51B0-4121-B1B6-5495FB3FE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62BD"/>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Emphasis">
    <w:name w:val="Emphasis"/>
    <w:basedOn w:val="DefaultParagraphFont"/>
    <w:uiPriority w:val="20"/>
    <w:qFormat/>
    <w:rsid w:val="00E962BD"/>
    <w:rPr>
      <w:i/>
      <w:iCs/>
    </w:rPr>
  </w:style>
  <w:style w:type="table" w:styleId="TableGrid">
    <w:name w:val="Table Grid"/>
    <w:basedOn w:val="TableNormal"/>
    <w:uiPriority w:val="59"/>
    <w:rsid w:val="00E96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sharifah saffinas syed soffian</dc:creator>
  <cp:keywords/>
  <dc:description/>
  <cp:lastModifiedBy> </cp:lastModifiedBy>
  <cp:revision>3</cp:revision>
  <dcterms:created xsi:type="dcterms:W3CDTF">2022-04-02T23:34:00Z</dcterms:created>
  <dcterms:modified xsi:type="dcterms:W3CDTF">2022-04-03T00:27:00Z</dcterms:modified>
</cp:coreProperties>
</file>