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B6EA27" w14:textId="13AE7673" w:rsidR="002D7E61" w:rsidRPr="002D7E61" w:rsidRDefault="002D7E61" w:rsidP="0028620F">
      <w:pPr>
        <w:pStyle w:val="MDPI11articletype"/>
        <w:rPr>
          <w:rFonts w:ascii="Arial" w:hAnsi="Arial" w:cs="Arial"/>
          <w:b/>
        </w:rPr>
      </w:pPr>
      <w:r>
        <w:t>Case Report</w:t>
      </w:r>
    </w:p>
    <w:p w14:paraId="1A39A9B7" w14:textId="3BFEF542" w:rsidR="002D7E61" w:rsidRPr="0028620F" w:rsidRDefault="002D7E61" w:rsidP="0028620F">
      <w:pPr>
        <w:pStyle w:val="MDPI12title"/>
      </w:pPr>
      <w:proofErr w:type="spellStart"/>
      <w:r w:rsidRPr="002D7E61">
        <w:t>Cavus</w:t>
      </w:r>
      <w:proofErr w:type="spellEnd"/>
      <w:r w:rsidRPr="002D7E61">
        <w:t xml:space="preserve"> Foot Correction using a Full Percutaneous Procedure</w:t>
      </w:r>
      <w:r w:rsidR="00A950E9">
        <w:t xml:space="preserve"> a Case Series</w:t>
      </w:r>
    </w:p>
    <w:p w14:paraId="07C48E26" w14:textId="77777777" w:rsidR="00E615BA" w:rsidRPr="00CB4277" w:rsidRDefault="002D7E61" w:rsidP="0028620F">
      <w:pPr>
        <w:pStyle w:val="MDPI13authornames"/>
        <w:rPr>
          <w:bCs/>
          <w:vertAlign w:val="superscript"/>
          <w:lang w:val="pt-BR"/>
        </w:rPr>
      </w:pPr>
      <w:r w:rsidRPr="00CB4277">
        <w:rPr>
          <w:bCs/>
          <w:lang w:val="pt-BR"/>
        </w:rPr>
        <w:t>Rodrigo S Astolfi*</w:t>
      </w:r>
      <w:proofErr w:type="spellStart"/>
      <w:proofErr w:type="gramStart"/>
      <w:r w:rsidRPr="00CB4277">
        <w:rPr>
          <w:bCs/>
          <w:vertAlign w:val="superscript"/>
          <w:lang w:val="pt-BR"/>
        </w:rPr>
        <w:t>a,b</w:t>
      </w:r>
      <w:proofErr w:type="spellEnd"/>
      <w:proofErr w:type="gramEnd"/>
      <w:r w:rsidRPr="00CB4277">
        <w:rPr>
          <w:bCs/>
          <w:lang w:val="pt-BR"/>
        </w:rPr>
        <w:t xml:space="preserve">, José Victor de V Coelho </w:t>
      </w:r>
      <w:proofErr w:type="spellStart"/>
      <w:r w:rsidRPr="00CB4277">
        <w:rPr>
          <w:bCs/>
          <w:vertAlign w:val="superscript"/>
          <w:lang w:val="pt-BR"/>
        </w:rPr>
        <w:t>a</w:t>
      </w:r>
      <w:r w:rsidRPr="00CB4277">
        <w:rPr>
          <w:bCs/>
          <w:lang w:val="pt-BR"/>
        </w:rPr>
        <w:t>,</w:t>
      </w:r>
      <w:r w:rsidRPr="00CB4277">
        <w:rPr>
          <w:lang w:val="pt-BR"/>
        </w:rPr>
        <w:t>Henrique</w:t>
      </w:r>
      <w:proofErr w:type="spellEnd"/>
      <w:r w:rsidRPr="00CB4277">
        <w:rPr>
          <w:lang w:val="pt-BR"/>
        </w:rPr>
        <w:t xml:space="preserve"> César </w:t>
      </w:r>
      <w:proofErr w:type="spellStart"/>
      <w:r w:rsidRPr="00CB4277">
        <w:rPr>
          <w:lang w:val="pt-BR"/>
        </w:rPr>
        <w:t>Temoteo</w:t>
      </w:r>
      <w:proofErr w:type="spellEnd"/>
      <w:r w:rsidRPr="00CB4277">
        <w:rPr>
          <w:lang w:val="pt-BR"/>
        </w:rPr>
        <w:t xml:space="preserve"> Ribeiro</w:t>
      </w:r>
      <w:r w:rsidRPr="00CB4277">
        <w:rPr>
          <w:vertAlign w:val="superscript"/>
          <w:lang w:val="pt-BR"/>
        </w:rPr>
        <w:t xml:space="preserve"> </w:t>
      </w:r>
      <w:proofErr w:type="spellStart"/>
      <w:r w:rsidRPr="00CB4277">
        <w:rPr>
          <w:vertAlign w:val="superscript"/>
          <w:lang w:val="pt-BR"/>
        </w:rPr>
        <w:t>a,c</w:t>
      </w:r>
      <w:proofErr w:type="spellEnd"/>
      <w:r w:rsidRPr="00CB4277">
        <w:rPr>
          <w:vertAlign w:val="superscript"/>
          <w:lang w:val="pt-BR"/>
        </w:rPr>
        <w:t xml:space="preserve"> </w:t>
      </w:r>
      <w:r w:rsidRPr="00CB4277">
        <w:rPr>
          <w:lang w:val="pt-BR"/>
        </w:rPr>
        <w:t xml:space="preserve">MD, Alexandre Leme Godoy dos </w:t>
      </w:r>
      <w:proofErr w:type="spellStart"/>
      <w:r w:rsidRPr="00CB4277">
        <w:rPr>
          <w:lang w:val="pt-BR"/>
        </w:rPr>
        <w:t>Santos</w:t>
      </w:r>
      <w:r w:rsidRPr="00CB4277">
        <w:rPr>
          <w:vertAlign w:val="superscript"/>
          <w:lang w:val="pt-BR"/>
        </w:rPr>
        <w:t>a,b</w:t>
      </w:r>
      <w:proofErr w:type="spellEnd"/>
      <w:r w:rsidRPr="00CB4277">
        <w:rPr>
          <w:vertAlign w:val="superscript"/>
          <w:lang w:val="pt-BR"/>
        </w:rPr>
        <w:t xml:space="preserve"> </w:t>
      </w:r>
      <w:proofErr w:type="spellStart"/>
      <w:r w:rsidRPr="00CB4277">
        <w:rPr>
          <w:lang w:val="pt-BR"/>
        </w:rPr>
        <w:t>MD</w:t>
      </w:r>
      <w:r w:rsidRPr="00CB4277">
        <w:rPr>
          <w:bCs/>
          <w:lang w:val="pt-BR"/>
        </w:rPr>
        <w:t>,José</w:t>
      </w:r>
      <w:proofErr w:type="spellEnd"/>
      <w:r w:rsidRPr="00CB4277">
        <w:rPr>
          <w:bCs/>
          <w:lang w:val="pt-BR"/>
        </w:rPr>
        <w:t xml:space="preserve"> A Dias </w:t>
      </w:r>
      <w:proofErr w:type="spellStart"/>
      <w:r w:rsidRPr="00CB4277">
        <w:rPr>
          <w:bCs/>
          <w:lang w:val="pt-BR"/>
        </w:rPr>
        <w:t>Leite</w:t>
      </w:r>
      <w:r w:rsidRPr="00CB4277">
        <w:rPr>
          <w:bCs/>
          <w:vertAlign w:val="superscript"/>
          <w:lang w:val="pt-BR"/>
        </w:rPr>
        <w:t>a</w:t>
      </w:r>
      <w:r w:rsidRPr="00CB4277">
        <w:rPr>
          <w:vertAlign w:val="superscript"/>
          <w:lang w:val="pt-BR"/>
        </w:rPr>
        <w:t>,c</w:t>
      </w:r>
      <w:proofErr w:type="spellEnd"/>
      <w:r w:rsidRPr="00CB4277">
        <w:rPr>
          <w:vertAlign w:val="superscript"/>
          <w:lang w:val="pt-BR"/>
        </w:rPr>
        <w:t xml:space="preserve"> </w:t>
      </w:r>
      <w:r w:rsidRPr="00CB4277">
        <w:rPr>
          <w:lang w:val="pt-BR"/>
        </w:rPr>
        <w:t>MD, PhD</w:t>
      </w:r>
    </w:p>
    <w:tbl>
      <w:tblPr>
        <w:tblStyle w:val="MDPITable"/>
        <w:tblpPr w:leftFromText="198" w:rightFromText="198" w:vertAnchor="page" w:horzAnchor="margin" w:tblpY="8504"/>
        <w:tblW w:w="2409" w:type="dxa"/>
        <w:tblLayout w:type="fixed"/>
        <w:tblLook w:val="04A0" w:firstRow="1" w:lastRow="0" w:firstColumn="1" w:lastColumn="0" w:noHBand="0" w:noVBand="1"/>
      </w:tblPr>
      <w:tblGrid>
        <w:gridCol w:w="2409"/>
      </w:tblGrid>
      <w:tr w:rsidR="00E615BA" w14:paraId="7DA1EC8D" w14:textId="77777777" w:rsidTr="00E615BA">
        <w:trPr>
          <w:cantSplit/>
        </w:trPr>
        <w:tc>
          <w:tcPr>
            <w:tcW w:w="2409" w:type="dxa"/>
          </w:tcPr>
          <w:p w14:paraId="1AFDE715" w14:textId="05F5EE87" w:rsidR="00E615BA" w:rsidRPr="00E615BA" w:rsidRDefault="00E615BA" w:rsidP="00E615BA">
            <w:pPr>
              <w:pStyle w:val="MDPI61Citation"/>
              <w:rPr>
                <w:rFonts w:cs="Times New Roman"/>
                <w:color w:val="000000"/>
                <w:sz w:val="36"/>
                <w:szCs w:val="20"/>
              </w:rPr>
            </w:pPr>
            <w:r w:rsidRPr="00E615BA">
              <w:rPr>
                <w:b/>
              </w:rPr>
              <w:t>Citation:</w:t>
            </w:r>
            <w:r>
              <w:t xml:space="preserve"> Astolfi, R.S.; de V Coelho a, J.; </w:t>
            </w:r>
            <w:proofErr w:type="spellStart"/>
            <w:r>
              <w:t>Santosa</w:t>
            </w:r>
            <w:proofErr w:type="spellEnd"/>
            <w:r>
              <w:t xml:space="preserve">, </w:t>
            </w:r>
            <w:proofErr w:type="spellStart"/>
            <w:r>
              <w:t>A.L.G.d</w:t>
            </w:r>
            <w:proofErr w:type="spellEnd"/>
            <w:r>
              <w:t xml:space="preserve">.; PhD </w:t>
            </w:r>
            <w:proofErr w:type="spellStart"/>
            <w:r w:rsidRPr="002D7E61">
              <w:rPr>
                <w:b/>
              </w:rPr>
              <w:t>Cavus</w:t>
            </w:r>
            <w:proofErr w:type="spellEnd"/>
            <w:r w:rsidRPr="002D7E61">
              <w:rPr>
                <w:b/>
              </w:rPr>
              <w:t xml:space="preserve"> Foot Correction using a Full Percutaneous Procedure</w:t>
            </w:r>
            <w:r>
              <w:rPr>
                <w:b/>
              </w:rPr>
              <w:t xml:space="preserve">. </w:t>
            </w:r>
            <w:r>
              <w:rPr>
                <w:i/>
              </w:rPr>
              <w:t xml:space="preserve">Int. J. Environ. Res. Public Health </w:t>
            </w:r>
            <w:r>
              <w:rPr>
                <w:b/>
              </w:rPr>
              <w:t>2021</w:t>
            </w:r>
            <w:r>
              <w:t xml:space="preserve">, </w:t>
            </w:r>
            <w:r>
              <w:rPr>
                <w:i/>
              </w:rPr>
              <w:t>18</w:t>
            </w:r>
            <w:r>
              <w:t>, x. https://doi.org/10.3390/xxxxx</w:t>
            </w:r>
          </w:p>
          <w:p w14:paraId="775D2DE1" w14:textId="77777777" w:rsidR="00E615BA" w:rsidRDefault="00E615BA" w:rsidP="00E615BA">
            <w:pPr>
              <w:pStyle w:val="MDPI15academiceditor"/>
              <w:spacing w:after="240"/>
            </w:pPr>
            <w:r>
              <w:t xml:space="preserve">Academic Editor: </w:t>
            </w:r>
          </w:p>
          <w:p w14:paraId="57C7721E" w14:textId="77777777" w:rsidR="00E615BA" w:rsidRPr="00E615BA" w:rsidRDefault="00E615BA" w:rsidP="00E615BA">
            <w:pPr>
              <w:pStyle w:val="MDPI14history"/>
            </w:pPr>
            <w:r w:rsidRPr="00E615BA">
              <w:t>Received: date</w:t>
            </w:r>
          </w:p>
          <w:p w14:paraId="3C7C6778" w14:textId="77777777" w:rsidR="00E615BA" w:rsidRPr="00E615BA" w:rsidRDefault="00E615BA" w:rsidP="00E615BA">
            <w:pPr>
              <w:pStyle w:val="MDPI14history"/>
            </w:pPr>
            <w:r w:rsidRPr="00E615BA">
              <w:t>Accepted: date</w:t>
            </w:r>
          </w:p>
          <w:p w14:paraId="36C39E37" w14:textId="77777777" w:rsidR="00E615BA" w:rsidRPr="00E615BA" w:rsidRDefault="00E615BA" w:rsidP="00E615BA">
            <w:pPr>
              <w:pStyle w:val="MDPI14history"/>
              <w:spacing w:after="240"/>
            </w:pPr>
            <w:r w:rsidRPr="00E615BA">
              <w:t>Published: date</w:t>
            </w:r>
          </w:p>
          <w:p w14:paraId="4E19ADBE" w14:textId="77777777" w:rsidR="00E615BA" w:rsidRDefault="00E615BA" w:rsidP="00E615BA">
            <w:pPr>
              <w:pStyle w:val="MDPI63Notes"/>
              <w:spacing w:after="0"/>
              <w:jc w:val="both"/>
            </w:pPr>
            <w:r w:rsidRPr="00E615BA">
              <w:rPr>
                <w:b/>
              </w:rPr>
              <w:t>Publisher’s Note:</w:t>
            </w:r>
            <w:r w:rsidRPr="00E615BA">
              <w:t xml:space="preserve"> MDPI stays neutral </w:t>
            </w:r>
            <w:proofErr w:type="gramStart"/>
            <w:r w:rsidRPr="00E615BA">
              <w:t>with regard to</w:t>
            </w:r>
            <w:proofErr w:type="gramEnd"/>
            <w:r w:rsidRPr="00E615BA">
              <w:t xml:space="preserve"> jurisdictional claims in published maps and institutional affiliations.</w:t>
            </w:r>
          </w:p>
          <w:p w14:paraId="0E19474E" w14:textId="77777777" w:rsidR="00E615BA" w:rsidRDefault="00E615BA" w:rsidP="00E615BA">
            <w:pPr>
              <w:pStyle w:val="MDPI63Notes"/>
              <w:spacing w:before="240" w:after="0"/>
              <w:jc w:val="both"/>
            </w:pPr>
            <w:r>
              <w:rPr>
                <w:noProof/>
                <w:snapToGrid/>
              </w:rPr>
              <w:drawing>
                <wp:inline distT="0" distB="0" distL="0" distR="0" wp14:anchorId="403B331D" wp14:editId="2E0D4E70">
                  <wp:extent cx="694800" cy="248400"/>
                  <wp:effectExtent l="0" t="0" r="0" b="0"/>
                  <wp:docPr id="13" name="Picture 13"/>
                  <wp:cNvGraphicFramePr/>
                  <a:graphic xmlns:a="http://schemas.openxmlformats.org/drawingml/2006/main">
                    <a:graphicData uri="http://schemas.openxmlformats.org/drawingml/2006/picture">
                      <pic:pic xmlns:pic="http://schemas.openxmlformats.org/drawingml/2006/picture">
                        <pic:nvPicPr>
                          <pic:cNvPr id="13"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94800" cy="248400"/>
                          </a:xfrm>
                          <a:prstGeom prst="rect">
                            <a:avLst/>
                          </a:prstGeom>
                        </pic:spPr>
                      </pic:pic>
                    </a:graphicData>
                  </a:graphic>
                </wp:inline>
              </w:drawing>
            </w:r>
          </w:p>
          <w:p w14:paraId="56FE8785" w14:textId="44BEA197" w:rsidR="00E615BA" w:rsidRPr="00E615BA" w:rsidRDefault="00E615BA" w:rsidP="00E615BA">
            <w:pPr>
              <w:pStyle w:val="MDPI63Notes"/>
              <w:spacing w:before="60" w:after="0"/>
              <w:jc w:val="both"/>
            </w:pPr>
            <w:r w:rsidRPr="00E615BA">
              <w:rPr>
                <w:b/>
              </w:rPr>
              <w:t>Copyright:</w:t>
            </w:r>
            <w:r w:rsidRPr="00E615BA">
              <w:t xml:space="preserve"> © 2021 by the authors. Submitted for possible open access publication under the terms and conditions of the Creative Commons Attribution (CC BY) license (http://creativecommons.org/licenses/by/4.0/).</w:t>
            </w:r>
          </w:p>
        </w:tc>
      </w:tr>
    </w:tbl>
    <w:p w14:paraId="064D9F4D" w14:textId="77777777" w:rsidR="002D7E61" w:rsidRPr="00CB4277" w:rsidRDefault="002D7E61" w:rsidP="0028620F">
      <w:pPr>
        <w:pStyle w:val="MDPI16affiliation"/>
        <w:ind w:left="2608" w:firstLine="0"/>
        <w:rPr>
          <w:lang w:val="pt-BR"/>
        </w:rPr>
      </w:pPr>
      <w:r w:rsidRPr="00CB4277">
        <w:rPr>
          <w:bCs/>
          <w:vertAlign w:val="superscript"/>
          <w:lang w:val="pt-BR"/>
        </w:rPr>
        <w:t>a</w:t>
      </w:r>
      <w:r w:rsidRPr="00CB4277">
        <w:rPr>
          <w:lang w:val="pt-BR"/>
        </w:rPr>
        <w:t xml:space="preserve"> Universidade Federal do Ceará, Fortaleza, Ceará, Brasil</w:t>
      </w:r>
    </w:p>
    <w:p w14:paraId="704336F2" w14:textId="4859723E" w:rsidR="002D7E61" w:rsidRPr="002D7E61" w:rsidRDefault="002D7E61" w:rsidP="0028620F">
      <w:pPr>
        <w:pStyle w:val="MDPI16affiliation"/>
        <w:ind w:left="2608" w:firstLine="0"/>
      </w:pPr>
      <w:proofErr w:type="spellStart"/>
      <w:r w:rsidRPr="002D7E61">
        <w:rPr>
          <w:vertAlign w:val="superscript"/>
        </w:rPr>
        <w:t>b</w:t>
      </w:r>
      <w:r w:rsidRPr="002D7E61">
        <w:t>Foot</w:t>
      </w:r>
      <w:proofErr w:type="spellEnd"/>
      <w:r w:rsidRPr="002D7E61">
        <w:t xml:space="preserve"> and Ankle Surgeon</w:t>
      </w:r>
    </w:p>
    <w:p w14:paraId="55A79934" w14:textId="26679177" w:rsidR="002D7E61" w:rsidRPr="002D7E61" w:rsidRDefault="002D7E61" w:rsidP="0028620F">
      <w:pPr>
        <w:pStyle w:val="MDPI16affiliation"/>
        <w:ind w:left="2608" w:firstLine="0"/>
      </w:pPr>
      <w:r w:rsidRPr="002D7E61">
        <w:rPr>
          <w:vertAlign w:val="superscript"/>
        </w:rPr>
        <w:t>c</w:t>
      </w:r>
      <w:r w:rsidRPr="002D7E61">
        <w:t>Associate professor</w:t>
      </w:r>
    </w:p>
    <w:p w14:paraId="24A3B715" w14:textId="6E444464" w:rsidR="002D7E61" w:rsidRPr="002D7E61" w:rsidRDefault="002D7E61" w:rsidP="0028620F">
      <w:pPr>
        <w:pStyle w:val="MDPI16affiliation"/>
        <w:ind w:left="2608" w:firstLine="0"/>
      </w:pPr>
      <w:r w:rsidRPr="002D7E61">
        <w:rPr>
          <w:vertAlign w:val="superscript"/>
        </w:rPr>
        <w:t>d</w:t>
      </w:r>
      <w:r w:rsidRPr="002D7E61">
        <w:t>Academic</w:t>
      </w:r>
    </w:p>
    <w:p w14:paraId="30BA6337" w14:textId="1C05B2E2" w:rsidR="002D7E61" w:rsidRPr="0028620F" w:rsidRDefault="0028620F" w:rsidP="0028620F">
      <w:pPr>
        <w:pStyle w:val="MDPI16affiliation"/>
      </w:pPr>
      <w:r w:rsidRPr="0028620F">
        <w:rPr>
          <w:b/>
        </w:rPr>
        <w:t>*</w:t>
      </w:r>
      <w:r w:rsidRPr="0028620F">
        <w:tab/>
        <w:t xml:space="preserve">Correspondence: </w:t>
      </w:r>
      <w:r w:rsidR="002D7E61" w:rsidRPr="002D7E61">
        <w:t xml:space="preserve">Rodrigo </w:t>
      </w:r>
      <w:proofErr w:type="spellStart"/>
      <w:r w:rsidR="002D7E61" w:rsidRPr="002D7E61">
        <w:t>Schroll</w:t>
      </w:r>
      <w:proofErr w:type="spellEnd"/>
      <w:r w:rsidR="002D7E61" w:rsidRPr="002D7E61">
        <w:t xml:space="preserve"> </w:t>
      </w:r>
      <w:proofErr w:type="gramStart"/>
      <w:r w:rsidR="002D7E61" w:rsidRPr="002D7E61">
        <w:t>Astolfi  -</w:t>
      </w:r>
      <w:proofErr w:type="gramEnd"/>
      <w:r w:rsidR="002D7E61" w:rsidRPr="002D7E61">
        <w:t xml:space="preserve"> Address: Antônio Sales St.,990- Joaquim </w:t>
      </w:r>
      <w:proofErr w:type="spellStart"/>
      <w:r w:rsidR="002D7E61" w:rsidRPr="002D7E61">
        <w:t>Távora,Fortaleza</w:t>
      </w:r>
      <w:proofErr w:type="spellEnd"/>
      <w:r w:rsidR="002D7E61" w:rsidRPr="002D7E61">
        <w:t xml:space="preserve"> –CE,60135-100,Clinic 6</w:t>
      </w:r>
      <w:r>
        <w:t>;</w:t>
      </w:r>
      <w:r w:rsidR="002D7E61" w:rsidRPr="002D7E61">
        <w:rPr>
          <w:rFonts w:ascii="Arial" w:hAnsi="Arial" w:cs="Arial"/>
        </w:rPr>
        <w:t xml:space="preserve"> dr.rodrigoastolfi@gmail.com Number phone +55 85 986755960</w:t>
      </w:r>
    </w:p>
    <w:p w14:paraId="612F6AA8" w14:textId="3C5977B9" w:rsidR="002D7E61" w:rsidRPr="0028620F" w:rsidRDefault="002D7E61" w:rsidP="0028620F">
      <w:pPr>
        <w:pStyle w:val="MDPI17abstract"/>
        <w:rPr>
          <w:b/>
        </w:rPr>
      </w:pPr>
      <w:r w:rsidRPr="0028620F">
        <w:rPr>
          <w:b/>
        </w:rPr>
        <w:t>Abstract</w:t>
      </w:r>
      <w:r w:rsidR="0028620F" w:rsidRPr="0028620F">
        <w:rPr>
          <w:b/>
        </w:rPr>
        <w:t xml:space="preserve">: </w:t>
      </w:r>
      <w:r w:rsidRPr="002D7E61">
        <w:t xml:space="preserve">Cavus foot is a tri-planar deformity that requires correction in several bones and soft tissue. Minimally invasive surgeries are less aggressive, faster and easier to recover from. Here we describe the initial results of a technique for percutaneous cavus foot correction. The procedure consists of calcaneal dorsal/lateral closing wedge osteotomy (with fixation), cuboid, medial cuneiform and first metatarsal closing wedge osteotomy (without fixation), and plantar fascia and tibialis posterior tenotomy with the patient in the prone position. Immediate weight bearing is permitted. Twenty patients were selected to undergo the procedure. The mean follow-up was 4.2 months and mean age 42.3 years. Eight of the 20 patients were submitted to cuboid and first metatarsal osteotomy, and 12 (60%) only calcaneal osteotomy. The median time for complete bone healing was 2.2 months. No wound complications were observed. No cases of non-consolidation of the cuboid or first metatarsal osteotomies were detected.  The most common complication was sural nerve paresthesia. This is the first description of cavus foot correction using a minimally invasive technique. Complete bone </w:t>
      </w:r>
      <w:r w:rsidRPr="0028620F">
        <w:t xml:space="preserve">healing is obtained even with immediate weight bearing and without cuboid and first metatarsal fixation.  </w:t>
      </w:r>
    </w:p>
    <w:p w14:paraId="74A06865" w14:textId="5E61D9A6" w:rsidR="002D7E61" w:rsidRPr="002D7E61" w:rsidRDefault="0028620F" w:rsidP="0028620F">
      <w:pPr>
        <w:pStyle w:val="MDPI18keywords"/>
      </w:pPr>
      <w:r w:rsidRPr="0028620F">
        <w:rPr>
          <w:b/>
        </w:rPr>
        <w:t>Keywords:</w:t>
      </w:r>
      <w:r w:rsidR="002D7E61" w:rsidRPr="0028620F">
        <w:rPr>
          <w:b/>
        </w:rPr>
        <w:t xml:space="preserve"> </w:t>
      </w:r>
      <w:proofErr w:type="spellStart"/>
      <w:r w:rsidR="002D7E61" w:rsidRPr="0028620F">
        <w:t>cavus</w:t>
      </w:r>
      <w:proofErr w:type="spellEnd"/>
      <w:r w:rsidR="002D7E61" w:rsidRPr="0028620F">
        <w:t xml:space="preserve"> foot</w:t>
      </w:r>
      <w:r w:rsidRPr="0028620F">
        <w:t xml:space="preserve">; </w:t>
      </w:r>
      <w:r w:rsidR="002D7E61" w:rsidRPr="0028620F">
        <w:t>hindfoot osteotomy</w:t>
      </w:r>
      <w:r w:rsidRPr="0028620F">
        <w:t xml:space="preserve">; </w:t>
      </w:r>
      <w:r w:rsidR="002D7E61" w:rsidRPr="0028620F">
        <w:t>minimally invasive</w:t>
      </w:r>
      <w:r w:rsidR="002D7E61" w:rsidRPr="002D7E61">
        <w:t xml:space="preserve"> </w:t>
      </w:r>
    </w:p>
    <w:p w14:paraId="48D1E799" w14:textId="77777777" w:rsidR="002D7E61" w:rsidRPr="002D7E61" w:rsidRDefault="002D7E61" w:rsidP="0028620F">
      <w:pPr>
        <w:pStyle w:val="MDPI19line"/>
        <w:pBdr>
          <w:bottom w:val="single" w:sz="4" w:space="1" w:color="000000"/>
        </w:pBdr>
      </w:pPr>
    </w:p>
    <w:p w14:paraId="75B15B0A" w14:textId="77777777" w:rsidR="002D7E61" w:rsidRPr="002D7E61" w:rsidRDefault="002D7E61" w:rsidP="0028620F">
      <w:pPr>
        <w:pStyle w:val="MDPI21heading1"/>
      </w:pPr>
      <w:r w:rsidRPr="002D7E61">
        <w:t>Introduction</w:t>
      </w:r>
    </w:p>
    <w:p w14:paraId="51E5EE7E" w14:textId="77777777" w:rsidR="002D7E61" w:rsidRPr="002D7E61" w:rsidRDefault="002D7E61" w:rsidP="0028620F">
      <w:pPr>
        <w:pStyle w:val="MDPI31text"/>
      </w:pPr>
      <w:proofErr w:type="spellStart"/>
      <w:r w:rsidRPr="002D7E61">
        <w:t>Cavus</w:t>
      </w:r>
      <w:proofErr w:type="spellEnd"/>
      <w:r w:rsidRPr="002D7E61">
        <w:t xml:space="preserve"> foot deformity is a common pathology in foot and ankle surgery [1] and although it has long been treated by orthopedic surgeons, since it is one of the most prominent deformities in poliomyelitis, numerous doubts and less-than-perfect surgical results persist [2,3]. Cavus foot repercussions include Achilles tendinosis, plantar pressure point formation and ankle instability [2,4,5].</w:t>
      </w:r>
    </w:p>
    <w:p w14:paraId="7CFB44B7" w14:textId="77777777" w:rsidR="002D7E61" w:rsidRPr="002D7E61" w:rsidRDefault="002D7E61" w:rsidP="0028620F">
      <w:pPr>
        <w:pStyle w:val="MDPI31text"/>
      </w:pPr>
      <w:r w:rsidRPr="002D7E61">
        <w:t>The surgical treatment for cavus foot involves calcaneal valgization osteotomy, as described by Dwyer [6,7], dorsal wedge osteotomies [8,9,10], accessory procedures such as cuboid closing wedge osteotomy, first metatarsal or medial cuneiform dorsal closing wedge and soft tissue elongation [8,11,12]. Bone osteotomies are believed to be insufficient for severe cases and some professionals advocate the use of hindfoot arthrodesis even in healthy cartilage [</w:t>
      </w:r>
      <w:r w:rsidRPr="005F1178">
        <w:t>13</w:t>
      </w:r>
      <w:r w:rsidRPr="002D7E61">
        <w:t>].</w:t>
      </w:r>
    </w:p>
    <w:p w14:paraId="4E8824BA" w14:textId="77777777" w:rsidR="002D7E61" w:rsidRPr="002D7E61" w:rsidRDefault="002D7E61" w:rsidP="0028620F">
      <w:pPr>
        <w:pStyle w:val="MDPI31text"/>
      </w:pPr>
      <w:r w:rsidRPr="002D7E61">
        <w:t>The open techniques are well described, and minimally invasive surgery (MIS) techniques have become increasingly popular in the last few years [10,11]. Some of the potential advantages of percutaneous techniques include faster procedures, because the soft tissue is left intact, low cost, fewer soft tissue complications, and less fixation, since weight-bearing naturally reduces longitudinal arch stiffness [10,11,14].</w:t>
      </w:r>
    </w:p>
    <w:p w14:paraId="57F5E456" w14:textId="77777777" w:rsidR="002D7E61" w:rsidRPr="002D7E61" w:rsidRDefault="002D7E61" w:rsidP="0028620F">
      <w:pPr>
        <w:pStyle w:val="MDPI31text"/>
      </w:pPr>
      <w:r w:rsidRPr="002D7E61">
        <w:lastRenderedPageBreak/>
        <w:t xml:space="preserve">A number of percutaneous calcaneus osteotomies have been reported [10,11], but we were unable to find any articles describing three-dimensional deformity correction using percutaneous procedures. This article describes a technique for cavus foot MIS correction and presents some initial results. </w:t>
      </w:r>
    </w:p>
    <w:p w14:paraId="7CFAEBDB" w14:textId="77777777" w:rsidR="002D7E61" w:rsidRPr="002D7E61" w:rsidRDefault="002D7E61" w:rsidP="0028620F">
      <w:pPr>
        <w:pStyle w:val="MDPI21heading1"/>
      </w:pPr>
      <w:r w:rsidRPr="002D7E61">
        <w:t>Materials</w:t>
      </w:r>
    </w:p>
    <w:p w14:paraId="11CDD864" w14:textId="7ADFE6DA" w:rsidR="006117B1" w:rsidRPr="006117B1" w:rsidRDefault="006117B1" w:rsidP="006117B1">
      <w:pPr>
        <w:ind w:left="2550" w:firstLine="510"/>
        <w:rPr>
          <w:color w:val="auto"/>
        </w:rPr>
      </w:pPr>
      <w:r>
        <w:rPr>
          <w:color w:val="auto"/>
        </w:rPr>
        <w:t>Patients</w:t>
      </w:r>
      <w:r w:rsidR="00A950E9" w:rsidRPr="006117B1">
        <w:rPr>
          <w:color w:val="auto"/>
        </w:rPr>
        <w:t xml:space="preserve"> attended by the Foot and Ankle Group of Federal University of Ceará were requested to participate to this study, twenty patients who subsequently met the inclusion criteria underwent minimally invasive surgery for cavus foot correction between 07/2019 and 02/2020. Inclusion criteria were Meary`s angle </w:t>
      </w:r>
      <w:r w:rsidR="00A950E9" w:rsidRPr="006117B1">
        <w:rPr>
          <w:color w:val="auto"/>
        </w:rPr>
        <w:sym w:font="Symbol" w:char="F03E"/>
      </w:r>
      <w:r w:rsidR="00A950E9" w:rsidRPr="006117B1">
        <w:rPr>
          <w:color w:val="auto"/>
        </w:rPr>
        <w:t xml:space="preserve"> 0 or calcaneal pitch angle </w:t>
      </w:r>
      <w:r w:rsidR="00A950E9" w:rsidRPr="006117B1">
        <w:rPr>
          <w:color w:val="auto"/>
        </w:rPr>
        <w:sym w:font="Symbol" w:char="F03E"/>
      </w:r>
      <w:r w:rsidR="00A950E9" w:rsidRPr="006117B1">
        <w:rPr>
          <w:color w:val="auto"/>
        </w:rPr>
        <w:t xml:space="preserve"> 30</w:t>
      </w:r>
      <w:r w:rsidR="00A950E9" w:rsidRPr="006117B1">
        <w:rPr>
          <w:color w:val="auto"/>
        </w:rPr>
        <w:sym w:font="Symbol" w:char="F0B0"/>
      </w:r>
      <w:r w:rsidR="00A950E9" w:rsidRPr="006117B1">
        <w:rPr>
          <w:color w:val="auto"/>
        </w:rPr>
        <w:t xml:space="preserve"> in patients with pain caused by misaligned feet. All patients assigned the institutional informed consent as recommend by the Declaration of Helsinki. </w:t>
      </w:r>
    </w:p>
    <w:p w14:paraId="413724B3" w14:textId="1151D3DB" w:rsidR="002D7E61" w:rsidRPr="002D7E61" w:rsidRDefault="00B31FCC" w:rsidP="006117B1">
      <w:pPr>
        <w:pStyle w:val="MDPI31text"/>
        <w:spacing w:line="240" w:lineRule="auto"/>
        <w:ind w:left="2550" w:firstLine="510"/>
      </w:pPr>
      <w:r>
        <w:t xml:space="preserve">Were considered pain due to the misalignment: pain on the lateral side of the foot, specially at cuboid and fifth metatarsal base; pain on the antero-lateral side of the ankle, pain on </w:t>
      </w:r>
      <w:proofErr w:type="gramStart"/>
      <w:r>
        <w:t>Achilles</w:t>
      </w:r>
      <w:proofErr w:type="gramEnd"/>
      <w:r>
        <w:t xml:space="preserve"> tendon insertion due to high calcaneal pitch and pain on the foot pressure points associated with callosity. </w:t>
      </w:r>
    </w:p>
    <w:p w14:paraId="7B87AF7B" w14:textId="77777777" w:rsidR="002D7E61" w:rsidRPr="0028620F" w:rsidRDefault="002D7E61" w:rsidP="0028620F">
      <w:pPr>
        <w:pStyle w:val="MDPI22heading2"/>
        <w:spacing w:before="240"/>
      </w:pPr>
      <w:r w:rsidRPr="0028620F">
        <w:t>Technique description</w:t>
      </w:r>
    </w:p>
    <w:p w14:paraId="1F63F454" w14:textId="77777777" w:rsidR="002D7E61" w:rsidRPr="002D7E61" w:rsidRDefault="002D7E61" w:rsidP="0028620F">
      <w:pPr>
        <w:pStyle w:val="MDPI31text"/>
      </w:pPr>
      <w:r w:rsidRPr="002D7E61">
        <w:t xml:space="preserve">The procedure is performed with the patient in the prone position with one sciatic nerve block. Two k-wires are placed (Fig. 1, A, B and C)  percutaneously lateral to the bone so that the burr passage becomes limited by the k-wires, in the safe zone determined by Durston </w:t>
      </w:r>
      <w:r w:rsidRPr="002D7E61">
        <w:rPr>
          <w:i/>
          <w:iCs/>
        </w:rPr>
        <w:t>et al</w:t>
      </w:r>
      <w:r w:rsidRPr="002D7E61">
        <w:t xml:space="preserve"> [15], in order to determine the amount of bone that has to be removed for the lateral/dorsal closing wedge. Since x-ray images are essential, the surgeon must be aware that the perfect lateral view of the calcaneus is not the lateral view of the cavus foot. </w:t>
      </w:r>
    </w:p>
    <w:p w14:paraId="58A0EAB1" w14:textId="77777777" w:rsidR="002D7E61" w:rsidRPr="002D7E61" w:rsidRDefault="002D7E61" w:rsidP="00C236F8">
      <w:pPr>
        <w:pStyle w:val="MDPI52figure"/>
      </w:pPr>
      <w:r w:rsidRPr="002D7E61">
        <w:rPr>
          <w:noProof/>
          <w:lang w:val="pt-BR"/>
        </w:rPr>
        <w:drawing>
          <wp:inline distT="0" distB="0" distL="0" distR="0" wp14:anchorId="2C5ADB11" wp14:editId="3492D386">
            <wp:extent cx="5403850" cy="1651000"/>
            <wp:effectExtent l="0" t="0" r="0" b="0"/>
            <wp:docPr id="1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3850" cy="1651000"/>
                    </a:xfrm>
                    <a:prstGeom prst="rect">
                      <a:avLst/>
                    </a:prstGeom>
                    <a:noFill/>
                    <a:ln>
                      <a:noFill/>
                    </a:ln>
                  </pic:spPr>
                </pic:pic>
              </a:graphicData>
            </a:graphic>
          </wp:inline>
        </w:drawing>
      </w:r>
    </w:p>
    <w:p w14:paraId="305880A3" w14:textId="77777777" w:rsidR="002D7E61" w:rsidRDefault="002D7E61" w:rsidP="00C236F8">
      <w:pPr>
        <w:pStyle w:val="MDPI51figurecaption"/>
        <w:ind w:left="425" w:right="425"/>
        <w:jc w:val="both"/>
        <w:rPr>
          <w:noProof/>
        </w:rPr>
      </w:pPr>
      <w:r w:rsidRPr="00C236F8">
        <w:rPr>
          <w:b/>
          <w:noProof/>
        </w:rPr>
        <w:t>Fig.1</w:t>
      </w:r>
      <w:r w:rsidRPr="00A05A90">
        <w:rPr>
          <w:noProof/>
        </w:rPr>
        <w:t xml:space="preserve"> -  A : The entire procedure can be performed with the patient in the prone position and C-arm position. B: Two k-wires are positioned in a “v” shape, most of the proximal k-wire is placed at the limit of the “safe zone”, which is halfway between the calcaneal spur and fibula, and the position of the distal k-wire depends on the amount of correction needed. Note that the lateral calcaneal view is an oblique view of the ankle.</w:t>
      </w:r>
    </w:p>
    <w:p w14:paraId="4A7C88A4" w14:textId="77777777" w:rsidR="002D7E61" w:rsidRPr="002D7E61" w:rsidRDefault="002D7E61" w:rsidP="00C236F8">
      <w:pPr>
        <w:pStyle w:val="MDPI31text"/>
      </w:pPr>
      <w:r w:rsidRPr="002D7E61">
        <w:t>A lateral portal is made, a 4.3 mm burr inserted (using a self-irrigated low-speed high-torque drill), and a windshield wiper movement performed between both k-wires to remove all the lateral, dorsal and plantar bone. The movement should be continuous to allow a more uniform amount of bone to be removed. More dorsal bone is removed if the cavus is due to high calcaneal pitch, and more lateral bone if the varus aspect is more important (Fig. 2). A 20mm/2.2mm Shannon burr is inserted and the medial cortical bone transected. Screw fixation parallels open techniques and the reduction can be verified in both lateral and axial views.</w:t>
      </w:r>
    </w:p>
    <w:p w14:paraId="3699D40E" w14:textId="77777777" w:rsidR="00C236F8" w:rsidRDefault="002D7E61" w:rsidP="00C236F8">
      <w:pPr>
        <w:pStyle w:val="MDPI52figure"/>
        <w:rPr>
          <w:noProof/>
        </w:rPr>
      </w:pPr>
      <w:r w:rsidRPr="002D7E61">
        <w:rPr>
          <w:noProof/>
          <w:lang w:val="pt-BR" w:eastAsia="pt-BR"/>
        </w:rPr>
        <w:lastRenderedPageBreak/>
        <w:drawing>
          <wp:inline distT="0" distB="0" distL="0" distR="0" wp14:anchorId="7FC985EE" wp14:editId="7123FBE3">
            <wp:extent cx="5403850" cy="2711450"/>
            <wp:effectExtent l="0" t="0" r="0" b="0"/>
            <wp:docPr id="10"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3850" cy="2711450"/>
                    </a:xfrm>
                    <a:prstGeom prst="rect">
                      <a:avLst/>
                    </a:prstGeom>
                    <a:noFill/>
                    <a:ln>
                      <a:noFill/>
                    </a:ln>
                  </pic:spPr>
                </pic:pic>
              </a:graphicData>
            </a:graphic>
          </wp:inline>
        </w:drawing>
      </w:r>
    </w:p>
    <w:p w14:paraId="2692C8D5" w14:textId="4099D904" w:rsidR="002D7E61" w:rsidRPr="002D7E61" w:rsidRDefault="00C236F8" w:rsidP="00C236F8">
      <w:pPr>
        <w:pStyle w:val="MDPI51figurecaption"/>
        <w:ind w:left="425" w:right="425"/>
        <w:jc w:val="center"/>
      </w:pPr>
      <w:r w:rsidRPr="00C236F8">
        <w:rPr>
          <w:b/>
          <w:noProof/>
        </w:rPr>
        <w:t xml:space="preserve">Figure 2. </w:t>
      </w:r>
      <w:r w:rsidR="002D7E61" w:rsidRPr="00A05A90">
        <w:rPr>
          <w:noProof/>
        </w:rPr>
        <w:t>- In bone removal and correction, a dorsal and lateral wedge is removed.</w:t>
      </w:r>
    </w:p>
    <w:p w14:paraId="7A4D9F40" w14:textId="77777777" w:rsidR="002D7E61" w:rsidRPr="002D7E61" w:rsidRDefault="002D7E61" w:rsidP="00C236F8">
      <w:pPr>
        <w:pStyle w:val="MDPI31text"/>
      </w:pPr>
      <w:r w:rsidRPr="002D7E61">
        <w:t xml:space="preserve">Another portal is made under a fluoroscopic view, a lateral closing wedge performed at the center of the cuboid (Fig. 3), and a punctual incision made lateral to the expected site of the superficial peroneal nerve. Next, the burr is inserted perpendicularly to the bone to avoid dissection or the passage of the burr through the soft tissue in this area, given that numerous unpredictable branches of the superficial peroneal nerve are present. Once the burr is inserted into the bone, the windshield wiper movement is repeated. Forced forefoot abduction completes the osteotomy, which does not usually include fixation. </w:t>
      </w:r>
    </w:p>
    <w:p w14:paraId="0EE35CA1" w14:textId="77777777" w:rsidR="002D7E61" w:rsidRPr="002D7E61" w:rsidRDefault="002D7E61" w:rsidP="00C236F8">
      <w:pPr>
        <w:pStyle w:val="MDPI52figure"/>
      </w:pPr>
      <w:r w:rsidRPr="002D7E61">
        <w:rPr>
          <w:noProof/>
          <w:lang w:val="pt-BR"/>
        </w:rPr>
        <w:drawing>
          <wp:inline distT="0" distB="0" distL="0" distR="0" wp14:anchorId="0C831A32" wp14:editId="1F1C3089">
            <wp:extent cx="3069772" cy="1682164"/>
            <wp:effectExtent l="0" t="0" r="3810" b="0"/>
            <wp:docPr id="9"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81341" cy="1688503"/>
                    </a:xfrm>
                    <a:prstGeom prst="rect">
                      <a:avLst/>
                    </a:prstGeom>
                    <a:noFill/>
                    <a:ln>
                      <a:noFill/>
                    </a:ln>
                  </pic:spPr>
                </pic:pic>
              </a:graphicData>
            </a:graphic>
          </wp:inline>
        </w:drawing>
      </w:r>
    </w:p>
    <w:p w14:paraId="43654210" w14:textId="229FFBD6" w:rsidR="002D7E61" w:rsidRPr="00812A52" w:rsidRDefault="00C236F8" w:rsidP="00C236F8">
      <w:pPr>
        <w:pStyle w:val="MDPI51figurecaption"/>
        <w:ind w:left="425" w:right="425"/>
        <w:jc w:val="center"/>
        <w:rPr>
          <w:noProof/>
        </w:rPr>
      </w:pPr>
      <w:r w:rsidRPr="00C236F8">
        <w:rPr>
          <w:b/>
        </w:rPr>
        <w:t xml:space="preserve">Figure 3. </w:t>
      </w:r>
      <w:r w:rsidR="002D7E61" w:rsidRPr="00812A52">
        <w:rPr>
          <w:noProof/>
        </w:rPr>
        <w:t>- Cuboid view with the patient in the prone  position.</w:t>
      </w:r>
    </w:p>
    <w:p w14:paraId="1EA434C9" w14:textId="77777777" w:rsidR="002D7E61" w:rsidRPr="002D7E61" w:rsidRDefault="002D7E61" w:rsidP="00C236F8">
      <w:pPr>
        <w:pStyle w:val="MDPI31text"/>
      </w:pPr>
      <w:r w:rsidRPr="002D7E61">
        <w:t>With the patient still in the prone position, the first metatarsal base and/or medial cuneiform dorsal closing wedge can be performed with a 12/2.2 mm Shannon burr, always making an incomplete osteotomy, also without fixation. For this procedure, an additional regional block may be necessary.</w:t>
      </w:r>
    </w:p>
    <w:p w14:paraId="1C89B5C0" w14:textId="027DA272" w:rsidR="002D7E61" w:rsidRPr="002D7E61" w:rsidRDefault="002D7E61" w:rsidP="00C236F8">
      <w:pPr>
        <w:pStyle w:val="MDPI31text"/>
      </w:pPr>
      <w:r w:rsidRPr="002D7E61">
        <w:t xml:space="preserve">A soft tissue procedure such as fasciotomy or flexor digitorum brevis tenotomy is performed at calcaneal insertion. In </w:t>
      </w:r>
      <w:r w:rsidR="00095B77">
        <w:t>severe cases</w:t>
      </w:r>
      <w:r w:rsidRPr="002D7E61">
        <w:t xml:space="preserve">, tibialis posterior tenotomy is executed only at the navicular insertion, leaving the </w:t>
      </w:r>
      <w:r w:rsidR="00B31FCC">
        <w:t xml:space="preserve">tibialis posterior </w:t>
      </w:r>
      <w:r w:rsidRPr="002D7E61">
        <w:t xml:space="preserve">spring ligament </w:t>
      </w:r>
      <w:r w:rsidR="00B31FCC">
        <w:t xml:space="preserve">insertion </w:t>
      </w:r>
      <w:r w:rsidRPr="002D7E61">
        <w:t xml:space="preserve">intact. Weight-bearing is allowed immediately. </w:t>
      </w:r>
    </w:p>
    <w:p w14:paraId="6A0E3919" w14:textId="77777777" w:rsidR="002D7E61" w:rsidRPr="002D7E61" w:rsidRDefault="002D7E61" w:rsidP="00C236F8">
      <w:pPr>
        <w:pStyle w:val="MDPI21heading1"/>
      </w:pPr>
      <w:r w:rsidRPr="002D7E61">
        <w:t>Results</w:t>
      </w:r>
    </w:p>
    <w:p w14:paraId="3EB176AF" w14:textId="4144ED40" w:rsidR="002D7E61" w:rsidRPr="00094484" w:rsidRDefault="00094484" w:rsidP="00094484">
      <w:pPr>
        <w:spacing w:line="240" w:lineRule="auto"/>
        <w:ind w:left="2608" w:firstLine="510"/>
        <w:contextualSpacing/>
        <w:rPr>
          <w:color w:val="FF0000"/>
        </w:rPr>
      </w:pPr>
      <w:r w:rsidRPr="00415FAA">
        <w:t xml:space="preserve">Mean patient age and BMI were 42.3 years </w:t>
      </w:r>
      <w:r w:rsidRPr="00094484">
        <w:rPr>
          <w:color w:val="auto"/>
        </w:rPr>
        <w:t>(SD 35.54 – 48.45) and 24.2 (SD 22.33 – 25.66), respectively. Mean follow-up time was 4.2 months (SD 3.4 – 4.5)</w:t>
      </w:r>
      <w:r w:rsidRPr="00094484">
        <w:rPr>
          <w:color w:val="auto"/>
        </w:rPr>
        <w:t xml:space="preserve">. </w:t>
      </w:r>
      <w:r w:rsidR="002D7E61" w:rsidRPr="002D7E61">
        <w:t xml:space="preserve">Eight of the 20 </w:t>
      </w:r>
      <w:r w:rsidR="002D7E61" w:rsidRPr="002D7E61">
        <w:lastRenderedPageBreak/>
        <w:t xml:space="preserve">patients (N=20), (40%) underwent cuboid and first metatarsal osteotomy, and 12 (60%) only calcaneal osteotomy. </w:t>
      </w:r>
      <w:r w:rsidR="006117B1" w:rsidRPr="004A3DFF">
        <w:t>The median time for complete bone healing was 2.2 months</w:t>
      </w:r>
      <w:r w:rsidR="006117B1">
        <w:t xml:space="preserve"> (SD 1.9 - 2.6)</w:t>
      </w:r>
      <w:r w:rsidR="006117B1">
        <w:t xml:space="preserve">. </w:t>
      </w:r>
      <w:r w:rsidR="00FC0E01" w:rsidRPr="00FC0E01">
        <w:rPr>
          <w:color w:val="auto"/>
        </w:rPr>
        <w:t>Mean hindfoot varus correction was 23.4</w:t>
      </w:r>
      <w:r w:rsidR="00FC0E01" w:rsidRPr="00FC0E01">
        <w:rPr>
          <w:color w:val="auto"/>
          <w:vertAlign w:val="superscript"/>
        </w:rPr>
        <w:t>0</w:t>
      </w:r>
      <w:r w:rsidR="00FC0E01" w:rsidRPr="00FC0E01">
        <w:rPr>
          <w:color w:val="auto"/>
        </w:rPr>
        <w:t xml:space="preserve"> (SD 21.3</w:t>
      </w:r>
      <w:r w:rsidR="00FC0E01" w:rsidRPr="00FC0E01">
        <w:rPr>
          <w:color w:val="auto"/>
          <w:vertAlign w:val="superscript"/>
        </w:rPr>
        <w:t>0</w:t>
      </w:r>
      <w:r w:rsidR="00FC0E01" w:rsidRPr="00FC0E01">
        <w:rPr>
          <w:color w:val="auto"/>
        </w:rPr>
        <w:t xml:space="preserve"> – 25.6</w:t>
      </w:r>
      <w:r w:rsidR="00FC0E01" w:rsidRPr="00FC0E01">
        <w:rPr>
          <w:color w:val="auto"/>
          <w:vertAlign w:val="superscript"/>
        </w:rPr>
        <w:t>0</w:t>
      </w:r>
      <w:r w:rsidR="00FC0E01" w:rsidRPr="00FC0E01">
        <w:rPr>
          <w:color w:val="auto"/>
        </w:rPr>
        <w:t>).</w:t>
      </w:r>
      <w:r w:rsidR="00FC0E01">
        <w:rPr>
          <w:color w:val="auto"/>
        </w:rPr>
        <w:t xml:space="preserve"> </w:t>
      </w:r>
      <w:r w:rsidR="002D7E61" w:rsidRPr="002D7E61">
        <w:t>Twelve patients (60%) complained of sural nerve pain,</w:t>
      </w:r>
      <w:r w:rsidR="00785C80">
        <w:t xml:space="preserve"> </w:t>
      </w:r>
      <w:r w:rsidR="002D7E61" w:rsidRPr="002D7E61">
        <w:t xml:space="preserve">75% of whom recovered completely, </w:t>
      </w:r>
      <w:r w:rsidR="00B51487">
        <w:t>the other</w:t>
      </w:r>
      <w:r w:rsidR="002D7E61" w:rsidRPr="002D7E61">
        <w:t xml:space="preserve"> three (25%) </w:t>
      </w:r>
      <w:r w:rsidR="00095B77">
        <w:t>kept one small hypoesthesic rea on the nerve territory</w:t>
      </w:r>
      <w:r w:rsidR="002D7E61" w:rsidRPr="002D7E61">
        <w:t>.</w:t>
      </w:r>
    </w:p>
    <w:p w14:paraId="21FC3447" w14:textId="157CC209" w:rsidR="00C236F8" w:rsidRDefault="002D7E61" w:rsidP="00C236F8">
      <w:pPr>
        <w:pStyle w:val="MDPI31text"/>
      </w:pPr>
      <w:r w:rsidRPr="002D7E61">
        <w:t>One patient with a Charcot sequela deformity evolved to delayed consolidation with screw fracture (Fig. 4). Three cases (15%) evolved to incomplete correction, but only one (33.33%) required additional surgery. These incomplete correction cases belonged to the initial cases. No wound complications</w:t>
      </w:r>
      <w:r w:rsidR="00B51E9F">
        <w:t xml:space="preserve"> </w:t>
      </w:r>
      <w:r w:rsidR="00BC1FAF">
        <w:t>or</w:t>
      </w:r>
      <w:r w:rsidR="00B51E9F">
        <w:t xml:space="preserve"> </w:t>
      </w:r>
      <w:r w:rsidRPr="002D7E61">
        <w:t>non-consolidation of the cuboid bone or first metatarsal osteotomies were observed. (Fig. 5).</w:t>
      </w:r>
    </w:p>
    <w:p w14:paraId="0AD5BE6D" w14:textId="52701196" w:rsidR="00785C80" w:rsidRDefault="00785C80" w:rsidP="00C236F8">
      <w:pPr>
        <w:pStyle w:val="MDPI31text"/>
      </w:pPr>
      <w:r>
        <w:t>Patient`s initial complains resolved completely</w:t>
      </w:r>
      <w:r w:rsidR="00094484">
        <w:t xml:space="preserve">, as the median follow up time until this report was small (4.2 months) some </w:t>
      </w:r>
      <w:r w:rsidR="00A17F1A">
        <w:t>unspecific complains related to the rehabilitation program were still present especially muscular pain on long distance walks and non-painful limp.</w:t>
      </w:r>
    </w:p>
    <w:p w14:paraId="3922E20E" w14:textId="0F67F3AF" w:rsidR="002D7E61" w:rsidRPr="002D7E61" w:rsidRDefault="00C236F8" w:rsidP="00C236F8">
      <w:pPr>
        <w:pStyle w:val="MDPI52figure"/>
      </w:pPr>
      <w:r>
        <w:rPr>
          <w:noProof/>
        </w:rPr>
        <w:drawing>
          <wp:inline distT="0" distB="0" distL="0" distR="0" wp14:anchorId="6772F6A5" wp14:editId="197ED38C">
            <wp:extent cx="5400040" cy="2998470"/>
            <wp:effectExtent l="0" t="0" r="0" b="0"/>
            <wp:docPr id="12" name="Imagem 6"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0040" cy="2998470"/>
                    </a:xfrm>
                    <a:prstGeom prst="rect">
                      <a:avLst/>
                    </a:prstGeom>
                    <a:noFill/>
                    <a:ln>
                      <a:noFill/>
                    </a:ln>
                  </pic:spPr>
                </pic:pic>
              </a:graphicData>
            </a:graphic>
          </wp:inline>
        </w:drawing>
      </w:r>
    </w:p>
    <w:p w14:paraId="0A46FBB2" w14:textId="1F6F5BC1" w:rsidR="002D7E61" w:rsidRPr="00812A52" w:rsidRDefault="00C236F8" w:rsidP="00C236F8">
      <w:pPr>
        <w:pStyle w:val="MDPI51figurecaption"/>
        <w:ind w:left="425" w:right="425"/>
        <w:jc w:val="center"/>
        <w:rPr>
          <w:noProof/>
        </w:rPr>
      </w:pPr>
      <w:r w:rsidRPr="00C236F8">
        <w:rPr>
          <w:b/>
        </w:rPr>
        <w:t xml:space="preserve">Figure 4. </w:t>
      </w:r>
      <w:r w:rsidR="002D7E61" w:rsidRPr="00812A52">
        <w:rPr>
          <w:noProof/>
        </w:rPr>
        <w:t>- Delayed calcaneal consolidation in a Charcot sequela deformity.</w:t>
      </w:r>
    </w:p>
    <w:p w14:paraId="60328F83" w14:textId="2346D681" w:rsidR="002D7E61" w:rsidRDefault="00263EA3" w:rsidP="00263EA3">
      <w:pPr>
        <w:pStyle w:val="MDPI52figure"/>
      </w:pPr>
      <w:r>
        <w:rPr>
          <w:noProof/>
          <w:snapToGrid/>
          <w:lang w:val="pt-BR"/>
        </w:rPr>
        <mc:AlternateContent>
          <mc:Choice Requires="wps">
            <w:drawing>
              <wp:anchor distT="0" distB="0" distL="114300" distR="114300" simplePos="0" relativeHeight="251659264" behindDoc="0" locked="0" layoutInCell="1" allowOverlap="1" wp14:anchorId="51945007" wp14:editId="6859B2C0">
                <wp:simplePos x="0" y="0"/>
                <wp:positionH relativeFrom="column">
                  <wp:posOffset>466531</wp:posOffset>
                </wp:positionH>
                <wp:positionV relativeFrom="paragraph">
                  <wp:posOffset>12779</wp:posOffset>
                </wp:positionV>
                <wp:extent cx="354563" cy="401216"/>
                <wp:effectExtent l="0" t="0" r="13970" b="18415"/>
                <wp:wrapNone/>
                <wp:docPr id="3" name="Caixa de Texto 3"/>
                <wp:cNvGraphicFramePr/>
                <a:graphic xmlns:a="http://schemas.openxmlformats.org/drawingml/2006/main">
                  <a:graphicData uri="http://schemas.microsoft.com/office/word/2010/wordprocessingShape">
                    <wps:wsp>
                      <wps:cNvSpPr txBox="1"/>
                      <wps:spPr>
                        <a:xfrm>
                          <a:off x="0" y="0"/>
                          <a:ext cx="354563" cy="401216"/>
                        </a:xfrm>
                        <a:prstGeom prst="rect">
                          <a:avLst/>
                        </a:prstGeom>
                        <a:solidFill>
                          <a:schemeClr val="lt1"/>
                        </a:solidFill>
                        <a:ln w="6350">
                          <a:solidFill>
                            <a:prstClr val="black"/>
                          </a:solidFill>
                        </a:ln>
                      </wps:spPr>
                      <wps:txbx>
                        <w:txbxContent>
                          <w:p w14:paraId="07ABDC54" w14:textId="7F2173FA" w:rsidR="00785C80" w:rsidRPr="00785C80" w:rsidRDefault="00785C80">
                            <w:pPr>
                              <w:rPr>
                                <w:sz w:val="44"/>
                                <w:lang w:val="pt-BR"/>
                              </w:rPr>
                            </w:pPr>
                            <w:r w:rsidRPr="00785C80">
                              <w:rPr>
                                <w:sz w:val="44"/>
                                <w:lang w:val="pt-BR"/>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945007" id="_x0000_t202" coordsize="21600,21600" o:spt="202" path="m,l,21600r21600,l21600,xe">
                <v:stroke joinstyle="miter"/>
                <v:path gradientshapeok="t" o:connecttype="rect"/>
              </v:shapetype>
              <v:shape id="Caixa de Texto 3" o:spid="_x0000_s1026" type="#_x0000_t202" style="position:absolute;left:0;text-align:left;margin-left:36.75pt;margin-top:1pt;width:27.9pt;height:3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" fillcolor="white [3201]" strokeweight=".5pt">
                <v:textbox>
                  <w:txbxContent>
                    <w:p w14:paraId="07ABDC54" w14:textId="7F2173FA" w:rsidR="00785C80" w:rsidRPr="00785C80" w:rsidRDefault="00785C80">
                      <w:pPr>
                        <w:rPr>
                          <w:sz w:val="44"/>
                          <w:lang w:val="pt-BR"/>
                        </w:rPr>
                      </w:pPr>
                      <w:r w:rsidRPr="00785C80">
                        <w:rPr>
                          <w:sz w:val="44"/>
                          <w:lang w:val="pt-BR"/>
                        </w:rPr>
                        <w:t>A</w:t>
                      </w:r>
                    </w:p>
                  </w:txbxContent>
                </v:textbox>
              </v:shape>
            </w:pict>
          </mc:Fallback>
        </mc:AlternateContent>
      </w:r>
      <w:r>
        <w:rPr>
          <w:noProof/>
          <w:snapToGrid/>
          <w:lang w:val="pt-BR"/>
        </w:rPr>
        <mc:AlternateContent>
          <mc:Choice Requires="wps">
            <w:drawing>
              <wp:anchor distT="0" distB="0" distL="114300" distR="114300" simplePos="0" relativeHeight="251661312" behindDoc="0" locked="0" layoutInCell="1" allowOverlap="1" wp14:anchorId="0925EA17" wp14:editId="656F1572">
                <wp:simplePos x="0" y="0"/>
                <wp:positionH relativeFrom="column">
                  <wp:posOffset>4013679</wp:posOffset>
                </wp:positionH>
                <wp:positionV relativeFrom="paragraph">
                  <wp:posOffset>89147</wp:posOffset>
                </wp:positionV>
                <wp:extent cx="410547" cy="466531"/>
                <wp:effectExtent l="0" t="0" r="8890" b="16510"/>
                <wp:wrapNone/>
                <wp:docPr id="5" name="Caixa de Texto 5"/>
                <wp:cNvGraphicFramePr/>
                <a:graphic xmlns:a="http://schemas.openxmlformats.org/drawingml/2006/main">
                  <a:graphicData uri="http://schemas.microsoft.com/office/word/2010/wordprocessingShape">
                    <wps:wsp>
                      <wps:cNvSpPr txBox="1"/>
                      <wps:spPr>
                        <a:xfrm>
                          <a:off x="0" y="0"/>
                          <a:ext cx="410547" cy="466531"/>
                        </a:xfrm>
                        <a:prstGeom prst="rect">
                          <a:avLst/>
                        </a:prstGeom>
                        <a:solidFill>
                          <a:schemeClr val="lt1"/>
                        </a:solidFill>
                        <a:ln w="6350">
                          <a:solidFill>
                            <a:prstClr val="black"/>
                          </a:solidFill>
                        </a:ln>
                      </wps:spPr>
                      <wps:txbx>
                        <w:txbxContent>
                          <w:p w14:paraId="45A93302" w14:textId="3ED4E572" w:rsidR="00785C80" w:rsidRPr="00785C80" w:rsidRDefault="00785C80" w:rsidP="00785C80">
                            <w:pPr>
                              <w:rPr>
                                <w:sz w:val="44"/>
                                <w:lang w:val="pt-BR"/>
                              </w:rPr>
                            </w:pPr>
                            <w:r>
                              <w:rPr>
                                <w:sz w:val="44"/>
                                <w:lang w:val="pt-BR"/>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25EA17" id="Caixa de Texto 5" o:spid="_x0000_s1027" type="#_x0000_t202" style="position:absolute;left:0;text-align:left;margin-left:316.05pt;margin-top:7pt;width:32.35pt;height:3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" fillcolor="white [3201]" strokeweight=".5pt">
                <v:textbox>
                  <w:txbxContent>
                    <w:p w14:paraId="45A93302" w14:textId="3ED4E572" w:rsidR="00785C80" w:rsidRPr="00785C80" w:rsidRDefault="00785C80" w:rsidP="00785C80">
                      <w:pPr>
                        <w:rPr>
                          <w:sz w:val="44"/>
                          <w:lang w:val="pt-BR"/>
                        </w:rPr>
                      </w:pPr>
                      <w:r>
                        <w:rPr>
                          <w:sz w:val="44"/>
                          <w:lang w:val="pt-BR"/>
                        </w:rPr>
                        <w:t>B</w:t>
                      </w:r>
                    </w:p>
                  </w:txbxContent>
                </v:textbox>
              </v:shape>
            </w:pict>
          </mc:Fallback>
        </mc:AlternateContent>
      </w:r>
      <w:r w:rsidRPr="002D7E61">
        <w:rPr>
          <w:noProof/>
          <w:lang w:val="pt-BR"/>
        </w:rPr>
        <w:drawing>
          <wp:inline distT="0" distB="0" distL="0" distR="0" wp14:anchorId="2A875B49" wp14:editId="59F55D62">
            <wp:extent cx="3465195" cy="2246261"/>
            <wp:effectExtent l="0" t="0" r="1905" b="1905"/>
            <wp:docPr id="8" name="Imagem 7" descr="Uma imagem contendo pessoa, homem, segurando, frent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m 7" descr="Uma imagem contendo pessoa, homem, segurando, frente&#10;&#10;Descrição gerada automa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13524" cy="2277590"/>
                    </a:xfrm>
                    <a:prstGeom prst="rect">
                      <a:avLst/>
                    </a:prstGeom>
                    <a:noFill/>
                    <a:ln>
                      <a:noFill/>
                    </a:ln>
                  </pic:spPr>
                </pic:pic>
              </a:graphicData>
            </a:graphic>
          </wp:inline>
        </w:drawing>
      </w:r>
      <w:r>
        <w:rPr>
          <w:noProof/>
          <w:snapToGrid/>
        </w:rPr>
        <w:drawing>
          <wp:inline distT="0" distB="0" distL="0" distR="0" wp14:anchorId="07D75AC9" wp14:editId="32AE9E7C">
            <wp:extent cx="2239347" cy="2239347"/>
            <wp:effectExtent l="0" t="0" r="0" b="0"/>
            <wp:docPr id="4" name="Imagem 4" descr="Homem de sapatos de têni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descr="Homem de sapatos de tênis&#10;&#10;Descrição gerada automaticament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65570" cy="2265570"/>
                    </a:xfrm>
                    <a:prstGeom prst="rect">
                      <a:avLst/>
                    </a:prstGeom>
                  </pic:spPr>
                </pic:pic>
              </a:graphicData>
            </a:graphic>
          </wp:inline>
        </w:drawing>
      </w:r>
    </w:p>
    <w:p w14:paraId="25152668" w14:textId="230BC939" w:rsidR="00785C80" w:rsidRDefault="00C236F8" w:rsidP="00263EA3">
      <w:pPr>
        <w:pStyle w:val="MDPI51figurecaption"/>
        <w:ind w:left="2040" w:right="425"/>
        <w:jc w:val="both"/>
        <w:rPr>
          <w:noProof/>
        </w:rPr>
      </w:pPr>
      <w:r w:rsidRPr="00C236F8">
        <w:rPr>
          <w:b/>
        </w:rPr>
        <w:t xml:space="preserve">Figure 5. </w:t>
      </w:r>
      <w:r w:rsidR="00785C80">
        <w:rPr>
          <w:noProof/>
        </w:rPr>
        <w:t xml:space="preserve">A) </w:t>
      </w:r>
      <w:r w:rsidR="002D7E61" w:rsidRPr="00020A29">
        <w:rPr>
          <w:noProof/>
        </w:rPr>
        <w:t>We had full consolidation of cuboid and first metatarsal bones without fixation and with immediate weight bearing.</w:t>
      </w:r>
      <w:r w:rsidR="00785C80">
        <w:rPr>
          <w:noProof/>
        </w:rPr>
        <w:t xml:space="preserve"> B) Clinical improvement of hindfoot alingment.</w:t>
      </w:r>
    </w:p>
    <w:p w14:paraId="163356E4" w14:textId="77777777" w:rsidR="00263EA3" w:rsidRPr="00020A29" w:rsidRDefault="00263EA3" w:rsidP="00263EA3">
      <w:pPr>
        <w:pStyle w:val="MDPI51figurecaption"/>
        <w:ind w:left="2040" w:right="425"/>
        <w:jc w:val="both"/>
        <w:rPr>
          <w:noProof/>
        </w:rPr>
      </w:pPr>
    </w:p>
    <w:p w14:paraId="58709597" w14:textId="77777777" w:rsidR="002D7E61" w:rsidRPr="002D7E61" w:rsidRDefault="002D7E61" w:rsidP="00C236F8">
      <w:pPr>
        <w:pStyle w:val="MDPI21heading1"/>
      </w:pPr>
      <w:r w:rsidRPr="002D7E61">
        <w:t>Discussion</w:t>
      </w:r>
    </w:p>
    <w:p w14:paraId="7227B850" w14:textId="4527A768" w:rsidR="002D7E61" w:rsidRPr="002D7E61" w:rsidRDefault="002D7E61" w:rsidP="00C236F8">
      <w:pPr>
        <w:pStyle w:val="MDPI31text"/>
      </w:pPr>
      <w:r w:rsidRPr="002D7E61">
        <w:t xml:space="preserve">Cavus foot deformities occur in several planes and must be corrected in different bones in a multiplanar fashion. Traditional techniques are time-consuming and, in many cases, require changing the patient’s position on the operating table. Here, we presented </w:t>
      </w:r>
      <w:proofErr w:type="gramStart"/>
      <w:r w:rsidRPr="002D7E61">
        <w:t>a number of</w:t>
      </w:r>
      <w:proofErr w:type="gramEnd"/>
      <w:r w:rsidRPr="002D7E61">
        <w:t xml:space="preserve"> modifications to the usual descriptions of MIS, which allow</w:t>
      </w:r>
      <w:r w:rsidR="00982FD9">
        <w:t xml:space="preserve"> the</w:t>
      </w:r>
      <w:r w:rsidRPr="002D7E61">
        <w:t xml:space="preserve"> correction and good x-ray control in both views in only one position. The patient is moved from the transport trolley to the operating table in the prone position, where the sciatic block is made and the surgery performed immediately. </w:t>
      </w:r>
    </w:p>
    <w:p w14:paraId="78D6DBEE" w14:textId="77777777" w:rsidR="002D7E61" w:rsidRPr="002D7E61" w:rsidRDefault="002D7E61" w:rsidP="00C236F8">
      <w:pPr>
        <w:pStyle w:val="MDPI31text"/>
      </w:pPr>
      <w:r w:rsidRPr="002D7E61">
        <w:t>One of the principles of minimally invasive techniques is to preserve soft tissue since it can provide some stability to osteotomies and promote faster consolidation. Based on this principle, less fixation and immediate weight-bearing can be safely performed [14,15]. Immediate weight-bearing and the fact that the entire procedure can be performed with a regional block make it available for patients with severe comorbidities.</w:t>
      </w:r>
    </w:p>
    <w:p w14:paraId="65C037DD" w14:textId="77777777" w:rsidR="002D7E61" w:rsidRPr="002D7E61" w:rsidRDefault="002D7E61" w:rsidP="00C236F8">
      <w:pPr>
        <w:pStyle w:val="MDPI31text"/>
      </w:pPr>
      <w:r w:rsidRPr="002D7E61">
        <w:t>The safety of the lateral approach and the use of a Shannon burr has been well established [15]. The most widely used in dangerous structures are the medial calcaneal branch of the tibial nerve and posterior branches of the sural nerve. In cadaveric studies, although osteotomy crosses the nerve passages, soft tissue structures such as the quadratus plantaris protect them [15]. We believe that the high number of sural nerve complications, most of which are temporary, is due to overheating of the burr. Despite being irrigated throughout the procedure, it may still overheat because a large amount of bone must be removed from the same site.</w:t>
      </w:r>
    </w:p>
    <w:p w14:paraId="1A2C039C" w14:textId="1C10EE5D" w:rsidR="002D7E61" w:rsidRPr="002D7E61" w:rsidRDefault="002D7E61" w:rsidP="00C236F8">
      <w:pPr>
        <w:pStyle w:val="MDPI31text"/>
      </w:pPr>
      <w:r w:rsidRPr="002D7E61">
        <w:t>The percutaneous approach requires a different set of surgical skills, and x-ray exposure is greater than in open techniques [15]. The learning curve was noteworthy, since the latest cases were all totally corrected, and procedure time declined from 1 hr 40 min to 40 min</w:t>
      </w:r>
      <w:r w:rsidR="00FC0E01">
        <w:t>, reducing the x-ray exposition from 74 x-ray views to about 25 in the latest cases.</w:t>
      </w:r>
      <w:r w:rsidRPr="002D7E61">
        <w:t xml:space="preserve"> Our first impression was that only non-severe cases could be addressed with MIS, but this is not the case. The most difficult cases are large feet with severe deformities. Making the closing wedge both lateral and dorsal allowed better correction in severe cases.</w:t>
      </w:r>
      <w:r w:rsidR="00A950E9">
        <w:t xml:space="preserve"> Time to consolidation and amount of correction are </w:t>
      </w:r>
      <w:proofErr w:type="gramStart"/>
      <w:r w:rsidR="00A950E9">
        <w:t>similar to</w:t>
      </w:r>
      <w:proofErr w:type="gramEnd"/>
      <w:r w:rsidR="00A950E9">
        <w:t xml:space="preserve"> the ones commonly described for open techniques</w:t>
      </w:r>
      <w:r w:rsidR="00A950E9" w:rsidRPr="00A950E9">
        <w:t xml:space="preserve"> </w:t>
      </w:r>
      <w:r w:rsidR="00A950E9" w:rsidRPr="002D7E61">
        <w:t>[1</w:t>
      </w:r>
      <w:r w:rsidR="00A950E9">
        <w:t>9,20,21</w:t>
      </w:r>
      <w:r w:rsidR="00A950E9" w:rsidRPr="002D7E61">
        <w:t>].</w:t>
      </w:r>
    </w:p>
    <w:p w14:paraId="259347D9" w14:textId="77777777" w:rsidR="002D7E61" w:rsidRPr="002D7E61" w:rsidRDefault="002D7E61" w:rsidP="00C236F8">
      <w:pPr>
        <w:pStyle w:val="MDPI31text"/>
      </w:pPr>
      <w:r w:rsidRPr="002D7E61">
        <w:t>Cuboid osteotomies or opening wedge osteotomies of the medial cuneiform are important in cavus foot correction [1] because the forefoot adducts and rotates internally with the hindfoot varus [17]. Given that cuboid fractures usually evolve to shortening of the lateral column and that cuboid pseudarthrosis are not common, the percutaneous lateral closing wedge is expected to exhibit good consolidation [18].  The cuboid wedge is easily performed in the prone position and as expected, we had no problem with the 8 cases that did not use fixation.</w:t>
      </w:r>
    </w:p>
    <w:p w14:paraId="1E3810F2" w14:textId="77777777" w:rsidR="002D7E61" w:rsidRPr="002D7E61" w:rsidRDefault="002D7E61" w:rsidP="00C236F8">
      <w:pPr>
        <w:pStyle w:val="MDPI31text"/>
      </w:pPr>
      <w:r w:rsidRPr="002D7E61">
        <w:t>We prefer to do two incomplete dorsal closing wedge osteotomies with the thinner 12/2.2 mm Shannon burr in the first metatarsal and medial cuneiform rather than large wedges in only one bone, due to the lower risk for plantar cortical fracture and faster healing of these osteotomies.</w:t>
      </w:r>
    </w:p>
    <w:p w14:paraId="67EEE7D5" w14:textId="07A4CC92" w:rsidR="002D7E61" w:rsidRDefault="002D7E61" w:rsidP="00C236F8">
      <w:pPr>
        <w:pStyle w:val="MDPI31text"/>
      </w:pPr>
      <w:r w:rsidRPr="002D7E61">
        <w:t>Soft tissue procedures are carried out in most cases, with percutaneous release at the calcaneal insertion of the plantar fascia and flexor digitorum brevis, and in cases of more severe deformity, percutaneous tenotomy of the tibialis posterior only at the navicular insertion, maintaining the spring ligament insertion, in order to lengthen the tendon without totally transecting it. Soft tissue lengthening is commonly described as crucial to good correction [14].</w:t>
      </w:r>
    </w:p>
    <w:p w14:paraId="5848A307" w14:textId="6BE25B5A" w:rsidR="00982FD9" w:rsidRDefault="00982FD9" w:rsidP="00C236F8">
      <w:pPr>
        <w:pStyle w:val="MDPI31text"/>
      </w:pPr>
      <w:r>
        <w:t>This report has several limitations; we reported a small group of patients with a small follow up time and no standardized</w:t>
      </w:r>
      <w:r w:rsidRPr="00982FD9">
        <w:t xml:space="preserve"> </w:t>
      </w:r>
      <w:r>
        <w:t>pre and pos operatory</w:t>
      </w:r>
      <w:r>
        <w:t xml:space="preserve"> quality of life score was applied. </w:t>
      </w:r>
    </w:p>
    <w:p w14:paraId="7770649B" w14:textId="77777777" w:rsidR="00982FD9" w:rsidRPr="00020A29" w:rsidRDefault="00982FD9" w:rsidP="00982FD9">
      <w:pPr>
        <w:pStyle w:val="MDPI51figurecaption"/>
        <w:ind w:left="425" w:right="425"/>
        <w:jc w:val="both"/>
        <w:rPr>
          <w:noProof/>
        </w:rPr>
      </w:pPr>
    </w:p>
    <w:p w14:paraId="2DD07B68" w14:textId="405AD43A" w:rsidR="00982FD9" w:rsidRPr="002D7E61" w:rsidRDefault="00982FD9" w:rsidP="00982FD9">
      <w:pPr>
        <w:pStyle w:val="MDPI21heading1"/>
      </w:pPr>
      <w:r>
        <w:lastRenderedPageBreak/>
        <w:t>Conclusion</w:t>
      </w:r>
    </w:p>
    <w:p w14:paraId="65D78DC5" w14:textId="77777777" w:rsidR="00982FD9" w:rsidRPr="002D7E61" w:rsidRDefault="00982FD9" w:rsidP="00C236F8">
      <w:pPr>
        <w:pStyle w:val="MDPI31text"/>
      </w:pPr>
    </w:p>
    <w:p w14:paraId="5340C100" w14:textId="77777777" w:rsidR="002D7E61" w:rsidRDefault="002D7E61" w:rsidP="00C236F8">
      <w:pPr>
        <w:pStyle w:val="MDPI31text"/>
        <w:rPr>
          <w:b/>
        </w:rPr>
      </w:pPr>
      <w:r w:rsidRPr="002D7E61">
        <w:t xml:space="preserve">To the best of our knowledge this is the first description of successful MIS correction of cavus foot deformity and its initial results. Operating in the prone position made it possible to perform calcaneal, cuboid, medial cuneiform, and first metatarsal osteotomies and plantar and tibialis posterior tenotomies. The natural stretching of the plantar arch with weight-bearing makes the low fixation system of the minimally invasive procedure efficient. The most common complication is transitory sural nerve neuralgia. </w:t>
      </w:r>
    </w:p>
    <w:p w14:paraId="7639090B" w14:textId="0731170B" w:rsidR="002D7E61" w:rsidRPr="00B2232D" w:rsidRDefault="00C236F8" w:rsidP="00C236F8">
      <w:pPr>
        <w:pStyle w:val="MDPI62BackMatter"/>
        <w:spacing w:before="240"/>
      </w:pPr>
      <w:r w:rsidRPr="00C236F8">
        <w:rPr>
          <w:b/>
        </w:rPr>
        <w:t xml:space="preserve">Author </w:t>
      </w:r>
      <w:proofErr w:type="gramStart"/>
      <w:r w:rsidRPr="00C236F8">
        <w:rPr>
          <w:b/>
        </w:rPr>
        <w:t>Contributions</w:t>
      </w:r>
      <w:r w:rsidR="002D7E61" w:rsidRPr="00C236F8">
        <w:rPr>
          <w:b/>
        </w:rPr>
        <w:t xml:space="preserve"> :</w:t>
      </w:r>
      <w:proofErr w:type="gramEnd"/>
      <w:r w:rsidR="002D7E61" w:rsidRPr="00C236F8">
        <w:rPr>
          <w:b/>
        </w:rPr>
        <w:t xml:space="preserve"> </w:t>
      </w:r>
      <w:r w:rsidR="002D7E61" w:rsidRPr="00B2232D">
        <w:t>R.S.A, conception, design, intellectual and scientific content of the study, acquisition and interpretation of data, and manuscript writing. H.C.R.T,A.L.G.S,J.A.D.L responsible for research, manuscript editing, interpretation of data and critical review and sumition of manuscript . J.V.V.C involved in technical procedures and manuscript writing. The authors declare no conﬂict of interest.</w:t>
      </w:r>
    </w:p>
    <w:p w14:paraId="410A9A30" w14:textId="08A499EB" w:rsidR="002D7E61" w:rsidRPr="00B2232D" w:rsidRDefault="00C236F8" w:rsidP="00C236F8">
      <w:pPr>
        <w:pStyle w:val="MDPI62BackMatter"/>
      </w:pPr>
      <w:r w:rsidRPr="00C236F8">
        <w:rPr>
          <w:b/>
        </w:rPr>
        <w:t>Conflicts of Interest</w:t>
      </w:r>
      <w:r w:rsidR="002D7E61" w:rsidRPr="00C236F8">
        <w:rPr>
          <w:b/>
        </w:rPr>
        <w:t xml:space="preserve">: </w:t>
      </w:r>
      <w:r w:rsidR="002D7E61" w:rsidRPr="00B2232D">
        <w:t xml:space="preserve">Rodrigo </w:t>
      </w:r>
      <w:proofErr w:type="spellStart"/>
      <w:r w:rsidR="002D7E61" w:rsidRPr="00B2232D">
        <w:t>Schroll</w:t>
      </w:r>
      <w:proofErr w:type="spellEnd"/>
      <w:r w:rsidR="002D7E61" w:rsidRPr="00B2232D">
        <w:t xml:space="preserve"> Astolfi, José AD </w:t>
      </w:r>
      <w:proofErr w:type="gramStart"/>
      <w:r w:rsidR="002D7E61" w:rsidRPr="00B2232D">
        <w:t>Leite,José</w:t>
      </w:r>
      <w:proofErr w:type="gramEnd"/>
      <w:r w:rsidR="002D7E61" w:rsidRPr="00B2232D">
        <w:t xml:space="preserve"> V de V Coelho, Henrique César Ribeiro Temoteo, Alexandre Leme Godoy declare no conﬂict of interest.</w:t>
      </w:r>
    </w:p>
    <w:p w14:paraId="37792DC8" w14:textId="77777777" w:rsidR="002D7E61" w:rsidRPr="00B2232D" w:rsidRDefault="002D7E61" w:rsidP="00C236F8">
      <w:pPr>
        <w:pStyle w:val="MDPI62BackMatter"/>
        <w:rPr>
          <w:shd w:val="clear" w:color="auto" w:fill="FFFFFF"/>
        </w:rPr>
      </w:pPr>
      <w:proofErr w:type="gramStart"/>
      <w:r w:rsidRPr="00C236F8">
        <w:rPr>
          <w:b/>
        </w:rPr>
        <w:t>Funding :</w:t>
      </w:r>
      <w:proofErr w:type="gramEnd"/>
      <w:r w:rsidRPr="00C236F8">
        <w:rPr>
          <w:b/>
        </w:rPr>
        <w:t xml:space="preserve"> </w:t>
      </w:r>
      <w:r w:rsidRPr="00B2232D">
        <w:rPr>
          <w:shd w:val="clear" w:color="auto" w:fill="FFFFFF"/>
        </w:rPr>
        <w:t>This research received no external funding.</w:t>
      </w:r>
    </w:p>
    <w:p w14:paraId="6CF81024" w14:textId="77777777" w:rsidR="002D7E61" w:rsidRPr="00E615BA" w:rsidRDefault="002D7E61" w:rsidP="00C236F8">
      <w:pPr>
        <w:pStyle w:val="MDPI62BackMatter"/>
        <w:rPr>
          <w:rStyle w:val="Forte"/>
          <w:rFonts w:cs="Arial"/>
          <w:b w:val="0"/>
          <w:bCs w:val="0"/>
          <w:color w:val="222222"/>
          <w:shd w:val="clear" w:color="auto" w:fill="FFFFFF"/>
        </w:rPr>
      </w:pPr>
      <w:r w:rsidRPr="00E615BA">
        <w:rPr>
          <w:rStyle w:val="Forte"/>
          <w:rFonts w:cs="Arial"/>
          <w:color w:val="222222"/>
          <w:shd w:val="clear" w:color="auto" w:fill="FFFFFF"/>
        </w:rPr>
        <w:t xml:space="preserve">Institutional Review Board Statement: </w:t>
      </w:r>
      <w:r w:rsidRPr="00E615BA">
        <w:rPr>
          <w:rStyle w:val="Forte"/>
          <w:rFonts w:cs="Arial"/>
          <w:b w:val="0"/>
          <w:bCs w:val="0"/>
          <w:color w:val="222222"/>
          <w:shd w:val="clear" w:color="auto" w:fill="FFFFFF"/>
        </w:rPr>
        <w:t xml:space="preserve">Ethical review and approval were waived for this research, </w:t>
      </w:r>
      <w:proofErr w:type="gramStart"/>
      <w:r w:rsidRPr="00E615BA">
        <w:rPr>
          <w:rStyle w:val="Forte"/>
          <w:rFonts w:cs="Arial"/>
          <w:b w:val="0"/>
          <w:bCs w:val="0"/>
          <w:color w:val="222222"/>
          <w:shd w:val="clear" w:color="auto" w:fill="FFFFFF"/>
        </w:rPr>
        <w:t>due to the fact that</w:t>
      </w:r>
      <w:proofErr w:type="gramEnd"/>
      <w:r w:rsidRPr="00E615BA">
        <w:rPr>
          <w:rStyle w:val="Forte"/>
          <w:rFonts w:cs="Arial"/>
          <w:b w:val="0"/>
          <w:bCs w:val="0"/>
          <w:color w:val="222222"/>
          <w:shd w:val="clear" w:color="auto" w:fill="FFFFFF"/>
        </w:rPr>
        <w:t xml:space="preserve"> this article is a retrospective review study based on an analysis of medical records. No patient data were </w:t>
      </w:r>
      <w:proofErr w:type="gramStart"/>
      <w:r w:rsidRPr="00E615BA">
        <w:rPr>
          <w:rStyle w:val="Forte"/>
          <w:rFonts w:cs="Arial"/>
          <w:b w:val="0"/>
          <w:bCs w:val="0"/>
          <w:color w:val="222222"/>
          <w:shd w:val="clear" w:color="auto" w:fill="FFFFFF"/>
        </w:rPr>
        <w:t>exposed</w:t>
      </w:r>
      <w:proofErr w:type="gramEnd"/>
      <w:r w:rsidRPr="00E615BA">
        <w:rPr>
          <w:rStyle w:val="Forte"/>
          <w:rFonts w:cs="Arial"/>
          <w:b w:val="0"/>
          <w:bCs w:val="0"/>
          <w:color w:val="222222"/>
          <w:shd w:val="clear" w:color="auto" w:fill="FFFFFF"/>
        </w:rPr>
        <w:t xml:space="preserve"> and no conduct was outlined. Therefore, there was only an analysis and description of procedures performed in a certain period, in some individuals and from a specific technique.</w:t>
      </w:r>
    </w:p>
    <w:p w14:paraId="7B11004F" w14:textId="77777777" w:rsidR="002D7E61" w:rsidRPr="006F7F4E" w:rsidRDefault="002D7E61" w:rsidP="00E615BA">
      <w:pPr>
        <w:pStyle w:val="MDPI21heading1"/>
        <w:ind w:left="0"/>
      </w:pPr>
      <w:r w:rsidRPr="006F7F4E">
        <w:t>References</w:t>
      </w:r>
    </w:p>
    <w:p w14:paraId="4D3031AC" w14:textId="77777777" w:rsidR="002D7E61" w:rsidRPr="009D7EA3" w:rsidRDefault="002D7E61" w:rsidP="002D7E61">
      <w:pPr>
        <w:widowControl w:val="0"/>
        <w:autoSpaceDE w:val="0"/>
        <w:autoSpaceDN w:val="0"/>
        <w:adjustRightInd w:val="0"/>
        <w:spacing w:line="240" w:lineRule="auto"/>
        <w:ind w:left="640" w:hanging="640"/>
        <w:rPr>
          <w:rFonts w:ascii="Arial" w:hAnsi="Arial" w:cs="Arial"/>
        </w:rPr>
      </w:pPr>
      <w:r>
        <w:rPr>
          <w:rFonts w:ascii="Arial" w:hAnsi="Arial" w:cs="Arial"/>
        </w:rPr>
        <w:fldChar w:fldCharType="begin" w:fldLock="1"/>
      </w:r>
      <w:r>
        <w:rPr>
          <w:rFonts w:ascii="Arial" w:hAnsi="Arial" w:cs="Arial"/>
        </w:rPr>
        <w:instrText xml:space="preserve">ADDIN Mendeley Bibliography CSL_BIBLIOGRAPHY </w:instrText>
      </w:r>
      <w:r>
        <w:rPr>
          <w:rFonts w:ascii="Arial" w:hAnsi="Arial" w:cs="Arial"/>
        </w:rPr>
        <w:fldChar w:fldCharType="separate"/>
      </w:r>
      <w:r w:rsidRPr="009D7EA3">
        <w:rPr>
          <w:rFonts w:ascii="Arial" w:hAnsi="Arial" w:cs="Arial"/>
        </w:rPr>
        <w:t xml:space="preserve">1. </w:t>
      </w:r>
      <w:r w:rsidRPr="009D7EA3">
        <w:rPr>
          <w:rFonts w:ascii="Arial" w:hAnsi="Arial" w:cs="Arial"/>
        </w:rPr>
        <w:tab/>
        <w:t xml:space="preserve">Kim BS. Reconstruction of Cavus Foot: A Review. </w:t>
      </w:r>
      <w:r w:rsidRPr="009D7EA3">
        <w:rPr>
          <w:rFonts w:ascii="Arial" w:hAnsi="Arial" w:cs="Arial"/>
          <w:i/>
          <w:iCs/>
        </w:rPr>
        <w:t>Open Orthop J</w:t>
      </w:r>
      <w:r w:rsidRPr="009D7EA3">
        <w:rPr>
          <w:rFonts w:ascii="Arial" w:hAnsi="Arial" w:cs="Arial"/>
        </w:rPr>
        <w:t>. 2017. doi:10.2174/1874325001711010651</w:t>
      </w:r>
    </w:p>
    <w:p w14:paraId="4CEE6BC0" w14:textId="77777777" w:rsidR="002D7E61" w:rsidRPr="009D7EA3" w:rsidRDefault="002D7E61" w:rsidP="002D7E61">
      <w:pPr>
        <w:widowControl w:val="0"/>
        <w:autoSpaceDE w:val="0"/>
        <w:autoSpaceDN w:val="0"/>
        <w:adjustRightInd w:val="0"/>
        <w:spacing w:line="240" w:lineRule="auto"/>
        <w:ind w:left="640" w:hanging="640"/>
        <w:rPr>
          <w:rFonts w:ascii="Arial" w:hAnsi="Arial" w:cs="Arial"/>
        </w:rPr>
      </w:pPr>
      <w:r w:rsidRPr="009D7EA3">
        <w:rPr>
          <w:rFonts w:ascii="Arial" w:hAnsi="Arial" w:cs="Arial"/>
        </w:rPr>
        <w:t xml:space="preserve">2. </w:t>
      </w:r>
      <w:r w:rsidRPr="009D7EA3">
        <w:rPr>
          <w:rFonts w:ascii="Arial" w:hAnsi="Arial" w:cs="Arial"/>
        </w:rPr>
        <w:tab/>
        <w:t xml:space="preserve">Li S, Myerson MS. Failure of Surgical Treatment in Patients with Cavovarus Deformity: Why Does This Happen and How Do We Approach Treatment? </w:t>
      </w:r>
      <w:r w:rsidRPr="009D7EA3">
        <w:rPr>
          <w:rFonts w:ascii="Arial" w:hAnsi="Arial" w:cs="Arial"/>
          <w:i/>
          <w:iCs/>
        </w:rPr>
        <w:t>Foot Ankle Clin</w:t>
      </w:r>
      <w:r w:rsidRPr="009D7EA3">
        <w:rPr>
          <w:rFonts w:ascii="Arial" w:hAnsi="Arial" w:cs="Arial"/>
        </w:rPr>
        <w:t>. 2019. doi:10.1016/j.fcl.2019.02.008</w:t>
      </w:r>
    </w:p>
    <w:p w14:paraId="71A87D8A" w14:textId="77777777" w:rsidR="002D7E61" w:rsidRPr="009D7EA3" w:rsidRDefault="002D7E61" w:rsidP="002D7E61">
      <w:pPr>
        <w:widowControl w:val="0"/>
        <w:autoSpaceDE w:val="0"/>
        <w:autoSpaceDN w:val="0"/>
        <w:adjustRightInd w:val="0"/>
        <w:spacing w:line="240" w:lineRule="auto"/>
        <w:ind w:left="640" w:hanging="640"/>
        <w:rPr>
          <w:rFonts w:ascii="Arial" w:hAnsi="Arial" w:cs="Arial"/>
        </w:rPr>
      </w:pPr>
      <w:r w:rsidRPr="009D7EA3">
        <w:rPr>
          <w:rFonts w:ascii="Arial" w:hAnsi="Arial" w:cs="Arial"/>
        </w:rPr>
        <w:t xml:space="preserve">3. </w:t>
      </w:r>
      <w:r w:rsidRPr="009D7EA3">
        <w:rPr>
          <w:rFonts w:ascii="Arial" w:hAnsi="Arial" w:cs="Arial"/>
        </w:rPr>
        <w:tab/>
        <w:t xml:space="preserve">Sraj SA, Saghieh S, Abdulmassih S, Abdelnoor J. Medium to Long-term Follow-up Following Correction of Pes Cavus Deformity. </w:t>
      </w:r>
      <w:r w:rsidRPr="009D7EA3">
        <w:rPr>
          <w:rFonts w:ascii="Arial" w:hAnsi="Arial" w:cs="Arial"/>
          <w:i/>
          <w:iCs/>
        </w:rPr>
        <w:t>J Foot Ankle Surg</w:t>
      </w:r>
      <w:r w:rsidRPr="009D7EA3">
        <w:rPr>
          <w:rFonts w:ascii="Arial" w:hAnsi="Arial" w:cs="Arial"/>
        </w:rPr>
        <w:t>. 2008. doi:10.1053/j.jfas.2008.06.007</w:t>
      </w:r>
    </w:p>
    <w:p w14:paraId="67E4FA56" w14:textId="77777777" w:rsidR="002D7E61" w:rsidRPr="009D7EA3" w:rsidRDefault="002D7E61" w:rsidP="002D7E61">
      <w:pPr>
        <w:widowControl w:val="0"/>
        <w:autoSpaceDE w:val="0"/>
        <w:autoSpaceDN w:val="0"/>
        <w:adjustRightInd w:val="0"/>
        <w:spacing w:line="240" w:lineRule="auto"/>
        <w:ind w:left="640" w:hanging="640"/>
        <w:rPr>
          <w:rFonts w:ascii="Arial" w:hAnsi="Arial" w:cs="Arial"/>
        </w:rPr>
      </w:pPr>
      <w:r w:rsidRPr="009D7EA3">
        <w:rPr>
          <w:rFonts w:ascii="Arial" w:hAnsi="Arial" w:cs="Arial"/>
        </w:rPr>
        <w:t xml:space="preserve">4. </w:t>
      </w:r>
      <w:r w:rsidRPr="009D7EA3">
        <w:rPr>
          <w:rFonts w:ascii="Arial" w:hAnsi="Arial" w:cs="Arial"/>
        </w:rPr>
        <w:tab/>
        <w:t xml:space="preserve">Eleswarapu AS, Yamini B, Bielski RJ. Evaluating the cavus foot. </w:t>
      </w:r>
      <w:r w:rsidRPr="009D7EA3">
        <w:rPr>
          <w:rFonts w:ascii="Arial" w:hAnsi="Arial" w:cs="Arial"/>
          <w:i/>
          <w:iCs/>
        </w:rPr>
        <w:t>Pediatr Ann</w:t>
      </w:r>
      <w:r w:rsidRPr="009D7EA3">
        <w:rPr>
          <w:rFonts w:ascii="Arial" w:hAnsi="Arial" w:cs="Arial"/>
        </w:rPr>
        <w:t>. 2016. doi:10.3928/00904481-20160426-01</w:t>
      </w:r>
    </w:p>
    <w:p w14:paraId="5664A1F6" w14:textId="77777777" w:rsidR="002D7E61" w:rsidRPr="009D7EA3" w:rsidRDefault="002D7E61" w:rsidP="002D7E61">
      <w:pPr>
        <w:widowControl w:val="0"/>
        <w:autoSpaceDE w:val="0"/>
        <w:autoSpaceDN w:val="0"/>
        <w:adjustRightInd w:val="0"/>
        <w:spacing w:line="240" w:lineRule="auto"/>
        <w:ind w:left="640" w:hanging="640"/>
        <w:rPr>
          <w:rFonts w:ascii="Arial" w:hAnsi="Arial" w:cs="Arial"/>
        </w:rPr>
      </w:pPr>
      <w:r w:rsidRPr="009D7EA3">
        <w:rPr>
          <w:rFonts w:ascii="Arial" w:hAnsi="Arial" w:cs="Arial"/>
        </w:rPr>
        <w:t xml:space="preserve">5. </w:t>
      </w:r>
      <w:r w:rsidRPr="009D7EA3">
        <w:rPr>
          <w:rFonts w:ascii="Arial" w:hAnsi="Arial" w:cs="Arial"/>
        </w:rPr>
        <w:tab/>
        <w:t xml:space="preserve">Shibuya N, Thorud JC, Agarwal MR, Jupiter DC. Is Calcaneal Inclination Higher in Patients with Insertional Achilles Tendinosis? A Case-controlled, Cross-sectional Study. </w:t>
      </w:r>
      <w:r w:rsidRPr="009D7EA3">
        <w:rPr>
          <w:rFonts w:ascii="Arial" w:hAnsi="Arial" w:cs="Arial"/>
          <w:i/>
          <w:iCs/>
        </w:rPr>
        <w:t>J Foot Ankle Surg</w:t>
      </w:r>
      <w:r w:rsidRPr="009D7EA3">
        <w:rPr>
          <w:rFonts w:ascii="Arial" w:hAnsi="Arial" w:cs="Arial"/>
        </w:rPr>
        <w:t>. 2012. doi:10.1053/j.jfas.2012.06.015</w:t>
      </w:r>
    </w:p>
    <w:p w14:paraId="6DA649B5" w14:textId="77777777" w:rsidR="002D7E61" w:rsidRPr="009D7EA3" w:rsidRDefault="002D7E61" w:rsidP="002D7E61">
      <w:pPr>
        <w:widowControl w:val="0"/>
        <w:autoSpaceDE w:val="0"/>
        <w:autoSpaceDN w:val="0"/>
        <w:adjustRightInd w:val="0"/>
        <w:spacing w:line="240" w:lineRule="auto"/>
        <w:ind w:left="640" w:hanging="640"/>
        <w:rPr>
          <w:rFonts w:ascii="Arial" w:hAnsi="Arial" w:cs="Arial"/>
        </w:rPr>
      </w:pPr>
      <w:r w:rsidRPr="009D7EA3">
        <w:rPr>
          <w:rFonts w:ascii="Arial" w:hAnsi="Arial" w:cs="Arial"/>
        </w:rPr>
        <w:t xml:space="preserve">6. </w:t>
      </w:r>
      <w:r w:rsidRPr="009D7EA3">
        <w:rPr>
          <w:rFonts w:ascii="Arial" w:hAnsi="Arial" w:cs="Arial"/>
        </w:rPr>
        <w:tab/>
        <w:t xml:space="preserve">DWYER FC. Osteotomy of the calcaneum for pes cavus. </w:t>
      </w:r>
      <w:r w:rsidRPr="009D7EA3">
        <w:rPr>
          <w:rFonts w:ascii="Arial" w:hAnsi="Arial" w:cs="Arial"/>
          <w:i/>
          <w:iCs/>
        </w:rPr>
        <w:t>J Bone Joint Surg Br</w:t>
      </w:r>
      <w:r w:rsidRPr="009D7EA3">
        <w:rPr>
          <w:rFonts w:ascii="Arial" w:hAnsi="Arial" w:cs="Arial"/>
        </w:rPr>
        <w:t>. 1959. doi:10.1302/0301-620x.41b1.80</w:t>
      </w:r>
    </w:p>
    <w:p w14:paraId="1F66A1D0" w14:textId="77777777" w:rsidR="002D7E61" w:rsidRPr="009D7EA3" w:rsidRDefault="002D7E61" w:rsidP="002D7E61">
      <w:pPr>
        <w:widowControl w:val="0"/>
        <w:autoSpaceDE w:val="0"/>
        <w:autoSpaceDN w:val="0"/>
        <w:adjustRightInd w:val="0"/>
        <w:spacing w:line="240" w:lineRule="auto"/>
        <w:ind w:left="640" w:hanging="640"/>
        <w:rPr>
          <w:rFonts w:ascii="Arial" w:hAnsi="Arial" w:cs="Arial"/>
        </w:rPr>
      </w:pPr>
      <w:r w:rsidRPr="009D7EA3">
        <w:rPr>
          <w:rFonts w:ascii="Arial" w:hAnsi="Arial" w:cs="Arial"/>
        </w:rPr>
        <w:t xml:space="preserve">7. </w:t>
      </w:r>
      <w:r w:rsidRPr="009D7EA3">
        <w:rPr>
          <w:rFonts w:ascii="Arial" w:hAnsi="Arial" w:cs="Arial"/>
        </w:rPr>
        <w:tab/>
        <w:t xml:space="preserve">Boffeli TJ, Collier RC. Surgical Technique for Combined Dwyer Calcaneal Osteotomy and Peroneal Tendon Repair for Correction of Peroneal Tendon Pathology Associated with Cavus Foot Deformity. </w:t>
      </w:r>
      <w:r w:rsidRPr="009D7EA3">
        <w:rPr>
          <w:rFonts w:ascii="Arial" w:hAnsi="Arial" w:cs="Arial"/>
          <w:i/>
          <w:iCs/>
        </w:rPr>
        <w:t>J Foot Ankle Surg</w:t>
      </w:r>
      <w:r w:rsidRPr="009D7EA3">
        <w:rPr>
          <w:rFonts w:ascii="Arial" w:hAnsi="Arial" w:cs="Arial"/>
        </w:rPr>
        <w:t>. 2012. doi:10.1053/j.jfas.2011.10.021</w:t>
      </w:r>
    </w:p>
    <w:p w14:paraId="3F5A622F" w14:textId="77777777" w:rsidR="002D7E61" w:rsidRPr="009D7EA3" w:rsidRDefault="002D7E61" w:rsidP="002D7E61">
      <w:pPr>
        <w:widowControl w:val="0"/>
        <w:autoSpaceDE w:val="0"/>
        <w:autoSpaceDN w:val="0"/>
        <w:adjustRightInd w:val="0"/>
        <w:spacing w:line="240" w:lineRule="auto"/>
        <w:ind w:left="640" w:hanging="640"/>
        <w:rPr>
          <w:rFonts w:ascii="Arial" w:hAnsi="Arial" w:cs="Arial"/>
        </w:rPr>
      </w:pPr>
      <w:r w:rsidRPr="009D7EA3">
        <w:rPr>
          <w:rFonts w:ascii="Arial" w:hAnsi="Arial" w:cs="Arial"/>
        </w:rPr>
        <w:t xml:space="preserve">8. </w:t>
      </w:r>
      <w:r w:rsidRPr="009D7EA3">
        <w:rPr>
          <w:rFonts w:ascii="Arial" w:hAnsi="Arial" w:cs="Arial"/>
        </w:rPr>
        <w:tab/>
        <w:t xml:space="preserve">Georgiannos D, Kitridis D, Bisbinas I. Dorsal closing wedge calcaneal osteotomy for the treatment of Insertional Achilles Tendinopathy: A technical tip to optimize its results and reduce complications. </w:t>
      </w:r>
      <w:r w:rsidRPr="009D7EA3">
        <w:rPr>
          <w:rFonts w:ascii="Arial" w:hAnsi="Arial" w:cs="Arial"/>
          <w:i/>
          <w:iCs/>
        </w:rPr>
        <w:t>Foot Ankle Surg</w:t>
      </w:r>
      <w:r w:rsidRPr="009D7EA3">
        <w:rPr>
          <w:rFonts w:ascii="Arial" w:hAnsi="Arial" w:cs="Arial"/>
        </w:rPr>
        <w:t>. 2018. doi:10.1016/j.fas.2016.12.004</w:t>
      </w:r>
    </w:p>
    <w:p w14:paraId="097572B4" w14:textId="77777777" w:rsidR="002D7E61" w:rsidRPr="009D7EA3" w:rsidRDefault="002D7E61" w:rsidP="002D7E61">
      <w:pPr>
        <w:widowControl w:val="0"/>
        <w:autoSpaceDE w:val="0"/>
        <w:autoSpaceDN w:val="0"/>
        <w:adjustRightInd w:val="0"/>
        <w:spacing w:line="240" w:lineRule="auto"/>
        <w:ind w:left="640" w:hanging="640"/>
        <w:rPr>
          <w:rFonts w:ascii="Arial" w:hAnsi="Arial" w:cs="Arial"/>
        </w:rPr>
      </w:pPr>
      <w:r w:rsidRPr="009D7EA3">
        <w:rPr>
          <w:rFonts w:ascii="Arial" w:hAnsi="Arial" w:cs="Arial"/>
        </w:rPr>
        <w:t xml:space="preserve">9. </w:t>
      </w:r>
      <w:r w:rsidRPr="009D7EA3">
        <w:rPr>
          <w:rFonts w:ascii="Arial" w:hAnsi="Arial" w:cs="Arial"/>
        </w:rPr>
        <w:tab/>
        <w:t xml:space="preserve">Zadek I. An operation for the cure of achillobursitis. </w:t>
      </w:r>
      <w:r w:rsidRPr="009D7EA3">
        <w:rPr>
          <w:rFonts w:ascii="Arial" w:hAnsi="Arial" w:cs="Arial"/>
          <w:i/>
          <w:iCs/>
        </w:rPr>
        <w:t>Am J Surg</w:t>
      </w:r>
      <w:r w:rsidRPr="009D7EA3">
        <w:rPr>
          <w:rFonts w:ascii="Arial" w:hAnsi="Arial" w:cs="Arial"/>
        </w:rPr>
        <w:t>. 1939. doi:10.1016/S0002-9610(39)90877-9</w:t>
      </w:r>
    </w:p>
    <w:p w14:paraId="79BE1DC2" w14:textId="77777777" w:rsidR="002D7E61" w:rsidRPr="009D7EA3" w:rsidRDefault="002D7E61" w:rsidP="002D7E61">
      <w:pPr>
        <w:widowControl w:val="0"/>
        <w:autoSpaceDE w:val="0"/>
        <w:autoSpaceDN w:val="0"/>
        <w:adjustRightInd w:val="0"/>
        <w:spacing w:line="240" w:lineRule="auto"/>
        <w:ind w:left="640" w:hanging="640"/>
        <w:rPr>
          <w:rFonts w:ascii="Arial" w:hAnsi="Arial" w:cs="Arial"/>
        </w:rPr>
      </w:pPr>
      <w:r w:rsidRPr="009D7EA3">
        <w:rPr>
          <w:rFonts w:ascii="Arial" w:hAnsi="Arial" w:cs="Arial"/>
        </w:rPr>
        <w:t xml:space="preserve">10. </w:t>
      </w:r>
      <w:r w:rsidRPr="009D7EA3">
        <w:rPr>
          <w:rFonts w:ascii="Arial" w:hAnsi="Arial" w:cs="Arial"/>
        </w:rPr>
        <w:tab/>
        <w:t xml:space="preserve">Vernois J, Redfern D, Ferraz L, Laborde J. Minimally Invasive Surgery Osteotomy of the Hindfoot. </w:t>
      </w:r>
      <w:r w:rsidRPr="009D7EA3">
        <w:rPr>
          <w:rFonts w:ascii="Arial" w:hAnsi="Arial" w:cs="Arial"/>
          <w:i/>
          <w:iCs/>
        </w:rPr>
        <w:t>Clin Podiatr Med Surg</w:t>
      </w:r>
      <w:r w:rsidRPr="009D7EA3">
        <w:rPr>
          <w:rFonts w:ascii="Arial" w:hAnsi="Arial" w:cs="Arial"/>
        </w:rPr>
        <w:t>. 2015. doi:10.1016/j.cpm.2015.03.008</w:t>
      </w:r>
    </w:p>
    <w:p w14:paraId="0D88886D" w14:textId="77777777" w:rsidR="002D7E61" w:rsidRPr="009D7EA3" w:rsidRDefault="002D7E61" w:rsidP="002D7E61">
      <w:pPr>
        <w:widowControl w:val="0"/>
        <w:autoSpaceDE w:val="0"/>
        <w:autoSpaceDN w:val="0"/>
        <w:adjustRightInd w:val="0"/>
        <w:spacing w:line="240" w:lineRule="auto"/>
        <w:ind w:left="640" w:hanging="640"/>
        <w:rPr>
          <w:rFonts w:ascii="Arial" w:hAnsi="Arial" w:cs="Arial"/>
        </w:rPr>
      </w:pPr>
      <w:r w:rsidRPr="009D7EA3">
        <w:rPr>
          <w:rFonts w:ascii="Arial" w:hAnsi="Arial" w:cs="Arial"/>
        </w:rPr>
        <w:t xml:space="preserve">11. </w:t>
      </w:r>
      <w:r w:rsidRPr="009D7EA3">
        <w:rPr>
          <w:rFonts w:ascii="Arial" w:hAnsi="Arial" w:cs="Arial"/>
        </w:rPr>
        <w:tab/>
        <w:t xml:space="preserve">Redfern DJ, Vernois J. Percutaneous Surgery for Metatarsalgia and the Lesser Toes. </w:t>
      </w:r>
      <w:r w:rsidRPr="009D7EA3">
        <w:rPr>
          <w:rFonts w:ascii="Arial" w:hAnsi="Arial" w:cs="Arial"/>
          <w:i/>
          <w:iCs/>
        </w:rPr>
        <w:t>Foot Ankle Clin</w:t>
      </w:r>
      <w:r w:rsidRPr="009D7EA3">
        <w:rPr>
          <w:rFonts w:ascii="Arial" w:hAnsi="Arial" w:cs="Arial"/>
        </w:rPr>
        <w:t>. 2016. doi:10.1016/j.fcl.2016.04.003</w:t>
      </w:r>
    </w:p>
    <w:p w14:paraId="49E67545" w14:textId="77777777" w:rsidR="002D7E61" w:rsidRPr="009D7EA3" w:rsidRDefault="002D7E61" w:rsidP="002D7E61">
      <w:pPr>
        <w:widowControl w:val="0"/>
        <w:autoSpaceDE w:val="0"/>
        <w:autoSpaceDN w:val="0"/>
        <w:adjustRightInd w:val="0"/>
        <w:spacing w:line="240" w:lineRule="auto"/>
        <w:ind w:left="640" w:hanging="640"/>
        <w:rPr>
          <w:rFonts w:ascii="Arial" w:hAnsi="Arial" w:cs="Arial"/>
        </w:rPr>
      </w:pPr>
      <w:r w:rsidRPr="009D7EA3">
        <w:rPr>
          <w:rFonts w:ascii="Arial" w:hAnsi="Arial" w:cs="Arial"/>
        </w:rPr>
        <w:lastRenderedPageBreak/>
        <w:t xml:space="preserve">12. </w:t>
      </w:r>
      <w:r w:rsidRPr="009D7EA3">
        <w:rPr>
          <w:rFonts w:ascii="Arial" w:hAnsi="Arial" w:cs="Arial"/>
        </w:rPr>
        <w:tab/>
        <w:t xml:space="preserve">Jung HG, Park JT, Lee SH. Joint-sparing correction for idiopathic cavus foot. correlation of clinical and radiographic results. </w:t>
      </w:r>
      <w:r w:rsidRPr="009D7EA3">
        <w:rPr>
          <w:rFonts w:ascii="Arial" w:hAnsi="Arial" w:cs="Arial"/>
          <w:i/>
          <w:iCs/>
        </w:rPr>
        <w:t>Foot Ankle Clin</w:t>
      </w:r>
      <w:r w:rsidRPr="009D7EA3">
        <w:rPr>
          <w:rFonts w:ascii="Arial" w:hAnsi="Arial" w:cs="Arial"/>
        </w:rPr>
        <w:t>. 2013. doi:10.1016/j.fcl.2013.08.003</w:t>
      </w:r>
    </w:p>
    <w:p w14:paraId="292DB055" w14:textId="77777777" w:rsidR="002D7E61" w:rsidRPr="000569BA" w:rsidRDefault="002D7E61" w:rsidP="002D7E61">
      <w:pPr>
        <w:spacing w:line="240" w:lineRule="auto"/>
        <w:ind w:left="640" w:hanging="640"/>
        <w:rPr>
          <w:rFonts w:ascii="Times" w:hAnsi="Times"/>
        </w:rPr>
      </w:pPr>
      <w:r w:rsidRPr="009D7EA3">
        <w:rPr>
          <w:rFonts w:ascii="Arial" w:hAnsi="Arial" w:cs="Arial"/>
        </w:rPr>
        <w:t xml:space="preserve">13. </w:t>
      </w:r>
      <w:r>
        <w:rPr>
          <w:rFonts w:ascii="Arial" w:hAnsi="Arial" w:cs="Arial"/>
        </w:rPr>
        <w:tab/>
      </w:r>
      <w:r w:rsidRPr="000569BA">
        <w:rPr>
          <w:rFonts w:ascii="Times" w:hAnsi="Times"/>
          <w:shd w:val="clear" w:color="auto" w:fill="FFFFFF"/>
        </w:rPr>
        <w:t>Zide, J. R., &amp; Myerson, M. S. (2013). </w:t>
      </w:r>
      <w:r w:rsidRPr="000569BA">
        <w:rPr>
          <w:rFonts w:ascii="Times" w:hAnsi="Times"/>
          <w:iCs/>
        </w:rPr>
        <w:t>Arthrodesis for the Cavus Foot. Foot and Ankle Clinics, 18(4), 755–767.</w:t>
      </w:r>
      <w:r w:rsidRPr="000569BA">
        <w:rPr>
          <w:rFonts w:ascii="Times" w:hAnsi="Times"/>
          <w:shd w:val="clear" w:color="auto" w:fill="FFFFFF"/>
        </w:rPr>
        <w:t>doi:10.1016/j.fcl.2013.08.012 </w:t>
      </w:r>
    </w:p>
    <w:p w14:paraId="58D285AB" w14:textId="77777777" w:rsidR="002D7E61" w:rsidRDefault="002D7E61" w:rsidP="002D7E61">
      <w:pPr>
        <w:widowControl w:val="0"/>
        <w:autoSpaceDE w:val="0"/>
        <w:autoSpaceDN w:val="0"/>
        <w:adjustRightInd w:val="0"/>
        <w:spacing w:line="240" w:lineRule="auto"/>
        <w:ind w:left="640" w:hanging="640"/>
        <w:rPr>
          <w:rFonts w:ascii="Arial" w:hAnsi="Arial" w:cs="Arial"/>
        </w:rPr>
      </w:pPr>
      <w:r w:rsidRPr="009D7EA3">
        <w:rPr>
          <w:rFonts w:ascii="Arial" w:hAnsi="Arial" w:cs="Arial"/>
        </w:rPr>
        <w:tab/>
      </w:r>
    </w:p>
    <w:p w14:paraId="1F5ED454" w14:textId="77777777" w:rsidR="002D7E61" w:rsidRPr="009D7EA3" w:rsidRDefault="002D7E61" w:rsidP="002D7E61">
      <w:pPr>
        <w:widowControl w:val="0"/>
        <w:autoSpaceDE w:val="0"/>
        <w:autoSpaceDN w:val="0"/>
        <w:adjustRightInd w:val="0"/>
        <w:spacing w:line="240" w:lineRule="auto"/>
        <w:ind w:left="640" w:hanging="640"/>
        <w:rPr>
          <w:rFonts w:ascii="Arial" w:hAnsi="Arial" w:cs="Arial"/>
        </w:rPr>
      </w:pPr>
      <w:r>
        <w:rPr>
          <w:rFonts w:ascii="Arial" w:hAnsi="Arial" w:cs="Arial"/>
        </w:rPr>
        <w:t>14.</w:t>
      </w:r>
      <w:r>
        <w:rPr>
          <w:rFonts w:ascii="Arial" w:hAnsi="Arial" w:cs="Arial"/>
        </w:rPr>
        <w:tab/>
      </w:r>
      <w:r w:rsidRPr="009D7EA3">
        <w:rPr>
          <w:rFonts w:ascii="Arial" w:hAnsi="Arial" w:cs="Arial"/>
        </w:rPr>
        <w:t xml:space="preserve">Stiglitz Y, Cazeau C. Minimally invasive surgery and percutaneous surgery of the hindfoot and midfoot. </w:t>
      </w:r>
      <w:r w:rsidRPr="009D7EA3">
        <w:rPr>
          <w:rFonts w:ascii="Arial" w:hAnsi="Arial" w:cs="Arial"/>
          <w:i/>
          <w:iCs/>
        </w:rPr>
        <w:t>Eur J Orthop Surg Traumatol</w:t>
      </w:r>
      <w:r w:rsidRPr="009D7EA3">
        <w:rPr>
          <w:rFonts w:ascii="Arial" w:hAnsi="Arial" w:cs="Arial"/>
        </w:rPr>
        <w:t>. 2018. doi:10.1007/s00590-018-2179-x</w:t>
      </w:r>
    </w:p>
    <w:p w14:paraId="140460E0" w14:textId="77777777" w:rsidR="002D7E61" w:rsidRPr="009D7EA3" w:rsidRDefault="002D7E61" w:rsidP="002D7E61">
      <w:pPr>
        <w:widowControl w:val="0"/>
        <w:autoSpaceDE w:val="0"/>
        <w:autoSpaceDN w:val="0"/>
        <w:adjustRightInd w:val="0"/>
        <w:spacing w:line="240" w:lineRule="auto"/>
        <w:ind w:left="640" w:hanging="640"/>
        <w:rPr>
          <w:rFonts w:ascii="Arial" w:hAnsi="Arial" w:cs="Arial"/>
        </w:rPr>
      </w:pPr>
      <w:r>
        <w:rPr>
          <w:rFonts w:ascii="Arial" w:hAnsi="Arial" w:cs="Arial"/>
        </w:rPr>
        <w:t>15.</w:t>
      </w:r>
      <w:r>
        <w:rPr>
          <w:rFonts w:ascii="Arial" w:hAnsi="Arial" w:cs="Arial"/>
        </w:rPr>
        <w:tab/>
      </w:r>
      <w:r w:rsidRPr="009D7EA3">
        <w:rPr>
          <w:rFonts w:ascii="Arial" w:hAnsi="Arial" w:cs="Arial"/>
        </w:rPr>
        <w:tab/>
        <w:t xml:space="preserve">A. D, R. B, S. K, K. H, L. M. Minimally Invasive Calcaneal Osteotomy: Does the Shannon Burr Endanger the Neurovascular Structures? A Cadaveric Study. </w:t>
      </w:r>
      <w:r w:rsidRPr="009D7EA3">
        <w:rPr>
          <w:rFonts w:ascii="Arial" w:hAnsi="Arial" w:cs="Arial"/>
          <w:i/>
          <w:iCs/>
        </w:rPr>
        <w:t>J Foot Ankle Surg</w:t>
      </w:r>
      <w:r w:rsidRPr="009D7EA3">
        <w:rPr>
          <w:rFonts w:ascii="Arial" w:hAnsi="Arial" w:cs="Arial"/>
        </w:rPr>
        <w:t>. 2015. doi:1</w:t>
      </w:r>
      <w:r>
        <w:rPr>
          <w:rFonts w:ascii="Arial" w:hAnsi="Arial" w:cs="Arial"/>
        </w:rPr>
        <w:t xml:space="preserve">0.1053/j.jfas.2015.05.007 LK  </w:t>
      </w:r>
    </w:p>
    <w:p w14:paraId="07053A5C" w14:textId="77777777" w:rsidR="002D7E61" w:rsidRPr="000569BA" w:rsidRDefault="002D7E61" w:rsidP="002D7E61">
      <w:pPr>
        <w:widowControl w:val="0"/>
        <w:autoSpaceDE w:val="0"/>
        <w:autoSpaceDN w:val="0"/>
        <w:adjustRightInd w:val="0"/>
        <w:spacing w:line="240" w:lineRule="auto"/>
        <w:ind w:left="640" w:hanging="640"/>
        <w:rPr>
          <w:rFonts w:ascii="Arial" w:hAnsi="Arial" w:cs="Arial"/>
        </w:rPr>
      </w:pPr>
      <w:r>
        <w:rPr>
          <w:rFonts w:ascii="Arial" w:hAnsi="Arial" w:cs="Arial"/>
        </w:rPr>
        <w:t>16</w:t>
      </w:r>
      <w:r w:rsidRPr="000569BA">
        <w:rPr>
          <w:rFonts w:ascii="Arial" w:hAnsi="Arial" w:cs="Arial"/>
        </w:rPr>
        <w:t xml:space="preserve">. </w:t>
      </w:r>
      <w:r w:rsidRPr="000569BA">
        <w:rPr>
          <w:rFonts w:ascii="Arial" w:hAnsi="Arial" w:cs="Arial"/>
        </w:rPr>
        <w:tab/>
        <w:t xml:space="preserve">Roux A, Bronsard N, Blanchet N, de Peretti F. Can fluoroscopy radiation exposure be measured in minimally invasive trauma surgery? </w:t>
      </w:r>
      <w:r w:rsidRPr="000569BA">
        <w:rPr>
          <w:rFonts w:ascii="Arial" w:hAnsi="Arial" w:cs="Arial"/>
          <w:i/>
          <w:iCs/>
        </w:rPr>
        <w:t>Orthop Traumatol Surg Res</w:t>
      </w:r>
      <w:r w:rsidRPr="000569BA">
        <w:rPr>
          <w:rFonts w:ascii="Arial" w:hAnsi="Arial" w:cs="Arial"/>
        </w:rPr>
        <w:t>. 2011. doi:10.1016/j.otsr.2011.03.024</w:t>
      </w:r>
    </w:p>
    <w:p w14:paraId="6E9C8BC0" w14:textId="77777777" w:rsidR="002D7E61" w:rsidRPr="000569BA" w:rsidRDefault="002D7E61" w:rsidP="002D7E61">
      <w:pPr>
        <w:widowControl w:val="0"/>
        <w:autoSpaceDE w:val="0"/>
        <w:autoSpaceDN w:val="0"/>
        <w:adjustRightInd w:val="0"/>
        <w:spacing w:line="240" w:lineRule="auto"/>
        <w:ind w:left="640" w:hanging="640"/>
        <w:rPr>
          <w:rFonts w:ascii="Arial" w:hAnsi="Arial" w:cs="Arial"/>
        </w:rPr>
      </w:pPr>
      <w:r>
        <w:rPr>
          <w:rFonts w:ascii="Arial" w:hAnsi="Arial" w:cs="Arial"/>
        </w:rPr>
        <w:t>17</w:t>
      </w:r>
      <w:r w:rsidRPr="000569BA">
        <w:rPr>
          <w:rFonts w:ascii="Arial" w:hAnsi="Arial" w:cs="Arial"/>
        </w:rPr>
        <w:t xml:space="preserve">. </w:t>
      </w:r>
      <w:r w:rsidRPr="000569BA">
        <w:rPr>
          <w:rFonts w:ascii="Arial" w:hAnsi="Arial" w:cs="Arial"/>
        </w:rPr>
        <w:tab/>
        <w:t xml:space="preserve">Aminian A, Sangeorzan BJ. The Anatomy of Cavus Foot Deformity. </w:t>
      </w:r>
      <w:r w:rsidRPr="000569BA">
        <w:rPr>
          <w:rFonts w:ascii="Arial" w:hAnsi="Arial" w:cs="Arial"/>
          <w:i/>
          <w:iCs/>
        </w:rPr>
        <w:t>Foot Ankle Clin</w:t>
      </w:r>
      <w:r w:rsidRPr="000569BA">
        <w:rPr>
          <w:rFonts w:ascii="Arial" w:hAnsi="Arial" w:cs="Arial"/>
        </w:rPr>
        <w:t>. 2008. doi:10.1016/j.fcl.2008.01.004</w:t>
      </w:r>
    </w:p>
    <w:p w14:paraId="06AA24A9" w14:textId="37168442" w:rsidR="002D7E61" w:rsidRDefault="002D7E61" w:rsidP="002D7E61">
      <w:pPr>
        <w:widowControl w:val="0"/>
        <w:autoSpaceDE w:val="0"/>
        <w:autoSpaceDN w:val="0"/>
        <w:adjustRightInd w:val="0"/>
        <w:spacing w:line="240" w:lineRule="auto"/>
        <w:ind w:left="640" w:hanging="640"/>
        <w:rPr>
          <w:rFonts w:ascii="Times" w:hAnsi="Times" w:cs="Arial"/>
        </w:rPr>
      </w:pPr>
      <w:r>
        <w:rPr>
          <w:rFonts w:ascii="Arial" w:hAnsi="Arial" w:cs="Arial"/>
        </w:rPr>
        <w:t>18</w:t>
      </w:r>
      <w:r w:rsidRPr="000569BA">
        <w:rPr>
          <w:rFonts w:ascii="Arial" w:hAnsi="Arial" w:cs="Arial"/>
        </w:rPr>
        <w:t xml:space="preserve">. </w:t>
      </w:r>
      <w:r w:rsidRPr="000569BA">
        <w:rPr>
          <w:rFonts w:ascii="Arial" w:hAnsi="Arial" w:cs="Arial"/>
        </w:rPr>
        <w:tab/>
        <w:t xml:space="preserve">Clements JR, Dijour F, Leong W. Surgical Management Navicular and Cuboid </w:t>
      </w:r>
      <w:r w:rsidRPr="000569BA">
        <w:rPr>
          <w:rFonts w:ascii="Times" w:hAnsi="Times" w:cs="Arial"/>
        </w:rPr>
        <w:t xml:space="preserve">Fractures. </w:t>
      </w:r>
      <w:r w:rsidRPr="000569BA">
        <w:rPr>
          <w:rFonts w:ascii="Times" w:hAnsi="Times" w:cs="Arial"/>
          <w:iCs/>
        </w:rPr>
        <w:t>Clin Podiatr Med Surg</w:t>
      </w:r>
      <w:r w:rsidRPr="000569BA">
        <w:rPr>
          <w:rFonts w:ascii="Times" w:hAnsi="Times" w:cs="Arial"/>
        </w:rPr>
        <w:t>. 2018. doi:10.1016/j.cpm.2017.12.001</w:t>
      </w:r>
    </w:p>
    <w:p w14:paraId="7337A32B" w14:textId="46ADB511" w:rsidR="00A950E9" w:rsidRPr="00A950E9" w:rsidRDefault="00A950E9" w:rsidP="00A950E9">
      <w:pPr>
        <w:rPr>
          <w:rFonts w:ascii="Arial" w:hAnsi="Arial" w:cs="Arial"/>
          <w:lang w:val="pt-BR"/>
        </w:rPr>
      </w:pPr>
      <w:r>
        <w:rPr>
          <w:rFonts w:ascii="Arial" w:hAnsi="Arial" w:cs="Arial"/>
          <w:color w:val="212121"/>
          <w:shd w:val="clear" w:color="auto" w:fill="FFFFFF"/>
        </w:rPr>
        <w:t xml:space="preserve">19.    </w:t>
      </w:r>
      <w:r w:rsidRPr="00A950E9">
        <w:rPr>
          <w:rFonts w:ascii="Arial" w:hAnsi="Arial" w:cs="Arial"/>
          <w:color w:val="212121"/>
          <w:shd w:val="clear" w:color="auto" w:fill="FFFFFF"/>
        </w:rPr>
        <w:t xml:space="preserve">Weinheimer K, Campbell B, Roush EP, Lewis GS, Kunselman A, Aydogan U. Effects of variations in Dwyer </w:t>
      </w:r>
      <w:r>
        <w:rPr>
          <w:rFonts w:ascii="Arial" w:hAnsi="Arial" w:cs="Arial"/>
          <w:color w:val="212121"/>
          <w:shd w:val="clear" w:color="auto" w:fill="FFFFFF"/>
        </w:rPr>
        <w:t xml:space="preserve">              </w:t>
      </w:r>
      <w:r w:rsidRPr="00A950E9">
        <w:rPr>
          <w:rFonts w:ascii="Arial" w:hAnsi="Arial" w:cs="Arial"/>
          <w:color w:val="212121"/>
          <w:shd w:val="clear" w:color="auto" w:fill="FFFFFF"/>
        </w:rPr>
        <w:t xml:space="preserve">calcaneal osteotomy determined by three-dimensional printed patient-specific modeling. </w:t>
      </w:r>
      <w:r w:rsidRPr="00A950E9">
        <w:rPr>
          <w:rFonts w:ascii="Arial" w:hAnsi="Arial" w:cs="Arial"/>
          <w:color w:val="212121"/>
          <w:shd w:val="clear" w:color="auto" w:fill="FFFFFF"/>
          <w:lang w:val="pt-BR"/>
        </w:rPr>
        <w:t>J Orthop Res. 2020 Dec;38(12):2619-2624. doi: 10.1002/jor.24772. Epub 2020 Jun 15. PMID: 32510162.</w:t>
      </w:r>
    </w:p>
    <w:p w14:paraId="76990B68" w14:textId="10595393" w:rsidR="00A950E9" w:rsidRPr="00A950E9" w:rsidRDefault="00A950E9" w:rsidP="00A950E9">
      <w:pPr>
        <w:pStyle w:val="NormalWeb"/>
        <w:rPr>
          <w:rFonts w:ascii="Arial" w:hAnsi="Arial" w:cs="Arial"/>
          <w:color w:val="000000" w:themeColor="text1"/>
          <w:szCs w:val="20"/>
        </w:rPr>
      </w:pPr>
      <w:r>
        <w:rPr>
          <w:rFonts w:ascii="Arial" w:hAnsi="Arial" w:cs="Arial"/>
          <w:color w:val="000000" w:themeColor="text1"/>
          <w:szCs w:val="20"/>
          <w:lang w:val="pt-BR"/>
        </w:rPr>
        <w:t xml:space="preserve">20.    </w:t>
      </w:r>
      <w:r w:rsidRPr="00A950E9">
        <w:rPr>
          <w:rFonts w:ascii="Arial" w:hAnsi="Arial" w:cs="Arial"/>
          <w:color w:val="000000" w:themeColor="text1"/>
          <w:szCs w:val="20"/>
          <w:lang w:val="pt-BR"/>
        </w:rPr>
        <w:t xml:space="preserve">Moré L, Marchi Neto N, Ferreira RC. </w:t>
      </w:r>
      <w:r w:rsidRPr="00A950E9">
        <w:rPr>
          <w:rFonts w:ascii="Arial" w:hAnsi="Arial" w:cs="Arial"/>
          <w:color w:val="000000" w:themeColor="text1"/>
          <w:szCs w:val="20"/>
        </w:rPr>
        <w:t xml:space="preserve">Efficacy of triple surgery for cavovarus foot in Charcot-Marie-Tooth disease. J Foot Ankle. 2021;15(1):19-25. </w:t>
      </w:r>
    </w:p>
    <w:p w14:paraId="68577EBA" w14:textId="5F2D8294" w:rsidR="00A950E9" w:rsidRPr="00A950E9" w:rsidRDefault="00A950E9" w:rsidP="00A950E9">
      <w:pPr>
        <w:rPr>
          <w:rFonts w:ascii="Arial" w:hAnsi="Arial" w:cs="Arial"/>
        </w:rPr>
      </w:pPr>
      <w:r>
        <w:rPr>
          <w:rFonts w:ascii="Arial" w:hAnsi="Arial" w:cs="Arial"/>
          <w:color w:val="212121"/>
          <w:shd w:val="clear" w:color="auto" w:fill="FFFFFF"/>
        </w:rPr>
        <w:t xml:space="preserve">21.    </w:t>
      </w:r>
      <w:r w:rsidRPr="00A950E9">
        <w:rPr>
          <w:rFonts w:ascii="Arial" w:hAnsi="Arial" w:cs="Arial"/>
          <w:color w:val="212121"/>
          <w:shd w:val="clear" w:color="auto" w:fill="FFFFFF"/>
        </w:rPr>
        <w:t>An TW, Michalski M, Jansson K, Pfeffer G. Comparison of Lateralizing Calcaneal Osteotomies for Varus Hindfoot Correction. Foot Ankle Int. 2018 Oct;39(10):1229-1236. doi: 10.1177/1071100718781572. Epub 2018 Jul 16. PMID: 30011380.</w:t>
      </w:r>
    </w:p>
    <w:p w14:paraId="75DCA79F" w14:textId="77777777" w:rsidR="00A950E9" w:rsidRPr="000569BA" w:rsidRDefault="00A950E9" w:rsidP="002D7E61">
      <w:pPr>
        <w:widowControl w:val="0"/>
        <w:autoSpaceDE w:val="0"/>
        <w:autoSpaceDN w:val="0"/>
        <w:adjustRightInd w:val="0"/>
        <w:spacing w:line="240" w:lineRule="auto"/>
        <w:ind w:left="640" w:hanging="640"/>
        <w:rPr>
          <w:rFonts w:ascii="Times" w:hAnsi="Times" w:cs="Arial"/>
        </w:rPr>
      </w:pPr>
    </w:p>
    <w:p w14:paraId="35002CF9" w14:textId="77777777" w:rsidR="002D7E61" w:rsidRPr="00B2232D" w:rsidRDefault="002D7E61" w:rsidP="002D7E61">
      <w:pPr>
        <w:widowControl w:val="0"/>
        <w:autoSpaceDE w:val="0"/>
        <w:autoSpaceDN w:val="0"/>
        <w:adjustRightInd w:val="0"/>
        <w:spacing w:line="480" w:lineRule="auto"/>
        <w:rPr>
          <w:rFonts w:ascii="Arial" w:hAnsi="Arial" w:cs="Arial"/>
          <w:b/>
        </w:rPr>
      </w:pPr>
    </w:p>
    <w:p w14:paraId="49BB2A84" w14:textId="4F2999B5" w:rsidR="00522304" w:rsidRPr="00E615BA" w:rsidRDefault="002D7E61" w:rsidP="002D7E61">
      <w:pPr>
        <w:rPr>
          <w:rFonts w:cs="Calibri"/>
        </w:rPr>
      </w:pPr>
      <w:r>
        <w:rPr>
          <w:rFonts w:ascii="Arial" w:hAnsi="Arial" w:cs="Arial"/>
        </w:rPr>
        <w:fldChar w:fldCharType="end"/>
      </w:r>
    </w:p>
    <w:sectPr w:rsidR="00522304" w:rsidRPr="00E615BA" w:rsidSect="00C236F8">
      <w:headerReference w:type="even" r:id="rId14"/>
      <w:headerReference w:type="default" r:id="rId15"/>
      <w:footerReference w:type="default" r:id="rId16"/>
      <w:headerReference w:type="first" r:id="rId17"/>
      <w:footerReference w:type="first" r:id="rId18"/>
      <w:type w:val="continuous"/>
      <w:pgSz w:w="11906" w:h="16838" w:code="9"/>
      <w:pgMar w:top="1417" w:right="720" w:bottom="1077" w:left="720" w:header="1020" w:footer="340" w:gutter="0"/>
      <w:lnNumType w:countBy="1" w:distance="255" w:restart="continuous"/>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25D9B" w14:textId="77777777" w:rsidR="00A42669" w:rsidRDefault="00A42669">
      <w:pPr>
        <w:spacing w:line="240" w:lineRule="auto"/>
      </w:pPr>
      <w:r>
        <w:separator/>
      </w:r>
    </w:p>
  </w:endnote>
  <w:endnote w:type="continuationSeparator" w:id="0">
    <w:p w14:paraId="7594891C" w14:textId="77777777" w:rsidR="00A42669" w:rsidRDefault="00A4266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0A3B5" w14:textId="77777777" w:rsidR="00E90986" w:rsidRPr="00590BF9" w:rsidRDefault="00E90986" w:rsidP="00E90986">
    <w:pPr>
      <w:pStyle w:val="Rodap"/>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5833A" w14:textId="77777777" w:rsidR="00953C94" w:rsidRDefault="00953C94" w:rsidP="00F32F04">
    <w:pPr>
      <w:pStyle w:val="MDPIfooterfirstpage"/>
      <w:pBdr>
        <w:top w:val="single" w:sz="4" w:space="0" w:color="000000"/>
      </w:pBdr>
      <w:adjustRightInd w:val="0"/>
      <w:snapToGrid w:val="0"/>
      <w:spacing w:before="480" w:line="100" w:lineRule="exact"/>
      <w:rPr>
        <w:i/>
        <w:szCs w:val="16"/>
      </w:rPr>
    </w:pPr>
  </w:p>
  <w:p w14:paraId="061836AB" w14:textId="77777777" w:rsidR="00E90986" w:rsidRPr="008B308E" w:rsidRDefault="00E90986" w:rsidP="00B200C8">
    <w:pPr>
      <w:pStyle w:val="MDPIfooterfirstpage"/>
      <w:tabs>
        <w:tab w:val="clear" w:pos="8845"/>
        <w:tab w:val="right" w:pos="10466"/>
      </w:tabs>
      <w:spacing w:line="240" w:lineRule="auto"/>
      <w:jc w:val="both"/>
      <w:rPr>
        <w:lang w:val="fr-CH"/>
      </w:rPr>
    </w:pPr>
    <w:r w:rsidRPr="009231ED">
      <w:rPr>
        <w:i/>
        <w:szCs w:val="16"/>
      </w:rPr>
      <w:t>Int. J. Environ. Res. Public Health</w:t>
    </w:r>
    <w:r w:rsidRPr="009231ED">
      <w:rPr>
        <w:szCs w:val="16"/>
      </w:rPr>
      <w:t xml:space="preserve"> </w:t>
    </w:r>
    <w:r w:rsidR="00072F70" w:rsidRPr="00072F70">
      <w:rPr>
        <w:b/>
        <w:szCs w:val="16"/>
      </w:rPr>
      <w:t>2021</w:t>
    </w:r>
    <w:r w:rsidR="00AE348C" w:rsidRPr="00AE348C">
      <w:rPr>
        <w:szCs w:val="16"/>
      </w:rPr>
      <w:t xml:space="preserve">, </w:t>
    </w:r>
    <w:r w:rsidR="00072F70" w:rsidRPr="00072F70">
      <w:rPr>
        <w:i/>
        <w:szCs w:val="16"/>
      </w:rPr>
      <w:t>18</w:t>
    </w:r>
    <w:r w:rsidR="00AE348C" w:rsidRPr="00AE348C">
      <w:rPr>
        <w:szCs w:val="16"/>
      </w:rPr>
      <w:t xml:space="preserve">, </w:t>
    </w:r>
    <w:r w:rsidR="001F0C32">
      <w:rPr>
        <w:szCs w:val="16"/>
      </w:rPr>
      <w:t>x</w:t>
    </w:r>
    <w:r w:rsidR="00953C94">
      <w:rPr>
        <w:szCs w:val="16"/>
      </w:rPr>
      <w:t>. https://doi.org/10.3390/xxxxx</w:t>
    </w:r>
    <w:r w:rsidR="00B200C8" w:rsidRPr="008B308E">
      <w:rPr>
        <w:lang w:val="fr-CH"/>
      </w:rPr>
      <w:tab/>
    </w:r>
    <w:r w:rsidRPr="008B308E">
      <w:rPr>
        <w:lang w:val="fr-CH"/>
      </w:rPr>
      <w:t>www.mdpi.com/journal/</w:t>
    </w:r>
    <w:proofErr w:type="spellStart"/>
    <w:r>
      <w:t>ijerph</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4B205D" w14:textId="77777777" w:rsidR="00A42669" w:rsidRDefault="00A42669">
      <w:pPr>
        <w:spacing w:line="240" w:lineRule="auto"/>
      </w:pPr>
      <w:r>
        <w:separator/>
      </w:r>
    </w:p>
  </w:footnote>
  <w:footnote w:type="continuationSeparator" w:id="0">
    <w:p w14:paraId="081510FD" w14:textId="77777777" w:rsidR="00A42669" w:rsidRDefault="00A4266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8728F" w14:textId="77777777" w:rsidR="00E90986" w:rsidRDefault="00E90986" w:rsidP="00E90986">
    <w:pPr>
      <w:pStyle w:val="Cabealho"/>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8598A" w14:textId="77777777" w:rsidR="00953C94" w:rsidRDefault="00E90986" w:rsidP="00B200C8">
    <w:pPr>
      <w:tabs>
        <w:tab w:val="right" w:pos="10466"/>
      </w:tabs>
      <w:adjustRightInd w:val="0"/>
      <w:snapToGrid w:val="0"/>
      <w:spacing w:line="240" w:lineRule="auto"/>
      <w:rPr>
        <w:sz w:val="16"/>
      </w:rPr>
    </w:pPr>
    <w:r>
      <w:rPr>
        <w:i/>
        <w:sz w:val="16"/>
      </w:rPr>
      <w:t xml:space="preserve">Int. J. Environ. Res. Public Health </w:t>
    </w:r>
    <w:r w:rsidR="00B432DE" w:rsidRPr="00B432DE">
      <w:rPr>
        <w:b/>
        <w:sz w:val="16"/>
      </w:rPr>
      <w:t>2021</w:t>
    </w:r>
    <w:r w:rsidR="00AE348C" w:rsidRPr="00AE348C">
      <w:rPr>
        <w:sz w:val="16"/>
      </w:rPr>
      <w:t xml:space="preserve">, </w:t>
    </w:r>
    <w:r w:rsidR="00B432DE" w:rsidRPr="00B432DE">
      <w:rPr>
        <w:i/>
        <w:sz w:val="16"/>
      </w:rPr>
      <w:t>18</w:t>
    </w:r>
    <w:r w:rsidR="001F0C32">
      <w:rPr>
        <w:sz w:val="16"/>
      </w:rPr>
      <w:t>, x FOR PEER REVIEW</w:t>
    </w:r>
    <w:r w:rsidR="00B200C8">
      <w:rPr>
        <w:sz w:val="16"/>
      </w:rPr>
      <w:tab/>
    </w:r>
    <w:r w:rsidR="001F0C32">
      <w:rPr>
        <w:sz w:val="16"/>
      </w:rPr>
      <w:fldChar w:fldCharType="begin"/>
    </w:r>
    <w:r w:rsidR="001F0C32">
      <w:rPr>
        <w:sz w:val="16"/>
      </w:rPr>
      <w:instrText xml:space="preserve"> PAGE   \* MERGEFORMAT </w:instrText>
    </w:r>
    <w:r w:rsidR="001F0C32">
      <w:rPr>
        <w:sz w:val="16"/>
      </w:rPr>
      <w:fldChar w:fldCharType="separate"/>
    </w:r>
    <w:r w:rsidR="009313EF">
      <w:rPr>
        <w:sz w:val="16"/>
      </w:rPr>
      <w:t>5</w:t>
    </w:r>
    <w:r w:rsidR="001F0C32">
      <w:rPr>
        <w:sz w:val="16"/>
      </w:rPr>
      <w:fldChar w:fldCharType="end"/>
    </w:r>
    <w:r w:rsidR="001F0C32">
      <w:rPr>
        <w:sz w:val="16"/>
      </w:rPr>
      <w:t xml:space="preserve"> of </w:t>
    </w:r>
    <w:r w:rsidR="001F0C32">
      <w:rPr>
        <w:sz w:val="16"/>
      </w:rPr>
      <w:fldChar w:fldCharType="begin"/>
    </w:r>
    <w:r w:rsidR="001F0C32">
      <w:rPr>
        <w:sz w:val="16"/>
      </w:rPr>
      <w:instrText xml:space="preserve"> NUMPAGES   \* MERGEFORMAT </w:instrText>
    </w:r>
    <w:r w:rsidR="001F0C32">
      <w:rPr>
        <w:sz w:val="16"/>
      </w:rPr>
      <w:fldChar w:fldCharType="separate"/>
    </w:r>
    <w:r w:rsidR="009313EF">
      <w:rPr>
        <w:sz w:val="16"/>
      </w:rPr>
      <w:t>5</w:t>
    </w:r>
    <w:r w:rsidR="001F0C32">
      <w:rPr>
        <w:sz w:val="16"/>
      </w:rPr>
      <w:fldChar w:fldCharType="end"/>
    </w:r>
  </w:p>
  <w:p w14:paraId="1A5FDCC0" w14:textId="77777777" w:rsidR="00E90986" w:rsidRPr="00305CED" w:rsidRDefault="00E90986" w:rsidP="00F32F04">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87" w:type="dxa"/>
      <w:tblCellMar>
        <w:left w:w="0" w:type="dxa"/>
        <w:right w:w="0" w:type="dxa"/>
      </w:tblCellMar>
      <w:tblLook w:val="04A0" w:firstRow="1" w:lastRow="0" w:firstColumn="1" w:lastColumn="0" w:noHBand="0" w:noVBand="1"/>
    </w:tblPr>
    <w:tblGrid>
      <w:gridCol w:w="3679"/>
      <w:gridCol w:w="4535"/>
      <w:gridCol w:w="2273"/>
    </w:tblGrid>
    <w:tr w:rsidR="00953C94" w:rsidRPr="00B200C8" w14:paraId="18C1965D" w14:textId="77777777" w:rsidTr="00B200C8">
      <w:trPr>
        <w:trHeight w:val="686"/>
      </w:trPr>
      <w:tc>
        <w:tcPr>
          <w:tcW w:w="3679" w:type="dxa"/>
          <w:shd w:val="clear" w:color="auto" w:fill="auto"/>
          <w:vAlign w:val="center"/>
        </w:tcPr>
        <w:p w14:paraId="1A3D5EE1" w14:textId="77777777" w:rsidR="00953C94" w:rsidRPr="006331AD" w:rsidRDefault="002D7E61" w:rsidP="00B200C8">
          <w:pPr>
            <w:pStyle w:val="Cabealho"/>
            <w:pBdr>
              <w:bottom w:val="none" w:sz="0" w:space="0" w:color="auto"/>
            </w:pBdr>
            <w:jc w:val="left"/>
            <w:rPr>
              <w:rFonts w:eastAsia="DengXian"/>
              <w:b/>
              <w:bCs/>
            </w:rPr>
          </w:pPr>
          <w:r w:rsidRPr="006331AD">
            <w:rPr>
              <w:rFonts w:eastAsia="DengXian"/>
              <w:b/>
              <w:bCs/>
            </w:rPr>
            <w:drawing>
              <wp:inline distT="0" distB="0" distL="0" distR="0" wp14:anchorId="796EBFBF" wp14:editId="28BF042A">
                <wp:extent cx="1828800" cy="431800"/>
                <wp:effectExtent l="0" t="0" r="0" b="0"/>
                <wp:docPr id="2" name="Picture 3" descr="C:\Users\home\Desktop\logos\png\ijerph-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Desktop\logos\png\ijerph-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431800"/>
                        </a:xfrm>
                        <a:prstGeom prst="rect">
                          <a:avLst/>
                        </a:prstGeom>
                        <a:noFill/>
                        <a:ln>
                          <a:noFill/>
                        </a:ln>
                      </pic:spPr>
                    </pic:pic>
                  </a:graphicData>
                </a:graphic>
              </wp:inline>
            </w:drawing>
          </w:r>
        </w:p>
      </w:tc>
      <w:tc>
        <w:tcPr>
          <w:tcW w:w="4535" w:type="dxa"/>
          <w:shd w:val="clear" w:color="auto" w:fill="auto"/>
          <w:vAlign w:val="center"/>
        </w:tcPr>
        <w:p w14:paraId="3F6D9ACF" w14:textId="77777777" w:rsidR="00953C94" w:rsidRPr="006331AD" w:rsidRDefault="00953C94" w:rsidP="00B200C8">
          <w:pPr>
            <w:pStyle w:val="Cabealho"/>
            <w:pBdr>
              <w:bottom w:val="none" w:sz="0" w:space="0" w:color="auto"/>
            </w:pBdr>
            <w:rPr>
              <w:rFonts w:eastAsia="DengXian"/>
              <w:b/>
              <w:bCs/>
            </w:rPr>
          </w:pPr>
        </w:p>
      </w:tc>
      <w:tc>
        <w:tcPr>
          <w:tcW w:w="2273" w:type="dxa"/>
          <w:shd w:val="clear" w:color="auto" w:fill="auto"/>
          <w:vAlign w:val="center"/>
        </w:tcPr>
        <w:p w14:paraId="6AD8C319" w14:textId="77777777" w:rsidR="00953C94" w:rsidRPr="006331AD" w:rsidRDefault="002D7E61" w:rsidP="00B200C8">
          <w:pPr>
            <w:pStyle w:val="Cabealho"/>
            <w:pBdr>
              <w:bottom w:val="none" w:sz="0" w:space="0" w:color="auto"/>
            </w:pBdr>
            <w:jc w:val="right"/>
            <w:rPr>
              <w:rFonts w:eastAsia="DengXian"/>
              <w:b/>
              <w:bCs/>
            </w:rPr>
          </w:pPr>
          <w:r w:rsidRPr="006331AD">
            <w:rPr>
              <w:rFonts w:eastAsia="DengXian"/>
              <w:b/>
              <w:bCs/>
            </w:rPr>
            <w:drawing>
              <wp:inline distT="0" distB="0" distL="0" distR="0" wp14:anchorId="430F89D0" wp14:editId="4626C023">
                <wp:extent cx="539750" cy="355600"/>
                <wp:effectExtent l="0" t="0" r="0"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9750" cy="355600"/>
                        </a:xfrm>
                        <a:prstGeom prst="rect">
                          <a:avLst/>
                        </a:prstGeom>
                        <a:noFill/>
                        <a:ln>
                          <a:noFill/>
                        </a:ln>
                      </pic:spPr>
                    </pic:pic>
                  </a:graphicData>
                </a:graphic>
              </wp:inline>
            </w:drawing>
          </w:r>
        </w:p>
      </w:tc>
    </w:tr>
  </w:tbl>
  <w:p w14:paraId="55B22010" w14:textId="77777777" w:rsidR="00E90986" w:rsidRPr="00953C94" w:rsidRDefault="00E90986" w:rsidP="00F32F04">
    <w:pPr>
      <w:pBdr>
        <w:bottom w:val="single" w:sz="4" w:space="1" w:color="000000"/>
      </w:pBdr>
      <w:adjustRightInd w:val="0"/>
      <w:snapToGrid w:val="0"/>
      <w:spacing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6" w15:restartNumberingAfterBreak="0">
    <w:nsid w:val="52E2771B"/>
    <w:multiLevelType w:val="hybridMultilevel"/>
    <w:tmpl w:val="A2A06AAC"/>
    <w:lvl w:ilvl="0" w:tplc="C788203A">
      <w:start w:val="1"/>
      <w:numFmt w:val="decimal"/>
      <w:lvlRestart w:val="0"/>
      <w:pStyle w:val="MDPI71FootNotes"/>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8" w15:restartNumberingAfterBreak="0">
    <w:nsid w:val="706D5736"/>
    <w:multiLevelType w:val="hybridMultilevel"/>
    <w:tmpl w:val="E3640C5C"/>
    <w:lvl w:ilvl="0" w:tplc="0409000F">
      <w:start w:val="1"/>
      <w:numFmt w:val="decimal"/>
      <w:lvlText w:val="%1."/>
      <w:lvlJc w:val="left"/>
      <w:pPr>
        <w:ind w:left="1429" w:hanging="360"/>
      </w:pPr>
      <w:rPr>
        <w:rFonts w:hint="eastAsia"/>
      </w:r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num w:numId="1">
    <w:abstractNumId w:val="3"/>
  </w:num>
  <w:num w:numId="2">
    <w:abstractNumId w:val="5"/>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7"/>
  </w:num>
  <w:num w:numId="7">
    <w:abstractNumId w:val="1"/>
  </w:num>
  <w:num w:numId="8">
    <w:abstractNumId w:val="7"/>
  </w:num>
  <w:num w:numId="9">
    <w:abstractNumId w:val="1"/>
  </w:num>
  <w:num w:numId="10">
    <w:abstractNumId w:val="7"/>
  </w:num>
  <w:num w:numId="11">
    <w:abstractNumId w:val="1"/>
  </w:num>
  <w:num w:numId="12">
    <w:abstractNumId w:val="8"/>
  </w:num>
  <w:num w:numId="13">
    <w:abstractNumId w:val="7"/>
  </w:num>
  <w:num w:numId="14">
    <w:abstractNumId w:val="1"/>
  </w:num>
  <w:num w:numId="15">
    <w:abstractNumId w:val="7"/>
  </w:num>
  <w:num w:numId="16">
    <w:abstractNumId w:val="1"/>
  </w:num>
  <w:num w:numId="17">
    <w:abstractNumId w:val="6"/>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4"/>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hyphenationZone w:val="425"/>
  <w:drawingGridHorizontalSpacing w:val="10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E61"/>
    <w:rsid w:val="0002554A"/>
    <w:rsid w:val="0003183D"/>
    <w:rsid w:val="00041937"/>
    <w:rsid w:val="00047C14"/>
    <w:rsid w:val="00053D68"/>
    <w:rsid w:val="00062D64"/>
    <w:rsid w:val="00070BC3"/>
    <w:rsid w:val="00072F70"/>
    <w:rsid w:val="00094484"/>
    <w:rsid w:val="00095B77"/>
    <w:rsid w:val="000C3D95"/>
    <w:rsid w:val="000D4CAC"/>
    <w:rsid w:val="001035B5"/>
    <w:rsid w:val="00113A18"/>
    <w:rsid w:val="00121956"/>
    <w:rsid w:val="001228BC"/>
    <w:rsid w:val="00177995"/>
    <w:rsid w:val="00183AB8"/>
    <w:rsid w:val="00194C32"/>
    <w:rsid w:val="001957FA"/>
    <w:rsid w:val="001D41F9"/>
    <w:rsid w:val="001E2AEB"/>
    <w:rsid w:val="001F0C32"/>
    <w:rsid w:val="001F4566"/>
    <w:rsid w:val="001F53CA"/>
    <w:rsid w:val="001F6D18"/>
    <w:rsid w:val="002019E5"/>
    <w:rsid w:val="0020566A"/>
    <w:rsid w:val="00205AC7"/>
    <w:rsid w:val="0020625A"/>
    <w:rsid w:val="00214A6A"/>
    <w:rsid w:val="00223336"/>
    <w:rsid w:val="00257BA9"/>
    <w:rsid w:val="00263EA3"/>
    <w:rsid w:val="00284BEB"/>
    <w:rsid w:val="0028607E"/>
    <w:rsid w:val="0028620F"/>
    <w:rsid w:val="002D57A5"/>
    <w:rsid w:val="002D7E61"/>
    <w:rsid w:val="002E3019"/>
    <w:rsid w:val="00306807"/>
    <w:rsid w:val="00322BD2"/>
    <w:rsid w:val="00326141"/>
    <w:rsid w:val="003663D4"/>
    <w:rsid w:val="0039002C"/>
    <w:rsid w:val="003938DA"/>
    <w:rsid w:val="00401B3A"/>
    <w:rsid w:val="00401D30"/>
    <w:rsid w:val="00407587"/>
    <w:rsid w:val="00414DE1"/>
    <w:rsid w:val="00417958"/>
    <w:rsid w:val="00421077"/>
    <w:rsid w:val="0042738E"/>
    <w:rsid w:val="0046726B"/>
    <w:rsid w:val="004A751A"/>
    <w:rsid w:val="004B5280"/>
    <w:rsid w:val="004D5A80"/>
    <w:rsid w:val="004D6B8D"/>
    <w:rsid w:val="00514646"/>
    <w:rsid w:val="00522304"/>
    <w:rsid w:val="00527484"/>
    <w:rsid w:val="00547C19"/>
    <w:rsid w:val="00576272"/>
    <w:rsid w:val="005940DE"/>
    <w:rsid w:val="005B0E8A"/>
    <w:rsid w:val="005B6C3D"/>
    <w:rsid w:val="006117B1"/>
    <w:rsid w:val="006211DD"/>
    <w:rsid w:val="006331AD"/>
    <w:rsid w:val="00642BB4"/>
    <w:rsid w:val="00662E41"/>
    <w:rsid w:val="00692393"/>
    <w:rsid w:val="006C61EE"/>
    <w:rsid w:val="00777077"/>
    <w:rsid w:val="00785C80"/>
    <w:rsid w:val="007A0755"/>
    <w:rsid w:val="007B3E14"/>
    <w:rsid w:val="007C437A"/>
    <w:rsid w:val="007D1435"/>
    <w:rsid w:val="007E5A5B"/>
    <w:rsid w:val="00826149"/>
    <w:rsid w:val="008B4E46"/>
    <w:rsid w:val="008C5CBF"/>
    <w:rsid w:val="008E3B5E"/>
    <w:rsid w:val="008E45E2"/>
    <w:rsid w:val="009313EF"/>
    <w:rsid w:val="00953C94"/>
    <w:rsid w:val="00982FD9"/>
    <w:rsid w:val="00985746"/>
    <w:rsid w:val="00997B86"/>
    <w:rsid w:val="009A52C8"/>
    <w:rsid w:val="009B152D"/>
    <w:rsid w:val="009F274E"/>
    <w:rsid w:val="009F70E6"/>
    <w:rsid w:val="00A0136F"/>
    <w:rsid w:val="00A02301"/>
    <w:rsid w:val="00A146C0"/>
    <w:rsid w:val="00A17F1A"/>
    <w:rsid w:val="00A41EC8"/>
    <w:rsid w:val="00A42669"/>
    <w:rsid w:val="00A64950"/>
    <w:rsid w:val="00A950E9"/>
    <w:rsid w:val="00AC61B4"/>
    <w:rsid w:val="00AD2D7B"/>
    <w:rsid w:val="00AE348C"/>
    <w:rsid w:val="00AF44C1"/>
    <w:rsid w:val="00B00E09"/>
    <w:rsid w:val="00B06823"/>
    <w:rsid w:val="00B200C8"/>
    <w:rsid w:val="00B230E1"/>
    <w:rsid w:val="00B31FCC"/>
    <w:rsid w:val="00B432DE"/>
    <w:rsid w:val="00B51487"/>
    <w:rsid w:val="00B51E9F"/>
    <w:rsid w:val="00BC1FAF"/>
    <w:rsid w:val="00BE6750"/>
    <w:rsid w:val="00BF437C"/>
    <w:rsid w:val="00C13470"/>
    <w:rsid w:val="00C22823"/>
    <w:rsid w:val="00C236F8"/>
    <w:rsid w:val="00C243C9"/>
    <w:rsid w:val="00C639EA"/>
    <w:rsid w:val="00C65B0B"/>
    <w:rsid w:val="00C82596"/>
    <w:rsid w:val="00CA7505"/>
    <w:rsid w:val="00CB4277"/>
    <w:rsid w:val="00CB597B"/>
    <w:rsid w:val="00CC3BD2"/>
    <w:rsid w:val="00CC57CC"/>
    <w:rsid w:val="00D412C1"/>
    <w:rsid w:val="00D75394"/>
    <w:rsid w:val="00D81521"/>
    <w:rsid w:val="00D96023"/>
    <w:rsid w:val="00DC7F54"/>
    <w:rsid w:val="00DD5900"/>
    <w:rsid w:val="00E04E7D"/>
    <w:rsid w:val="00E615BA"/>
    <w:rsid w:val="00E66088"/>
    <w:rsid w:val="00E706A1"/>
    <w:rsid w:val="00E755FF"/>
    <w:rsid w:val="00E90986"/>
    <w:rsid w:val="00ED1BAB"/>
    <w:rsid w:val="00F005AA"/>
    <w:rsid w:val="00F01EEE"/>
    <w:rsid w:val="00F32F04"/>
    <w:rsid w:val="00F35C92"/>
    <w:rsid w:val="00F62C5C"/>
    <w:rsid w:val="00F71EC5"/>
    <w:rsid w:val="00FA6084"/>
    <w:rsid w:val="00FB0D48"/>
    <w:rsid w:val="00FC0E01"/>
    <w:rsid w:val="00FE6577"/>
    <w:rsid w:val="00FF17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A5D4CE"/>
  <w15:chartTrackingRefBased/>
  <w15:docId w15:val="{6BC16CAC-DE47-45FA-90FF-2B0AC752A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2304"/>
    <w:pPr>
      <w:spacing w:line="260" w:lineRule="atLeast"/>
      <w:jc w:val="both"/>
    </w:pPr>
    <w:rPr>
      <w:rFonts w:ascii="Palatino Linotype" w:hAnsi="Palatino Linotype"/>
      <w:noProof/>
      <w:color w:val="000000"/>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MDPI11articletype">
    <w:name w:val="MDPI_1.1_article_type"/>
    <w:next w:val="Normal"/>
    <w:qFormat/>
    <w:rsid w:val="0028620F"/>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28620F"/>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28620F"/>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28620F"/>
    <w:pPr>
      <w:adjustRightInd w:val="0"/>
      <w:snapToGrid w:val="0"/>
      <w:spacing w:line="240" w:lineRule="atLeast"/>
      <w:ind w:right="113"/>
      <w:jc w:val="left"/>
    </w:pPr>
    <w:rPr>
      <w:rFonts w:eastAsia="Times New Roman"/>
      <w:noProof w:val="0"/>
      <w:sz w:val="14"/>
      <w:lang w:eastAsia="de-DE" w:bidi="en-US"/>
    </w:rPr>
  </w:style>
  <w:style w:type="paragraph" w:customStyle="1" w:styleId="MDPI16affiliation">
    <w:name w:val="MDPI_1.6_affiliation"/>
    <w:qFormat/>
    <w:rsid w:val="0028620F"/>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28620F"/>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Normal"/>
    <w:qFormat/>
    <w:rsid w:val="0028620F"/>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19line">
    <w:name w:val="MDPI_1.9_line"/>
    <w:qFormat/>
    <w:rsid w:val="0028620F"/>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elanormal"/>
    <w:uiPriority w:val="99"/>
    <w:rsid w:val="0046726B"/>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elacomgrade">
    <w:name w:val="Table Grid"/>
    <w:basedOn w:val="Tabelanormal"/>
    <w:uiPriority w:val="59"/>
    <w:rsid w:val="00522304"/>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odap">
    <w:name w:val="footer"/>
    <w:basedOn w:val="Normal"/>
    <w:link w:val="RodapChar"/>
    <w:uiPriority w:val="99"/>
    <w:rsid w:val="00522304"/>
    <w:pPr>
      <w:tabs>
        <w:tab w:val="center" w:pos="4153"/>
        <w:tab w:val="right" w:pos="8306"/>
      </w:tabs>
      <w:snapToGrid w:val="0"/>
      <w:spacing w:line="240" w:lineRule="atLeast"/>
    </w:pPr>
    <w:rPr>
      <w:szCs w:val="18"/>
    </w:rPr>
  </w:style>
  <w:style w:type="character" w:customStyle="1" w:styleId="RodapChar">
    <w:name w:val="Rodapé Char"/>
    <w:link w:val="Rodap"/>
    <w:uiPriority w:val="99"/>
    <w:rsid w:val="00522304"/>
    <w:rPr>
      <w:rFonts w:ascii="Palatino Linotype" w:hAnsi="Palatino Linotype"/>
      <w:noProof/>
      <w:color w:val="000000"/>
      <w:szCs w:val="18"/>
    </w:rPr>
  </w:style>
  <w:style w:type="paragraph" w:styleId="Cabealho">
    <w:name w:val="header"/>
    <w:basedOn w:val="Normal"/>
    <w:link w:val="CabealhoChar"/>
    <w:uiPriority w:val="99"/>
    <w:rsid w:val="00522304"/>
    <w:pPr>
      <w:pBdr>
        <w:bottom w:val="single" w:sz="6" w:space="1" w:color="auto"/>
      </w:pBdr>
      <w:tabs>
        <w:tab w:val="center" w:pos="4153"/>
        <w:tab w:val="right" w:pos="8306"/>
      </w:tabs>
      <w:snapToGrid w:val="0"/>
      <w:spacing w:line="240" w:lineRule="atLeast"/>
      <w:jc w:val="center"/>
    </w:pPr>
    <w:rPr>
      <w:szCs w:val="18"/>
    </w:rPr>
  </w:style>
  <w:style w:type="character" w:customStyle="1" w:styleId="CabealhoChar">
    <w:name w:val="Cabeçalho Char"/>
    <w:link w:val="Cabealho"/>
    <w:uiPriority w:val="99"/>
    <w:rsid w:val="00522304"/>
    <w:rPr>
      <w:rFonts w:ascii="Palatino Linotype" w:hAnsi="Palatino Linotype"/>
      <w:noProof/>
      <w:color w:val="000000"/>
      <w:szCs w:val="18"/>
    </w:rPr>
  </w:style>
  <w:style w:type="paragraph" w:customStyle="1" w:styleId="MDPIheaderjournallogo">
    <w:name w:val="MDPI_header_journal_logo"/>
    <w:qFormat/>
    <w:rsid w:val="0028620F"/>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28620F"/>
    <w:pPr>
      <w:ind w:firstLine="0"/>
    </w:pPr>
  </w:style>
  <w:style w:type="paragraph" w:customStyle="1" w:styleId="MDPI31text">
    <w:name w:val="MDPI_3.1_text"/>
    <w:qFormat/>
    <w:rsid w:val="0028620F"/>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28620F"/>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4textspacebefore">
    <w:name w:val="MDPI_3.4_text_space_before"/>
    <w:qFormat/>
    <w:rsid w:val="0028620F"/>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28620F"/>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28620F"/>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28620F"/>
    <w:pPr>
      <w:numPr>
        <w:numId w:val="15"/>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28620F"/>
    <w:pPr>
      <w:numPr>
        <w:numId w:val="16"/>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28620F"/>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28620F"/>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28620F"/>
    <w:pPr>
      <w:adjustRightInd w:val="0"/>
      <w:snapToGrid w:val="0"/>
      <w:spacing w:before="240" w:after="120" w:line="228" w:lineRule="auto"/>
      <w:ind w:left="2608"/>
    </w:pPr>
    <w:rPr>
      <w:rFonts w:ascii="Palatino Linotype" w:eastAsia="Times New Roman" w:hAnsi="Palatino Linotype" w:cstheme="minorBidi"/>
      <w:color w:val="000000"/>
      <w:sz w:val="18"/>
      <w:szCs w:val="22"/>
      <w:lang w:eastAsia="de-DE" w:bidi="en-US"/>
    </w:rPr>
  </w:style>
  <w:style w:type="paragraph" w:customStyle="1" w:styleId="MDPI42tablebody">
    <w:name w:val="MDPI_4.2_table_body"/>
    <w:qFormat/>
    <w:rsid w:val="0028620F"/>
    <w:pPr>
      <w:adjustRightInd w:val="0"/>
      <w:snapToGrid w:val="0"/>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28620F"/>
    <w:pPr>
      <w:adjustRightInd w:val="0"/>
      <w:snapToGrid w:val="0"/>
      <w:spacing w:after="240" w:line="228" w:lineRule="auto"/>
      <w:ind w:left="2608"/>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28620F"/>
    <w:pPr>
      <w:adjustRightInd w:val="0"/>
      <w:snapToGrid w:val="0"/>
      <w:spacing w:before="120" w:after="240" w:line="228" w:lineRule="auto"/>
      <w:ind w:left="2608"/>
    </w:pPr>
    <w:rPr>
      <w:rFonts w:ascii="Palatino Linotype" w:eastAsia="Times New Roman" w:hAnsi="Palatino Linotype"/>
      <w:color w:val="000000"/>
      <w:sz w:val="18"/>
      <w:lang w:eastAsia="de-DE" w:bidi="en-US"/>
    </w:rPr>
  </w:style>
  <w:style w:type="paragraph" w:customStyle="1" w:styleId="MDPI52figure">
    <w:name w:val="MDPI_5.2_figure"/>
    <w:qFormat/>
    <w:rsid w:val="0028620F"/>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81theorem">
    <w:name w:val="MDPI_8.1_theorem"/>
    <w:qFormat/>
    <w:rsid w:val="0028620F"/>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rsid w:val="0028620F"/>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footerfirstpage">
    <w:name w:val="MDPI_footer_firstpage"/>
    <w:qFormat/>
    <w:rsid w:val="0028620F"/>
    <w:pPr>
      <w:tabs>
        <w:tab w:val="right" w:pos="8845"/>
      </w:tabs>
      <w:spacing w:line="160" w:lineRule="exact"/>
    </w:pPr>
    <w:rPr>
      <w:rFonts w:ascii="Palatino Linotype" w:eastAsia="Times New Roman" w:hAnsi="Palatino Linotype"/>
      <w:color w:val="000000"/>
      <w:sz w:val="16"/>
      <w:lang w:eastAsia="de-DE"/>
    </w:rPr>
  </w:style>
  <w:style w:type="paragraph" w:customStyle="1" w:styleId="MDPI23heading3">
    <w:name w:val="MDPI_2.3_heading3"/>
    <w:qFormat/>
    <w:rsid w:val="0028620F"/>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28620F"/>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rsid w:val="0028620F"/>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eastAsia="de-DE" w:bidi="en-US"/>
    </w:rPr>
  </w:style>
  <w:style w:type="paragraph" w:customStyle="1" w:styleId="MDPI71References">
    <w:name w:val="MDPI_7.1_References"/>
    <w:qFormat/>
    <w:rsid w:val="0028620F"/>
    <w:pPr>
      <w:numPr>
        <w:numId w:val="18"/>
      </w:numPr>
      <w:adjustRightInd w:val="0"/>
      <w:snapToGrid w:val="0"/>
      <w:spacing w:line="228" w:lineRule="auto"/>
      <w:jc w:val="both"/>
    </w:pPr>
    <w:rPr>
      <w:rFonts w:ascii="Palatino Linotype" w:eastAsia="Times New Roman" w:hAnsi="Palatino Linotype"/>
      <w:color w:val="000000"/>
      <w:sz w:val="18"/>
      <w:lang w:eastAsia="de-DE" w:bidi="en-US"/>
    </w:rPr>
  </w:style>
  <w:style w:type="paragraph" w:styleId="Textodebalo">
    <w:name w:val="Balloon Text"/>
    <w:basedOn w:val="Normal"/>
    <w:link w:val="TextodebaloChar"/>
    <w:uiPriority w:val="99"/>
    <w:rsid w:val="00522304"/>
    <w:rPr>
      <w:rFonts w:cs="Tahoma"/>
      <w:szCs w:val="18"/>
    </w:rPr>
  </w:style>
  <w:style w:type="character" w:customStyle="1" w:styleId="TextodebaloChar">
    <w:name w:val="Texto de balão Char"/>
    <w:link w:val="Textodebalo"/>
    <w:uiPriority w:val="99"/>
    <w:rsid w:val="00522304"/>
    <w:rPr>
      <w:rFonts w:ascii="Palatino Linotype" w:hAnsi="Palatino Linotype" w:cs="Tahoma"/>
      <w:noProof/>
      <w:color w:val="000000"/>
      <w:szCs w:val="18"/>
    </w:rPr>
  </w:style>
  <w:style w:type="character" w:styleId="Nmerodelinha">
    <w:name w:val="line number"/>
    <w:uiPriority w:val="99"/>
    <w:rsid w:val="00284BEB"/>
    <w:rPr>
      <w:rFonts w:ascii="Palatino Linotype" w:hAnsi="Palatino Linotype"/>
      <w:sz w:val="16"/>
    </w:rPr>
  </w:style>
  <w:style w:type="table" w:customStyle="1" w:styleId="MDPI41threelinetable">
    <w:name w:val="MDPI_4.1_three_line_table"/>
    <w:basedOn w:val="Tabelanormal"/>
    <w:uiPriority w:val="99"/>
    <w:rsid w:val="0028620F"/>
    <w:pPr>
      <w:adjustRightInd w:val="0"/>
      <w:snapToGrid w:val="0"/>
      <w:jc w:val="center"/>
    </w:pPr>
    <w:rPr>
      <w:rFonts w:ascii="Palatino Linotype" w:eastAsiaTheme="minorHAnsi"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yperlink">
    <w:name w:val="Hyperlink"/>
    <w:uiPriority w:val="99"/>
    <w:rsid w:val="00522304"/>
    <w:rPr>
      <w:color w:val="0000FF"/>
      <w:u w:val="single"/>
    </w:rPr>
  </w:style>
  <w:style w:type="character" w:styleId="MenoPendente">
    <w:name w:val="Unresolved Mention"/>
    <w:uiPriority w:val="99"/>
    <w:semiHidden/>
    <w:unhideWhenUsed/>
    <w:rsid w:val="00C243C9"/>
    <w:rPr>
      <w:color w:val="605E5C"/>
      <w:shd w:val="clear" w:color="auto" w:fill="E1DFDD"/>
    </w:rPr>
  </w:style>
  <w:style w:type="table" w:styleId="TabelaSimples4">
    <w:name w:val="Plain Table 4"/>
    <w:basedOn w:val="Tabelanormal"/>
    <w:uiPriority w:val="44"/>
    <w:rsid w:val="00AE348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61Citation">
    <w:name w:val="MDPI_6.1_Citation"/>
    <w:qFormat/>
    <w:rsid w:val="0028620F"/>
    <w:pPr>
      <w:adjustRightInd w:val="0"/>
      <w:snapToGrid w:val="0"/>
      <w:spacing w:line="240" w:lineRule="atLeast"/>
      <w:ind w:right="113"/>
    </w:pPr>
    <w:rPr>
      <w:rFonts w:ascii="Palatino Linotype" w:eastAsiaTheme="minorHAnsi" w:hAnsi="Palatino Linotype" w:cstheme="minorBidi"/>
      <w:sz w:val="14"/>
      <w:szCs w:val="22"/>
    </w:rPr>
  </w:style>
  <w:style w:type="paragraph" w:customStyle="1" w:styleId="MDPI62BackMatter">
    <w:name w:val="MDPI_6.2_BackMatter"/>
    <w:qFormat/>
    <w:rsid w:val="0028620F"/>
    <w:pPr>
      <w:adjustRightInd w:val="0"/>
      <w:snapToGrid w:val="0"/>
      <w:spacing w:after="120" w:line="228" w:lineRule="auto"/>
      <w:ind w:left="2608"/>
      <w:jc w:val="both"/>
    </w:pPr>
    <w:rPr>
      <w:rFonts w:ascii="Palatino Linotype" w:eastAsia="Times New Roman" w:hAnsi="Palatino Linotype"/>
      <w:snapToGrid w:val="0"/>
      <w:color w:val="000000"/>
      <w:sz w:val="18"/>
      <w:lang w:bidi="en-US"/>
    </w:rPr>
  </w:style>
  <w:style w:type="paragraph" w:customStyle="1" w:styleId="MDPI63Notes">
    <w:name w:val="MDPI_6.3_Notes"/>
    <w:qFormat/>
    <w:rsid w:val="0028620F"/>
    <w:pPr>
      <w:adjustRightInd w:val="0"/>
      <w:snapToGrid w:val="0"/>
      <w:spacing w:after="120" w:line="240" w:lineRule="atLeast"/>
      <w:ind w:right="113"/>
    </w:pPr>
    <w:rPr>
      <w:rFonts w:ascii="Palatino Linotype" w:hAnsi="Palatino Linotype"/>
      <w:snapToGrid w:val="0"/>
      <w:color w:val="000000" w:themeColor="text1"/>
      <w:sz w:val="14"/>
      <w:lang w:bidi="en-US"/>
    </w:rPr>
  </w:style>
  <w:style w:type="paragraph" w:customStyle="1" w:styleId="MDPI15academiceditor">
    <w:name w:val="MDPI_1.5_academic_editor"/>
    <w:qFormat/>
    <w:rsid w:val="0028620F"/>
    <w:pPr>
      <w:adjustRightInd w:val="0"/>
      <w:snapToGrid w:val="0"/>
      <w:spacing w:before="240" w:line="240" w:lineRule="atLeast"/>
      <w:ind w:right="113"/>
    </w:pPr>
    <w:rPr>
      <w:rFonts w:ascii="Palatino Linotype" w:eastAsia="Times New Roman" w:hAnsi="Palatino Linotype"/>
      <w:color w:val="000000"/>
      <w:sz w:val="14"/>
      <w:szCs w:val="22"/>
      <w:lang w:eastAsia="de-DE" w:bidi="en-US"/>
    </w:rPr>
  </w:style>
  <w:style w:type="paragraph" w:customStyle="1" w:styleId="MDPI19classification">
    <w:name w:val="MDPI_1.9_classification"/>
    <w:qFormat/>
    <w:rsid w:val="0028620F"/>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411onetablecaption">
    <w:name w:val="MDPI_4.1.1_one_table_caption"/>
    <w:qFormat/>
    <w:rsid w:val="0028620F"/>
    <w:pPr>
      <w:adjustRightInd w:val="0"/>
      <w:snapToGrid w:val="0"/>
      <w:spacing w:before="240" w:after="120" w:line="260" w:lineRule="atLeast"/>
      <w:jc w:val="center"/>
    </w:pPr>
    <w:rPr>
      <w:rFonts w:ascii="Palatino Linotype" w:eastAsiaTheme="minorHAnsi" w:hAnsi="Palatino Linotype" w:cstheme="minorBidi"/>
      <w:noProof/>
      <w:color w:val="000000"/>
      <w:sz w:val="18"/>
      <w:szCs w:val="22"/>
      <w:lang w:bidi="en-US"/>
    </w:rPr>
  </w:style>
  <w:style w:type="paragraph" w:customStyle="1" w:styleId="MDPI511onefigurecaption">
    <w:name w:val="MDPI_5.1.1_one_figure_caption"/>
    <w:qFormat/>
    <w:rsid w:val="0028620F"/>
    <w:pPr>
      <w:adjustRightInd w:val="0"/>
      <w:snapToGrid w:val="0"/>
      <w:spacing w:before="240" w:after="120" w:line="260" w:lineRule="atLeast"/>
      <w:jc w:val="center"/>
    </w:pPr>
    <w:rPr>
      <w:rFonts w:ascii="Palatino Linotype" w:eastAsiaTheme="minorHAnsi" w:hAnsi="Palatino Linotype"/>
      <w:noProof/>
      <w:color w:val="000000"/>
      <w:sz w:val="18"/>
      <w:lang w:bidi="en-US"/>
    </w:rPr>
  </w:style>
  <w:style w:type="paragraph" w:customStyle="1" w:styleId="MDPI72Copyright">
    <w:name w:val="MDPI_7.2_Copyright"/>
    <w:qFormat/>
    <w:rsid w:val="0028620F"/>
    <w:pPr>
      <w:adjustRightInd w:val="0"/>
      <w:snapToGrid w:val="0"/>
      <w:spacing w:before="240" w:line="240" w:lineRule="atLeast"/>
      <w:ind w:right="113"/>
    </w:pPr>
    <w:rPr>
      <w:rFonts w:ascii="Palatino Linotype" w:eastAsia="Times New Roman" w:hAnsi="Palatino Linotype"/>
      <w:noProof/>
      <w:snapToGrid w:val="0"/>
      <w:color w:val="000000"/>
      <w:spacing w:val="-2"/>
      <w:sz w:val="14"/>
      <w:lang w:val="en-GB" w:eastAsia="en-GB"/>
    </w:rPr>
  </w:style>
  <w:style w:type="paragraph" w:customStyle="1" w:styleId="MDPI73CopyrightImage">
    <w:name w:val="MDPI_7.3_CopyrightImage"/>
    <w:rsid w:val="0028620F"/>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equationFram">
    <w:name w:val="MDPI_equationFram"/>
    <w:qFormat/>
    <w:rsid w:val="0028620F"/>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rsid w:val="0028620F"/>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header">
    <w:name w:val="MDPI_header"/>
    <w:qFormat/>
    <w:rsid w:val="0028620F"/>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rsid w:val="0028620F"/>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rsid w:val="0028620F"/>
    <w:pPr>
      <w:adjustRightInd w:val="0"/>
      <w:snapToGrid w:val="0"/>
      <w:spacing w:line="260" w:lineRule="atLeast"/>
      <w:jc w:val="right"/>
    </w:pPr>
    <w:rPr>
      <w:rFonts w:ascii="Palatino Linotype" w:eastAsia="Times New Roman" w:hAnsi="Palatino Linotype"/>
      <w:color w:val="000000"/>
      <w:sz w:val="24"/>
      <w:szCs w:val="22"/>
      <w:lang w:eastAsia="de-CH"/>
    </w:rPr>
  </w:style>
  <w:style w:type="table" w:customStyle="1" w:styleId="MDPITable">
    <w:name w:val="MDPI_Table"/>
    <w:basedOn w:val="Tabelanormal"/>
    <w:uiPriority w:val="99"/>
    <w:rsid w:val="0028620F"/>
    <w:rPr>
      <w:rFonts w:ascii="Palatino Linotype" w:hAnsi="Palatino Linotype"/>
      <w:color w:val="000000" w:themeColor="text1"/>
      <w:lang w:val="en-CA"/>
    </w:rPr>
    <w:tblPr>
      <w:tblCellMar>
        <w:left w:w="0" w:type="dxa"/>
        <w:right w:w="0" w:type="dxa"/>
      </w:tblCellMar>
    </w:tblPr>
  </w:style>
  <w:style w:type="paragraph" w:customStyle="1" w:styleId="MDPItext">
    <w:name w:val="MDPI_text"/>
    <w:qFormat/>
    <w:rsid w:val="0028620F"/>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MDPItitle">
    <w:name w:val="MDPI_title"/>
    <w:qFormat/>
    <w:rsid w:val="0028620F"/>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rsid w:val="00522304"/>
  </w:style>
  <w:style w:type="paragraph" w:styleId="Bibliografia">
    <w:name w:val="Bibliography"/>
    <w:basedOn w:val="Normal"/>
    <w:next w:val="Normal"/>
    <w:uiPriority w:val="37"/>
    <w:semiHidden/>
    <w:unhideWhenUsed/>
    <w:rsid w:val="00522304"/>
  </w:style>
  <w:style w:type="paragraph" w:styleId="Corpodetexto">
    <w:name w:val="Body Text"/>
    <w:link w:val="CorpodetextoChar"/>
    <w:rsid w:val="00522304"/>
    <w:pPr>
      <w:spacing w:after="120" w:line="340" w:lineRule="atLeast"/>
      <w:jc w:val="both"/>
    </w:pPr>
    <w:rPr>
      <w:rFonts w:ascii="Palatino Linotype" w:hAnsi="Palatino Linotype"/>
      <w:color w:val="000000"/>
      <w:sz w:val="24"/>
      <w:lang w:eastAsia="de-DE"/>
    </w:rPr>
  </w:style>
  <w:style w:type="character" w:customStyle="1" w:styleId="CorpodetextoChar">
    <w:name w:val="Corpo de texto Char"/>
    <w:link w:val="Corpodetexto"/>
    <w:rsid w:val="00522304"/>
    <w:rPr>
      <w:rFonts w:ascii="Palatino Linotype" w:hAnsi="Palatino Linotype"/>
      <w:color w:val="000000"/>
      <w:sz w:val="24"/>
      <w:lang w:eastAsia="de-DE"/>
    </w:rPr>
  </w:style>
  <w:style w:type="character" w:styleId="Refdecomentrio">
    <w:name w:val="annotation reference"/>
    <w:rsid w:val="00522304"/>
    <w:rPr>
      <w:sz w:val="21"/>
      <w:szCs w:val="21"/>
    </w:rPr>
  </w:style>
  <w:style w:type="paragraph" w:styleId="Textodecomentrio">
    <w:name w:val="annotation text"/>
    <w:basedOn w:val="Normal"/>
    <w:link w:val="TextodecomentrioChar"/>
    <w:rsid w:val="00522304"/>
  </w:style>
  <w:style w:type="character" w:customStyle="1" w:styleId="TextodecomentrioChar">
    <w:name w:val="Texto de comentário Char"/>
    <w:link w:val="Textodecomentrio"/>
    <w:rsid w:val="00522304"/>
    <w:rPr>
      <w:rFonts w:ascii="Palatino Linotype" w:hAnsi="Palatino Linotype"/>
      <w:noProof/>
      <w:color w:val="000000"/>
    </w:rPr>
  </w:style>
  <w:style w:type="paragraph" w:styleId="Assuntodocomentrio">
    <w:name w:val="annotation subject"/>
    <w:basedOn w:val="Textodecomentrio"/>
    <w:next w:val="Textodecomentrio"/>
    <w:link w:val="AssuntodocomentrioChar"/>
    <w:rsid w:val="00522304"/>
    <w:rPr>
      <w:b/>
      <w:bCs/>
    </w:rPr>
  </w:style>
  <w:style w:type="character" w:customStyle="1" w:styleId="AssuntodocomentrioChar">
    <w:name w:val="Assunto do comentário Char"/>
    <w:link w:val="Assuntodocomentrio"/>
    <w:rsid w:val="00522304"/>
    <w:rPr>
      <w:rFonts w:ascii="Palatino Linotype" w:hAnsi="Palatino Linotype"/>
      <w:b/>
      <w:bCs/>
      <w:noProof/>
      <w:color w:val="000000"/>
    </w:rPr>
  </w:style>
  <w:style w:type="character" w:styleId="Refdenotadefim">
    <w:name w:val="endnote reference"/>
    <w:rsid w:val="00522304"/>
    <w:rPr>
      <w:vertAlign w:val="superscript"/>
    </w:rPr>
  </w:style>
  <w:style w:type="paragraph" w:styleId="Textodenotadefim">
    <w:name w:val="endnote text"/>
    <w:basedOn w:val="Normal"/>
    <w:link w:val="TextodenotadefimChar"/>
    <w:semiHidden/>
    <w:unhideWhenUsed/>
    <w:rsid w:val="00522304"/>
    <w:pPr>
      <w:spacing w:line="240" w:lineRule="auto"/>
    </w:pPr>
  </w:style>
  <w:style w:type="character" w:customStyle="1" w:styleId="TextodenotadefimChar">
    <w:name w:val="Texto de nota de fim Char"/>
    <w:link w:val="Textodenotadefim"/>
    <w:semiHidden/>
    <w:rsid w:val="00522304"/>
    <w:rPr>
      <w:rFonts w:ascii="Palatino Linotype" w:hAnsi="Palatino Linotype"/>
      <w:noProof/>
      <w:color w:val="000000"/>
    </w:rPr>
  </w:style>
  <w:style w:type="character" w:styleId="HiperlinkVisitado">
    <w:name w:val="FollowedHyperlink"/>
    <w:rsid w:val="00522304"/>
    <w:rPr>
      <w:color w:val="954F72"/>
      <w:u w:val="single"/>
    </w:rPr>
  </w:style>
  <w:style w:type="paragraph" w:styleId="Textodenotaderodap">
    <w:name w:val="footnote text"/>
    <w:basedOn w:val="Normal"/>
    <w:link w:val="TextodenotaderodapChar"/>
    <w:semiHidden/>
    <w:unhideWhenUsed/>
    <w:rsid w:val="00522304"/>
    <w:pPr>
      <w:spacing w:line="240" w:lineRule="auto"/>
    </w:pPr>
  </w:style>
  <w:style w:type="character" w:customStyle="1" w:styleId="TextodenotaderodapChar">
    <w:name w:val="Texto de nota de rodapé Char"/>
    <w:link w:val="Textodenotaderodap"/>
    <w:semiHidden/>
    <w:rsid w:val="00522304"/>
    <w:rPr>
      <w:rFonts w:ascii="Palatino Linotype" w:hAnsi="Palatino Linotype"/>
      <w:noProof/>
      <w:color w:val="000000"/>
    </w:rPr>
  </w:style>
  <w:style w:type="paragraph" w:styleId="NormalWeb">
    <w:name w:val="Normal (Web)"/>
    <w:basedOn w:val="Normal"/>
    <w:uiPriority w:val="99"/>
    <w:rsid w:val="00522304"/>
    <w:rPr>
      <w:szCs w:val="24"/>
    </w:rPr>
  </w:style>
  <w:style w:type="paragraph" w:customStyle="1" w:styleId="MsoFootnoteText0">
    <w:name w:val="MsoFootnoteText"/>
    <w:basedOn w:val="NormalWeb"/>
    <w:qFormat/>
    <w:rsid w:val="00522304"/>
    <w:rPr>
      <w:rFonts w:ascii="Times New Roman" w:hAnsi="Times New Roman"/>
    </w:rPr>
  </w:style>
  <w:style w:type="character" w:styleId="Nmerodepgina">
    <w:name w:val="page number"/>
    <w:rsid w:val="00522304"/>
  </w:style>
  <w:style w:type="character" w:styleId="TextodoEspaoReservado">
    <w:name w:val="Placeholder Text"/>
    <w:uiPriority w:val="99"/>
    <w:semiHidden/>
    <w:rsid w:val="00522304"/>
    <w:rPr>
      <w:color w:val="808080"/>
    </w:rPr>
  </w:style>
  <w:style w:type="character" w:styleId="Forte">
    <w:name w:val="Strong"/>
    <w:uiPriority w:val="22"/>
    <w:qFormat/>
    <w:rsid w:val="002D7E61"/>
    <w:rPr>
      <w:b/>
      <w:bCs/>
    </w:rPr>
  </w:style>
  <w:style w:type="paragraph" w:customStyle="1" w:styleId="MDPI71FootNotes">
    <w:name w:val="MDPI_7.1_FootNotes"/>
    <w:qFormat/>
    <w:rsid w:val="0028620F"/>
    <w:pPr>
      <w:numPr>
        <w:numId w:val="17"/>
      </w:numPr>
      <w:adjustRightInd w:val="0"/>
      <w:snapToGrid w:val="0"/>
      <w:spacing w:line="228" w:lineRule="auto"/>
      <w:jc w:val="both"/>
    </w:pPr>
    <w:rPr>
      <w:rFonts w:ascii="Palatino Linotype" w:eastAsiaTheme="minorHAnsi" w:hAnsi="Palatino Linotype"/>
      <w:noProof/>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iso-8859-6"/>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smina%20Pasaniuc\Desktop\Word%20templates\ijerph-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C:\Users\Cosmina Pasaniuc\Desktop\Word templates\ijerph-template.dot</Template>
  <TotalTime>0</TotalTime>
  <Pages>7</Pages>
  <Words>2922</Words>
  <Characters>15785</Characters>
  <Application>Microsoft Office Word</Application>
  <DocSecurity>0</DocSecurity>
  <Lines>131</Lines>
  <Paragraphs>37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Type of the Paper (Article</vt:lpstr>
      <vt:lpstr>Type of the Paper (Article</vt:lpstr>
    </vt:vector>
  </TitlesOfParts>
  <Company/>
  <LinksUpToDate>false</LinksUpToDate>
  <CharactersWithSpaces>18670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Cosmina Pasaniuc</dc:creator>
  <cp:keywords/>
  <dc:description/>
  <cp:lastModifiedBy>rodrigo astolfi</cp:lastModifiedBy>
  <cp:revision>2</cp:revision>
  <cp:lastPrinted>2021-08-16T12:22:00Z</cp:lastPrinted>
  <dcterms:created xsi:type="dcterms:W3CDTF">2021-09-14T03:16:00Z</dcterms:created>
  <dcterms:modified xsi:type="dcterms:W3CDTF">2021-09-14T03:16:00Z</dcterms:modified>
</cp:coreProperties>
</file>