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0"/>
        <w:gridCol w:w="4580"/>
      </w:tblGrid>
      <w:tr w:rsidR="000A5AD5" w:rsidTr="00C43643">
        <w:trPr>
          <w:trHeight w:val="2133"/>
        </w:trPr>
        <w:tc>
          <w:tcPr>
            <w:tcW w:w="4580" w:type="dxa"/>
          </w:tcPr>
          <w:p w:rsidR="000A5AD5" w:rsidRPr="00CC68CB" w:rsidRDefault="000A5AD5" w:rsidP="00C43643">
            <w:pPr>
              <w:rPr>
                <w:b/>
              </w:rPr>
            </w:pPr>
            <w:r w:rsidRPr="00CC68CB">
              <w:rPr>
                <w:b/>
              </w:rPr>
              <w:t>Reviewer 1:</w:t>
            </w:r>
          </w:p>
          <w:p w:rsidR="000A5AD5" w:rsidRDefault="000A5AD5" w:rsidP="00C43643">
            <w:r>
              <w:rPr>
                <w:rFonts w:ascii="Arial" w:hAnsi="Arial" w:cs="Arial"/>
                <w:color w:val="0A0A0A"/>
                <w:sz w:val="20"/>
                <w:szCs w:val="20"/>
                <w:shd w:val="clear" w:color="auto" w:fill="FEFEFE"/>
              </w:rPr>
              <w:t xml:space="preserve">My suggestion is to include in Table 3 the Kappa </w:t>
            </w:r>
            <w:proofErr w:type="gramStart"/>
            <w:r>
              <w:rPr>
                <w:rFonts w:ascii="Arial" w:hAnsi="Arial" w:cs="Arial"/>
                <w:color w:val="0A0A0A"/>
                <w:sz w:val="20"/>
                <w:szCs w:val="20"/>
                <w:shd w:val="clear" w:color="auto" w:fill="FEFEFE"/>
              </w:rPr>
              <w:t>values,</w:t>
            </w:r>
            <w:proofErr w:type="gramEnd"/>
            <w:r>
              <w:rPr>
                <w:rFonts w:ascii="Arial" w:hAnsi="Arial" w:cs="Arial"/>
                <w:color w:val="0A0A0A"/>
                <w:sz w:val="20"/>
                <w:szCs w:val="20"/>
                <w:shd w:val="clear" w:color="auto" w:fill="FEFEFE"/>
              </w:rPr>
              <w:t xml:space="preserve"> it will serve also to compare with previous results mentioned in the discussion section.</w:t>
            </w:r>
          </w:p>
        </w:tc>
        <w:tc>
          <w:tcPr>
            <w:tcW w:w="4580" w:type="dxa"/>
          </w:tcPr>
          <w:p w:rsidR="000A5AD5" w:rsidRPr="00CC68CB" w:rsidRDefault="000A5AD5" w:rsidP="00C43643">
            <w:pPr>
              <w:rPr>
                <w:b/>
              </w:rPr>
            </w:pPr>
            <w:r w:rsidRPr="00CC68CB">
              <w:rPr>
                <w:b/>
              </w:rPr>
              <w:t>Response:</w:t>
            </w:r>
          </w:p>
          <w:p w:rsidR="000A5AD5" w:rsidRDefault="000A5AD5" w:rsidP="00C43643">
            <w:r>
              <w:t xml:space="preserve">Table 3 (now table 4) presents the sensitivity and specificity by clinical diagnosis. </w:t>
            </w:r>
          </w:p>
          <w:p w:rsidR="000A5AD5" w:rsidRDefault="000A5AD5" w:rsidP="00C43643"/>
          <w:p w:rsidR="000A5AD5" w:rsidRDefault="000A5AD5" w:rsidP="00C43643">
            <w:pPr>
              <w:rPr>
                <w:szCs w:val="18"/>
              </w:rPr>
            </w:pPr>
            <w:r>
              <w:t xml:space="preserve">Kappa refers only to the agreement between </w:t>
            </w:r>
            <w:r>
              <w:rPr>
                <w:szCs w:val="18"/>
              </w:rPr>
              <w:t xml:space="preserve">ADI-R Deaf adaptation and ADOS-2 Deaf adaptation so it not appropriate in Table 3. </w:t>
            </w:r>
          </w:p>
          <w:p w:rsidR="000A5AD5" w:rsidRDefault="000A5AD5" w:rsidP="00C43643">
            <w:pPr>
              <w:rPr>
                <w:szCs w:val="18"/>
              </w:rPr>
            </w:pPr>
          </w:p>
          <w:p w:rsidR="000A5AD5" w:rsidRDefault="000A5AD5" w:rsidP="00C43643">
            <w:r>
              <w:rPr>
                <w:szCs w:val="18"/>
              </w:rPr>
              <w:t xml:space="preserve">Text has been added to the results section detailing the kappa calculation for the </w:t>
            </w:r>
            <w:r w:rsidRPr="00587FAA">
              <w:rPr>
                <w:szCs w:val="18"/>
              </w:rPr>
              <w:t>wider threshold of ASD (Kappa, 0.433).</w:t>
            </w:r>
          </w:p>
        </w:tc>
      </w:tr>
    </w:tbl>
    <w:p w:rsidR="009166C2" w:rsidRDefault="009166C2">
      <w:bookmarkStart w:id="0" w:name="_GoBack"/>
      <w:bookmarkEnd w:id="0"/>
    </w:p>
    <w:sectPr w:rsidR="00916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D5"/>
    <w:rsid w:val="000A5AD5"/>
    <w:rsid w:val="0091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A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LYPFT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Amelia Taylor</dc:creator>
  <cp:lastModifiedBy>Amelia Taylor</cp:lastModifiedBy>
  <cp:revision>1</cp:revision>
  <dcterms:created xsi:type="dcterms:W3CDTF">2021-09-14T09:46:00Z</dcterms:created>
  <dcterms:modified xsi:type="dcterms:W3CDTF">2021-09-14T09:47:00Z</dcterms:modified>
</cp:coreProperties>
</file>