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6031D3" w14:textId="77777777" w:rsidR="006B19FC" w:rsidRPr="00A17DB7" w:rsidRDefault="00E62B88" w:rsidP="006B19FC">
      <w:pPr>
        <w:pStyle w:val="MDPI11articletype"/>
      </w:pPr>
      <w:r w:rsidRPr="00A17DB7">
        <w:t>Article</w:t>
      </w:r>
    </w:p>
    <w:p w14:paraId="1264621E" w14:textId="56CFA0ED" w:rsidR="00EE124C" w:rsidRPr="00A17DB7" w:rsidRDefault="00EE124C" w:rsidP="0068520D">
      <w:pPr>
        <w:pStyle w:val="MDPI12title"/>
      </w:pPr>
      <w:r w:rsidRPr="00A17DB7">
        <w:t>Alginite-</w:t>
      </w:r>
      <w:r w:rsidR="00851261" w:rsidRPr="00A17DB7">
        <w:t>r</w:t>
      </w:r>
      <w:r w:rsidRPr="00A17DB7">
        <w:t xml:space="preserve">ich </w:t>
      </w:r>
      <w:r w:rsidR="00CF4945" w:rsidRPr="00A17DB7">
        <w:t>L</w:t>
      </w:r>
      <w:r w:rsidRPr="00A17DB7">
        <w:t xml:space="preserve">ayers in the Bazhenov </w:t>
      </w:r>
      <w:r w:rsidR="00CF4945" w:rsidRPr="00A17DB7">
        <w:t>D</w:t>
      </w:r>
      <w:r w:rsidRPr="00A17DB7">
        <w:t xml:space="preserve">eposits of the Western </w:t>
      </w:r>
      <w:r w:rsidRPr="00A17DB7">
        <w:br/>
        <w:t>Siberia</w:t>
      </w:r>
    </w:p>
    <w:p w14:paraId="3014D31E" w14:textId="77777777" w:rsidR="00EE124C" w:rsidRPr="00A17DB7" w:rsidRDefault="00EE124C" w:rsidP="00EE124C">
      <w:pPr>
        <w:pStyle w:val="MDPI13authornames"/>
      </w:pPr>
      <w:r w:rsidRPr="00A17DB7">
        <w:t xml:space="preserve">Timur Bulatov </w:t>
      </w:r>
      <w:r w:rsidRPr="00A17DB7">
        <w:rPr>
          <w:vertAlign w:val="superscript"/>
        </w:rPr>
        <w:t>1</w:t>
      </w:r>
      <w:r w:rsidRPr="00A17DB7">
        <w:t>*, Elena Kozlova</w:t>
      </w:r>
      <w:r w:rsidRPr="00A17DB7">
        <w:rPr>
          <w:vertAlign w:val="superscript"/>
        </w:rPr>
        <w:t>1</w:t>
      </w:r>
      <w:r w:rsidRPr="00A17DB7">
        <w:t>, Evgeniya Leushina</w:t>
      </w:r>
      <w:r w:rsidRPr="00A17DB7">
        <w:rPr>
          <w:vertAlign w:val="superscript"/>
        </w:rPr>
        <w:t>1</w:t>
      </w:r>
      <w:r w:rsidRPr="00A17DB7">
        <w:t>, Ivan Panchenko</w:t>
      </w:r>
      <w:r w:rsidRPr="00A17DB7">
        <w:rPr>
          <w:vertAlign w:val="superscript"/>
        </w:rPr>
        <w:t>2</w:t>
      </w:r>
      <w:r w:rsidRPr="00A17DB7">
        <w:t>, Natalia Pronina</w:t>
      </w:r>
      <w:r w:rsidRPr="00A17DB7">
        <w:rPr>
          <w:vertAlign w:val="superscript"/>
        </w:rPr>
        <w:t>3</w:t>
      </w:r>
      <w:r w:rsidRPr="00A17DB7">
        <w:t>, Andrey Voropaev</w:t>
      </w:r>
      <w:r w:rsidRPr="00A17DB7">
        <w:rPr>
          <w:vertAlign w:val="superscript"/>
        </w:rPr>
        <w:t>4</w:t>
      </w:r>
      <w:r w:rsidRPr="00A17DB7">
        <w:t xml:space="preserve">, </w:t>
      </w:r>
      <w:r w:rsidRPr="00A17DB7">
        <w:br/>
        <w:t>Nikita Morozov</w:t>
      </w:r>
      <w:r w:rsidRPr="00A17DB7">
        <w:rPr>
          <w:vertAlign w:val="superscript"/>
        </w:rPr>
        <w:t>5</w:t>
      </w:r>
      <w:r w:rsidRPr="00A17DB7">
        <w:t xml:space="preserve"> and Mikhail Spasennykh</w:t>
      </w:r>
      <w:r w:rsidRPr="00A17DB7">
        <w:rPr>
          <w:vertAlign w:val="superscript"/>
        </w:rPr>
        <w:t>1</w:t>
      </w:r>
    </w:p>
    <w:p w14:paraId="29F404E9" w14:textId="77777777" w:rsidR="00EE124C" w:rsidRPr="00A17DB7" w:rsidRDefault="00EE124C" w:rsidP="00EE124C">
      <w:pPr>
        <w:pStyle w:val="MDPI16affiliation"/>
      </w:pPr>
      <w:r w:rsidRPr="00A17DB7">
        <w:rPr>
          <w:vertAlign w:val="superscript"/>
        </w:rPr>
        <w:t>1</w:t>
      </w:r>
      <w:r w:rsidRPr="00A17DB7">
        <w:tab/>
        <w:t xml:space="preserve">Center for Hydrocarbon Recovery, Skolkovo Institute of Science and Technology (Skoltech), Skolkovo </w:t>
      </w:r>
      <w:r w:rsidRPr="00A17DB7">
        <w:br/>
        <w:t>Innovation Center, Bolshoi Boulevard 30, bld.1, 121205, Moscow, Russia; e.kozlova@skoltech.ru (E.K.); e.leushina@skoltech.ru (E.L.); m.spasennykh@skoltech.ru (M.S.)</w:t>
      </w:r>
    </w:p>
    <w:p w14:paraId="116D1E69" w14:textId="77777777" w:rsidR="00EE124C" w:rsidRPr="00A17DB7" w:rsidRDefault="00EE124C" w:rsidP="00EE124C">
      <w:pPr>
        <w:pStyle w:val="MDPI16affiliation"/>
      </w:pPr>
      <w:r w:rsidRPr="00A17DB7">
        <w:rPr>
          <w:vertAlign w:val="superscript"/>
        </w:rPr>
        <w:t>2</w:t>
      </w:r>
      <w:r w:rsidRPr="00A17DB7">
        <w:tab/>
        <w:t>MiMGO, Entuziastov highway 21, 111123, Moscow, Russia; panchenko@mimgo.ru (I.P.)</w:t>
      </w:r>
    </w:p>
    <w:p w14:paraId="22346BBA" w14:textId="77777777" w:rsidR="00EE124C" w:rsidRPr="00A17DB7" w:rsidRDefault="00EE124C" w:rsidP="00EE124C">
      <w:pPr>
        <w:pStyle w:val="MDPI16affiliation"/>
      </w:pPr>
      <w:r w:rsidRPr="00A17DB7">
        <w:rPr>
          <w:vertAlign w:val="superscript"/>
        </w:rPr>
        <w:t>3</w:t>
      </w:r>
      <w:r w:rsidRPr="00A17DB7">
        <w:tab/>
        <w:t>Lomonosov Moscow State University, GSP-1, Leninskie Gory, Moscow, 119991, Russia; nvproncl@geol.msu.ru (N.P.)</w:t>
      </w:r>
    </w:p>
    <w:p w14:paraId="50158048" w14:textId="77777777" w:rsidR="00EE124C" w:rsidRPr="00A17DB7" w:rsidRDefault="00EE124C" w:rsidP="00EE124C">
      <w:pPr>
        <w:pStyle w:val="MDPI16affiliation"/>
        <w:rPr>
          <w:lang w:val="de-DE"/>
        </w:rPr>
      </w:pPr>
      <w:r w:rsidRPr="00A17DB7">
        <w:rPr>
          <w:vertAlign w:val="superscript"/>
          <w:lang w:val="de-DE"/>
        </w:rPr>
        <w:t>4</w:t>
      </w:r>
      <w:r w:rsidRPr="00A17DB7">
        <w:rPr>
          <w:lang w:val="de-DE"/>
        </w:rPr>
        <w:tab/>
        <w:t>HYDROISOTOP GmbH, Woelkestr. 9, 85301, Schweitenkirchen, Germany; av@hydroisotope.de (A.V.)</w:t>
      </w:r>
    </w:p>
    <w:p w14:paraId="63E72F75" w14:textId="77777777" w:rsidR="00EE124C" w:rsidRPr="00A17DB7" w:rsidRDefault="00EE124C" w:rsidP="00EE124C">
      <w:pPr>
        <w:pStyle w:val="MDPI16affiliation"/>
      </w:pPr>
      <w:r w:rsidRPr="00A17DB7">
        <w:rPr>
          <w:vertAlign w:val="superscript"/>
        </w:rPr>
        <w:t>5</w:t>
      </w:r>
      <w:r w:rsidRPr="00A17DB7">
        <w:tab/>
        <w:t>Gazprom Neft Science &amp; Technology Centre, Moika River emb. 75-79 liter D, 190000, Saint Petersburg, Russia; morozov.nv@gazpromneft-ntc.ru (N.M.)</w:t>
      </w:r>
    </w:p>
    <w:p w14:paraId="37148B86" w14:textId="77777777" w:rsidR="00EE124C" w:rsidRPr="00A17DB7" w:rsidRDefault="00EE124C" w:rsidP="00EE124C">
      <w:pPr>
        <w:pStyle w:val="MDPI16affiliation"/>
      </w:pPr>
      <w:r w:rsidRPr="00A17DB7">
        <w:t>*</w:t>
      </w:r>
      <w:r w:rsidRPr="00A17DB7">
        <w:tab/>
        <w:t>Correspondence: timur.bulatov@skoltech.ru (T.B.)</w:t>
      </w:r>
    </w:p>
    <w:tbl>
      <w:tblPr>
        <w:tblpPr w:leftFromText="198" w:rightFromText="198" w:vertAnchor="page" w:horzAnchor="margin" w:tblpY="8281"/>
        <w:tblW w:w="2410" w:type="dxa"/>
        <w:tblLayout w:type="fixed"/>
        <w:tblCellMar>
          <w:left w:w="0" w:type="dxa"/>
          <w:right w:w="0" w:type="dxa"/>
        </w:tblCellMar>
        <w:tblLook w:val="04A0" w:firstRow="1" w:lastRow="0" w:firstColumn="1" w:lastColumn="0" w:noHBand="0" w:noVBand="1"/>
      </w:tblPr>
      <w:tblGrid>
        <w:gridCol w:w="2410"/>
      </w:tblGrid>
      <w:tr w:rsidR="00EE124C" w:rsidRPr="00A17DB7" w14:paraId="53B44D5D" w14:textId="77777777" w:rsidTr="00EE124C">
        <w:tc>
          <w:tcPr>
            <w:tcW w:w="2410" w:type="dxa"/>
            <w:shd w:val="clear" w:color="auto" w:fill="auto"/>
          </w:tcPr>
          <w:p w14:paraId="2A395C5D" w14:textId="076A0BF2" w:rsidR="00EE124C" w:rsidRPr="00A17DB7" w:rsidRDefault="00EE124C" w:rsidP="00EE124C">
            <w:pPr>
              <w:pStyle w:val="MDPI61Citation"/>
              <w:spacing w:line="240" w:lineRule="exact"/>
            </w:pPr>
            <w:r w:rsidRPr="00A17DB7">
              <w:rPr>
                <w:b/>
              </w:rPr>
              <w:t>Citation:</w:t>
            </w:r>
            <w:r w:rsidRPr="00A17DB7">
              <w:t xml:space="preserve"> Bulatov, T.; Kozlova, E.;  Leushina, E.; Panchenko, I.; Pronina, N.; Voropaev, A.; Morozov, N.;  Spasennykh, M. Alginite-rich layers in the Bazhenov deposits of the Wes</w:t>
            </w:r>
            <w:r w:rsidR="00EC22F5" w:rsidRPr="00A17DB7">
              <w:t>tern Siberia</w:t>
            </w:r>
            <w:r w:rsidRPr="00A17DB7">
              <w:t xml:space="preserve">. </w:t>
            </w:r>
            <w:r w:rsidRPr="00A17DB7">
              <w:rPr>
                <w:i/>
              </w:rPr>
              <w:t xml:space="preserve">Geosciences </w:t>
            </w:r>
            <w:r w:rsidRPr="00A17DB7">
              <w:rPr>
                <w:b/>
              </w:rPr>
              <w:t>2021</w:t>
            </w:r>
            <w:r w:rsidRPr="00A17DB7">
              <w:t xml:space="preserve">, </w:t>
            </w:r>
            <w:r w:rsidRPr="00A17DB7">
              <w:rPr>
                <w:i/>
              </w:rPr>
              <w:t>11</w:t>
            </w:r>
            <w:r w:rsidRPr="00A17DB7">
              <w:t xml:space="preserve">, x. </w:t>
            </w:r>
            <w:r w:rsidR="006268EC" w:rsidRPr="00A17DB7">
              <w:t>DOI:</w:t>
            </w:r>
            <w:r w:rsidRPr="00A17DB7">
              <w:t>10.3390/</w:t>
            </w:r>
            <w:proofErr w:type="spellStart"/>
            <w:r w:rsidRPr="00A17DB7">
              <w:t>xxxxx</w:t>
            </w:r>
            <w:proofErr w:type="spellEnd"/>
          </w:p>
          <w:p w14:paraId="7599169A" w14:textId="77777777" w:rsidR="00EE124C" w:rsidRPr="00A17DB7" w:rsidRDefault="00EE124C" w:rsidP="00EE124C">
            <w:pPr>
              <w:pStyle w:val="MDPI15academiceditor"/>
              <w:spacing w:after="240"/>
            </w:pPr>
            <w:r w:rsidRPr="00A17DB7">
              <w:t xml:space="preserve">Academic Editor: </w:t>
            </w:r>
            <w:proofErr w:type="spellStart"/>
            <w:r w:rsidRPr="00A17DB7">
              <w:t>Firstname</w:t>
            </w:r>
            <w:proofErr w:type="spellEnd"/>
            <w:r w:rsidRPr="00A17DB7">
              <w:t xml:space="preserve"> </w:t>
            </w:r>
            <w:proofErr w:type="spellStart"/>
            <w:r w:rsidRPr="00A17DB7">
              <w:t>Lastname</w:t>
            </w:r>
            <w:proofErr w:type="spellEnd"/>
          </w:p>
          <w:p w14:paraId="0D050257" w14:textId="77777777" w:rsidR="00EE124C" w:rsidRPr="00A17DB7" w:rsidRDefault="00EE124C" w:rsidP="00EE124C">
            <w:pPr>
              <w:pStyle w:val="MDPI14history"/>
            </w:pPr>
            <w:r w:rsidRPr="00A17DB7">
              <w:t>Received: date</w:t>
            </w:r>
          </w:p>
          <w:p w14:paraId="143788C4" w14:textId="77777777" w:rsidR="00EE124C" w:rsidRPr="00A17DB7" w:rsidRDefault="00EE124C" w:rsidP="00EE124C">
            <w:pPr>
              <w:pStyle w:val="MDPI14history"/>
            </w:pPr>
            <w:r w:rsidRPr="00A17DB7">
              <w:t>Accepted: date</w:t>
            </w:r>
          </w:p>
          <w:p w14:paraId="318693C8" w14:textId="77777777" w:rsidR="00EE124C" w:rsidRPr="00A17DB7" w:rsidRDefault="00EE124C" w:rsidP="00EE124C">
            <w:pPr>
              <w:pStyle w:val="MDPI14history"/>
              <w:spacing w:after="240"/>
            </w:pPr>
            <w:r w:rsidRPr="00A17DB7">
              <w:t>Published: date</w:t>
            </w:r>
          </w:p>
          <w:p w14:paraId="12E02B90" w14:textId="77777777" w:rsidR="00EE124C" w:rsidRPr="00A17DB7" w:rsidRDefault="00EE124C" w:rsidP="00EE124C">
            <w:pPr>
              <w:pStyle w:val="MDPI63Notes"/>
              <w:jc w:val="both"/>
            </w:pPr>
            <w:r w:rsidRPr="00A17DB7">
              <w:rPr>
                <w:b/>
              </w:rPr>
              <w:t>Publisher’s Note:</w:t>
            </w:r>
            <w:r w:rsidRPr="00A17DB7">
              <w:t xml:space="preserve"> MDPI stays neutral with regard to jurisdictional claims in published maps and institutional affiliations.</w:t>
            </w:r>
          </w:p>
          <w:p w14:paraId="3CF3E6DD" w14:textId="77777777" w:rsidR="00EE124C" w:rsidRPr="00A17DB7" w:rsidRDefault="00EE124C" w:rsidP="00EE124C">
            <w:pPr>
              <w:adjustRightInd w:val="0"/>
              <w:snapToGrid w:val="0"/>
              <w:spacing w:before="240" w:line="240" w:lineRule="atLeast"/>
              <w:ind w:right="113"/>
              <w:jc w:val="left"/>
              <w:rPr>
                <w:rFonts w:eastAsia="DengXian"/>
                <w:bCs/>
                <w:sz w:val="14"/>
                <w:szCs w:val="14"/>
                <w:lang w:bidi="en-US"/>
              </w:rPr>
            </w:pPr>
            <w:r w:rsidRPr="00A17DB7">
              <w:rPr>
                <w:rFonts w:eastAsia="DengXian"/>
                <w:lang w:val="ru-RU" w:eastAsia="ru-RU"/>
              </w:rPr>
              <w:drawing>
                <wp:inline distT="0" distB="0" distL="0" distR="0" wp14:anchorId="554057A0" wp14:editId="206E7D94">
                  <wp:extent cx="691515" cy="246380"/>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1515" cy="246380"/>
                          </a:xfrm>
                          <a:prstGeom prst="rect">
                            <a:avLst/>
                          </a:prstGeom>
                          <a:noFill/>
                          <a:ln>
                            <a:noFill/>
                          </a:ln>
                        </pic:spPr>
                      </pic:pic>
                    </a:graphicData>
                  </a:graphic>
                </wp:inline>
              </w:drawing>
            </w:r>
          </w:p>
          <w:p w14:paraId="73EC84EC" w14:textId="77777777" w:rsidR="00EE124C" w:rsidRPr="00A17DB7" w:rsidRDefault="00EE124C" w:rsidP="00EE124C">
            <w:pPr>
              <w:adjustRightInd w:val="0"/>
              <w:snapToGrid w:val="0"/>
              <w:spacing w:before="60" w:line="240" w:lineRule="atLeast"/>
              <w:ind w:right="113"/>
              <w:rPr>
                <w:rFonts w:eastAsia="DengXian"/>
                <w:bCs/>
                <w:sz w:val="14"/>
                <w:szCs w:val="14"/>
                <w:lang w:bidi="en-US"/>
              </w:rPr>
            </w:pPr>
            <w:r w:rsidRPr="00A17DB7">
              <w:rPr>
                <w:rFonts w:eastAsia="DengXian"/>
                <w:b/>
                <w:bCs/>
                <w:sz w:val="14"/>
                <w:szCs w:val="14"/>
                <w:lang w:bidi="en-US"/>
              </w:rPr>
              <w:t>Copyright:</w:t>
            </w:r>
            <w:r w:rsidRPr="00A17DB7">
              <w:rPr>
                <w:rFonts w:eastAsia="DengXian"/>
                <w:bCs/>
                <w:sz w:val="14"/>
                <w:szCs w:val="14"/>
                <w:lang w:bidi="en-US"/>
              </w:rPr>
              <w:t xml:space="preserve"> © 2021 by the authors. Submitted for possible open access publication under the terms and conditions of the Creative Commons Attribution (CC BY) license (https://creativecommons.org/licenses/by/4.0/).</w:t>
            </w:r>
          </w:p>
        </w:tc>
      </w:tr>
    </w:tbl>
    <w:p w14:paraId="4708DDE6" w14:textId="169A37DC" w:rsidR="00EE124C" w:rsidRPr="00A17DB7" w:rsidRDefault="006B19FC" w:rsidP="00EE124C">
      <w:pPr>
        <w:pStyle w:val="MDPI17abstract"/>
      </w:pPr>
      <w:r w:rsidRPr="00A17DB7">
        <w:rPr>
          <w:b/>
          <w:szCs w:val="18"/>
        </w:rPr>
        <w:t xml:space="preserve">Abstract: </w:t>
      </w:r>
      <w:r w:rsidR="00EE124C" w:rsidRPr="00A17DB7">
        <w:t>In the current study, we have identified the</w:t>
      </w:r>
      <w:r w:rsidR="00EE124C" w:rsidRPr="00A17DB7">
        <w:rPr>
          <w:b/>
          <w:bCs/>
        </w:rPr>
        <w:t xml:space="preserve"> </w:t>
      </w:r>
      <w:r w:rsidR="00EE124C" w:rsidRPr="00A17DB7">
        <w:t>luminescent layers containing a significant amount of alginite in the Upper Jurassic-Lower Cretaceous Bazhenov Formation named “the alginite-rich layers”. Lithological and geochemical methods were used to determine distinctive features of these layers and to evaluate their impact on the total petroleum generation potential of the Bazhenov Formation. We have shown that the composition of the alginite-rich layers differs significantly from the organic-rich siliceous Bazhenov rocks. Rock-Eval pyrolysis, bulk kinetics of thermal decomposition</w:t>
      </w:r>
      <w:r w:rsidR="00C03AB4">
        <w:t>, elemental analysis,</w:t>
      </w:r>
      <w:r w:rsidR="00EE124C" w:rsidRPr="00A17DB7">
        <w:t xml:space="preserve"> and composition of pyrolysis products indicate type I kerogen as the predominant component of the organic matter (OM). Isotope composition of carbon, nitrogen and sulfur was used to provide insights into their origin and formation pathways</w:t>
      </w:r>
      <w:r w:rsidR="003F3A62" w:rsidRPr="00A17DB7">
        <w:t>. The l</w:t>
      </w:r>
      <w:r w:rsidR="00EE124C" w:rsidRPr="00A17DB7">
        <w:t xml:space="preserve">uminescent alginite-rich layers proved to be good regional stratigraphic markers of the Bazhenov Formation due to widespread distribution over the </w:t>
      </w:r>
      <w:r w:rsidR="008E1C67" w:rsidRPr="00A17DB7">
        <w:t xml:space="preserve">central part </w:t>
      </w:r>
      <w:r w:rsidR="00EE124C" w:rsidRPr="00A17DB7">
        <w:t xml:space="preserve">of the Western Siberia. They also can be </w:t>
      </w:r>
      <w:r w:rsidR="008E1C67" w:rsidRPr="00A17DB7">
        <w:t xml:space="preserve">applied </w:t>
      </w:r>
      <w:r w:rsidR="00EE124C" w:rsidRPr="00A17DB7">
        <w:t>for maturity evaluation of the deposits from immature to middle of the oil window, since the luminescence of the layers change the color and intensity during maturation.</w:t>
      </w:r>
    </w:p>
    <w:p w14:paraId="3A3596B9" w14:textId="33933D2B" w:rsidR="00EE124C" w:rsidRPr="00A17DB7" w:rsidRDefault="00EE124C" w:rsidP="00EE124C">
      <w:pPr>
        <w:pStyle w:val="MDPI18keywords"/>
        <w:rPr>
          <w:szCs w:val="18"/>
        </w:rPr>
      </w:pPr>
      <w:r w:rsidRPr="00A17DB7">
        <w:rPr>
          <w:b/>
          <w:szCs w:val="18"/>
        </w:rPr>
        <w:t xml:space="preserve">Keywords: </w:t>
      </w:r>
      <w:r w:rsidR="00A86EDE" w:rsidRPr="00A17DB7">
        <w:rPr>
          <w:szCs w:val="18"/>
        </w:rPr>
        <w:t>the Bazhenov Formation; alginite-rich layers; macerals; type I kerogen;</w:t>
      </w:r>
      <w:r w:rsidRPr="00A17DB7">
        <w:rPr>
          <w:szCs w:val="18"/>
        </w:rPr>
        <w:t xml:space="preserve"> algal organic matter</w:t>
      </w:r>
      <w:r w:rsidR="00A86EDE" w:rsidRPr="00A17DB7">
        <w:rPr>
          <w:szCs w:val="18"/>
        </w:rPr>
        <w:t>;</w:t>
      </w:r>
      <w:r w:rsidRPr="00A17DB7">
        <w:rPr>
          <w:szCs w:val="18"/>
        </w:rPr>
        <w:t xml:space="preserve"> marker horizon</w:t>
      </w:r>
      <w:r w:rsidR="00A86EDE" w:rsidRPr="00A17DB7">
        <w:rPr>
          <w:szCs w:val="18"/>
        </w:rPr>
        <w:t>; Rock-Eval pyrolysis;</w:t>
      </w:r>
      <w:r w:rsidRPr="00A17DB7">
        <w:rPr>
          <w:szCs w:val="18"/>
        </w:rPr>
        <w:t xml:space="preserve"> kinetics</w:t>
      </w:r>
      <w:r w:rsidR="00A86EDE" w:rsidRPr="00A17DB7">
        <w:rPr>
          <w:szCs w:val="18"/>
        </w:rPr>
        <w:t>;</w:t>
      </w:r>
      <w:r w:rsidRPr="00A17DB7">
        <w:rPr>
          <w:szCs w:val="18"/>
        </w:rPr>
        <w:t xml:space="preserve"> isotope composition</w:t>
      </w:r>
    </w:p>
    <w:p w14:paraId="34E40CB4" w14:textId="77777777" w:rsidR="006B19FC" w:rsidRPr="00A17DB7" w:rsidRDefault="006B19FC" w:rsidP="006B19FC">
      <w:pPr>
        <w:pStyle w:val="MDPI19line"/>
      </w:pPr>
    </w:p>
    <w:p w14:paraId="2BC81289" w14:textId="77777777" w:rsidR="006B19FC" w:rsidRPr="00A17DB7" w:rsidRDefault="006B19FC" w:rsidP="006B19FC">
      <w:pPr>
        <w:pStyle w:val="MDPI21heading1"/>
        <w:rPr>
          <w:lang w:eastAsia="zh-CN"/>
        </w:rPr>
      </w:pPr>
      <w:r w:rsidRPr="00A17DB7">
        <w:rPr>
          <w:lang w:eastAsia="zh-CN"/>
        </w:rPr>
        <w:t>1. Introduction</w:t>
      </w:r>
    </w:p>
    <w:p w14:paraId="357BCDA3" w14:textId="5A9B6536" w:rsidR="00EE124C" w:rsidRPr="00A17DB7" w:rsidRDefault="00EE124C" w:rsidP="00EE124C">
      <w:pPr>
        <w:pStyle w:val="MDPI31text"/>
      </w:pPr>
      <w:r w:rsidRPr="00A17DB7">
        <w:t>Hydrocarbon production motivates the studies of unconventional source rock formations all over the world. The Bazhenov Formation discovered more than 50 years ago is considered as one of the primary oil-prone unconventional formations in the world. Deposits of the Bazhenov Formation are extended over an area of about 1 million km</w:t>
      </w:r>
      <w:r w:rsidRPr="00A17DB7">
        <w:rPr>
          <w:vertAlign w:val="superscript"/>
        </w:rPr>
        <w:t>2</w:t>
      </w:r>
      <w:r w:rsidRPr="00A17DB7">
        <w:t xml:space="preserve"> and are buried at depths of 2.0 to 3.5 km. In spite of the long research period and high number of studies, many questions relating to effective technology of hydrocarbon exploration and production still remain to be addressed.</w:t>
      </w:r>
    </w:p>
    <w:p w14:paraId="698CC512" w14:textId="69A49495" w:rsidR="00EE124C" w:rsidRPr="00A17DB7" w:rsidRDefault="00EE124C" w:rsidP="00EE124C">
      <w:pPr>
        <w:pStyle w:val="MDPI31text"/>
      </w:pPr>
      <w:r w:rsidRPr="00A17DB7">
        <w:t>The Upper Jurassic-Lower Cretaceous Bazhenov Formation deposits have been formed in marine environment. The major part of solid organic matter in the Bazhenov Formation is</w:t>
      </w:r>
      <w:r w:rsidR="00973ABA" w:rsidRPr="00A17DB7">
        <w:t xml:space="preserve"> represented by</w:t>
      </w:r>
      <w:r w:rsidRPr="00A17DB7">
        <w:t xml:space="preserve"> type II kerogen, which is characterized by common marine genesis. Total organic carbon </w:t>
      </w:r>
      <w:r w:rsidR="002B5C26">
        <w:t xml:space="preserve">(TOC) </w:t>
      </w:r>
      <w:r w:rsidRPr="00A17DB7">
        <w:t>concentration vary considerably from less than 1 up to 30 wt</w:t>
      </w:r>
      <w:proofErr w:type="gramStart"/>
      <w:r w:rsidR="00973ABA" w:rsidRPr="00A17DB7">
        <w:t>.</w:t>
      </w:r>
      <w:r w:rsidRPr="00A17DB7">
        <w:t>%</w:t>
      </w:r>
      <w:proofErr w:type="gramEnd"/>
      <w:r w:rsidRPr="00A17DB7">
        <w:t xml:space="preserve"> for different lithological units within the cross-section. TOC variations are usually accompanied by considerable variations of the hydrogen index (HI), chemical and </w:t>
      </w:r>
      <w:r w:rsidRPr="00A17DB7">
        <w:lastRenderedPageBreak/>
        <w:t xml:space="preserve">isotope composition and level of organic matter thermal maturation [1–4]. These variations reflect the changes in sedimentation conditions, including the rate of sedimentation, </w:t>
      </w:r>
      <w:r w:rsidR="008E1C67" w:rsidRPr="00A17DB7">
        <w:t xml:space="preserve">diversity of </w:t>
      </w:r>
      <w:r w:rsidRPr="00A17DB7">
        <w:t>marine biota and bioproductivity, redox conditions</w:t>
      </w:r>
      <w:r w:rsidR="00973ABA" w:rsidRPr="00A17DB7">
        <w:t>,</w:t>
      </w:r>
      <w:r w:rsidRPr="00A17DB7">
        <w:t xml:space="preserve"> and others [5–7]. </w:t>
      </w:r>
      <w:r w:rsidR="008E1C67" w:rsidRPr="00A17DB7">
        <w:t>In case of the Bazhenov Formation</w:t>
      </w:r>
      <w:r w:rsidRPr="00A17DB7">
        <w:t xml:space="preserve">, the effect of these factors on hydrocarbon formation process and hydrocarbon productivity is not yet </w:t>
      </w:r>
      <w:r w:rsidR="00973ABA" w:rsidRPr="00A17DB7">
        <w:t>fully understood</w:t>
      </w:r>
      <w:r w:rsidRPr="00A17DB7">
        <w:t xml:space="preserve"> and requires additional studies, based on detailed analysis of OM composition, properties and sources for different areas.</w:t>
      </w:r>
    </w:p>
    <w:p w14:paraId="58714217" w14:textId="7A790015" w:rsidR="00EE124C" w:rsidRPr="00A17DB7" w:rsidRDefault="00EE124C" w:rsidP="00EE124C">
      <w:pPr>
        <w:pStyle w:val="MDPI31text"/>
      </w:pPr>
      <w:r w:rsidRPr="00A17DB7">
        <w:t>In this study, we focus on the layers containing luminescent organic matter and characterized by high TOC values and extremely high HI</w:t>
      </w:r>
      <w:r w:rsidR="00202F27" w:rsidRPr="00C5555B">
        <w:t xml:space="preserve"> </w:t>
      </w:r>
      <w:r w:rsidRPr="00A17DB7">
        <w:t xml:space="preserve">values, distinguishing them from the other Bazhenov Formation rocks. We have discovered these intervals in </w:t>
      </w:r>
      <w:r w:rsidR="008E1C67" w:rsidRPr="00A17DB7">
        <w:t xml:space="preserve">more than 20 </w:t>
      </w:r>
      <w:r w:rsidRPr="00A17DB7">
        <w:t>wells located in the central parts of the Western Siberian petroleum basin [8]. We have performed their detailed lithological and geochemical analysis. The layers show bright yellow to orange luminescence under ultraviolet (UV) light most probably due to their OM algal genesis. Their properties differ from other luminescent layers in the Bazhenov cross-section</w:t>
      </w:r>
      <w:r w:rsidRPr="00A17DB7">
        <w:rPr>
          <w:i/>
          <w:iCs/>
        </w:rPr>
        <w:t>s</w:t>
      </w:r>
      <w:r w:rsidRPr="00A17DB7">
        <w:t xml:space="preserve">, including oil saturated intervals and luminescent tuffs described in [9–11], which do not contain high amount of organic carbon. Using </w:t>
      </w:r>
      <w:r w:rsidR="008E1C67" w:rsidRPr="00A17DB7">
        <w:t xml:space="preserve">comprehensive </w:t>
      </w:r>
      <w:r w:rsidRPr="00A17DB7">
        <w:t xml:space="preserve">analysis, we have proven the presence of type I kerogen in these layers, which is unique for the Bazhenov Formation. Therefore, extensive study of these specific layers is important for understanding of </w:t>
      </w:r>
      <w:r w:rsidR="000F2656" w:rsidRPr="00A17DB7">
        <w:t xml:space="preserve">the </w:t>
      </w:r>
      <w:r w:rsidRPr="00A17DB7">
        <w:t xml:space="preserve">sedimentation process in the Bazhenov paleobasin. The presence of luminescent layers in visually homogeneous Bazhenov cross-sections </w:t>
      </w:r>
      <w:r w:rsidR="000F2656" w:rsidRPr="00A17DB7">
        <w:t>could become a tool</w:t>
      </w:r>
      <w:r w:rsidRPr="00A17DB7">
        <w:t xml:space="preserve"> for correlation of wells at least </w:t>
      </w:r>
      <w:r w:rsidR="000F2656" w:rsidRPr="00A17DB7">
        <w:t xml:space="preserve">in </w:t>
      </w:r>
      <w:r w:rsidRPr="00A17DB7">
        <w:t>the central part of the Western Siberia where such layers have been found.</w:t>
      </w:r>
    </w:p>
    <w:p w14:paraId="0C01648B" w14:textId="327521A7" w:rsidR="00EE124C" w:rsidRPr="00A17DB7" w:rsidRDefault="00EE124C" w:rsidP="00EE124C">
      <w:pPr>
        <w:pStyle w:val="MDPI31text"/>
      </w:pPr>
      <w:r w:rsidRPr="00A17DB7">
        <w:t xml:space="preserve">The identified alginite-rich layers were analyzed in terms of their lithological and geochemical characteristics, including their occurrence in the Bazhenov sequence, genesis and potential application for well correlation and hydrocarbon exploration and production. The study </w:t>
      </w:r>
      <w:r w:rsidR="000F2656" w:rsidRPr="00A17DB7">
        <w:t xml:space="preserve">comprises the </w:t>
      </w:r>
      <w:r w:rsidRPr="00A17DB7">
        <w:t>existing data on this type of the layers found in the Bazhenov Formation</w:t>
      </w:r>
      <w:r w:rsidR="000F2656" w:rsidRPr="00A17DB7">
        <w:t>,</w:t>
      </w:r>
      <w:r w:rsidRPr="00A17DB7">
        <w:t xml:space="preserve"> and </w:t>
      </w:r>
      <w:r w:rsidR="000F2656" w:rsidRPr="00A17DB7">
        <w:t>contains novel</w:t>
      </w:r>
      <w:r w:rsidRPr="00A17DB7">
        <w:t xml:space="preserve"> results of the lithological investigation, Rock-Eval pyrolysis, CHNS analysis, stable isotope composition analysis</w:t>
      </w:r>
      <w:r w:rsidR="00973ABA" w:rsidRPr="00A17DB7">
        <w:t>,</w:t>
      </w:r>
      <w:r w:rsidRPr="00A17DB7">
        <w:t xml:space="preserve"> and other geochemical methods.</w:t>
      </w:r>
    </w:p>
    <w:p w14:paraId="2C7AE976" w14:textId="6CCF10C4" w:rsidR="006B19FC" w:rsidRPr="00A17DB7" w:rsidRDefault="006B19FC" w:rsidP="006B19FC">
      <w:pPr>
        <w:pStyle w:val="MDPI21heading1"/>
      </w:pPr>
      <w:r w:rsidRPr="00A17DB7">
        <w:rPr>
          <w:lang w:eastAsia="zh-CN"/>
        </w:rPr>
        <w:t xml:space="preserve">2. </w:t>
      </w:r>
      <w:r w:rsidR="00EE124C" w:rsidRPr="00A17DB7">
        <w:t xml:space="preserve">Geological </w:t>
      </w:r>
      <w:r w:rsidR="00424BE2" w:rsidRPr="00A17DB7">
        <w:t>S</w:t>
      </w:r>
      <w:r w:rsidR="00EE124C" w:rsidRPr="00A17DB7">
        <w:t>etting</w:t>
      </w:r>
    </w:p>
    <w:p w14:paraId="025B19DB" w14:textId="5DCAF222" w:rsidR="00EE124C" w:rsidRPr="00A17DB7" w:rsidRDefault="00EE124C" w:rsidP="00EE124C">
      <w:pPr>
        <w:pStyle w:val="MDPI31text"/>
      </w:pPr>
      <w:r w:rsidRPr="00A17DB7">
        <w:t>The Bazhenov Formation and its facial and stratigraphical analogues Tutleimskaya (lower part), Maryanovskaya, Yanovstanskaya,</w:t>
      </w:r>
      <w:r w:rsidR="00973ABA" w:rsidRPr="00A17DB7">
        <w:t xml:space="preserve"> and</w:t>
      </w:r>
      <w:r w:rsidRPr="00A17DB7">
        <w:t xml:space="preserve"> Golchikhinskaya Formations make up the single Bazhenov horizon that corresponds to the largest Mesozoic global black shale event. Figure 1 shows the Bazhenov Formation and indicates wells location where the alginite-rich layers have been found.</w:t>
      </w:r>
    </w:p>
    <w:p w14:paraId="7BFB8CB2" w14:textId="77777777" w:rsidR="00EE124C" w:rsidRPr="00A17DB7" w:rsidRDefault="00EE124C" w:rsidP="0078568B">
      <w:pPr>
        <w:pStyle w:val="MDPI52figure"/>
        <w:ind w:left="2608"/>
        <w:jc w:val="left"/>
      </w:pPr>
      <w:r w:rsidRPr="00A17DB7">
        <w:rPr>
          <w:noProof/>
          <w:snapToGrid/>
          <w:lang w:val="ru-RU" w:eastAsia="ru-RU" w:bidi="ar-SA"/>
        </w:rPr>
        <w:lastRenderedPageBreak/>
        <w:drawing>
          <wp:inline distT="0" distB="0" distL="0" distR="0" wp14:anchorId="49D4522F" wp14:editId="2A3ACD5F">
            <wp:extent cx="4828032" cy="3387833"/>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e 1-skv.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42295" cy="3397841"/>
                    </a:xfrm>
                    <a:prstGeom prst="rect">
                      <a:avLst/>
                    </a:prstGeom>
                  </pic:spPr>
                </pic:pic>
              </a:graphicData>
            </a:graphic>
          </wp:inline>
        </w:drawing>
      </w:r>
    </w:p>
    <w:p w14:paraId="7C5173F6" w14:textId="3C21736C" w:rsidR="00EE124C" w:rsidRPr="00A17DB7" w:rsidRDefault="0078568B" w:rsidP="0078568B">
      <w:pPr>
        <w:pStyle w:val="MDPI51figurecaption"/>
        <w:rPr>
          <w:b/>
          <w:bCs/>
        </w:rPr>
      </w:pPr>
      <w:r w:rsidRPr="00A17DB7">
        <w:rPr>
          <w:b/>
        </w:rPr>
        <w:t xml:space="preserve">Figure 1. </w:t>
      </w:r>
      <w:r w:rsidR="00EE124C" w:rsidRPr="00A17DB7">
        <w:t>Map of the Bazhenov Formation with studied wells where the alginite-rich layers have been discovered (left) and stratigraphy of Mesozoic deposits of the Western Siberia (right, modified from [12]).</w:t>
      </w:r>
    </w:p>
    <w:p w14:paraId="5BDA997B" w14:textId="3D3A04EB" w:rsidR="00EE124C" w:rsidRPr="00A17DB7" w:rsidRDefault="00EE124C" w:rsidP="00EE124C">
      <w:pPr>
        <w:pStyle w:val="MDPI31text"/>
      </w:pPr>
      <w:r w:rsidRPr="00A17DB7">
        <w:t xml:space="preserve">The sedimentation period covers the </w:t>
      </w:r>
      <w:r w:rsidR="006F110C" w:rsidRPr="00A17DB7">
        <w:t xml:space="preserve">late </w:t>
      </w:r>
      <w:r w:rsidRPr="00A17DB7">
        <w:t>Tithonian-early Valanginian time [13</w:t>
      </w:r>
      <w:proofErr w:type="gramStart"/>
      <w:r w:rsidRPr="00A17DB7">
        <w:t>,14</w:t>
      </w:r>
      <w:proofErr w:type="gramEnd"/>
      <w:r w:rsidRPr="00A17DB7">
        <w:t xml:space="preserve">]. The Bazhenov epicontinental paleosea had extremely low deposition rates. High level of bio-productivity and anoxic depositional environments were favorable for OM accumulation and preservation [15–17]. There is a number of </w:t>
      </w:r>
      <w:r w:rsidR="00973ABA" w:rsidRPr="00A17DB7">
        <w:t>publications</w:t>
      </w:r>
      <w:r w:rsidR="00ED6544" w:rsidRPr="00A17DB7">
        <w:t xml:space="preserve"> </w:t>
      </w:r>
      <w:r w:rsidRPr="00A17DB7">
        <w:t xml:space="preserve">that integrate the paleontological findings and other proxies of the paleoenvironment conditions that </w:t>
      </w:r>
      <w:proofErr w:type="gramStart"/>
      <w:r w:rsidRPr="00A17DB7">
        <w:t xml:space="preserve">controlled </w:t>
      </w:r>
      <w:r w:rsidR="005D6C3A" w:rsidRPr="00A17DB7">
        <w:t xml:space="preserve"> its</w:t>
      </w:r>
      <w:proofErr w:type="gramEnd"/>
      <w:r w:rsidR="005D6C3A" w:rsidRPr="00A17DB7">
        <w:t xml:space="preserve"> deposition </w:t>
      </w:r>
      <w:r w:rsidRPr="00A17DB7">
        <w:t>at different stages of geological history [18-21]. In general, the Bazhenov Formation rocks properties, organic matter and its transformation into petroleum make object of numerous studies since 1960-s [22–29].</w:t>
      </w:r>
    </w:p>
    <w:p w14:paraId="6C3ED9EC" w14:textId="75DB765F" w:rsidR="00EE124C" w:rsidRPr="00A17DB7" w:rsidRDefault="00EE124C" w:rsidP="00EE124C">
      <w:pPr>
        <w:pStyle w:val="MDPI31text"/>
      </w:pPr>
      <w:r w:rsidRPr="00A17DB7">
        <w:t xml:space="preserve">Stratigraphic units of the Bazhenov Formation are not unified, and different research groups subdivide the horizon according to different criteria. Nonetheless, most of the researchers accept the division of the Bazhenov Formation into the Upper part and the Lower part due to lithological characteristics and concentration of OM, which is higher in the Upper Bazhenov. In this </w:t>
      </w:r>
      <w:r w:rsidR="005F757E" w:rsidRPr="00A17DB7">
        <w:t>publication</w:t>
      </w:r>
      <w:r w:rsidRPr="00A17DB7">
        <w:t>, we adopt the stratigraphic units reported in [30]. According to Panchenko and co-authors, the Bazhenov Formation is divided into two parts, each consisting of three distinct units. Thus, the Bazhenov section comprises six units, possessing a certain paleontological, lithological, geochemical characteristics</w:t>
      </w:r>
      <w:r w:rsidR="00F2028D" w:rsidRPr="00A17DB7">
        <w:t>,</w:t>
      </w:r>
      <w:r w:rsidRPr="00A17DB7">
        <w:t xml:space="preserve"> and identified based on well logging data (Figure 2). Such integrated approach allows one to establish units that reflect event-driven changes in the sedimentation conditions during the </w:t>
      </w:r>
      <w:r w:rsidR="00534578" w:rsidRPr="00A17DB7">
        <w:t xml:space="preserve">late </w:t>
      </w:r>
      <w:r w:rsidRPr="00A17DB7">
        <w:t>Tithonian-early Valanginian time.</w:t>
      </w:r>
    </w:p>
    <w:p w14:paraId="423B358F" w14:textId="354B499B" w:rsidR="00EE124C" w:rsidRPr="00A17DB7" w:rsidRDefault="00726D86" w:rsidP="0078568B">
      <w:pPr>
        <w:pStyle w:val="MDPI52figure"/>
        <w:ind w:left="2608"/>
        <w:jc w:val="left"/>
      </w:pPr>
      <w:r w:rsidRPr="00A17DB7">
        <w:rPr>
          <w:noProof/>
          <w:snapToGrid/>
          <w:lang w:val="ru-RU" w:eastAsia="ru-RU" w:bidi="ar-SA"/>
        </w:rPr>
        <w:lastRenderedPageBreak/>
        <w:drawing>
          <wp:inline distT="0" distB="0" distL="0" distR="0" wp14:anchorId="24539D0C" wp14:editId="567A547B">
            <wp:extent cx="4896952" cy="46770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e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19651" cy="4698725"/>
                    </a:xfrm>
                    <a:prstGeom prst="rect">
                      <a:avLst/>
                    </a:prstGeom>
                  </pic:spPr>
                </pic:pic>
              </a:graphicData>
            </a:graphic>
          </wp:inline>
        </w:drawing>
      </w:r>
    </w:p>
    <w:p w14:paraId="74828E7B" w14:textId="4462C5FF" w:rsidR="00EE124C" w:rsidRPr="00A17DB7" w:rsidRDefault="0078568B" w:rsidP="00C6561E">
      <w:pPr>
        <w:pStyle w:val="MDPI51figurecaption"/>
      </w:pPr>
      <w:r w:rsidRPr="00A17DB7">
        <w:rPr>
          <w:b/>
        </w:rPr>
        <w:t xml:space="preserve">Figure 2. </w:t>
      </w:r>
      <w:r w:rsidR="00EE124C" w:rsidRPr="00A17DB7">
        <w:t>Example of the Bazhenov Formation cross-section</w:t>
      </w:r>
      <w:r w:rsidR="00DB674C">
        <w:t xml:space="preserve"> (Well M184)</w:t>
      </w:r>
      <w:r w:rsidR="00EE124C" w:rsidRPr="00A17DB7">
        <w:t xml:space="preserve">. </w:t>
      </w:r>
      <w:r w:rsidR="00726D86" w:rsidRPr="00A17DB7">
        <w:t xml:space="preserve">Core photographs under white and UV light. </w:t>
      </w:r>
      <w:r w:rsidR="00C76D15" w:rsidRPr="00A17DB7">
        <w:t xml:space="preserve">Lithology: </w:t>
      </w:r>
      <w:r w:rsidR="00EE124C" w:rsidRPr="00A17DB7">
        <w:t>1 – siliceous claystone; 2 – siliceous rocks with low clay content; 3 – organic-rich calcareous rocks; 4 – claystone; 5 – organic-rich claystone; 6 – radiolarite; 7 – organic-rich siliceous rocks; 8 – alternation of siltstones, claystone and sandstones.</w:t>
      </w:r>
      <w:r w:rsidR="00F2028D" w:rsidRPr="00A17DB7">
        <w:t xml:space="preserve"> </w:t>
      </w:r>
      <w:r w:rsidR="00456CF5" w:rsidRPr="00A17DB7">
        <w:t>Well-logs</w:t>
      </w:r>
      <w:r w:rsidR="00C76D15" w:rsidRPr="00A17DB7">
        <w:t xml:space="preserve">: </w:t>
      </w:r>
      <w:r w:rsidR="0078198B" w:rsidRPr="00A17DB7">
        <w:t>LL</w:t>
      </w:r>
      <w:r w:rsidR="00CF5CA0" w:rsidRPr="00A17DB7">
        <w:t xml:space="preserve"> </w:t>
      </w:r>
      <w:r w:rsidR="00C76D15" w:rsidRPr="00A17DB7">
        <w:t xml:space="preserve">– </w:t>
      </w:r>
      <w:r w:rsidR="00CF5CA0" w:rsidRPr="00A17DB7">
        <w:t>laterolog</w:t>
      </w:r>
      <w:r w:rsidR="00F2028D" w:rsidRPr="00A17DB7">
        <w:t xml:space="preserve">; </w:t>
      </w:r>
      <w:r w:rsidR="0078198B" w:rsidRPr="00A17DB7">
        <w:t>IL</w:t>
      </w:r>
      <w:r w:rsidR="00C6561E" w:rsidRPr="00A17DB7">
        <w:t xml:space="preserve"> </w:t>
      </w:r>
      <w:r w:rsidR="00C76D15" w:rsidRPr="00A17DB7">
        <w:t xml:space="preserve">– </w:t>
      </w:r>
      <w:r w:rsidR="00CF5CA0" w:rsidRPr="00A17DB7">
        <w:t>induction log</w:t>
      </w:r>
      <w:r w:rsidR="00C76D15" w:rsidRPr="00A17DB7">
        <w:t>; GR</w:t>
      </w:r>
      <w:r w:rsidR="00BC4AF9" w:rsidRPr="00A17DB7">
        <w:t xml:space="preserve"> </w:t>
      </w:r>
      <w:r w:rsidR="00C76D15" w:rsidRPr="00A17DB7">
        <w:t xml:space="preserve">– gamma-ray log; </w:t>
      </w:r>
      <w:r w:rsidR="009D3721" w:rsidRPr="00A17DB7">
        <w:t>NL</w:t>
      </w:r>
      <w:r w:rsidR="00C76D15" w:rsidRPr="00A17DB7">
        <w:t xml:space="preserve"> –</w:t>
      </w:r>
      <w:r w:rsidR="00BC4AF9" w:rsidRPr="00A17DB7">
        <w:t xml:space="preserve"> </w:t>
      </w:r>
      <w:r w:rsidR="00253471" w:rsidRPr="00A17DB7">
        <w:t>neutron log</w:t>
      </w:r>
      <w:r w:rsidR="00C6561E" w:rsidRPr="00A17DB7">
        <w:t>.</w:t>
      </w:r>
    </w:p>
    <w:p w14:paraId="4FA0F53A" w14:textId="3AD2824B" w:rsidR="00EE124C" w:rsidRPr="00A17DB7" w:rsidRDefault="00EE124C" w:rsidP="00EE124C">
      <w:pPr>
        <w:pStyle w:val="MDPI31text"/>
      </w:pPr>
      <w:r w:rsidRPr="00A17DB7">
        <w:t xml:space="preserve">The Bazhenov section is mainly composed of organic-rich siliceous rocks with varying admixtures of clay and carbonate minerals. </w:t>
      </w:r>
      <w:r w:rsidR="00534578" w:rsidRPr="00A17DB7">
        <w:t>Q</w:t>
      </w:r>
      <w:r w:rsidRPr="00A17DB7">
        <w:t>uantities of siliceous</w:t>
      </w:r>
      <w:r w:rsidR="00663F6B" w:rsidRPr="00A17DB7">
        <w:t xml:space="preserve"> rocks composed of radiolarites</w:t>
      </w:r>
      <w:r w:rsidRPr="00A17DB7">
        <w:t xml:space="preserve"> and carbonate rocks (limestones and dolomites)</w:t>
      </w:r>
      <w:r w:rsidR="00534578" w:rsidRPr="00A17DB7">
        <w:t xml:space="preserve"> </w:t>
      </w:r>
      <w:r w:rsidR="00232372" w:rsidRPr="00A17DB7">
        <w:t xml:space="preserve">differ in every </w:t>
      </w:r>
      <w:r w:rsidR="00DB674C">
        <w:t>cross-</w:t>
      </w:r>
      <w:r w:rsidR="00232372" w:rsidRPr="00A17DB7">
        <w:t>section of the Bazhenov Formation</w:t>
      </w:r>
      <w:r w:rsidRPr="00A17DB7">
        <w:t>. The rock-forming minerals are quartz, clay (mixed-layer, kaolinite and chlorite) and carbonate (calcite and dolomite) minerals. Sulfides are disseminated within the deposits</w:t>
      </w:r>
      <w:r w:rsidR="00663F6B" w:rsidRPr="00A17DB7">
        <w:t xml:space="preserve"> predominantly in a form of pyrite</w:t>
      </w:r>
      <w:r w:rsidRPr="00A17DB7">
        <w:t xml:space="preserve">. Pyrite can reach high concentrations up to 15 </w:t>
      </w:r>
      <w:r w:rsidR="00973ABA" w:rsidRPr="00A17DB7">
        <w:t>wt</w:t>
      </w:r>
      <w:proofErr w:type="gramStart"/>
      <w:r w:rsidR="00973ABA" w:rsidRPr="00A17DB7">
        <w:t>.%</w:t>
      </w:r>
      <w:proofErr w:type="gramEnd"/>
      <w:r w:rsidRPr="00A17DB7">
        <w:t>. Apatite and glauconite are also observed within thin lenses and layers.</w:t>
      </w:r>
    </w:p>
    <w:p w14:paraId="6CEC8550" w14:textId="7E8C7C37" w:rsidR="00EE124C" w:rsidRPr="00A17DB7" w:rsidRDefault="00EE124C" w:rsidP="00EE124C">
      <w:pPr>
        <w:pStyle w:val="MDPI31text"/>
      </w:pPr>
      <w:r w:rsidRPr="00A17DB7">
        <w:t>As many other black shales deposited in marine environment, the Bazhenov Formation rocks contain higher concentration of transitional metals compared to ordinary shales, e.g. Ni, Co, Cd, Mo, Ba, V, Cu, Zn, U and others. The Bazhenov Formation is of particular interest due to high uranium content [15</w:t>
      </w:r>
      <w:proofErr w:type="gramStart"/>
      <w:r w:rsidRPr="00A17DB7">
        <w:t>,17,31</w:t>
      </w:r>
      <w:proofErr w:type="gramEnd"/>
      <w:r w:rsidRPr="00A17DB7">
        <w:t>], which is detected as an anomaly in gamma-ray logs [32].</w:t>
      </w:r>
    </w:p>
    <w:p w14:paraId="48C346B2" w14:textId="20F727CC" w:rsidR="00EE124C" w:rsidRPr="00A17DB7" w:rsidRDefault="00EE124C" w:rsidP="00EE124C">
      <w:pPr>
        <w:pStyle w:val="MDPI31text"/>
      </w:pPr>
      <w:r w:rsidRPr="00A17DB7">
        <w:t>The Bazhenov Formation organic matter, its generalized structure and composition was analyzed in a range of previous studies [33–</w:t>
      </w:r>
      <w:r w:rsidR="00663F6B" w:rsidRPr="00A17DB7">
        <w:t>37]. T</w:t>
      </w:r>
      <w:r w:rsidRPr="00A17DB7">
        <w:t xml:space="preserve">otal organic carbon concentration varies from one to 25–30 </w:t>
      </w:r>
      <w:r w:rsidR="00973ABA" w:rsidRPr="00A17DB7">
        <w:t>wt</w:t>
      </w:r>
      <w:proofErr w:type="gramStart"/>
      <w:r w:rsidR="00973ABA" w:rsidRPr="00A17DB7">
        <w:t>.%</w:t>
      </w:r>
      <w:proofErr w:type="gramEnd"/>
      <w:r w:rsidRPr="00A17DB7">
        <w:t xml:space="preserve"> (mean 8–9 </w:t>
      </w:r>
      <w:r w:rsidR="00973ABA" w:rsidRPr="00A17DB7">
        <w:t>wt.%</w:t>
      </w:r>
      <w:r w:rsidRPr="00A17DB7">
        <w:t>) and the initial hydrogen index (HI</w:t>
      </w:r>
      <w:r w:rsidRPr="00A17DB7">
        <w:rPr>
          <w:vertAlign w:val="subscript"/>
        </w:rPr>
        <w:t>0</w:t>
      </w:r>
      <w:r w:rsidRPr="00A17DB7">
        <w:t>) values range between 650 and 715 mg HC/g TOC [38–40]. The organic matter is type II kerogen with maturity varying along the region from immature (</w:t>
      </w:r>
      <w:proofErr w:type="spellStart"/>
      <w:r w:rsidR="00F2028D" w:rsidRPr="00A17DB7">
        <w:t>protocatagenesis</w:t>
      </w:r>
      <w:proofErr w:type="spellEnd"/>
      <w:r w:rsidR="00F2028D" w:rsidRPr="00A17DB7">
        <w:t xml:space="preserve"> stage </w:t>
      </w:r>
      <w:r w:rsidRPr="00A17DB7">
        <w:t>PC3) in the Nyurolskaya Depression to the end of the oil window (</w:t>
      </w:r>
      <w:proofErr w:type="spellStart"/>
      <w:r w:rsidR="00F2028D" w:rsidRPr="00A17DB7">
        <w:t>mesocatagenesis</w:t>
      </w:r>
      <w:proofErr w:type="spellEnd"/>
      <w:r w:rsidR="00F2028D" w:rsidRPr="00A17DB7">
        <w:t xml:space="preserve"> stage </w:t>
      </w:r>
      <w:r w:rsidRPr="00A17DB7">
        <w:t xml:space="preserve">MC3) </w:t>
      </w:r>
      <w:r w:rsidRPr="00A17DB7">
        <w:lastRenderedPageBreak/>
        <w:t>in the Salym Arch [39</w:t>
      </w:r>
      <w:proofErr w:type="gramStart"/>
      <w:r w:rsidRPr="00A17DB7">
        <w:t>,41,42</w:t>
      </w:r>
      <w:proofErr w:type="gramEnd"/>
      <w:r w:rsidRPr="00A17DB7">
        <w:t>]. Catagenesis stages are named according to [43], tectonic zoning is suggested by [44].</w:t>
      </w:r>
      <w:r w:rsidR="003F3A62" w:rsidRPr="00A17DB7">
        <w:t xml:space="preserve"> Type I kerogen in the Bazhenov deposits was mentioned </w:t>
      </w:r>
      <w:r w:rsidR="005F757E" w:rsidRPr="00A17DB7">
        <w:t>previously</w:t>
      </w:r>
      <w:r w:rsidR="003F3A62" w:rsidRPr="00A17DB7">
        <w:t xml:space="preserve"> in recent </w:t>
      </w:r>
      <w:r w:rsidR="00FB0428">
        <w:t>publications</w:t>
      </w:r>
      <w:r w:rsidR="003F3A62" w:rsidRPr="00A17DB7">
        <w:t xml:space="preserve">, but the </w:t>
      </w:r>
      <w:r w:rsidR="005F757E" w:rsidRPr="00A17DB7">
        <w:t>detailed</w:t>
      </w:r>
      <w:r w:rsidR="003F3A62" w:rsidRPr="00A17DB7">
        <w:t xml:space="preserve"> characterization was never presented [38</w:t>
      </w:r>
      <w:proofErr w:type="gramStart"/>
      <w:r w:rsidR="003F3A62" w:rsidRPr="00A17DB7">
        <w:t>,39</w:t>
      </w:r>
      <w:proofErr w:type="gramEnd"/>
      <w:r w:rsidR="003F3A62" w:rsidRPr="00A17DB7">
        <w:t>].</w:t>
      </w:r>
    </w:p>
    <w:p w14:paraId="067C0597" w14:textId="01765E06" w:rsidR="00EE124C" w:rsidRPr="00A17DB7" w:rsidRDefault="00EE124C" w:rsidP="00EE124C">
      <w:pPr>
        <w:pStyle w:val="MDPI31text"/>
      </w:pPr>
      <w:r w:rsidRPr="00A17DB7">
        <w:t>Depending on the thermal maturity advance, the properties and characteristics of the Bazhenov Formation OM change, which is reflected in Rock-Eval pyrolysis parameters [45–47], molecular, and isotope composition [4,48,49]. In general, areas with higher maturity of OM show better hydrocarbon productivity.</w:t>
      </w:r>
    </w:p>
    <w:p w14:paraId="5EEF2D0C" w14:textId="0C2373EE" w:rsidR="00EE124C" w:rsidRPr="00A17DB7" w:rsidRDefault="00EE124C" w:rsidP="00EE124C">
      <w:pPr>
        <w:pStyle w:val="MDPI31text"/>
      </w:pPr>
      <w:r w:rsidRPr="00A17DB7">
        <w:t>Luminescent alginite-rich layers are located in the lower part of the Upper Bazhenov</w:t>
      </w:r>
      <w:r w:rsidR="00587E83" w:rsidRPr="00A17DB7">
        <w:t>,</w:t>
      </w:r>
      <w:r w:rsidRPr="00A17DB7">
        <w:t xml:space="preserve"> in unit 4. The</w:t>
      </w:r>
      <w:r w:rsidR="00A41ABE" w:rsidRPr="00A17DB7">
        <w:t>re</w:t>
      </w:r>
      <w:r w:rsidRPr="00A17DB7">
        <w:t xml:space="preserve"> are other luminescent layers present in unit 4 </w:t>
      </w:r>
      <w:r w:rsidR="00A41ABE" w:rsidRPr="00A17DB7">
        <w:t xml:space="preserve">– </w:t>
      </w:r>
      <w:r w:rsidRPr="00A17DB7">
        <w:t xml:space="preserve">tuffs (Figure 2, Figure 3). Tuffs appear as highly fractured greenish-gray or brown rocks with a relict volcaniclastic microstructure. They are mostly composed of devitrified volcanic glass, which has been subjected to hydration activity. The alginite-rich layers and tuffs have a different nature of luminescence. </w:t>
      </w:r>
      <w:r w:rsidR="00C06C53">
        <w:t>L</w:t>
      </w:r>
      <w:r w:rsidR="00C06C53" w:rsidRPr="00C06C53">
        <w:t xml:space="preserve">uminescence of tuffs by various authors is associated </w:t>
      </w:r>
      <w:r w:rsidR="00C06C53">
        <w:t xml:space="preserve">with </w:t>
      </w:r>
      <w:r w:rsidR="007D737A" w:rsidRPr="00A17DB7">
        <w:t>the mineralogy of clay minerals</w:t>
      </w:r>
      <w:r w:rsidR="00C06C53">
        <w:t xml:space="preserve"> [10] or barite concentrations [11],</w:t>
      </w:r>
      <w:r w:rsidR="007D737A" w:rsidRPr="00A17DB7">
        <w:t xml:space="preserve"> whereas the alginite layers have organic nature of luminescence. </w:t>
      </w:r>
      <w:r w:rsidRPr="00A17DB7">
        <w:t>Since the luminescence of the alginite-rich layers and tuffs are very close visually, in the results section we provide their comparative characteristic</w:t>
      </w:r>
      <w:r w:rsidR="00417040" w:rsidRPr="00A17DB7">
        <w:t>s</w:t>
      </w:r>
      <w:r w:rsidRPr="00A17DB7">
        <w:t xml:space="preserve"> in order to determine the strict criteria to distinguish them from one another.</w:t>
      </w:r>
    </w:p>
    <w:p w14:paraId="18A0123C" w14:textId="77777777" w:rsidR="00EE124C" w:rsidRPr="00A17DB7" w:rsidRDefault="00EE124C">
      <w:pPr>
        <w:pStyle w:val="MDPI21heading1"/>
      </w:pPr>
      <w:r w:rsidRPr="00A17DB7">
        <w:t>3. Materials and Methods</w:t>
      </w:r>
    </w:p>
    <w:p w14:paraId="4FE8385A" w14:textId="588E0757" w:rsidR="004565DA" w:rsidRPr="00A17DB7" w:rsidRDefault="00EE124C" w:rsidP="00EE124C">
      <w:pPr>
        <w:pStyle w:val="MDPI31text"/>
      </w:pPr>
      <w:r w:rsidRPr="00A17DB7">
        <w:t>Luminescent alginite-rich layers were observed in the core material from 22 wells (Fig</w:t>
      </w:r>
      <w:r w:rsidR="0078568B" w:rsidRPr="00A17DB7">
        <w:t>ure</w:t>
      </w:r>
      <w:r w:rsidRPr="00A17DB7">
        <w:t xml:space="preserve"> 1). All of the alginite-rich layers occur in the lower part of the Upper Bazhenov Formation (unit 4, see Fig</w:t>
      </w:r>
      <w:r w:rsidR="0078568B" w:rsidRPr="00A17DB7">
        <w:t xml:space="preserve">ure </w:t>
      </w:r>
      <w:r w:rsidRPr="00A17DB7">
        <w:t xml:space="preserve">2). </w:t>
      </w:r>
    </w:p>
    <w:p w14:paraId="64C6F073" w14:textId="0521067A" w:rsidR="007E12CD" w:rsidRPr="00A17DB7" w:rsidRDefault="00EE124C" w:rsidP="00EE124C">
      <w:pPr>
        <w:pStyle w:val="MDPI31text"/>
      </w:pPr>
      <w:r w:rsidRPr="00A17DB7">
        <w:t>For this study, we have chosen samples of the alginite-rich layers and host rocks representing mostly organic-rich siliceous rocks. The sampling distance between the alginite-rich layers and the host rocks did not exceed 5 cm.</w:t>
      </w:r>
    </w:p>
    <w:p w14:paraId="516DA319" w14:textId="7C8EDD6D" w:rsidR="00EE124C" w:rsidRPr="00A17DB7" w:rsidRDefault="00EE124C" w:rsidP="00EE124C">
      <w:pPr>
        <w:pStyle w:val="MDPI31text"/>
      </w:pPr>
      <w:r w:rsidRPr="00A17DB7">
        <w:t xml:space="preserve">The samples for </w:t>
      </w:r>
      <w:r w:rsidR="00F76B28" w:rsidRPr="00A17DB7">
        <w:t xml:space="preserve">thin section </w:t>
      </w:r>
      <w:r w:rsidRPr="00A17DB7">
        <w:t xml:space="preserve">petrographic examination were cut perpendicular to the bedding planes, oriented down-up, </w:t>
      </w:r>
      <w:r w:rsidR="00D251F9" w:rsidRPr="00A17DB7">
        <w:t>0.0</w:t>
      </w:r>
      <w:r w:rsidRPr="00A17DB7">
        <w:t>3 mm thick, polished, and coverslipped. The thin sections were examined using a Zeiss Axioskop 5 polarizing microscope equipped with an Axiocam 506 color digital camera.</w:t>
      </w:r>
    </w:p>
    <w:p w14:paraId="1635A0C9" w14:textId="150787BF" w:rsidR="00982BD5" w:rsidRPr="00A17DB7" w:rsidRDefault="00EE124C" w:rsidP="00982BD5">
      <w:pPr>
        <w:pStyle w:val="MDPI31text"/>
      </w:pPr>
      <w:r w:rsidRPr="00A17DB7">
        <w:t xml:space="preserve">Polished </w:t>
      </w:r>
      <w:r w:rsidR="00766A8C" w:rsidRPr="00A17DB7">
        <w:t>whole-</w:t>
      </w:r>
      <w:r w:rsidR="00D251F9" w:rsidRPr="00A17DB7">
        <w:t xml:space="preserve">rock </w:t>
      </w:r>
      <w:r w:rsidRPr="00A17DB7">
        <w:t xml:space="preserve">blocks were </w:t>
      </w:r>
      <w:r w:rsidR="00E56106" w:rsidRPr="00A17DB7">
        <w:t xml:space="preserve">prepared </w:t>
      </w:r>
      <w:r w:rsidR="000961F1" w:rsidRPr="00A17DB7">
        <w:t>and</w:t>
      </w:r>
      <w:r w:rsidR="00E56106" w:rsidRPr="00A17DB7">
        <w:t xml:space="preserve"> </w:t>
      </w:r>
      <w:r w:rsidRPr="00A17DB7">
        <w:t xml:space="preserve">examined. </w:t>
      </w:r>
      <w:r w:rsidR="00982BD5" w:rsidRPr="00A17DB7">
        <w:t>Maceral a</w:t>
      </w:r>
      <w:r w:rsidRPr="00A17DB7">
        <w:t>nalysis was performed using a QDI-300 Craic micro-spectrophotometer with a LeicaP 2500 base microscope</w:t>
      </w:r>
      <w:r w:rsidR="00982BD5" w:rsidRPr="00A17DB7">
        <w:t xml:space="preserve"> under </w:t>
      </w:r>
      <w:r w:rsidR="00766A8C" w:rsidRPr="00A17DB7">
        <w:t>indecent</w:t>
      </w:r>
      <w:r w:rsidR="00982BD5" w:rsidRPr="00A17DB7">
        <w:t xml:space="preserve"> white light</w:t>
      </w:r>
      <w:r w:rsidR="00B6257C" w:rsidRPr="00A17DB7">
        <w:t xml:space="preserve"> </w:t>
      </w:r>
      <w:r w:rsidR="00982BD5" w:rsidRPr="00A17DB7">
        <w:t>and UV light illumination in air</w:t>
      </w:r>
      <w:r w:rsidR="001F2C91" w:rsidRPr="00A17DB7">
        <w:t xml:space="preserve"> </w:t>
      </w:r>
      <w:r w:rsidR="00A025C2" w:rsidRPr="00A17DB7">
        <w:t>[</w:t>
      </w:r>
      <w:r w:rsidR="00FD365E" w:rsidRPr="00C5555B">
        <w:rPr>
          <w:color w:val="auto"/>
        </w:rPr>
        <w:t>50</w:t>
      </w:r>
      <w:r w:rsidR="00A025C2" w:rsidRPr="00A17DB7">
        <w:t>]</w:t>
      </w:r>
      <w:r w:rsidR="00982BD5" w:rsidRPr="00A17DB7">
        <w:t xml:space="preserve">. </w:t>
      </w:r>
      <w:r w:rsidR="00B6257C" w:rsidRPr="00A17DB7">
        <w:t>A quartz halogen lamp</w:t>
      </w:r>
      <w:r w:rsidR="009839F6" w:rsidRPr="00C5555B">
        <w:t xml:space="preserve"> (</w:t>
      </w:r>
      <w:r w:rsidR="009839F6" w:rsidRPr="00A17DB7">
        <w:t>12 V, 100 W</w:t>
      </w:r>
      <w:r w:rsidR="009839F6" w:rsidRPr="00C5555B">
        <w:t>)</w:t>
      </w:r>
      <w:r w:rsidR="00B6257C" w:rsidRPr="00A17DB7">
        <w:t xml:space="preserve"> was used for white light. A high pressure mercury lamp </w:t>
      </w:r>
      <w:r w:rsidR="009839F6" w:rsidRPr="00C5555B">
        <w:t>(</w:t>
      </w:r>
      <w:r w:rsidR="009839F6" w:rsidRPr="00A17DB7">
        <w:t>100 W HBO</w:t>
      </w:r>
      <w:r w:rsidR="00755B64" w:rsidRPr="00A17DB7">
        <w:t>®</w:t>
      </w:r>
      <w:r w:rsidR="009839F6" w:rsidRPr="00C5555B">
        <w:t xml:space="preserve">) </w:t>
      </w:r>
      <w:r w:rsidR="00B6257C" w:rsidRPr="00A17DB7">
        <w:t>was used for UV light.</w:t>
      </w:r>
      <w:r w:rsidR="001F2C91" w:rsidRPr="00A17DB7">
        <w:t xml:space="preserve"> The maceral </w:t>
      </w:r>
      <w:r w:rsidR="00DA4C0F" w:rsidRPr="00A17DB7">
        <w:t xml:space="preserve">nomenclature </w:t>
      </w:r>
      <w:r w:rsidR="001F2C91" w:rsidRPr="00A17DB7">
        <w:t xml:space="preserve">used in this </w:t>
      </w:r>
      <w:r w:rsidR="00DA4C0F" w:rsidRPr="00A17DB7">
        <w:t>publication</w:t>
      </w:r>
      <w:r w:rsidR="001F2C91" w:rsidRPr="00A17DB7">
        <w:t xml:space="preserve"> follows the International Committee for Coal and Organic Petrology </w:t>
      </w:r>
      <w:r w:rsidR="00A025C2" w:rsidRPr="00A17DB7">
        <w:t>[</w:t>
      </w:r>
      <w:r w:rsidR="00FD365E" w:rsidRPr="00C5555B">
        <w:t>51-53</w:t>
      </w:r>
      <w:r w:rsidR="00A025C2" w:rsidRPr="00A17DB7">
        <w:t>]</w:t>
      </w:r>
      <w:r w:rsidR="001F2C91" w:rsidRPr="00A17DB7">
        <w:t>.</w:t>
      </w:r>
    </w:p>
    <w:p w14:paraId="66050D74" w14:textId="77777777" w:rsidR="00EE124C" w:rsidRPr="00A17DB7" w:rsidRDefault="00EE124C" w:rsidP="00EE124C">
      <w:pPr>
        <w:pStyle w:val="MDPI31text"/>
      </w:pPr>
      <w:r w:rsidRPr="00A17DB7">
        <w:t>X-ray diffraction (XRD) analysis was performed on selected samples for bulk mineral composition analyses. XRD analyses were carried out with ARL X’TRA X-ray diffractometer (Thermo) using CuKα radiation, operated at 40 kV and 40 mA and analyzed over the 2-60°2θ angular range. Siroquant software package was used for indexing of diffraction peaks and identification of mineral phases. We used the Rietveld refinement procedure and obtained data through a concerted theory-experiment comparison.</w:t>
      </w:r>
    </w:p>
    <w:p w14:paraId="16C73475" w14:textId="503B8E7A" w:rsidR="00437918" w:rsidRPr="00A17DB7" w:rsidRDefault="00EE124C" w:rsidP="00EE124C">
      <w:pPr>
        <w:pStyle w:val="MDPI31text"/>
      </w:pPr>
      <w:r w:rsidRPr="00A17DB7">
        <w:t>X-ray fluorescence (XRF) analysis was performed using ARL Perform’X spectrometer (Thermo) according to the fundamental parameters method. The samples were prepared as pressed powder pellets on a boric acid substrate.</w:t>
      </w:r>
    </w:p>
    <w:p w14:paraId="3C166D84" w14:textId="5122BDDA" w:rsidR="00437918" w:rsidRPr="00A17DB7" w:rsidRDefault="00EE124C" w:rsidP="004270A5">
      <w:pPr>
        <w:pStyle w:val="MDPI31text"/>
      </w:pPr>
      <w:r w:rsidRPr="00A17DB7">
        <w:t xml:space="preserve">Rock-Eval pyrolysis was performed using HAWK Resource Workstation (Wildcat Technology). We have determined the main pyrolysis parameters: </w:t>
      </w:r>
      <w:r w:rsidR="004270A5" w:rsidRPr="00A17DB7">
        <w:t>thermovaporized free hydrocarbons (</w:t>
      </w:r>
      <w:r w:rsidRPr="00A17DB7">
        <w:t>S0</w:t>
      </w:r>
      <w:r w:rsidR="004270A5" w:rsidRPr="00A17DB7">
        <w:t xml:space="preserve"> and</w:t>
      </w:r>
      <w:r w:rsidRPr="00A17DB7">
        <w:t xml:space="preserve"> S1</w:t>
      </w:r>
      <w:r w:rsidR="004270A5" w:rsidRPr="00A17DB7">
        <w:t>)</w:t>
      </w:r>
      <w:r w:rsidRPr="00A17DB7">
        <w:t xml:space="preserve">, </w:t>
      </w:r>
      <w:r w:rsidR="004270A5" w:rsidRPr="00A17DB7">
        <w:t>pyrolysis products from cracking of kerogen and heavy petroleum fractions (</w:t>
      </w:r>
      <w:r w:rsidRPr="00A17DB7">
        <w:t>S2</w:t>
      </w:r>
      <w:r w:rsidR="004270A5" w:rsidRPr="00A17DB7">
        <w:t>)</w:t>
      </w:r>
      <w:r w:rsidRPr="00A17DB7">
        <w:t xml:space="preserve">, </w:t>
      </w:r>
      <w:r w:rsidR="003C4155" w:rsidRPr="00A17DB7">
        <w:t>CO</w:t>
      </w:r>
      <w:r w:rsidR="003C4155" w:rsidRPr="00C5555B">
        <w:rPr>
          <w:vertAlign w:val="subscript"/>
        </w:rPr>
        <w:t>2</w:t>
      </w:r>
      <w:r w:rsidR="00437918" w:rsidRPr="00A17DB7">
        <w:t xml:space="preserve"> generated from the </w:t>
      </w:r>
      <w:r w:rsidR="003C4155" w:rsidRPr="00A17DB7">
        <w:t>OM</w:t>
      </w:r>
      <w:r w:rsidR="003F4ACE" w:rsidRPr="00C5555B">
        <w:t xml:space="preserve"> </w:t>
      </w:r>
      <w:r w:rsidR="003F4ACE" w:rsidRPr="00A17DB7">
        <w:t xml:space="preserve">during </w:t>
      </w:r>
      <w:r w:rsidR="00F7010E" w:rsidRPr="00A17DB7">
        <w:t xml:space="preserve">the </w:t>
      </w:r>
      <w:r w:rsidR="003F4ACE" w:rsidRPr="00A17DB7">
        <w:t>pyrolysis</w:t>
      </w:r>
      <w:r w:rsidR="00F7010E" w:rsidRPr="00A17DB7">
        <w:t xml:space="preserve"> step</w:t>
      </w:r>
      <w:r w:rsidR="00437918" w:rsidRPr="00A17DB7">
        <w:t xml:space="preserve"> (</w:t>
      </w:r>
      <w:r w:rsidRPr="00A17DB7">
        <w:t>S3</w:t>
      </w:r>
      <w:r w:rsidR="00437918" w:rsidRPr="00A17DB7">
        <w:t>)</w:t>
      </w:r>
      <w:r w:rsidRPr="00A17DB7">
        <w:t xml:space="preserve">, </w:t>
      </w:r>
      <w:r w:rsidR="003C4155" w:rsidRPr="00A17DB7">
        <w:t>CO</w:t>
      </w:r>
      <w:r w:rsidR="003C4155" w:rsidRPr="00A17DB7">
        <w:rPr>
          <w:vertAlign w:val="subscript"/>
        </w:rPr>
        <w:t>2</w:t>
      </w:r>
      <w:r w:rsidR="003F4ACE" w:rsidRPr="00A17DB7">
        <w:t xml:space="preserve"> generated from the organic matter during </w:t>
      </w:r>
      <w:r w:rsidR="00F7010E" w:rsidRPr="00A17DB7">
        <w:t xml:space="preserve">the </w:t>
      </w:r>
      <w:r w:rsidR="003F4ACE" w:rsidRPr="00A17DB7">
        <w:t>oxidation</w:t>
      </w:r>
      <w:r w:rsidR="00F7010E" w:rsidRPr="00A17DB7">
        <w:t xml:space="preserve"> step</w:t>
      </w:r>
      <w:r w:rsidR="003F4ACE" w:rsidRPr="00A17DB7">
        <w:t xml:space="preserve"> (</w:t>
      </w:r>
      <w:r w:rsidRPr="00A17DB7">
        <w:t>S4</w:t>
      </w:r>
      <w:r w:rsidR="003F4ACE" w:rsidRPr="00A17DB7">
        <w:t>)</w:t>
      </w:r>
      <w:r w:rsidRPr="00A17DB7">
        <w:t xml:space="preserve">, </w:t>
      </w:r>
      <w:r w:rsidR="003C4155" w:rsidRPr="00A17DB7">
        <w:t>CO</w:t>
      </w:r>
      <w:r w:rsidR="003C4155" w:rsidRPr="00A17DB7">
        <w:rPr>
          <w:vertAlign w:val="subscript"/>
        </w:rPr>
        <w:t>2</w:t>
      </w:r>
      <w:r w:rsidR="003C4155" w:rsidRPr="00A17DB7">
        <w:t xml:space="preserve"> </w:t>
      </w:r>
      <w:r w:rsidR="003F4ACE" w:rsidRPr="00A17DB7">
        <w:t xml:space="preserve">generated from </w:t>
      </w:r>
      <w:r w:rsidR="00F7010E" w:rsidRPr="00A17DB7">
        <w:t xml:space="preserve">mineral source </w:t>
      </w:r>
      <w:r w:rsidR="003F4ACE" w:rsidRPr="00A17DB7">
        <w:t xml:space="preserve">during </w:t>
      </w:r>
      <w:r w:rsidR="00F7010E" w:rsidRPr="00A17DB7">
        <w:t xml:space="preserve">the </w:t>
      </w:r>
      <w:r w:rsidR="003F4ACE" w:rsidRPr="00A17DB7">
        <w:t>oxidation</w:t>
      </w:r>
      <w:r w:rsidR="003C4155" w:rsidRPr="00A17DB7">
        <w:t xml:space="preserve"> step</w:t>
      </w:r>
      <w:r w:rsidR="003F4ACE" w:rsidRPr="00A17DB7">
        <w:t xml:space="preserve"> (</w:t>
      </w:r>
      <w:r w:rsidRPr="00A17DB7">
        <w:t>S5</w:t>
      </w:r>
      <w:r w:rsidR="003F4ACE" w:rsidRPr="00A17DB7">
        <w:t>)</w:t>
      </w:r>
      <w:r w:rsidRPr="00A17DB7">
        <w:t xml:space="preserve">, </w:t>
      </w:r>
      <w:r w:rsidR="00437918" w:rsidRPr="00A17DB7">
        <w:t xml:space="preserve">the temperature at which the maximum amount of hydrocarbons are generated </w:t>
      </w:r>
      <w:r w:rsidR="00536EDF" w:rsidRPr="00A17DB7">
        <w:t>(</w:t>
      </w:r>
      <w:r w:rsidRPr="00A17DB7">
        <w:t>T</w:t>
      </w:r>
      <w:r w:rsidRPr="00A17DB7">
        <w:rPr>
          <w:vertAlign w:val="subscript"/>
        </w:rPr>
        <w:t>max</w:t>
      </w:r>
      <w:r w:rsidR="00536EDF" w:rsidRPr="00A17DB7">
        <w:t>)</w:t>
      </w:r>
      <w:r w:rsidR="00D251F9" w:rsidRPr="00A17DB7">
        <w:t>.</w:t>
      </w:r>
      <w:r w:rsidRPr="00A17DB7">
        <w:t xml:space="preserve"> </w:t>
      </w:r>
      <w:r w:rsidR="003F4ACE" w:rsidRPr="00A17DB7">
        <w:t>Using these param</w:t>
      </w:r>
      <w:r w:rsidR="00F7010E" w:rsidRPr="00A17DB7">
        <w:t xml:space="preserve">eters enables the calculation </w:t>
      </w:r>
      <w:r w:rsidRPr="00A17DB7">
        <w:t>of TOC, gen</w:t>
      </w:r>
      <w:r w:rsidR="00EC22F5" w:rsidRPr="00A17DB7">
        <w:t>erative organic carbon (GOC</w:t>
      </w:r>
      <w:r w:rsidRPr="00A17DB7">
        <w:t>), non-gene</w:t>
      </w:r>
      <w:r w:rsidR="00EC22F5" w:rsidRPr="00A17DB7">
        <w:t>rative organic carbon (NGOC</w:t>
      </w:r>
      <w:r w:rsidRPr="00A17DB7">
        <w:t xml:space="preserve">), </w:t>
      </w:r>
      <w:r w:rsidR="00EC22F5" w:rsidRPr="00A17DB7">
        <w:t>hydrogen index (HI)</w:t>
      </w:r>
      <w:r w:rsidRPr="00A17DB7">
        <w:t>, oxygen index (OI)</w:t>
      </w:r>
      <w:r w:rsidR="000961F1" w:rsidRPr="00A17DB7">
        <w:t>,</w:t>
      </w:r>
      <w:r w:rsidRPr="00A17DB7">
        <w:t xml:space="preserve"> </w:t>
      </w:r>
      <w:r w:rsidR="00616EA2" w:rsidRPr="00A17DB7">
        <w:t>production</w:t>
      </w:r>
      <w:r w:rsidR="00616EA2" w:rsidRPr="00A17DB7" w:rsidDel="00616EA2">
        <w:t xml:space="preserve"> </w:t>
      </w:r>
      <w:r w:rsidRPr="00A17DB7">
        <w:t>index (PI)</w:t>
      </w:r>
      <w:r w:rsidR="000961F1" w:rsidRPr="00A17DB7">
        <w:t xml:space="preserve">, and </w:t>
      </w:r>
      <w:r w:rsidR="00BF5649" w:rsidRPr="00A17DB7">
        <w:t xml:space="preserve">proportion of generative kerogen </w:t>
      </w:r>
      <w:r w:rsidR="000961F1" w:rsidRPr="00A17DB7">
        <w:t>(K</w:t>
      </w:r>
      <w:r w:rsidR="000961F1" w:rsidRPr="00A17DB7">
        <w:rPr>
          <w:vertAlign w:val="subscript"/>
        </w:rPr>
        <w:t>goc</w:t>
      </w:r>
      <w:r w:rsidR="000961F1" w:rsidRPr="00A17DB7">
        <w:t xml:space="preserve"> = GOC/TOC×100)</w:t>
      </w:r>
      <w:r w:rsidRPr="00A17DB7">
        <w:t>.</w:t>
      </w:r>
    </w:p>
    <w:p w14:paraId="7BE44C4B" w14:textId="3E12A2E2" w:rsidR="00EE124C" w:rsidRPr="00A17DB7" w:rsidRDefault="00EE124C" w:rsidP="00EE124C">
      <w:pPr>
        <w:pStyle w:val="MDPI31text"/>
      </w:pPr>
      <w:r w:rsidRPr="00A17DB7">
        <w:lastRenderedPageBreak/>
        <w:t xml:space="preserve">Kinetic studies of organic matter thermal decomposition were carried out using HAWK Resource Workstation. The extracted rock samples were subjected to non-isothermal pyrolysis at temperature from 300 to 650 </w:t>
      </w:r>
      <w:r w:rsidRPr="00A17DB7">
        <w:rPr>
          <w:vertAlign w:val="superscript"/>
        </w:rPr>
        <w:t>o</w:t>
      </w:r>
      <w:r w:rsidRPr="00A17DB7">
        <w:t>C at three heating rates (3, 10, 30 </w:t>
      </w:r>
      <w:r w:rsidRPr="00A17DB7">
        <w:rPr>
          <w:vertAlign w:val="superscript"/>
        </w:rPr>
        <w:t>o</w:t>
      </w:r>
      <w:r w:rsidRPr="00A17DB7">
        <w:t>C/min). The Kinetics 2015 software was used to determine the discrete distribution of activation energies (Ea, kcal/mol) for a fixed frequency factor A = 1×10</w:t>
      </w:r>
      <w:r w:rsidRPr="00A17DB7">
        <w:rPr>
          <w:vertAlign w:val="superscript"/>
        </w:rPr>
        <w:t>14</w:t>
      </w:r>
      <w:r w:rsidRPr="00A17DB7">
        <w:t xml:space="preserve"> s</w:t>
      </w:r>
      <w:r w:rsidRPr="00A17DB7">
        <w:rPr>
          <w:vertAlign w:val="superscript"/>
        </w:rPr>
        <w:t>-1</w:t>
      </w:r>
      <w:r w:rsidRPr="00A17DB7">
        <w:t xml:space="preserve">. </w:t>
      </w:r>
    </w:p>
    <w:p w14:paraId="7870FDAE" w14:textId="5CDE51C0" w:rsidR="001F125D" w:rsidRPr="00A17DB7" w:rsidRDefault="001F125D" w:rsidP="000E71BE">
      <w:pPr>
        <w:pStyle w:val="MDPI31text"/>
      </w:pPr>
      <w:r w:rsidRPr="00A17DB7">
        <w:t>The CHN628 elemental analyzer (LECO) was used to determine the carbon, hydrogen and nitrogen</w:t>
      </w:r>
      <w:r w:rsidR="000A7B8E" w:rsidRPr="00A17DB7">
        <w:t xml:space="preserve"> content via combustion (at 950°C) into CO</w:t>
      </w:r>
      <w:r w:rsidR="000A7B8E" w:rsidRPr="00A17DB7">
        <w:rPr>
          <w:vertAlign w:val="subscript"/>
        </w:rPr>
        <w:t>2</w:t>
      </w:r>
      <w:r w:rsidR="000A7B8E" w:rsidRPr="00A17DB7">
        <w:t>, H</w:t>
      </w:r>
      <w:r w:rsidR="000A7B8E" w:rsidRPr="00A17DB7">
        <w:rPr>
          <w:vertAlign w:val="subscript"/>
        </w:rPr>
        <w:t>2</w:t>
      </w:r>
      <w:r w:rsidR="000A7B8E" w:rsidRPr="00A17DB7">
        <w:t>O and NO</w:t>
      </w:r>
      <w:r w:rsidR="000A7B8E" w:rsidRPr="00A17DB7">
        <w:rPr>
          <w:vertAlign w:val="subscript"/>
        </w:rPr>
        <w:t>2</w:t>
      </w:r>
      <w:r w:rsidR="000A7B8E" w:rsidRPr="00A17DB7">
        <w:t>, respectively. Helium carrier gas sweeps the combustion gas to separate infrared cells utilized for the detection of H</w:t>
      </w:r>
      <w:r w:rsidR="000A7B8E" w:rsidRPr="00A17DB7">
        <w:rPr>
          <w:vertAlign w:val="subscript"/>
        </w:rPr>
        <w:t>2</w:t>
      </w:r>
      <w:r w:rsidR="000A7B8E" w:rsidRPr="00A17DB7">
        <w:t>O and CO</w:t>
      </w:r>
      <w:r w:rsidR="000A7B8E" w:rsidRPr="00A17DB7">
        <w:rPr>
          <w:vertAlign w:val="subscript"/>
        </w:rPr>
        <w:t>2</w:t>
      </w:r>
      <w:r w:rsidR="000A7B8E" w:rsidRPr="00A17DB7">
        <w:t>, while a thermal conductivity cell is used for the detection of nitrogen. The 628 S module (LECO) was used to determine the sulfur content. Sulfur is evolved (at 1350°C) from the sample and forms SO</w:t>
      </w:r>
      <w:r w:rsidR="000A7B8E" w:rsidRPr="00C5555B">
        <w:rPr>
          <w:vertAlign w:val="subscript"/>
        </w:rPr>
        <w:t>2</w:t>
      </w:r>
      <w:r w:rsidR="000A7B8E" w:rsidRPr="00A17DB7">
        <w:t>. From the combustion system, the gases flow through the sulfur infrared detection cell. Combustion occurs in pure oxygen for CHN and S analyses.</w:t>
      </w:r>
    </w:p>
    <w:p w14:paraId="004FD927" w14:textId="77777777" w:rsidR="00EE124C" w:rsidRPr="00A17DB7" w:rsidRDefault="00EE124C" w:rsidP="00EE124C">
      <w:pPr>
        <w:pStyle w:val="MDPI31text"/>
      </w:pPr>
      <w:r w:rsidRPr="00A17DB7">
        <w:t>Pyrolysis gas chromatography analyses (pyro-GC×GC-FID/TOFMS) was performed using Pegasus 4D (LECO) equipped with a cryo-modulator and injection modules for thermal desorption and pyrolysis (Gerstel). Chromatographic separation of the products was carried out using a reverse-order column set. Samples were heated to a final temperature of 500°C. Pyrolysis products were detected simultaneously using FID and time-of-flight mass spectrometer detectors.</w:t>
      </w:r>
    </w:p>
    <w:p w14:paraId="124A630B" w14:textId="77777777" w:rsidR="00383765" w:rsidRPr="00A17DB7" w:rsidRDefault="00383765" w:rsidP="00383765">
      <w:pPr>
        <w:pStyle w:val="MDPI31text"/>
      </w:pPr>
      <w:r w:rsidRPr="00A17DB7">
        <w:t xml:space="preserve">Isotope and elemental analysis of carbon, nitrogen and sulfur was performed on a DELTA V Plus mass spectrometer (Thermo) equipped with a Flash HT elemental analyzer. The validation of analytical procedures was established using international standards: oil NBS 22, ammonium sulfate IAEA-N-2, and barium sulfate NBS 127 for carbon, nitrogen and sulfur, respectively, as well as of the laboratory standards, </w:t>
      </w:r>
      <w:proofErr w:type="gramStart"/>
      <w:r w:rsidRPr="00A17DB7">
        <w:t>whose</w:t>
      </w:r>
      <w:proofErr w:type="gramEnd"/>
      <w:r w:rsidRPr="00A17DB7">
        <w:t xml:space="preserve"> elemental and isotope composition was determined during interlaboratory comparison measurements. In accordance with the generally accepted rules, all the measured isotopic ratios were recalculated and are given in δ values characterizing the deviation of the isotopic ratio of the sample from the isotopic ratio of the standard (in ‰): PDB, AIR and CDT for carbon, nitrogen and sulfur, respectively. The absolute error of measurement for δ values is ± 0.3‰ for carbon, ± 0.5‰ for sulfur and nitrogen. The relative error of element content measurements is ±10%.</w:t>
      </w:r>
    </w:p>
    <w:p w14:paraId="4AC6677A" w14:textId="77777777" w:rsidR="00383765" w:rsidRPr="00A17DB7" w:rsidRDefault="00383765" w:rsidP="00383765">
      <w:pPr>
        <w:pStyle w:val="MDPI21heading1"/>
      </w:pPr>
      <w:r w:rsidRPr="00A17DB7">
        <w:t>4. Results</w:t>
      </w:r>
    </w:p>
    <w:p w14:paraId="387C8A4B" w14:textId="6EAB9EC4" w:rsidR="00383765" w:rsidRPr="00A17DB7" w:rsidRDefault="00383765" w:rsidP="00383765">
      <w:pPr>
        <w:pStyle w:val="MDPI22heading2"/>
        <w:spacing w:before="240"/>
      </w:pPr>
      <w:r w:rsidRPr="00A17DB7">
        <w:t xml:space="preserve">4.1. Visual </w:t>
      </w:r>
      <w:r w:rsidR="0078568B" w:rsidRPr="00A17DB7">
        <w:t>C</w:t>
      </w:r>
      <w:r w:rsidRPr="00A17DB7">
        <w:t xml:space="preserve">ore </w:t>
      </w:r>
      <w:r w:rsidR="0078568B" w:rsidRPr="00A17DB7">
        <w:t>D</w:t>
      </w:r>
      <w:r w:rsidRPr="00A17DB7">
        <w:t xml:space="preserve">escription </w:t>
      </w:r>
      <w:r w:rsidR="0078568B" w:rsidRPr="00A17DB7">
        <w:t>U</w:t>
      </w:r>
      <w:r w:rsidRPr="00A17DB7">
        <w:t xml:space="preserve">nder </w:t>
      </w:r>
      <w:r w:rsidR="0078568B" w:rsidRPr="00A17DB7">
        <w:t>W</w:t>
      </w:r>
      <w:r w:rsidRPr="00A17DB7">
        <w:t xml:space="preserve">hite and UV </w:t>
      </w:r>
      <w:r w:rsidR="0078568B" w:rsidRPr="00A17DB7">
        <w:t>L</w:t>
      </w:r>
      <w:r w:rsidRPr="00A17DB7">
        <w:t>ight</w:t>
      </w:r>
    </w:p>
    <w:p w14:paraId="1CD23C89" w14:textId="1316A2DB" w:rsidR="00383765" w:rsidRPr="00A17DB7" w:rsidRDefault="00383765" w:rsidP="000E62AE">
      <w:pPr>
        <w:pStyle w:val="MDPI31text"/>
      </w:pPr>
      <w:r w:rsidRPr="00A17DB7">
        <w:t xml:space="preserve">The individual alginite-rich layers thickness varies from </w:t>
      </w:r>
      <w:r w:rsidR="00F84071" w:rsidRPr="00A17DB7">
        <w:t>1</w:t>
      </w:r>
      <w:r w:rsidRPr="00A17DB7">
        <w:t xml:space="preserve"> to 50 </w:t>
      </w:r>
      <w:r w:rsidR="00F2028D" w:rsidRPr="00A17DB7">
        <w:t>m</w:t>
      </w:r>
      <w:r w:rsidRPr="00A17DB7">
        <w:t xml:space="preserve">m, total thickness is up to 1 m in the cross-section. </w:t>
      </w:r>
      <w:r w:rsidR="0046752F" w:rsidRPr="00A17DB7">
        <w:t xml:space="preserve">The studied cross-sections of the Bazhenov Formation have a thickness of about 20-30 m. </w:t>
      </w:r>
      <w:r w:rsidR="002C0B12" w:rsidRPr="00A17DB7">
        <w:t xml:space="preserve">Alginite layers </w:t>
      </w:r>
      <w:r w:rsidR="0046752F" w:rsidRPr="00A17DB7">
        <w:t xml:space="preserve">usually </w:t>
      </w:r>
      <w:r w:rsidR="002C0B12" w:rsidRPr="00A17DB7">
        <w:t xml:space="preserve">constitute about 1-5% of the </w:t>
      </w:r>
      <w:r w:rsidR="0046752F" w:rsidRPr="00A17DB7">
        <w:t>entire</w:t>
      </w:r>
      <w:r w:rsidR="002C0B12" w:rsidRPr="00A17DB7">
        <w:t xml:space="preserve"> </w:t>
      </w:r>
      <w:r w:rsidR="0046752F" w:rsidRPr="00A17DB7">
        <w:t>cross-</w:t>
      </w:r>
      <w:r w:rsidR="002C0B12" w:rsidRPr="00A17DB7">
        <w:t>section</w:t>
      </w:r>
      <w:r w:rsidR="0046752F" w:rsidRPr="00A17DB7">
        <w:t xml:space="preserve">. </w:t>
      </w:r>
      <w:r w:rsidRPr="00A17DB7">
        <w:t xml:space="preserve">They can be </w:t>
      </w:r>
      <w:r w:rsidR="00EB5AEE" w:rsidRPr="00EB5AEE">
        <w:t xml:space="preserve">macroscopically </w:t>
      </w:r>
      <w:r w:rsidRPr="00A17DB7">
        <w:t>distinguished by their bright yellow or orange luminescence under UV light and less often by lighter coloring in comparison to darker host rocks (organic-rich siliceous rocks) under white light (Figure 3). Usually, the alginite-rich layers pass gradually to the organic-rich siliceous rocks. This gradation gives the rocks a banded appearance under UV light. Another interesting feature of the alginite-rich layers is their plasticity and flexibility, as well as their low density.</w:t>
      </w:r>
    </w:p>
    <w:p w14:paraId="48690CB7" w14:textId="01870C2F" w:rsidR="00383765" w:rsidRPr="00A17DB7" w:rsidRDefault="00534578" w:rsidP="009F76C8">
      <w:pPr>
        <w:pStyle w:val="MDPI52figure"/>
        <w:ind w:left="2608"/>
        <w:jc w:val="left"/>
      </w:pPr>
      <w:r w:rsidRPr="00A17DB7">
        <w:rPr>
          <w:noProof/>
          <w:snapToGrid/>
          <w:lang w:val="ru-RU" w:eastAsia="ru-RU" w:bidi="ar-SA"/>
        </w:rPr>
        <w:lastRenderedPageBreak/>
        <w:drawing>
          <wp:inline distT="0" distB="0" distL="0" distR="0" wp14:anchorId="34EB068C" wp14:editId="15DDF0E3">
            <wp:extent cx="4800600" cy="3448018"/>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e 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32473" cy="3470911"/>
                    </a:xfrm>
                    <a:prstGeom prst="rect">
                      <a:avLst/>
                    </a:prstGeom>
                  </pic:spPr>
                </pic:pic>
              </a:graphicData>
            </a:graphic>
          </wp:inline>
        </w:drawing>
      </w:r>
    </w:p>
    <w:p w14:paraId="35C4ABBB" w14:textId="5B63B0F0" w:rsidR="009F76C8" w:rsidRPr="00A17DB7" w:rsidRDefault="009F76C8" w:rsidP="009F76C8">
      <w:pPr>
        <w:pStyle w:val="MDPI51figurecaption"/>
      </w:pPr>
      <w:r w:rsidRPr="00A17DB7">
        <w:rPr>
          <w:b/>
          <w:bCs/>
        </w:rPr>
        <w:t xml:space="preserve">Figure 3. </w:t>
      </w:r>
      <w:r w:rsidR="00383765" w:rsidRPr="00A17DB7">
        <w:t>Core layout showing typical appearance of the Bazhenov Formation organic-rich siliceous rocks with presence of the alginite-rich layers (marked in red) and tuffs (marked in light green). Core photographs under white and UV light.</w:t>
      </w:r>
    </w:p>
    <w:p w14:paraId="4FB9F25B" w14:textId="32685762" w:rsidR="00383765" w:rsidRPr="00A17DB7" w:rsidRDefault="00383765" w:rsidP="00383765">
      <w:pPr>
        <w:pStyle w:val="MDPI22heading2"/>
        <w:spacing w:before="240"/>
        <w:rPr>
          <w:noProof w:val="0"/>
        </w:rPr>
      </w:pPr>
      <w:r w:rsidRPr="00A17DB7">
        <w:t>4.2</w:t>
      </w:r>
      <w:r w:rsidRPr="00A17DB7">
        <w:rPr>
          <w:noProof w:val="0"/>
        </w:rPr>
        <w:t xml:space="preserve">. </w:t>
      </w:r>
      <w:r w:rsidRPr="00A17DB7">
        <w:rPr>
          <w:noProof w:val="0"/>
          <w:color w:val="auto"/>
        </w:rPr>
        <w:t xml:space="preserve">Lithology </w:t>
      </w:r>
      <w:r w:rsidRPr="00A17DB7">
        <w:rPr>
          <w:noProof w:val="0"/>
        </w:rPr>
        <w:t xml:space="preserve">and </w:t>
      </w:r>
      <w:r w:rsidR="009F76C8" w:rsidRPr="00A17DB7">
        <w:rPr>
          <w:noProof w:val="0"/>
        </w:rPr>
        <w:t>M</w:t>
      </w:r>
      <w:r w:rsidRPr="00A17DB7">
        <w:rPr>
          <w:noProof w:val="0"/>
        </w:rPr>
        <w:t xml:space="preserve">ineral </w:t>
      </w:r>
      <w:r w:rsidR="009F76C8" w:rsidRPr="00A17DB7">
        <w:rPr>
          <w:noProof w:val="0"/>
        </w:rPr>
        <w:t>C</w:t>
      </w:r>
      <w:r w:rsidRPr="00A17DB7">
        <w:rPr>
          <w:noProof w:val="0"/>
        </w:rPr>
        <w:t>omposition</w:t>
      </w:r>
    </w:p>
    <w:p w14:paraId="2B9376A3" w14:textId="77777777" w:rsidR="00383765" w:rsidRPr="00A17DB7" w:rsidRDefault="00383765" w:rsidP="00383765">
      <w:pPr>
        <w:pStyle w:val="MDPI31text"/>
      </w:pPr>
      <w:r w:rsidRPr="00A17DB7">
        <w:t>According to petrographic description, the luminescent alginite-rich layers are mainly composed of OM and quartz aggregations (Figure 4a</w:t>
      </w:r>
      <w:proofErr w:type="gramStart"/>
      <w:r w:rsidRPr="00A17DB7">
        <w:t>,b</w:t>
      </w:r>
      <w:proofErr w:type="gramEnd"/>
      <w:r w:rsidRPr="00A17DB7">
        <w:t>). Remains of fish bones, calcispheres and radiolarians are rare. Pyrite is present either in the form of framboids, evenly distributed over the rock, or replaces radiolarian shells. The boundaries between the alginite-rich layers and the underlying rocks are sharp (Figure 4c), while the upper contacts are gradually replaced by the overlying rocks.</w:t>
      </w:r>
    </w:p>
    <w:p w14:paraId="533B0788" w14:textId="7FD41D34" w:rsidR="00383765" w:rsidRPr="00A17DB7" w:rsidRDefault="00E4746A" w:rsidP="009F76C8">
      <w:pPr>
        <w:pStyle w:val="MDPI52figure"/>
        <w:ind w:left="2608"/>
        <w:jc w:val="left"/>
      </w:pPr>
      <w:r w:rsidRPr="00A17DB7">
        <w:rPr>
          <w:noProof/>
          <w:snapToGrid/>
          <w:lang w:val="ru-RU" w:eastAsia="ru-RU" w:bidi="ar-SA"/>
        </w:rPr>
        <w:lastRenderedPageBreak/>
        <w:drawing>
          <wp:inline distT="0" distB="0" distL="0" distR="0" wp14:anchorId="07714A0E" wp14:editId="224F2468">
            <wp:extent cx="3743325" cy="4240838"/>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e 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49262" cy="4247564"/>
                    </a:xfrm>
                    <a:prstGeom prst="rect">
                      <a:avLst/>
                    </a:prstGeom>
                  </pic:spPr>
                </pic:pic>
              </a:graphicData>
            </a:graphic>
          </wp:inline>
        </w:drawing>
      </w:r>
    </w:p>
    <w:p w14:paraId="1A9CCEB7" w14:textId="423FAF53" w:rsidR="00383765" w:rsidRPr="00A17DB7" w:rsidRDefault="009F76C8" w:rsidP="009F76C8">
      <w:pPr>
        <w:pStyle w:val="MDPI51figurecaption"/>
      </w:pPr>
      <w:r w:rsidRPr="00A17DB7">
        <w:rPr>
          <w:b/>
          <w:bCs/>
        </w:rPr>
        <w:t xml:space="preserve">Figure 4. </w:t>
      </w:r>
      <w:r w:rsidR="00383765" w:rsidRPr="00A17DB7">
        <w:t>Typical thin section photomicrographs of the alginite-rich layers, host rocks and tuffs. (</w:t>
      </w:r>
      <w:proofErr w:type="gramStart"/>
      <w:r w:rsidR="00383765" w:rsidRPr="00A17DB7">
        <w:rPr>
          <w:b/>
          <w:bCs/>
        </w:rPr>
        <w:t>a,</w:t>
      </w:r>
      <w:proofErr w:type="gramEnd"/>
      <w:r w:rsidR="00383765" w:rsidRPr="00A17DB7">
        <w:rPr>
          <w:b/>
          <w:bCs/>
        </w:rPr>
        <w:t>b</w:t>
      </w:r>
      <w:r w:rsidR="00383765" w:rsidRPr="00A17DB7">
        <w:t xml:space="preserve">) Alginite-rich layers, predominantly containing organic matter </w:t>
      </w:r>
      <w:r w:rsidR="00004CA4" w:rsidRPr="00A17DB7">
        <w:t xml:space="preserve">(OM) </w:t>
      </w:r>
      <w:r w:rsidR="00383765" w:rsidRPr="00A17DB7">
        <w:t>and aggregates of quartz</w:t>
      </w:r>
      <w:r w:rsidR="00004CA4" w:rsidRPr="00A17DB7">
        <w:t xml:space="preserve"> (Q)</w:t>
      </w:r>
      <w:r w:rsidR="00536EDF" w:rsidRPr="00A17DB7">
        <w:t>, radiolarians (R) are rare</w:t>
      </w:r>
      <w:r w:rsidR="00383765" w:rsidRPr="00A17DB7">
        <w:t>; (</w:t>
      </w:r>
      <w:r w:rsidR="00383765" w:rsidRPr="00A17DB7">
        <w:rPr>
          <w:b/>
          <w:bCs/>
        </w:rPr>
        <w:t>c</w:t>
      </w:r>
      <w:r w:rsidR="00383765" w:rsidRPr="00A17DB7">
        <w:t>) Alginite-rich layer and host rock that are separated by wavy surfaces (highlighted by red short-dashed line); (</w:t>
      </w:r>
      <w:r w:rsidR="00383765" w:rsidRPr="00A17DB7">
        <w:rPr>
          <w:b/>
          <w:bCs/>
        </w:rPr>
        <w:t>d</w:t>
      </w:r>
      <w:r w:rsidR="00383765" w:rsidRPr="00A17DB7">
        <w:t>) Host rock shows the distribution of mineral matrix with organic matter along beddings; (</w:t>
      </w:r>
      <w:r w:rsidR="00383765" w:rsidRPr="00A17DB7">
        <w:rPr>
          <w:b/>
          <w:bCs/>
        </w:rPr>
        <w:t>e</w:t>
      </w:r>
      <w:r w:rsidR="00383765" w:rsidRPr="00A17DB7">
        <w:t>) Tuff shows former glassy ash matrix devitrified to crystals of plagioclase</w:t>
      </w:r>
      <w:r w:rsidR="00EA6E42" w:rsidRPr="00A17DB7">
        <w:t xml:space="preserve"> (</w:t>
      </w:r>
      <w:proofErr w:type="spellStart"/>
      <w:r w:rsidR="00EA6E42" w:rsidRPr="00A17DB7">
        <w:t>Plg</w:t>
      </w:r>
      <w:proofErr w:type="spellEnd"/>
      <w:r w:rsidR="00EA6E42" w:rsidRPr="00A17DB7">
        <w:t>)</w:t>
      </w:r>
      <w:r w:rsidR="00383765" w:rsidRPr="00A17DB7">
        <w:t>, quartz</w:t>
      </w:r>
      <w:r w:rsidR="00004CA4" w:rsidRPr="00A17DB7">
        <w:t xml:space="preserve"> (Q), kaolinite (</w:t>
      </w:r>
      <w:proofErr w:type="spellStart"/>
      <w:r w:rsidR="00004CA4" w:rsidRPr="00A17DB7">
        <w:t>Kln</w:t>
      </w:r>
      <w:proofErr w:type="spellEnd"/>
      <w:r w:rsidR="00004CA4" w:rsidRPr="00A17DB7">
        <w:t>),</w:t>
      </w:r>
      <w:r w:rsidR="00383765" w:rsidRPr="00A17DB7">
        <w:t xml:space="preserve"> and clay matrix; (</w:t>
      </w:r>
      <w:r w:rsidR="00383765" w:rsidRPr="00A17DB7">
        <w:rPr>
          <w:b/>
          <w:bCs/>
        </w:rPr>
        <w:t>f</w:t>
      </w:r>
      <w:r w:rsidR="00383765" w:rsidRPr="00A17DB7">
        <w:t xml:space="preserve">) Host rock contains thin tuff layer. All photomicrographs are taken under parallel </w:t>
      </w:r>
      <w:proofErr w:type="spellStart"/>
      <w:r w:rsidR="005F757E" w:rsidRPr="00A17DB7">
        <w:t>n</w:t>
      </w:r>
      <w:r w:rsidR="00383765" w:rsidRPr="00A17DB7">
        <w:t>icols</w:t>
      </w:r>
      <w:proofErr w:type="spellEnd"/>
      <w:r w:rsidR="00383765" w:rsidRPr="00A17DB7">
        <w:t>.</w:t>
      </w:r>
      <w:r w:rsidR="005644BD" w:rsidRPr="00A17DB7">
        <w:t xml:space="preserve"> Corresponding magnification of (</w:t>
      </w:r>
      <w:r w:rsidR="005644BD" w:rsidRPr="00C5555B">
        <w:rPr>
          <w:b/>
        </w:rPr>
        <w:t>a-e</w:t>
      </w:r>
      <w:r w:rsidR="005644BD" w:rsidRPr="00A17DB7">
        <w:t xml:space="preserve">) </w:t>
      </w:r>
      <w:r w:rsidR="00CD371C" w:rsidRPr="00A17DB7">
        <w:t>2</w:t>
      </w:r>
      <w:r w:rsidR="00F76B28" w:rsidRPr="00C5555B">
        <w:t>0</w:t>
      </w:r>
      <w:r w:rsidR="005644BD" w:rsidRPr="00A17DB7">
        <w:t>× and (</w:t>
      </w:r>
      <w:r w:rsidR="005644BD" w:rsidRPr="00C5555B">
        <w:rPr>
          <w:b/>
        </w:rPr>
        <w:t>f</w:t>
      </w:r>
      <w:r w:rsidR="005644BD" w:rsidRPr="00A17DB7">
        <w:t xml:space="preserve">) </w:t>
      </w:r>
      <w:r w:rsidR="00CD371C" w:rsidRPr="00A17DB7">
        <w:t>1</w:t>
      </w:r>
      <w:r w:rsidR="00F76B28" w:rsidRPr="00C5555B">
        <w:t>0</w:t>
      </w:r>
      <w:r w:rsidR="005644BD" w:rsidRPr="00A17DB7">
        <w:t>×.</w:t>
      </w:r>
      <w:r w:rsidR="00004CA4" w:rsidRPr="00A17DB7">
        <w:t xml:space="preserve"> </w:t>
      </w:r>
    </w:p>
    <w:p w14:paraId="0CB301F3" w14:textId="168DA321" w:rsidR="00383765" w:rsidRPr="00A17DB7" w:rsidRDefault="00383765" w:rsidP="00383765">
      <w:pPr>
        <w:pStyle w:val="MDPI31text"/>
      </w:pPr>
      <w:r w:rsidRPr="00A17DB7">
        <w:t>From XRD results it is clear that mineral part of the alginite-rich layers mainly consists of quartz (70–90 </w:t>
      </w:r>
      <w:r w:rsidR="00973ABA" w:rsidRPr="00A17DB7">
        <w:t>wt</w:t>
      </w:r>
      <w:proofErr w:type="gramStart"/>
      <w:r w:rsidR="00973ABA" w:rsidRPr="00A17DB7">
        <w:t>.%</w:t>
      </w:r>
      <w:proofErr w:type="gramEnd"/>
      <w:r w:rsidRPr="00A17DB7">
        <w:t xml:space="preserve">). The content of clay minerals, including kaolinite and mixed-layer clays, usually does not exceed 17 </w:t>
      </w:r>
      <w:r w:rsidR="00973ABA" w:rsidRPr="00A17DB7">
        <w:t>wt</w:t>
      </w:r>
      <w:proofErr w:type="gramStart"/>
      <w:r w:rsidR="00973ABA" w:rsidRPr="00A17DB7">
        <w:t>.%</w:t>
      </w:r>
      <w:proofErr w:type="gramEnd"/>
      <w:r w:rsidRPr="00A17DB7">
        <w:t>. Carbonate minerals and pyrite are present in minor amounts. The results of XRF confirm the mineral composition data and indicate a predominance of the siliceous component (SiO</w:t>
      </w:r>
      <w:r w:rsidRPr="00A17DB7">
        <w:rPr>
          <w:vertAlign w:val="subscript"/>
        </w:rPr>
        <w:t>2</w:t>
      </w:r>
      <w:r w:rsidR="00B145E0" w:rsidRPr="00A17DB7">
        <w:t xml:space="preserve"> values range 65-</w:t>
      </w:r>
      <w:r w:rsidRPr="00A17DB7">
        <w:t>90 </w:t>
      </w:r>
      <w:r w:rsidR="00973ABA" w:rsidRPr="00A17DB7">
        <w:t>wt</w:t>
      </w:r>
      <w:proofErr w:type="gramStart"/>
      <w:r w:rsidR="00973ABA" w:rsidRPr="00A17DB7">
        <w:t>.%</w:t>
      </w:r>
      <w:proofErr w:type="gramEnd"/>
      <w:r w:rsidRPr="00A17DB7">
        <w:t xml:space="preserve">) in an inorganic part of the alginite-rich layers. </w:t>
      </w:r>
    </w:p>
    <w:p w14:paraId="4A5E74FC" w14:textId="6D84B8CF" w:rsidR="00383765" w:rsidRPr="00A17DB7" w:rsidRDefault="00383765" w:rsidP="00383765">
      <w:pPr>
        <w:pStyle w:val="MDPI31text"/>
      </w:pPr>
      <w:r w:rsidRPr="00A17DB7">
        <w:t>The host rocks are organic-rich siliceous rocks. Thin sections show lamination of organic-rich rock, generally pyritic, with organic matters along bedding axis (Figure 4d). This rock is generally non-calcareous. Pyrite occurs as microcrystals, framboidal aggregates, or as nodules formed within the rock</w:t>
      </w:r>
      <w:r w:rsidR="003408A3" w:rsidRPr="00A17DB7">
        <w:t>s</w:t>
      </w:r>
      <w:r w:rsidRPr="00A17DB7">
        <w:t>. The organic-rich siliceous rocks contain rare phosphate fish bone remains oriented parallel to the layering.</w:t>
      </w:r>
    </w:p>
    <w:p w14:paraId="24BAB9BF" w14:textId="5D61C4FA" w:rsidR="00383765" w:rsidRPr="00A17DB7" w:rsidRDefault="00383765" w:rsidP="00383765">
      <w:pPr>
        <w:pStyle w:val="MDPI31text"/>
      </w:pPr>
      <w:r w:rsidRPr="00A17DB7">
        <w:t xml:space="preserve">The major part of organic-rich siliceous rocks is quartz (60–70 </w:t>
      </w:r>
      <w:r w:rsidR="00973ABA" w:rsidRPr="00A17DB7">
        <w:t>wt</w:t>
      </w:r>
      <w:proofErr w:type="gramStart"/>
      <w:r w:rsidR="00973ABA" w:rsidRPr="00A17DB7">
        <w:t>.%</w:t>
      </w:r>
      <w:proofErr w:type="gramEnd"/>
      <w:r w:rsidRPr="00A17DB7">
        <w:t xml:space="preserve">) besides clay minerals (15–20 </w:t>
      </w:r>
      <w:r w:rsidR="00973ABA" w:rsidRPr="00A17DB7">
        <w:t>wt.%</w:t>
      </w:r>
      <w:r w:rsidRPr="00A17DB7">
        <w:t xml:space="preserve">), calcite (0–10 </w:t>
      </w:r>
      <w:r w:rsidR="00973ABA" w:rsidRPr="00A17DB7">
        <w:t>wt.%</w:t>
      </w:r>
      <w:r w:rsidRPr="00A17DB7">
        <w:t xml:space="preserve">) and pyrite (3–10 </w:t>
      </w:r>
      <w:r w:rsidR="00973ABA" w:rsidRPr="00A17DB7">
        <w:t>wt.%</w:t>
      </w:r>
      <w:r w:rsidRPr="00A17DB7">
        <w:t>) due to XRD. The most abundant oxides are SiO</w:t>
      </w:r>
      <w:r w:rsidRPr="00A17DB7">
        <w:rPr>
          <w:vertAlign w:val="subscript"/>
        </w:rPr>
        <w:t>2</w:t>
      </w:r>
      <w:r w:rsidRPr="00A17DB7">
        <w:t>, Al</w:t>
      </w:r>
      <w:r w:rsidRPr="00A17DB7">
        <w:rPr>
          <w:vertAlign w:val="subscript"/>
        </w:rPr>
        <w:t>2</w:t>
      </w:r>
      <w:r w:rsidRPr="00A17DB7">
        <w:t>O</w:t>
      </w:r>
      <w:r w:rsidRPr="00A17DB7">
        <w:rPr>
          <w:vertAlign w:val="subscript"/>
        </w:rPr>
        <w:t>3</w:t>
      </w:r>
      <w:r w:rsidRPr="00A17DB7">
        <w:t>, CaO, and Fe</w:t>
      </w:r>
      <w:r w:rsidRPr="00A17DB7">
        <w:rPr>
          <w:vertAlign w:val="subscript"/>
        </w:rPr>
        <w:t>2</w:t>
      </w:r>
      <w:r w:rsidRPr="00A17DB7">
        <w:t>O</w:t>
      </w:r>
      <w:r w:rsidRPr="00A17DB7">
        <w:rPr>
          <w:vertAlign w:val="subscript"/>
        </w:rPr>
        <w:t>3</w:t>
      </w:r>
      <w:r w:rsidRPr="00A17DB7">
        <w:t>, whereas MgO, TiO</w:t>
      </w:r>
      <w:r w:rsidRPr="00A17DB7">
        <w:rPr>
          <w:vertAlign w:val="subscript"/>
        </w:rPr>
        <w:t>2</w:t>
      </w:r>
      <w:r w:rsidRPr="00A17DB7">
        <w:t>, MnO, K</w:t>
      </w:r>
      <w:r w:rsidRPr="00A17DB7">
        <w:rPr>
          <w:vertAlign w:val="subscript"/>
        </w:rPr>
        <w:t>2</w:t>
      </w:r>
      <w:r w:rsidRPr="00A17DB7">
        <w:t>O, P</w:t>
      </w:r>
      <w:r w:rsidRPr="00A17DB7">
        <w:rPr>
          <w:vertAlign w:val="subscript"/>
        </w:rPr>
        <w:t>2</w:t>
      </w:r>
      <w:r w:rsidRPr="00A17DB7">
        <w:t>O</w:t>
      </w:r>
      <w:r w:rsidRPr="00A17DB7">
        <w:rPr>
          <w:vertAlign w:val="subscript"/>
        </w:rPr>
        <w:t>5</w:t>
      </w:r>
      <w:r w:rsidR="0068520D" w:rsidRPr="00A17DB7">
        <w:t>,</w:t>
      </w:r>
      <w:r w:rsidRPr="00A17DB7">
        <w:t xml:space="preserve"> and Na</w:t>
      </w:r>
      <w:r w:rsidRPr="00A17DB7">
        <w:rPr>
          <w:vertAlign w:val="subscript"/>
        </w:rPr>
        <w:t>2</w:t>
      </w:r>
      <w:r w:rsidRPr="00A17DB7">
        <w:t>O are present in minor quantities. For hosting organic-rich siliceous rocks SiO</w:t>
      </w:r>
      <w:r w:rsidRPr="00A17DB7">
        <w:rPr>
          <w:vertAlign w:val="subscript"/>
        </w:rPr>
        <w:t>2</w:t>
      </w:r>
      <w:r w:rsidRPr="00A17DB7">
        <w:t xml:space="preserve"> values are in the range of 50–70 </w:t>
      </w:r>
      <w:r w:rsidR="00973ABA" w:rsidRPr="00A17DB7">
        <w:t>wt.%</w:t>
      </w:r>
      <w:r w:rsidRPr="00A17DB7">
        <w:t>, Al</w:t>
      </w:r>
      <w:r w:rsidRPr="00A17DB7">
        <w:rPr>
          <w:vertAlign w:val="subscript"/>
        </w:rPr>
        <w:t>2</w:t>
      </w:r>
      <w:r w:rsidRPr="00A17DB7">
        <w:t>O</w:t>
      </w:r>
      <w:r w:rsidRPr="00A17DB7">
        <w:rPr>
          <w:vertAlign w:val="subscript"/>
        </w:rPr>
        <w:t xml:space="preserve">3 </w:t>
      </w:r>
      <w:r w:rsidRPr="00A17DB7">
        <w:t xml:space="preserve">values are in the range of 5–15 </w:t>
      </w:r>
      <w:r w:rsidR="00973ABA" w:rsidRPr="00A17DB7">
        <w:t>wt.%</w:t>
      </w:r>
      <w:r w:rsidRPr="00A17DB7">
        <w:t xml:space="preserve"> and CaO values are in the range from 0.5 to 15 </w:t>
      </w:r>
      <w:r w:rsidR="00973ABA" w:rsidRPr="00A17DB7">
        <w:t>wt.%</w:t>
      </w:r>
      <w:r w:rsidRPr="00A17DB7">
        <w:t>. The average of Fe</w:t>
      </w:r>
      <w:r w:rsidRPr="00A17DB7">
        <w:rPr>
          <w:vertAlign w:val="subscript"/>
        </w:rPr>
        <w:t>2</w:t>
      </w:r>
      <w:r w:rsidRPr="00A17DB7">
        <w:t>O</w:t>
      </w:r>
      <w:r w:rsidRPr="00A17DB7">
        <w:rPr>
          <w:vertAlign w:val="subscript"/>
        </w:rPr>
        <w:t>3</w:t>
      </w:r>
      <w:r w:rsidRPr="00A17DB7">
        <w:t xml:space="preserve"> content is 4.6 </w:t>
      </w:r>
      <w:r w:rsidR="00973ABA" w:rsidRPr="00A17DB7">
        <w:t>wt</w:t>
      </w:r>
      <w:proofErr w:type="gramStart"/>
      <w:r w:rsidR="00973ABA" w:rsidRPr="00A17DB7">
        <w:t>.%</w:t>
      </w:r>
      <w:proofErr w:type="gramEnd"/>
      <w:r w:rsidRPr="00A17DB7">
        <w:t>.</w:t>
      </w:r>
    </w:p>
    <w:p w14:paraId="2A7491D4" w14:textId="77777777" w:rsidR="00383765" w:rsidRPr="00A17DB7" w:rsidRDefault="00383765" w:rsidP="00383765">
      <w:pPr>
        <w:pStyle w:val="MDPI31text"/>
      </w:pPr>
      <w:r w:rsidRPr="00A17DB7">
        <w:t>For comparison, we present photomicrographs of the thin sections of the luminescent tuffs (Figure 4e</w:t>
      </w:r>
      <w:proofErr w:type="gramStart"/>
      <w:r w:rsidRPr="00A17DB7">
        <w:t>,f</w:t>
      </w:r>
      <w:proofErr w:type="gramEnd"/>
      <w:r w:rsidRPr="00A17DB7">
        <w:t xml:space="preserve">). The tuffs consist of volcanic glasses, almost completely transformed </w:t>
      </w:r>
      <w:r w:rsidRPr="00A17DB7">
        <w:lastRenderedPageBreak/>
        <w:t>into clay minerals. In the petrographic thin sections, we observed plagioclase and zircon grains. The tuffs are significantly different from the alginite-rich layers and from the host siliceous rocks by the almost complete absence of OM and by substantially clayey mineral composition.</w:t>
      </w:r>
    </w:p>
    <w:p w14:paraId="550B49C1" w14:textId="4AE42381" w:rsidR="00383765" w:rsidRDefault="00383765" w:rsidP="00697B7C">
      <w:pPr>
        <w:pStyle w:val="MDPI31text"/>
      </w:pPr>
      <w:r w:rsidRPr="00A17DB7">
        <w:t xml:space="preserve">According to XRD, tuffs are essentially composed of clay minerals (up to 60-80 </w:t>
      </w:r>
      <w:r w:rsidR="00973ABA" w:rsidRPr="00A17DB7">
        <w:t>wt</w:t>
      </w:r>
      <w:proofErr w:type="gramStart"/>
      <w:r w:rsidR="00973ABA" w:rsidRPr="00A17DB7">
        <w:t>.%</w:t>
      </w:r>
      <w:proofErr w:type="gramEnd"/>
      <w:r w:rsidRPr="00A17DB7">
        <w:t>). The predominant clay minerals of all the tuffs are mixed-layer clays and kaolinite. The minor minerals are quartz, plagioclase, mica, albite</w:t>
      </w:r>
      <w:r w:rsidR="0068520D" w:rsidRPr="00A17DB7">
        <w:t>,</w:t>
      </w:r>
      <w:r w:rsidRPr="00A17DB7">
        <w:t xml:space="preserve"> and pyrite. The XRF results of tuffs show that SiO</w:t>
      </w:r>
      <w:r w:rsidRPr="00A17DB7">
        <w:rPr>
          <w:vertAlign w:val="subscript"/>
        </w:rPr>
        <w:t>2</w:t>
      </w:r>
      <w:r w:rsidRPr="00A17DB7">
        <w:t xml:space="preserve"> values range between 45 and 5</w:t>
      </w:r>
      <w:r w:rsidR="00CF3173" w:rsidRPr="00A17DB7">
        <w:t>5</w:t>
      </w:r>
      <w:r w:rsidRPr="00A17DB7">
        <w:t xml:space="preserve"> </w:t>
      </w:r>
      <w:r w:rsidR="00973ABA" w:rsidRPr="00A17DB7">
        <w:t>wt.%</w:t>
      </w:r>
      <w:r w:rsidRPr="00A17DB7">
        <w:t>. Similarly, Al</w:t>
      </w:r>
      <w:r w:rsidRPr="00A17DB7">
        <w:rPr>
          <w:vertAlign w:val="subscript"/>
        </w:rPr>
        <w:t>2</w:t>
      </w:r>
      <w:r w:rsidRPr="00A17DB7">
        <w:t>O</w:t>
      </w:r>
      <w:r w:rsidRPr="00A17DB7">
        <w:rPr>
          <w:vertAlign w:val="subscript"/>
        </w:rPr>
        <w:t>3</w:t>
      </w:r>
      <w:r w:rsidRPr="00A17DB7">
        <w:t xml:space="preserve"> contents vary between 20 and 30 </w:t>
      </w:r>
      <w:r w:rsidR="00973ABA" w:rsidRPr="00A17DB7">
        <w:t>wt</w:t>
      </w:r>
      <w:proofErr w:type="gramStart"/>
      <w:r w:rsidR="00973ABA" w:rsidRPr="00A17DB7">
        <w:t>.%</w:t>
      </w:r>
      <w:proofErr w:type="gramEnd"/>
      <w:r w:rsidRPr="00A17DB7">
        <w:t>. The average of Fe</w:t>
      </w:r>
      <w:r w:rsidRPr="00A17DB7">
        <w:rPr>
          <w:vertAlign w:val="subscript"/>
        </w:rPr>
        <w:t>2</w:t>
      </w:r>
      <w:r w:rsidRPr="00A17DB7">
        <w:t>O</w:t>
      </w:r>
      <w:r w:rsidRPr="00A17DB7">
        <w:rPr>
          <w:vertAlign w:val="subscript"/>
        </w:rPr>
        <w:t>3</w:t>
      </w:r>
      <w:r w:rsidRPr="00A17DB7">
        <w:t xml:space="preserve"> content is 2.4 </w:t>
      </w:r>
      <w:r w:rsidR="00973ABA" w:rsidRPr="00A17DB7">
        <w:t>wt.%</w:t>
      </w:r>
      <w:r w:rsidRPr="00A17DB7">
        <w:t xml:space="preserve"> and of CaO is 1.2 </w:t>
      </w:r>
      <w:r w:rsidR="00973ABA" w:rsidRPr="00A17DB7">
        <w:t>wt</w:t>
      </w:r>
      <w:proofErr w:type="gramStart"/>
      <w:r w:rsidR="00973ABA" w:rsidRPr="00A17DB7">
        <w:t>.%</w:t>
      </w:r>
      <w:proofErr w:type="gramEnd"/>
      <w:r w:rsidRPr="00A17DB7">
        <w:t>.</w:t>
      </w:r>
      <w:r w:rsidR="00CF3173" w:rsidRPr="00A17DB7">
        <w:t xml:space="preserve"> </w:t>
      </w:r>
      <w:r w:rsidR="00697B7C" w:rsidRPr="00A17DB7">
        <w:t>Sum of Na</w:t>
      </w:r>
      <w:r w:rsidR="00697B7C" w:rsidRPr="00C5555B">
        <w:rPr>
          <w:vertAlign w:val="subscript"/>
        </w:rPr>
        <w:t>2</w:t>
      </w:r>
      <w:r w:rsidR="00697B7C" w:rsidRPr="00A17DB7">
        <w:t>O and K</w:t>
      </w:r>
      <w:r w:rsidR="00697B7C" w:rsidRPr="00C5555B">
        <w:rPr>
          <w:vertAlign w:val="subscript"/>
        </w:rPr>
        <w:t>2</w:t>
      </w:r>
      <w:r w:rsidR="00697B7C" w:rsidRPr="00A17DB7">
        <w:t>O is 3-6 wt</w:t>
      </w:r>
      <w:proofErr w:type="gramStart"/>
      <w:r w:rsidR="0022582C" w:rsidRPr="00A17DB7">
        <w:t>.</w:t>
      </w:r>
      <w:r w:rsidR="00697B7C" w:rsidRPr="00A17DB7">
        <w:t>%</w:t>
      </w:r>
      <w:proofErr w:type="gramEnd"/>
      <w:r w:rsidR="0022582C" w:rsidRPr="00A17DB7">
        <w:t xml:space="preserve">. The </w:t>
      </w:r>
      <w:r w:rsidR="00950410" w:rsidRPr="00A17DB7">
        <w:t xml:space="preserve">chemical </w:t>
      </w:r>
      <w:r w:rsidR="0022582C" w:rsidRPr="00A17DB7">
        <w:t xml:space="preserve">composition of tuffs corresponds to the basaltic andesitic source of </w:t>
      </w:r>
      <w:r w:rsidR="00CD371C" w:rsidRPr="00A17DB7">
        <w:t xml:space="preserve">intermediate </w:t>
      </w:r>
      <w:r w:rsidR="0022582C" w:rsidRPr="00A17DB7">
        <w:t>magma.</w:t>
      </w:r>
    </w:p>
    <w:p w14:paraId="2D1965DA" w14:textId="15919155" w:rsidR="00383765" w:rsidRPr="00A17DB7" w:rsidRDefault="00383765" w:rsidP="00383765">
      <w:pPr>
        <w:pStyle w:val="MDPI22heading2"/>
        <w:spacing w:before="240"/>
      </w:pPr>
      <w:r w:rsidRPr="00A17DB7">
        <w:t xml:space="preserve">4.3. </w:t>
      </w:r>
      <w:r w:rsidR="005F757E" w:rsidRPr="00A17DB7">
        <w:t xml:space="preserve">Organic </w:t>
      </w:r>
      <w:r w:rsidR="00E702D2" w:rsidRPr="00A17DB7">
        <w:t>P</w:t>
      </w:r>
      <w:r w:rsidRPr="00A17DB7">
        <w:t>etrography</w:t>
      </w:r>
    </w:p>
    <w:p w14:paraId="426535E2" w14:textId="0C812021" w:rsidR="00383765" w:rsidRPr="00A17DB7" w:rsidRDefault="00383765" w:rsidP="00383765">
      <w:pPr>
        <w:pStyle w:val="MDPI31text"/>
      </w:pPr>
      <w:r w:rsidRPr="00A17DB7">
        <w:t xml:space="preserve">The </w:t>
      </w:r>
      <w:r w:rsidR="005F757E" w:rsidRPr="00A17DB7">
        <w:t xml:space="preserve">organic </w:t>
      </w:r>
      <w:r w:rsidRPr="00A17DB7">
        <w:t xml:space="preserve">petrography shows that alginite is a major organic component. Shape of OM has fan, lumps and clots morphology. Alginite has a distinctive external form and, in most cases, an internal structure of specific recognizable algal remains. Under </w:t>
      </w:r>
      <w:r w:rsidR="00FF3391" w:rsidRPr="00A17DB7">
        <w:t xml:space="preserve">indecent </w:t>
      </w:r>
      <w:r w:rsidRPr="00A17DB7">
        <w:t>white light alginite is brownish (Figure 5a</w:t>
      </w:r>
      <w:proofErr w:type="gramStart"/>
      <w:r w:rsidRPr="00A17DB7">
        <w:t>,c,e</w:t>
      </w:r>
      <w:proofErr w:type="gramEnd"/>
      <w:r w:rsidRPr="00A17DB7">
        <w:t>). During analysis in incident fluorescence mode (under UV light), alginite is greenish-yellow to bright yellow color (Figure 5b</w:t>
      </w:r>
      <w:proofErr w:type="gramStart"/>
      <w:r w:rsidRPr="00A17DB7">
        <w:t>,d,f</w:t>
      </w:r>
      <w:proofErr w:type="gramEnd"/>
      <w:r w:rsidRPr="00A17DB7">
        <w:t xml:space="preserve">). Therefore, alginite is separated from amorphous material, </w:t>
      </w:r>
      <w:r w:rsidR="005F757E" w:rsidRPr="00A17DB7">
        <w:t xml:space="preserve">i.e., bituminite, </w:t>
      </w:r>
      <w:r w:rsidRPr="00A17DB7">
        <w:t xml:space="preserve">which lacks distinctive morphology and originates from the various precursors. </w:t>
      </w:r>
    </w:p>
    <w:p w14:paraId="3FD10933" w14:textId="77777777" w:rsidR="00383765" w:rsidRPr="00A17DB7" w:rsidRDefault="00383765" w:rsidP="009F76C8">
      <w:pPr>
        <w:pStyle w:val="MDPI52figure"/>
        <w:ind w:left="2608"/>
        <w:jc w:val="left"/>
      </w:pPr>
      <w:r w:rsidRPr="00A17DB7">
        <w:rPr>
          <w:noProof/>
          <w:snapToGrid/>
          <w:lang w:val="ru-RU" w:eastAsia="ru-RU" w:bidi="ar-SA"/>
        </w:rPr>
        <w:drawing>
          <wp:inline distT="0" distB="0" distL="0" distR="0" wp14:anchorId="2B9D2EE5" wp14:editId="34DC63E2">
            <wp:extent cx="3657600" cy="417785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ure 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30263" cy="4260851"/>
                    </a:xfrm>
                    <a:prstGeom prst="rect">
                      <a:avLst/>
                    </a:prstGeom>
                  </pic:spPr>
                </pic:pic>
              </a:graphicData>
            </a:graphic>
          </wp:inline>
        </w:drawing>
      </w:r>
    </w:p>
    <w:p w14:paraId="515ACB28" w14:textId="2BB41A50" w:rsidR="00383765" w:rsidRPr="00A17DB7" w:rsidRDefault="009F76C8" w:rsidP="009F76C8">
      <w:pPr>
        <w:pStyle w:val="MDPI51figurecaption"/>
      </w:pPr>
      <w:r w:rsidRPr="00A17DB7">
        <w:rPr>
          <w:b/>
        </w:rPr>
        <w:t xml:space="preserve">Figure 5. </w:t>
      </w:r>
      <w:r w:rsidR="00383765" w:rsidRPr="00A17DB7">
        <w:t>Photomicrographs illustrating a typical maceral composition of the alginite-rich layers. (</w:t>
      </w:r>
      <w:proofErr w:type="gramStart"/>
      <w:r w:rsidR="00383765" w:rsidRPr="00A17DB7">
        <w:rPr>
          <w:b/>
        </w:rPr>
        <w:t>a,</w:t>
      </w:r>
      <w:proofErr w:type="gramEnd"/>
      <w:r w:rsidR="00383765" w:rsidRPr="00A17DB7">
        <w:rPr>
          <w:b/>
        </w:rPr>
        <w:t>c,e</w:t>
      </w:r>
      <w:r w:rsidR="00383765" w:rsidRPr="00A17DB7">
        <w:t xml:space="preserve">) Samples under </w:t>
      </w:r>
      <w:r w:rsidR="001D55E4" w:rsidRPr="00A17DB7">
        <w:t>indecent</w:t>
      </w:r>
      <w:r w:rsidR="00383765" w:rsidRPr="00A17DB7">
        <w:t xml:space="preserve"> white light shows enrichment of organic matter in mineral matrix. Many colonies contain pyrite; (</w:t>
      </w:r>
      <w:proofErr w:type="spellStart"/>
      <w:r w:rsidR="00383765" w:rsidRPr="00A17DB7">
        <w:rPr>
          <w:b/>
        </w:rPr>
        <w:t>b</w:t>
      </w:r>
      <w:proofErr w:type="gramStart"/>
      <w:r w:rsidR="00383765" w:rsidRPr="00A17DB7">
        <w:rPr>
          <w:b/>
        </w:rPr>
        <w:t>,d,f</w:t>
      </w:r>
      <w:proofErr w:type="spellEnd"/>
      <w:proofErr w:type="gramEnd"/>
      <w:r w:rsidR="00383765" w:rsidRPr="00A17DB7">
        <w:t xml:space="preserve">) Same samples under UV light shows high intensity yellow luminescence of alginite. </w:t>
      </w:r>
      <w:r w:rsidR="00C5555B">
        <w:t xml:space="preserve">Air, </w:t>
      </w:r>
      <w:r w:rsidR="00A337D0" w:rsidRPr="00A17DB7">
        <w:t xml:space="preserve">magnification of 50× for all photomicrographs. </w:t>
      </w:r>
      <w:r w:rsidR="00383765" w:rsidRPr="00A17DB7">
        <w:t>Alg – alginite, Q – quartz, Py – pyrite</w:t>
      </w:r>
      <w:r w:rsidRPr="00A17DB7">
        <w:t>.</w:t>
      </w:r>
    </w:p>
    <w:p w14:paraId="2330B15F" w14:textId="1201FF1E" w:rsidR="00383765" w:rsidRPr="00A17DB7" w:rsidRDefault="00383765" w:rsidP="00383765">
      <w:pPr>
        <w:pStyle w:val="MDPI31text"/>
      </w:pPr>
      <w:r w:rsidRPr="00A17DB7">
        <w:lastRenderedPageBreak/>
        <w:t>The absolute predominance of alginite (40–50 vol</w:t>
      </w:r>
      <w:proofErr w:type="gramStart"/>
      <w:r w:rsidR="00973ABA" w:rsidRPr="00A17DB7">
        <w:t>.</w:t>
      </w:r>
      <w:r w:rsidRPr="00A17DB7">
        <w:t>%</w:t>
      </w:r>
      <w:proofErr w:type="gramEnd"/>
      <w:r w:rsidRPr="00A17DB7">
        <w:t>) in the maceral composition confirms the algal origin of the organic matter in these layers. As compared to the samples from the host rocks, alginites are less abundant and only small amounts of bituminite were detected.</w:t>
      </w:r>
    </w:p>
    <w:p w14:paraId="1E115C4F" w14:textId="601C1707" w:rsidR="00383765" w:rsidRPr="00A17DB7" w:rsidRDefault="00383765" w:rsidP="00383765">
      <w:pPr>
        <w:pStyle w:val="MDPI22heading2"/>
        <w:spacing w:before="240"/>
      </w:pPr>
      <w:r w:rsidRPr="00A17DB7">
        <w:t xml:space="preserve">4.4. Characterization of </w:t>
      </w:r>
      <w:r w:rsidR="009F76C8" w:rsidRPr="00A17DB7">
        <w:t>O</w:t>
      </w:r>
      <w:r w:rsidRPr="00A17DB7">
        <w:t xml:space="preserve">rganic </w:t>
      </w:r>
      <w:r w:rsidR="009F76C8" w:rsidRPr="00A17DB7">
        <w:t>M</w:t>
      </w:r>
      <w:r w:rsidRPr="00A17DB7">
        <w:t>atter</w:t>
      </w:r>
    </w:p>
    <w:p w14:paraId="1B0F1187" w14:textId="5378BBB6" w:rsidR="00383765" w:rsidRPr="00A17DB7" w:rsidRDefault="00383765" w:rsidP="00383765">
      <w:pPr>
        <w:pStyle w:val="MDPI31text"/>
      </w:pPr>
      <w:r w:rsidRPr="00A17DB7">
        <w:t xml:space="preserve">Since the petrographic data allow us to </w:t>
      </w:r>
      <w:r w:rsidR="005F757E" w:rsidRPr="00A17DB7">
        <w:t xml:space="preserve">state </w:t>
      </w:r>
      <w:r w:rsidRPr="00A17DB7">
        <w:t xml:space="preserve">that OM in the alginite-rich layers has algal nature, we have further analyzed quantity and composition of OM to prove this hypothesis. The geochemical characterization included Rock-Eval pyrolysis, pyro-GC-TOF MS/FID analyses, kinetic studies of OM thermal decomposition, elemental </w:t>
      </w:r>
      <w:r w:rsidR="00EB5AEE">
        <w:t xml:space="preserve">analysis </w:t>
      </w:r>
      <w:r w:rsidRPr="00A17DB7">
        <w:t>and isotope composition measurements.</w:t>
      </w:r>
    </w:p>
    <w:p w14:paraId="2C201ED1" w14:textId="6E156749" w:rsidR="00383765" w:rsidRPr="00A17DB7" w:rsidRDefault="00383765" w:rsidP="00383765">
      <w:pPr>
        <w:pStyle w:val="MDPI23heading3"/>
      </w:pPr>
      <w:r w:rsidRPr="00A17DB7">
        <w:t xml:space="preserve">4.4.1. Rock-Eval </w:t>
      </w:r>
      <w:r w:rsidR="009F76C8" w:rsidRPr="00A17DB7">
        <w:t>P</w:t>
      </w:r>
      <w:r w:rsidRPr="00A17DB7">
        <w:t>yrolysis</w:t>
      </w:r>
    </w:p>
    <w:p w14:paraId="674B094C" w14:textId="77777777" w:rsidR="00383765" w:rsidRPr="00A17DB7" w:rsidRDefault="00383765" w:rsidP="00383765">
      <w:pPr>
        <w:pStyle w:val="MDPI31text"/>
      </w:pPr>
      <w:r w:rsidRPr="00A17DB7">
        <w:t>In Table 1, we report Rock-Eval pyrolysis data for the studied samples from the alginite-rich layers and host rocks. To emphasize the difference, we provide Rock-Eval pyrolysis data for tuffs sampled during the study.</w:t>
      </w:r>
    </w:p>
    <w:p w14:paraId="44B08C7D" w14:textId="63AA7DE1" w:rsidR="00383765" w:rsidRPr="00A17DB7" w:rsidRDefault="00383765" w:rsidP="00383765">
      <w:pPr>
        <w:pStyle w:val="MDPI31text"/>
      </w:pPr>
      <w:r w:rsidRPr="00A17DB7">
        <w:t xml:space="preserve">The most distinctive feature of organic matter of the alginite-rich layers is the value of hydrogen index. HI in the alginite-rich layers of a low maturity degree reaches 1053 mg HC/g TOC, which is 350–400 mg HC/g TOC higher than that for host rocks. In the modified </w:t>
      </w:r>
      <w:r w:rsidR="0008793F" w:rsidRPr="00A17DB7">
        <w:t>v</w:t>
      </w:r>
      <w:r w:rsidRPr="00A17DB7">
        <w:t xml:space="preserve">an Krevelen diagram, the alginite-rich layers are located in the area typical for type I kerogens, while the Bazhenov Formation OM of the host rocks is characterized as type II kerogen (Figure 6a). TOC concentration of the low mature alginite-rich layers reaches 25 </w:t>
      </w:r>
      <w:r w:rsidR="00973ABA" w:rsidRPr="00A17DB7">
        <w:t>wt</w:t>
      </w:r>
      <w:proofErr w:type="gramStart"/>
      <w:r w:rsidR="00973ABA" w:rsidRPr="00A17DB7">
        <w:t>.%</w:t>
      </w:r>
      <w:proofErr w:type="gramEnd"/>
      <w:r w:rsidRPr="00A17DB7">
        <w:t>. The amount of pyrolyzed hydrocarbon compounds in the studied intervals reaches 260 mg HC/g rock. In S2-TOC plot (Figure 6b), the alginite-rich layers have significantly better petroleum generation potential than the host rocks [</w:t>
      </w:r>
      <w:r w:rsidR="00B145E0" w:rsidRPr="00C5555B">
        <w:t>54</w:t>
      </w:r>
      <w:r w:rsidRPr="00A17DB7">
        <w:t>, 5</w:t>
      </w:r>
      <w:r w:rsidR="00B145E0" w:rsidRPr="00C5555B">
        <w:t>5</w:t>
      </w:r>
      <w:r w:rsidRPr="00A17DB7">
        <w:t>]. There is a minor difference in oxygen index between the alginite-rich layers and host rocks (1–11 mg CO</w:t>
      </w:r>
      <w:r w:rsidRPr="00A17DB7">
        <w:rPr>
          <w:vertAlign w:val="subscript"/>
        </w:rPr>
        <w:t>2</w:t>
      </w:r>
      <w:r w:rsidRPr="00A17DB7">
        <w:t>/g TOC). At the same time, in tuffs OI sharply increases and reaches 59 mg CO</w:t>
      </w:r>
      <w:r w:rsidRPr="00A17DB7">
        <w:rPr>
          <w:vertAlign w:val="subscript"/>
        </w:rPr>
        <w:t>2</w:t>
      </w:r>
      <w:r w:rsidRPr="00A17DB7">
        <w:t>/g TOC. The maturity parameters of the alginite-rich layers are inconsistent with each other. At very low PI we observe very high T</w:t>
      </w:r>
      <w:r w:rsidRPr="00A17DB7">
        <w:rPr>
          <w:vertAlign w:val="subscript"/>
        </w:rPr>
        <w:t>max</w:t>
      </w:r>
      <w:r w:rsidRPr="00A17DB7">
        <w:t xml:space="preserve"> values. These values exceed the corresponding values in the host rocks by 6–14 °C, which reflects the difference in the OM maturation pathways for different kerogen types</w:t>
      </w:r>
      <w:r w:rsidR="00291AD0" w:rsidRPr="00A17DB7">
        <w:t>, provided the OM type remains comparable</w:t>
      </w:r>
      <w:r w:rsidRPr="00A17DB7">
        <w:t xml:space="preserve"> </w:t>
      </w:r>
      <w:r w:rsidRPr="00C5555B">
        <w:t>[</w:t>
      </w:r>
      <w:r w:rsidRPr="00A17DB7">
        <w:t>5</w:t>
      </w:r>
      <w:r w:rsidR="00B145E0" w:rsidRPr="00C5555B">
        <w:t>6</w:t>
      </w:r>
      <w:r w:rsidRPr="00A17DB7">
        <w:t>].</w:t>
      </w:r>
    </w:p>
    <w:p w14:paraId="440A761F" w14:textId="70D45013" w:rsidR="00FE004C" w:rsidRPr="00A17DB7" w:rsidRDefault="00211B6D" w:rsidP="00211B6D">
      <w:pPr>
        <w:pStyle w:val="MDPI41tablecaption"/>
        <w:ind w:left="425" w:right="425"/>
        <w:jc w:val="center"/>
      </w:pPr>
      <w:r w:rsidRPr="00A17DB7">
        <w:rPr>
          <w:b/>
        </w:rPr>
        <w:t xml:space="preserve">Table 1. </w:t>
      </w:r>
      <w:r w:rsidR="00FE004C" w:rsidRPr="00A17DB7">
        <w:t>Rock-Eval pyrolysis data for the alginite-rich layers, host rocks and tuffs.</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830"/>
        <w:gridCol w:w="1448"/>
        <w:gridCol w:w="931"/>
        <w:gridCol w:w="931"/>
        <w:gridCol w:w="929"/>
        <w:gridCol w:w="829"/>
        <w:gridCol w:w="722"/>
        <w:gridCol w:w="722"/>
        <w:gridCol w:w="1522"/>
        <w:gridCol w:w="1601"/>
      </w:tblGrid>
      <w:tr w:rsidR="00FE004C" w:rsidRPr="00A17DB7" w14:paraId="115E68BB" w14:textId="77777777" w:rsidTr="00211B6D">
        <w:trPr>
          <w:jc w:val="center"/>
        </w:trPr>
        <w:tc>
          <w:tcPr>
            <w:tcW w:w="396" w:type="pct"/>
            <w:tcBorders>
              <w:top w:val="single" w:sz="8" w:space="0" w:color="auto"/>
              <w:bottom w:val="single" w:sz="4" w:space="0" w:color="auto"/>
            </w:tcBorders>
            <w:shd w:val="clear" w:color="auto" w:fill="auto"/>
            <w:vAlign w:val="center"/>
          </w:tcPr>
          <w:p w14:paraId="60624D84"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b/>
                <w:sz w:val="16"/>
                <w:lang w:eastAsia="ru-RU"/>
              </w:rPr>
            </w:pPr>
            <w:r w:rsidRPr="00A17DB7">
              <w:rPr>
                <w:rFonts w:ascii="Times New Roman" w:eastAsia="Times New Roman" w:hAnsi="Times New Roman"/>
                <w:b/>
                <w:sz w:val="16"/>
                <w:lang w:eastAsia="ru-RU"/>
              </w:rPr>
              <w:t>Well</w:t>
            </w:r>
          </w:p>
        </w:tc>
        <w:tc>
          <w:tcPr>
            <w:tcW w:w="692" w:type="pct"/>
            <w:tcBorders>
              <w:top w:val="single" w:sz="8" w:space="0" w:color="auto"/>
              <w:bottom w:val="single" w:sz="4" w:space="0" w:color="auto"/>
            </w:tcBorders>
            <w:shd w:val="clear" w:color="auto" w:fill="auto"/>
            <w:vAlign w:val="center"/>
          </w:tcPr>
          <w:p w14:paraId="36449B05"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b/>
                <w:sz w:val="16"/>
                <w:lang w:eastAsia="ru-RU"/>
              </w:rPr>
            </w:pPr>
            <w:r w:rsidRPr="00A17DB7">
              <w:rPr>
                <w:rFonts w:ascii="Times New Roman" w:eastAsia="Times New Roman" w:hAnsi="Times New Roman"/>
                <w:b/>
                <w:sz w:val="16"/>
                <w:lang w:eastAsia="ru-RU"/>
              </w:rPr>
              <w:t>Sample</w:t>
            </w:r>
          </w:p>
        </w:tc>
        <w:tc>
          <w:tcPr>
            <w:tcW w:w="445" w:type="pct"/>
            <w:tcBorders>
              <w:top w:val="single" w:sz="8" w:space="0" w:color="auto"/>
              <w:bottom w:val="single" w:sz="4" w:space="0" w:color="auto"/>
            </w:tcBorders>
            <w:shd w:val="clear" w:color="auto" w:fill="auto"/>
            <w:vAlign w:val="center"/>
            <w:hideMark/>
          </w:tcPr>
          <w:p w14:paraId="00FBCF09"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b/>
                <w:sz w:val="16"/>
                <w:lang w:eastAsia="ru-RU"/>
              </w:rPr>
            </w:pPr>
            <w:r w:rsidRPr="00A17DB7">
              <w:rPr>
                <w:rFonts w:ascii="Times New Roman" w:eastAsia="Times New Roman" w:hAnsi="Times New Roman"/>
                <w:b/>
                <w:sz w:val="16"/>
                <w:lang w:eastAsia="ru-RU"/>
              </w:rPr>
              <w:t>S0+S1,</w:t>
            </w:r>
          </w:p>
          <w:p w14:paraId="574232EE"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b/>
                <w:sz w:val="16"/>
                <w:lang w:eastAsia="ru-RU"/>
              </w:rPr>
            </w:pPr>
            <w:r w:rsidRPr="00A17DB7">
              <w:rPr>
                <w:rFonts w:ascii="Times New Roman" w:eastAsia="Times New Roman" w:hAnsi="Times New Roman"/>
                <w:b/>
                <w:sz w:val="16"/>
                <w:lang w:eastAsia="ru-RU"/>
              </w:rPr>
              <w:t>mg HC/g</w:t>
            </w:r>
          </w:p>
        </w:tc>
        <w:tc>
          <w:tcPr>
            <w:tcW w:w="445" w:type="pct"/>
            <w:tcBorders>
              <w:top w:val="single" w:sz="8" w:space="0" w:color="auto"/>
              <w:bottom w:val="single" w:sz="4" w:space="0" w:color="auto"/>
            </w:tcBorders>
            <w:shd w:val="clear" w:color="auto" w:fill="auto"/>
            <w:vAlign w:val="center"/>
          </w:tcPr>
          <w:p w14:paraId="21A8CA2D"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b/>
                <w:sz w:val="16"/>
                <w:lang w:eastAsia="ru-RU"/>
              </w:rPr>
            </w:pPr>
            <w:r w:rsidRPr="00A17DB7">
              <w:rPr>
                <w:rFonts w:ascii="Times New Roman" w:eastAsia="Times New Roman" w:hAnsi="Times New Roman"/>
                <w:b/>
                <w:sz w:val="16"/>
                <w:lang w:eastAsia="ru-RU"/>
              </w:rPr>
              <w:t>S2</w:t>
            </w:r>
          </w:p>
          <w:p w14:paraId="6360ECFF"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b/>
                <w:sz w:val="16"/>
                <w:lang w:eastAsia="ru-RU"/>
              </w:rPr>
            </w:pPr>
            <w:r w:rsidRPr="00A17DB7">
              <w:rPr>
                <w:rFonts w:ascii="Times New Roman" w:eastAsia="Times New Roman" w:hAnsi="Times New Roman"/>
                <w:b/>
                <w:sz w:val="16"/>
                <w:lang w:eastAsia="ru-RU"/>
              </w:rPr>
              <w:t>mg HC/g</w:t>
            </w:r>
          </w:p>
        </w:tc>
        <w:tc>
          <w:tcPr>
            <w:tcW w:w="444" w:type="pct"/>
            <w:tcBorders>
              <w:top w:val="single" w:sz="8" w:space="0" w:color="auto"/>
              <w:bottom w:val="single" w:sz="4" w:space="0" w:color="auto"/>
            </w:tcBorders>
            <w:shd w:val="clear" w:color="auto" w:fill="auto"/>
            <w:vAlign w:val="center"/>
          </w:tcPr>
          <w:p w14:paraId="1870EBE0"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b/>
                <w:sz w:val="16"/>
                <w:lang w:eastAsia="ru-RU"/>
              </w:rPr>
            </w:pPr>
            <w:r w:rsidRPr="00A17DB7">
              <w:rPr>
                <w:rFonts w:ascii="Times New Roman" w:eastAsia="Times New Roman" w:hAnsi="Times New Roman"/>
                <w:b/>
                <w:sz w:val="16"/>
                <w:lang w:eastAsia="ru-RU"/>
              </w:rPr>
              <w:t>PI</w:t>
            </w:r>
          </w:p>
          <w:p w14:paraId="3F159FCE"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b/>
                <w:sz w:val="16"/>
                <w:lang w:eastAsia="ru-RU"/>
              </w:rPr>
            </w:pPr>
            <w:r w:rsidRPr="00A17DB7">
              <w:rPr>
                <w:rFonts w:ascii="Times New Roman" w:eastAsia="Times New Roman" w:hAnsi="Times New Roman"/>
                <w:b/>
                <w:sz w:val="16"/>
                <w:lang w:eastAsia="ru-RU"/>
              </w:rPr>
              <w:t>(S1/S1+S2)</w:t>
            </w:r>
          </w:p>
        </w:tc>
        <w:tc>
          <w:tcPr>
            <w:tcW w:w="396" w:type="pct"/>
            <w:tcBorders>
              <w:top w:val="single" w:sz="8" w:space="0" w:color="auto"/>
              <w:bottom w:val="single" w:sz="4" w:space="0" w:color="auto"/>
            </w:tcBorders>
            <w:shd w:val="clear" w:color="auto" w:fill="auto"/>
            <w:vAlign w:val="center"/>
          </w:tcPr>
          <w:p w14:paraId="3BA07ADA"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b/>
                <w:sz w:val="16"/>
                <w:lang w:eastAsia="ru-RU"/>
              </w:rPr>
            </w:pPr>
            <w:r w:rsidRPr="00A17DB7">
              <w:rPr>
                <w:rFonts w:ascii="Times New Roman" w:eastAsia="Times New Roman" w:hAnsi="Times New Roman"/>
                <w:b/>
                <w:sz w:val="16"/>
                <w:lang w:eastAsia="ru-RU"/>
              </w:rPr>
              <w:t>TOC,</w:t>
            </w:r>
          </w:p>
          <w:p w14:paraId="1695CEF2" w14:textId="1EAC03A5" w:rsidR="00FE004C" w:rsidRPr="00A17DB7" w:rsidRDefault="00973ABA" w:rsidP="00211B6D">
            <w:pPr>
              <w:autoSpaceDE w:val="0"/>
              <w:autoSpaceDN w:val="0"/>
              <w:adjustRightInd w:val="0"/>
              <w:snapToGrid w:val="0"/>
              <w:spacing w:line="240" w:lineRule="auto"/>
              <w:jc w:val="center"/>
              <w:rPr>
                <w:rFonts w:ascii="Times New Roman" w:eastAsia="Times New Roman" w:hAnsi="Times New Roman"/>
                <w:b/>
                <w:sz w:val="16"/>
                <w:lang w:eastAsia="ru-RU"/>
              </w:rPr>
            </w:pPr>
            <w:r w:rsidRPr="00A17DB7">
              <w:rPr>
                <w:rFonts w:ascii="Times New Roman" w:eastAsia="Times New Roman" w:hAnsi="Times New Roman"/>
                <w:b/>
                <w:sz w:val="16"/>
                <w:lang w:eastAsia="ru-RU"/>
              </w:rPr>
              <w:t>wt.%</w:t>
            </w:r>
          </w:p>
        </w:tc>
        <w:tc>
          <w:tcPr>
            <w:tcW w:w="345" w:type="pct"/>
            <w:tcBorders>
              <w:top w:val="single" w:sz="8" w:space="0" w:color="auto"/>
              <w:bottom w:val="single" w:sz="4" w:space="0" w:color="auto"/>
            </w:tcBorders>
            <w:shd w:val="clear" w:color="auto" w:fill="auto"/>
            <w:vAlign w:val="center"/>
          </w:tcPr>
          <w:p w14:paraId="0C30D3E9"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b/>
                <w:sz w:val="16"/>
                <w:lang w:eastAsia="ru-RU"/>
              </w:rPr>
            </w:pPr>
            <w:r w:rsidRPr="00A17DB7">
              <w:rPr>
                <w:rFonts w:ascii="Times New Roman" w:eastAsia="Times New Roman" w:hAnsi="Times New Roman"/>
                <w:b/>
                <w:sz w:val="16"/>
                <w:lang w:eastAsia="ru-RU"/>
              </w:rPr>
              <w:t>K</w:t>
            </w:r>
            <w:r w:rsidRPr="00A17DB7">
              <w:rPr>
                <w:rFonts w:ascii="Times New Roman" w:eastAsia="Times New Roman" w:hAnsi="Times New Roman"/>
                <w:b/>
                <w:sz w:val="16"/>
                <w:vertAlign w:val="subscript"/>
                <w:lang w:eastAsia="ru-RU"/>
              </w:rPr>
              <w:t>goc</w:t>
            </w:r>
            <w:r w:rsidRPr="00A17DB7">
              <w:rPr>
                <w:rFonts w:ascii="Times New Roman" w:eastAsia="Times New Roman" w:hAnsi="Times New Roman"/>
                <w:b/>
                <w:sz w:val="16"/>
                <w:lang w:eastAsia="ru-RU"/>
              </w:rPr>
              <w:t>,</w:t>
            </w:r>
          </w:p>
          <w:p w14:paraId="483E5BC0"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b/>
                <w:sz w:val="16"/>
                <w:lang w:eastAsia="ru-RU"/>
              </w:rPr>
            </w:pPr>
            <w:r w:rsidRPr="00A17DB7">
              <w:rPr>
                <w:rFonts w:ascii="Times New Roman" w:eastAsia="Times New Roman" w:hAnsi="Times New Roman"/>
                <w:b/>
                <w:sz w:val="16"/>
                <w:lang w:eastAsia="ru-RU"/>
              </w:rPr>
              <w:t>%</w:t>
            </w:r>
          </w:p>
        </w:tc>
        <w:tc>
          <w:tcPr>
            <w:tcW w:w="345" w:type="pct"/>
            <w:tcBorders>
              <w:top w:val="single" w:sz="8" w:space="0" w:color="auto"/>
              <w:bottom w:val="single" w:sz="4" w:space="0" w:color="auto"/>
            </w:tcBorders>
            <w:shd w:val="clear" w:color="auto" w:fill="auto"/>
            <w:vAlign w:val="center"/>
          </w:tcPr>
          <w:p w14:paraId="1B52A0E1"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b/>
                <w:sz w:val="16"/>
                <w:lang w:eastAsia="ru-RU"/>
              </w:rPr>
            </w:pPr>
            <w:r w:rsidRPr="00A17DB7">
              <w:rPr>
                <w:rFonts w:ascii="Times New Roman" w:eastAsia="Times New Roman" w:hAnsi="Times New Roman"/>
                <w:b/>
                <w:sz w:val="16"/>
                <w:lang w:eastAsia="ru-RU"/>
              </w:rPr>
              <w:t>T</w:t>
            </w:r>
            <w:r w:rsidRPr="00A17DB7">
              <w:rPr>
                <w:rFonts w:ascii="Times New Roman" w:eastAsia="Times New Roman" w:hAnsi="Times New Roman"/>
                <w:b/>
                <w:sz w:val="16"/>
                <w:vertAlign w:val="subscript"/>
                <w:lang w:eastAsia="ru-RU"/>
              </w:rPr>
              <w:t>max</w:t>
            </w:r>
            <w:r w:rsidRPr="00A17DB7">
              <w:rPr>
                <w:rFonts w:ascii="Times New Roman" w:eastAsia="Times New Roman" w:hAnsi="Times New Roman"/>
                <w:b/>
                <w:sz w:val="16"/>
                <w:lang w:eastAsia="ru-RU"/>
              </w:rPr>
              <w:t>,</w:t>
            </w:r>
          </w:p>
          <w:p w14:paraId="4BF2A032"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b/>
                <w:sz w:val="16"/>
                <w:lang w:val="ru-RU" w:eastAsia="ru-RU"/>
              </w:rPr>
            </w:pPr>
            <w:r w:rsidRPr="00A17DB7">
              <w:rPr>
                <w:b/>
                <w:sz w:val="16"/>
              </w:rPr>
              <w:t>°</w:t>
            </w:r>
            <w:r w:rsidRPr="00A17DB7">
              <w:rPr>
                <w:b/>
                <w:sz w:val="16"/>
                <w:lang w:val="ru-RU"/>
              </w:rPr>
              <w:t>С</w:t>
            </w:r>
          </w:p>
        </w:tc>
        <w:tc>
          <w:tcPr>
            <w:tcW w:w="727" w:type="pct"/>
            <w:tcBorders>
              <w:top w:val="single" w:sz="8" w:space="0" w:color="auto"/>
              <w:bottom w:val="single" w:sz="4" w:space="0" w:color="auto"/>
            </w:tcBorders>
            <w:shd w:val="clear" w:color="auto" w:fill="auto"/>
            <w:vAlign w:val="center"/>
          </w:tcPr>
          <w:p w14:paraId="35F86A71"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b/>
                <w:sz w:val="16"/>
                <w:lang w:eastAsia="ru-RU"/>
              </w:rPr>
            </w:pPr>
            <w:r w:rsidRPr="00A17DB7">
              <w:rPr>
                <w:rFonts w:ascii="Times New Roman" w:eastAsia="Times New Roman" w:hAnsi="Times New Roman"/>
                <w:b/>
                <w:sz w:val="16"/>
                <w:lang w:eastAsia="ru-RU"/>
              </w:rPr>
              <w:t>HI,</w:t>
            </w:r>
          </w:p>
          <w:p w14:paraId="16184772"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b/>
                <w:sz w:val="16"/>
                <w:lang w:eastAsia="ru-RU"/>
              </w:rPr>
            </w:pPr>
            <w:r w:rsidRPr="00A17DB7">
              <w:rPr>
                <w:rFonts w:ascii="Times New Roman" w:eastAsia="Times New Roman" w:hAnsi="Times New Roman"/>
                <w:b/>
                <w:sz w:val="16"/>
                <w:lang w:eastAsia="ru-RU"/>
              </w:rPr>
              <w:t>mg HC/g TOC</w:t>
            </w:r>
          </w:p>
        </w:tc>
        <w:tc>
          <w:tcPr>
            <w:tcW w:w="765" w:type="pct"/>
            <w:tcBorders>
              <w:top w:val="single" w:sz="8" w:space="0" w:color="auto"/>
              <w:bottom w:val="single" w:sz="4" w:space="0" w:color="auto"/>
            </w:tcBorders>
            <w:shd w:val="clear" w:color="auto" w:fill="auto"/>
            <w:vAlign w:val="center"/>
          </w:tcPr>
          <w:p w14:paraId="3C79A473"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b/>
                <w:sz w:val="16"/>
                <w:lang w:eastAsia="ru-RU"/>
              </w:rPr>
            </w:pPr>
            <w:r w:rsidRPr="00A17DB7">
              <w:rPr>
                <w:rFonts w:ascii="Times New Roman" w:eastAsia="Times New Roman" w:hAnsi="Times New Roman"/>
                <w:b/>
                <w:sz w:val="16"/>
                <w:lang w:eastAsia="ru-RU"/>
              </w:rPr>
              <w:t>OI,</w:t>
            </w:r>
          </w:p>
          <w:p w14:paraId="21A6A6EC"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b/>
                <w:sz w:val="16"/>
                <w:lang w:eastAsia="ru-RU"/>
              </w:rPr>
            </w:pPr>
            <w:r w:rsidRPr="00A17DB7">
              <w:rPr>
                <w:rFonts w:ascii="Times New Roman" w:eastAsia="Times New Roman" w:hAnsi="Times New Roman"/>
                <w:b/>
                <w:sz w:val="16"/>
                <w:lang w:eastAsia="ru-RU"/>
              </w:rPr>
              <w:t>mg CO</w:t>
            </w:r>
            <w:r w:rsidRPr="00A17DB7">
              <w:rPr>
                <w:rFonts w:ascii="Times New Roman" w:eastAsia="Times New Roman" w:hAnsi="Times New Roman"/>
                <w:b/>
                <w:sz w:val="16"/>
                <w:vertAlign w:val="subscript"/>
                <w:lang w:eastAsia="ru-RU"/>
              </w:rPr>
              <w:t>2</w:t>
            </w:r>
            <w:r w:rsidRPr="00A17DB7">
              <w:rPr>
                <w:rFonts w:ascii="Times New Roman" w:eastAsia="Times New Roman" w:hAnsi="Times New Roman"/>
                <w:b/>
                <w:sz w:val="16"/>
                <w:lang w:eastAsia="ru-RU"/>
              </w:rPr>
              <w:t>/g TOC</w:t>
            </w:r>
          </w:p>
        </w:tc>
      </w:tr>
      <w:tr w:rsidR="00FE004C" w:rsidRPr="00A17DB7" w14:paraId="31C2FC5F" w14:textId="77777777" w:rsidTr="00211B6D">
        <w:trPr>
          <w:jc w:val="center"/>
        </w:trPr>
        <w:tc>
          <w:tcPr>
            <w:tcW w:w="396" w:type="pct"/>
            <w:vMerge w:val="restart"/>
            <w:tcBorders>
              <w:top w:val="single" w:sz="4" w:space="0" w:color="auto"/>
            </w:tcBorders>
            <w:shd w:val="clear" w:color="auto" w:fill="auto"/>
            <w:vAlign w:val="center"/>
          </w:tcPr>
          <w:p w14:paraId="6DE47BDD"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V-K 81</w:t>
            </w:r>
          </w:p>
        </w:tc>
        <w:tc>
          <w:tcPr>
            <w:tcW w:w="692" w:type="pct"/>
            <w:tcBorders>
              <w:top w:val="single" w:sz="4" w:space="0" w:color="auto"/>
              <w:bottom w:val="nil"/>
            </w:tcBorders>
            <w:shd w:val="clear" w:color="auto" w:fill="auto"/>
            <w:vAlign w:val="center"/>
          </w:tcPr>
          <w:p w14:paraId="7170B462"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Alginite-rich layer</w:t>
            </w:r>
          </w:p>
        </w:tc>
        <w:tc>
          <w:tcPr>
            <w:tcW w:w="445" w:type="pct"/>
            <w:tcBorders>
              <w:top w:val="single" w:sz="4" w:space="0" w:color="auto"/>
              <w:bottom w:val="nil"/>
            </w:tcBorders>
            <w:shd w:val="clear" w:color="auto" w:fill="auto"/>
            <w:vAlign w:val="center"/>
          </w:tcPr>
          <w:p w14:paraId="0BC51169"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2.15</w:t>
            </w:r>
          </w:p>
        </w:tc>
        <w:tc>
          <w:tcPr>
            <w:tcW w:w="445" w:type="pct"/>
            <w:tcBorders>
              <w:top w:val="single" w:sz="4" w:space="0" w:color="auto"/>
              <w:bottom w:val="nil"/>
            </w:tcBorders>
            <w:shd w:val="clear" w:color="auto" w:fill="auto"/>
            <w:vAlign w:val="center"/>
          </w:tcPr>
          <w:p w14:paraId="22399BB9"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241.65</w:t>
            </w:r>
          </w:p>
        </w:tc>
        <w:tc>
          <w:tcPr>
            <w:tcW w:w="444" w:type="pct"/>
            <w:tcBorders>
              <w:top w:val="single" w:sz="4" w:space="0" w:color="auto"/>
              <w:bottom w:val="nil"/>
            </w:tcBorders>
            <w:shd w:val="clear" w:color="auto" w:fill="auto"/>
            <w:vAlign w:val="center"/>
          </w:tcPr>
          <w:p w14:paraId="1717D2FD"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0.01</w:t>
            </w:r>
          </w:p>
        </w:tc>
        <w:tc>
          <w:tcPr>
            <w:tcW w:w="396" w:type="pct"/>
            <w:tcBorders>
              <w:top w:val="single" w:sz="4" w:space="0" w:color="auto"/>
              <w:bottom w:val="nil"/>
            </w:tcBorders>
            <w:shd w:val="clear" w:color="auto" w:fill="auto"/>
            <w:vAlign w:val="center"/>
          </w:tcPr>
          <w:p w14:paraId="0805F208"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22.94</w:t>
            </w:r>
          </w:p>
        </w:tc>
        <w:tc>
          <w:tcPr>
            <w:tcW w:w="345" w:type="pct"/>
            <w:tcBorders>
              <w:top w:val="single" w:sz="4" w:space="0" w:color="auto"/>
              <w:bottom w:val="nil"/>
            </w:tcBorders>
            <w:shd w:val="clear" w:color="auto" w:fill="auto"/>
            <w:vAlign w:val="center"/>
          </w:tcPr>
          <w:p w14:paraId="6722C045"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91</w:t>
            </w:r>
          </w:p>
        </w:tc>
        <w:tc>
          <w:tcPr>
            <w:tcW w:w="345" w:type="pct"/>
            <w:tcBorders>
              <w:top w:val="single" w:sz="4" w:space="0" w:color="auto"/>
              <w:bottom w:val="nil"/>
            </w:tcBorders>
            <w:shd w:val="clear" w:color="auto" w:fill="auto"/>
            <w:vAlign w:val="center"/>
          </w:tcPr>
          <w:p w14:paraId="3B370D14"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445</w:t>
            </w:r>
          </w:p>
        </w:tc>
        <w:tc>
          <w:tcPr>
            <w:tcW w:w="727" w:type="pct"/>
            <w:tcBorders>
              <w:top w:val="single" w:sz="4" w:space="0" w:color="auto"/>
              <w:bottom w:val="nil"/>
            </w:tcBorders>
            <w:shd w:val="clear" w:color="auto" w:fill="auto"/>
            <w:vAlign w:val="center"/>
          </w:tcPr>
          <w:p w14:paraId="49FD9554"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1053</w:t>
            </w:r>
          </w:p>
        </w:tc>
        <w:tc>
          <w:tcPr>
            <w:tcW w:w="765" w:type="pct"/>
            <w:tcBorders>
              <w:top w:val="single" w:sz="4" w:space="0" w:color="auto"/>
              <w:bottom w:val="nil"/>
            </w:tcBorders>
            <w:shd w:val="clear" w:color="auto" w:fill="auto"/>
            <w:vAlign w:val="center"/>
          </w:tcPr>
          <w:p w14:paraId="205681EC"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w:t>
            </w:r>
          </w:p>
        </w:tc>
      </w:tr>
      <w:tr w:rsidR="00FE004C" w:rsidRPr="00A17DB7" w14:paraId="2E922C1F" w14:textId="77777777" w:rsidTr="00211B6D">
        <w:trPr>
          <w:jc w:val="center"/>
        </w:trPr>
        <w:tc>
          <w:tcPr>
            <w:tcW w:w="396" w:type="pct"/>
            <w:vMerge/>
            <w:shd w:val="clear" w:color="auto" w:fill="auto"/>
            <w:vAlign w:val="center"/>
          </w:tcPr>
          <w:p w14:paraId="2058A6D9" w14:textId="77777777" w:rsidR="00FE004C" w:rsidRPr="00A17DB7" w:rsidRDefault="00FE004C" w:rsidP="00211B6D">
            <w:pPr>
              <w:pStyle w:val="MDPI42tablebody"/>
              <w:autoSpaceDE w:val="0"/>
              <w:autoSpaceDN w:val="0"/>
              <w:spacing w:line="240" w:lineRule="auto"/>
              <w:rPr>
                <w:sz w:val="16"/>
              </w:rPr>
            </w:pPr>
          </w:p>
        </w:tc>
        <w:tc>
          <w:tcPr>
            <w:tcW w:w="692" w:type="pct"/>
            <w:tcBorders>
              <w:top w:val="nil"/>
              <w:bottom w:val="nil"/>
            </w:tcBorders>
            <w:shd w:val="clear" w:color="auto" w:fill="auto"/>
            <w:vAlign w:val="center"/>
          </w:tcPr>
          <w:p w14:paraId="0405A09D"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Host rock</w:t>
            </w:r>
          </w:p>
        </w:tc>
        <w:tc>
          <w:tcPr>
            <w:tcW w:w="445" w:type="pct"/>
            <w:tcBorders>
              <w:top w:val="nil"/>
              <w:bottom w:val="nil"/>
            </w:tcBorders>
            <w:shd w:val="clear" w:color="auto" w:fill="auto"/>
            <w:vAlign w:val="center"/>
          </w:tcPr>
          <w:p w14:paraId="66EF48FA"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4.64</w:t>
            </w:r>
          </w:p>
        </w:tc>
        <w:tc>
          <w:tcPr>
            <w:tcW w:w="445" w:type="pct"/>
            <w:tcBorders>
              <w:top w:val="nil"/>
              <w:bottom w:val="nil"/>
            </w:tcBorders>
            <w:shd w:val="clear" w:color="auto" w:fill="auto"/>
            <w:vAlign w:val="center"/>
          </w:tcPr>
          <w:p w14:paraId="04CF8387"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133.90</w:t>
            </w:r>
          </w:p>
        </w:tc>
        <w:tc>
          <w:tcPr>
            <w:tcW w:w="444" w:type="pct"/>
            <w:tcBorders>
              <w:top w:val="nil"/>
              <w:bottom w:val="nil"/>
            </w:tcBorders>
            <w:shd w:val="clear" w:color="auto" w:fill="auto"/>
            <w:vAlign w:val="center"/>
          </w:tcPr>
          <w:p w14:paraId="27F58A51"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0.03</w:t>
            </w:r>
          </w:p>
        </w:tc>
        <w:tc>
          <w:tcPr>
            <w:tcW w:w="396" w:type="pct"/>
            <w:tcBorders>
              <w:top w:val="nil"/>
              <w:bottom w:val="nil"/>
            </w:tcBorders>
            <w:shd w:val="clear" w:color="auto" w:fill="auto"/>
            <w:vAlign w:val="center"/>
          </w:tcPr>
          <w:p w14:paraId="11C808B7"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17.81</w:t>
            </w:r>
          </w:p>
        </w:tc>
        <w:tc>
          <w:tcPr>
            <w:tcW w:w="345" w:type="pct"/>
            <w:tcBorders>
              <w:top w:val="nil"/>
              <w:bottom w:val="nil"/>
            </w:tcBorders>
            <w:shd w:val="clear" w:color="auto" w:fill="auto"/>
            <w:vAlign w:val="center"/>
          </w:tcPr>
          <w:p w14:paraId="42030C4D"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67</w:t>
            </w:r>
          </w:p>
        </w:tc>
        <w:tc>
          <w:tcPr>
            <w:tcW w:w="345" w:type="pct"/>
            <w:tcBorders>
              <w:top w:val="nil"/>
              <w:bottom w:val="nil"/>
            </w:tcBorders>
            <w:shd w:val="clear" w:color="auto" w:fill="auto"/>
            <w:vAlign w:val="center"/>
          </w:tcPr>
          <w:p w14:paraId="09FBCC2E"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431</w:t>
            </w:r>
          </w:p>
        </w:tc>
        <w:tc>
          <w:tcPr>
            <w:tcW w:w="727" w:type="pct"/>
            <w:tcBorders>
              <w:top w:val="nil"/>
              <w:bottom w:val="nil"/>
            </w:tcBorders>
            <w:shd w:val="clear" w:color="auto" w:fill="auto"/>
            <w:vAlign w:val="center"/>
          </w:tcPr>
          <w:p w14:paraId="1BD4AAE6"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751</w:t>
            </w:r>
          </w:p>
        </w:tc>
        <w:tc>
          <w:tcPr>
            <w:tcW w:w="765" w:type="pct"/>
            <w:tcBorders>
              <w:top w:val="nil"/>
              <w:bottom w:val="nil"/>
            </w:tcBorders>
            <w:shd w:val="clear" w:color="auto" w:fill="auto"/>
            <w:vAlign w:val="center"/>
          </w:tcPr>
          <w:p w14:paraId="48ACF725"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w:t>
            </w:r>
          </w:p>
        </w:tc>
      </w:tr>
      <w:tr w:rsidR="00FE004C" w:rsidRPr="00A17DB7" w14:paraId="274AC8C4" w14:textId="77777777" w:rsidTr="00211B6D">
        <w:trPr>
          <w:jc w:val="center"/>
        </w:trPr>
        <w:tc>
          <w:tcPr>
            <w:tcW w:w="396" w:type="pct"/>
            <w:vMerge w:val="restart"/>
            <w:tcBorders>
              <w:top w:val="single" w:sz="4" w:space="0" w:color="auto"/>
              <w:bottom w:val="nil"/>
            </w:tcBorders>
            <w:shd w:val="clear" w:color="auto" w:fill="auto"/>
            <w:vAlign w:val="center"/>
          </w:tcPr>
          <w:p w14:paraId="38B36765"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V-Ch 526</w:t>
            </w:r>
          </w:p>
        </w:tc>
        <w:tc>
          <w:tcPr>
            <w:tcW w:w="692" w:type="pct"/>
            <w:tcBorders>
              <w:top w:val="single" w:sz="4" w:space="0" w:color="auto"/>
              <w:bottom w:val="nil"/>
            </w:tcBorders>
            <w:shd w:val="clear" w:color="auto" w:fill="auto"/>
            <w:vAlign w:val="center"/>
          </w:tcPr>
          <w:p w14:paraId="55926821"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Alginite-rich layer</w:t>
            </w:r>
          </w:p>
        </w:tc>
        <w:tc>
          <w:tcPr>
            <w:tcW w:w="445" w:type="pct"/>
            <w:tcBorders>
              <w:top w:val="single" w:sz="4" w:space="0" w:color="auto"/>
              <w:bottom w:val="nil"/>
            </w:tcBorders>
            <w:shd w:val="clear" w:color="auto" w:fill="auto"/>
            <w:vAlign w:val="center"/>
          </w:tcPr>
          <w:p w14:paraId="6CB19D0B"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1.06</w:t>
            </w:r>
          </w:p>
        </w:tc>
        <w:tc>
          <w:tcPr>
            <w:tcW w:w="445" w:type="pct"/>
            <w:tcBorders>
              <w:top w:val="single" w:sz="4" w:space="0" w:color="auto"/>
              <w:bottom w:val="nil"/>
            </w:tcBorders>
            <w:shd w:val="clear" w:color="auto" w:fill="auto"/>
            <w:vAlign w:val="center"/>
          </w:tcPr>
          <w:p w14:paraId="74E28DC7"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219.02</w:t>
            </w:r>
          </w:p>
        </w:tc>
        <w:tc>
          <w:tcPr>
            <w:tcW w:w="444" w:type="pct"/>
            <w:tcBorders>
              <w:top w:val="single" w:sz="4" w:space="0" w:color="auto"/>
              <w:bottom w:val="nil"/>
            </w:tcBorders>
            <w:shd w:val="clear" w:color="auto" w:fill="auto"/>
            <w:vAlign w:val="center"/>
          </w:tcPr>
          <w:p w14:paraId="326602F4"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0.01</w:t>
            </w:r>
          </w:p>
        </w:tc>
        <w:tc>
          <w:tcPr>
            <w:tcW w:w="396" w:type="pct"/>
            <w:tcBorders>
              <w:top w:val="single" w:sz="4" w:space="0" w:color="auto"/>
              <w:bottom w:val="nil"/>
            </w:tcBorders>
            <w:shd w:val="clear" w:color="auto" w:fill="auto"/>
            <w:vAlign w:val="center"/>
          </w:tcPr>
          <w:p w14:paraId="0E8C27A1"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21.56</w:t>
            </w:r>
          </w:p>
        </w:tc>
        <w:tc>
          <w:tcPr>
            <w:tcW w:w="345" w:type="pct"/>
            <w:tcBorders>
              <w:top w:val="single" w:sz="4" w:space="0" w:color="auto"/>
              <w:bottom w:val="nil"/>
            </w:tcBorders>
            <w:shd w:val="clear" w:color="auto" w:fill="auto"/>
            <w:vAlign w:val="center"/>
          </w:tcPr>
          <w:p w14:paraId="31D90EED"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87</w:t>
            </w:r>
          </w:p>
        </w:tc>
        <w:tc>
          <w:tcPr>
            <w:tcW w:w="345" w:type="pct"/>
            <w:tcBorders>
              <w:top w:val="single" w:sz="4" w:space="0" w:color="auto"/>
              <w:bottom w:val="nil"/>
            </w:tcBorders>
            <w:shd w:val="clear" w:color="auto" w:fill="auto"/>
            <w:vAlign w:val="center"/>
          </w:tcPr>
          <w:p w14:paraId="6F1E5FDA"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443</w:t>
            </w:r>
          </w:p>
        </w:tc>
        <w:tc>
          <w:tcPr>
            <w:tcW w:w="727" w:type="pct"/>
            <w:tcBorders>
              <w:top w:val="single" w:sz="4" w:space="0" w:color="auto"/>
              <w:bottom w:val="nil"/>
            </w:tcBorders>
            <w:shd w:val="clear" w:color="auto" w:fill="auto"/>
            <w:vAlign w:val="center"/>
          </w:tcPr>
          <w:p w14:paraId="7B503284"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1015</w:t>
            </w:r>
          </w:p>
        </w:tc>
        <w:tc>
          <w:tcPr>
            <w:tcW w:w="765" w:type="pct"/>
            <w:tcBorders>
              <w:top w:val="single" w:sz="4" w:space="0" w:color="auto"/>
              <w:bottom w:val="nil"/>
            </w:tcBorders>
            <w:shd w:val="clear" w:color="auto" w:fill="auto"/>
            <w:vAlign w:val="center"/>
          </w:tcPr>
          <w:p w14:paraId="4EAEE9C3"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w:t>
            </w:r>
          </w:p>
        </w:tc>
      </w:tr>
      <w:tr w:rsidR="00FE004C" w:rsidRPr="00A17DB7" w14:paraId="73E4A39F" w14:textId="77777777" w:rsidTr="00211B6D">
        <w:trPr>
          <w:jc w:val="center"/>
        </w:trPr>
        <w:tc>
          <w:tcPr>
            <w:tcW w:w="396" w:type="pct"/>
            <w:vMerge/>
            <w:tcBorders>
              <w:top w:val="nil"/>
              <w:bottom w:val="single" w:sz="4" w:space="0" w:color="auto"/>
            </w:tcBorders>
            <w:shd w:val="clear" w:color="auto" w:fill="auto"/>
            <w:vAlign w:val="center"/>
          </w:tcPr>
          <w:p w14:paraId="7B04C265" w14:textId="77777777" w:rsidR="00FE004C" w:rsidRPr="00A17DB7" w:rsidRDefault="00FE004C" w:rsidP="00211B6D">
            <w:pPr>
              <w:pStyle w:val="MDPI42tablebody"/>
              <w:autoSpaceDE w:val="0"/>
              <w:autoSpaceDN w:val="0"/>
              <w:spacing w:line="240" w:lineRule="auto"/>
              <w:rPr>
                <w:sz w:val="16"/>
              </w:rPr>
            </w:pPr>
          </w:p>
        </w:tc>
        <w:tc>
          <w:tcPr>
            <w:tcW w:w="692" w:type="pct"/>
            <w:tcBorders>
              <w:top w:val="nil"/>
              <w:bottom w:val="single" w:sz="4" w:space="0" w:color="auto"/>
            </w:tcBorders>
            <w:shd w:val="clear" w:color="auto" w:fill="auto"/>
            <w:vAlign w:val="center"/>
          </w:tcPr>
          <w:p w14:paraId="00A28991"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Host rock</w:t>
            </w:r>
          </w:p>
        </w:tc>
        <w:tc>
          <w:tcPr>
            <w:tcW w:w="445" w:type="pct"/>
            <w:tcBorders>
              <w:top w:val="nil"/>
              <w:bottom w:val="single" w:sz="4" w:space="0" w:color="auto"/>
            </w:tcBorders>
            <w:shd w:val="clear" w:color="auto" w:fill="auto"/>
            <w:vAlign w:val="center"/>
          </w:tcPr>
          <w:p w14:paraId="7684304D"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5.12</w:t>
            </w:r>
          </w:p>
        </w:tc>
        <w:tc>
          <w:tcPr>
            <w:tcW w:w="445" w:type="pct"/>
            <w:tcBorders>
              <w:top w:val="nil"/>
              <w:bottom w:val="single" w:sz="4" w:space="0" w:color="auto"/>
            </w:tcBorders>
            <w:shd w:val="clear" w:color="auto" w:fill="auto"/>
            <w:vAlign w:val="center"/>
          </w:tcPr>
          <w:p w14:paraId="483DF5C1"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74.52</w:t>
            </w:r>
          </w:p>
        </w:tc>
        <w:tc>
          <w:tcPr>
            <w:tcW w:w="444" w:type="pct"/>
            <w:tcBorders>
              <w:top w:val="nil"/>
              <w:bottom w:val="single" w:sz="4" w:space="0" w:color="auto"/>
            </w:tcBorders>
            <w:shd w:val="clear" w:color="auto" w:fill="auto"/>
            <w:vAlign w:val="center"/>
          </w:tcPr>
          <w:p w14:paraId="0C09D531"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0.06</w:t>
            </w:r>
          </w:p>
        </w:tc>
        <w:tc>
          <w:tcPr>
            <w:tcW w:w="396" w:type="pct"/>
            <w:tcBorders>
              <w:top w:val="nil"/>
              <w:bottom w:val="single" w:sz="4" w:space="0" w:color="auto"/>
            </w:tcBorders>
            <w:shd w:val="clear" w:color="auto" w:fill="auto"/>
            <w:vAlign w:val="center"/>
          </w:tcPr>
          <w:p w14:paraId="704477BD"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10.72</w:t>
            </w:r>
          </w:p>
        </w:tc>
        <w:tc>
          <w:tcPr>
            <w:tcW w:w="345" w:type="pct"/>
            <w:tcBorders>
              <w:top w:val="nil"/>
              <w:bottom w:val="single" w:sz="4" w:space="0" w:color="auto"/>
            </w:tcBorders>
            <w:shd w:val="clear" w:color="auto" w:fill="auto"/>
            <w:vAlign w:val="center"/>
          </w:tcPr>
          <w:p w14:paraId="0DB27DAE"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67</w:t>
            </w:r>
          </w:p>
        </w:tc>
        <w:tc>
          <w:tcPr>
            <w:tcW w:w="345" w:type="pct"/>
            <w:tcBorders>
              <w:top w:val="nil"/>
              <w:bottom w:val="single" w:sz="4" w:space="0" w:color="auto"/>
            </w:tcBorders>
            <w:shd w:val="clear" w:color="auto" w:fill="auto"/>
            <w:vAlign w:val="center"/>
          </w:tcPr>
          <w:p w14:paraId="138C44F8"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430</w:t>
            </w:r>
          </w:p>
        </w:tc>
        <w:tc>
          <w:tcPr>
            <w:tcW w:w="727" w:type="pct"/>
            <w:tcBorders>
              <w:top w:val="nil"/>
              <w:bottom w:val="single" w:sz="4" w:space="0" w:color="auto"/>
            </w:tcBorders>
            <w:shd w:val="clear" w:color="auto" w:fill="auto"/>
            <w:vAlign w:val="center"/>
          </w:tcPr>
          <w:p w14:paraId="073E9FE2"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682</w:t>
            </w:r>
          </w:p>
        </w:tc>
        <w:tc>
          <w:tcPr>
            <w:tcW w:w="765" w:type="pct"/>
            <w:tcBorders>
              <w:top w:val="nil"/>
              <w:bottom w:val="single" w:sz="4" w:space="0" w:color="auto"/>
            </w:tcBorders>
            <w:shd w:val="clear" w:color="auto" w:fill="auto"/>
            <w:vAlign w:val="center"/>
          </w:tcPr>
          <w:p w14:paraId="08886703"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3</w:t>
            </w:r>
          </w:p>
        </w:tc>
      </w:tr>
      <w:tr w:rsidR="00FE004C" w:rsidRPr="00A17DB7" w14:paraId="011D019E" w14:textId="77777777" w:rsidTr="00211B6D">
        <w:trPr>
          <w:jc w:val="center"/>
        </w:trPr>
        <w:tc>
          <w:tcPr>
            <w:tcW w:w="396" w:type="pct"/>
            <w:vMerge w:val="restart"/>
            <w:tcBorders>
              <w:top w:val="single" w:sz="4" w:space="0" w:color="auto"/>
              <w:bottom w:val="nil"/>
            </w:tcBorders>
            <w:shd w:val="clear" w:color="auto" w:fill="auto"/>
            <w:vAlign w:val="center"/>
          </w:tcPr>
          <w:p w14:paraId="2565FA2F"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M 184</w:t>
            </w:r>
          </w:p>
        </w:tc>
        <w:tc>
          <w:tcPr>
            <w:tcW w:w="692" w:type="pct"/>
            <w:tcBorders>
              <w:top w:val="single" w:sz="4" w:space="0" w:color="auto"/>
              <w:bottom w:val="nil"/>
            </w:tcBorders>
            <w:shd w:val="clear" w:color="auto" w:fill="auto"/>
            <w:vAlign w:val="center"/>
          </w:tcPr>
          <w:p w14:paraId="543B9472"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Alginite-rich layer</w:t>
            </w:r>
          </w:p>
        </w:tc>
        <w:tc>
          <w:tcPr>
            <w:tcW w:w="445" w:type="pct"/>
            <w:tcBorders>
              <w:top w:val="single" w:sz="4" w:space="0" w:color="auto"/>
              <w:bottom w:val="nil"/>
            </w:tcBorders>
            <w:shd w:val="clear" w:color="auto" w:fill="auto"/>
            <w:vAlign w:val="center"/>
          </w:tcPr>
          <w:p w14:paraId="0CBABC2C"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0.53</w:t>
            </w:r>
          </w:p>
        </w:tc>
        <w:tc>
          <w:tcPr>
            <w:tcW w:w="445" w:type="pct"/>
            <w:tcBorders>
              <w:top w:val="single" w:sz="4" w:space="0" w:color="auto"/>
              <w:bottom w:val="nil"/>
            </w:tcBorders>
            <w:shd w:val="clear" w:color="auto" w:fill="auto"/>
            <w:vAlign w:val="center"/>
          </w:tcPr>
          <w:p w14:paraId="72D1A6E4"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259.24</w:t>
            </w:r>
          </w:p>
        </w:tc>
        <w:tc>
          <w:tcPr>
            <w:tcW w:w="444" w:type="pct"/>
            <w:tcBorders>
              <w:top w:val="single" w:sz="4" w:space="0" w:color="auto"/>
              <w:bottom w:val="nil"/>
            </w:tcBorders>
            <w:shd w:val="clear" w:color="auto" w:fill="auto"/>
            <w:vAlign w:val="center"/>
          </w:tcPr>
          <w:p w14:paraId="6FFC80E5"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0.00</w:t>
            </w:r>
          </w:p>
        </w:tc>
        <w:tc>
          <w:tcPr>
            <w:tcW w:w="396" w:type="pct"/>
            <w:tcBorders>
              <w:top w:val="single" w:sz="4" w:space="0" w:color="auto"/>
              <w:bottom w:val="nil"/>
            </w:tcBorders>
            <w:shd w:val="clear" w:color="auto" w:fill="auto"/>
            <w:vAlign w:val="center"/>
          </w:tcPr>
          <w:p w14:paraId="44E9CC00"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25.25</w:t>
            </w:r>
          </w:p>
        </w:tc>
        <w:tc>
          <w:tcPr>
            <w:tcW w:w="345" w:type="pct"/>
            <w:tcBorders>
              <w:top w:val="single" w:sz="4" w:space="0" w:color="auto"/>
              <w:bottom w:val="nil"/>
            </w:tcBorders>
            <w:shd w:val="clear" w:color="auto" w:fill="auto"/>
            <w:vAlign w:val="center"/>
          </w:tcPr>
          <w:p w14:paraId="5843EAC0"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88</w:t>
            </w:r>
          </w:p>
        </w:tc>
        <w:tc>
          <w:tcPr>
            <w:tcW w:w="345" w:type="pct"/>
            <w:tcBorders>
              <w:top w:val="single" w:sz="4" w:space="0" w:color="auto"/>
              <w:bottom w:val="nil"/>
            </w:tcBorders>
            <w:shd w:val="clear" w:color="auto" w:fill="auto"/>
            <w:vAlign w:val="center"/>
          </w:tcPr>
          <w:p w14:paraId="40919DEB"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451</w:t>
            </w:r>
          </w:p>
        </w:tc>
        <w:tc>
          <w:tcPr>
            <w:tcW w:w="727" w:type="pct"/>
            <w:tcBorders>
              <w:top w:val="single" w:sz="4" w:space="0" w:color="auto"/>
              <w:bottom w:val="nil"/>
            </w:tcBorders>
            <w:shd w:val="clear" w:color="auto" w:fill="auto"/>
            <w:vAlign w:val="center"/>
          </w:tcPr>
          <w:p w14:paraId="2D6415DE"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1026</w:t>
            </w:r>
          </w:p>
        </w:tc>
        <w:tc>
          <w:tcPr>
            <w:tcW w:w="765" w:type="pct"/>
            <w:tcBorders>
              <w:top w:val="single" w:sz="4" w:space="0" w:color="auto"/>
              <w:bottom w:val="nil"/>
            </w:tcBorders>
            <w:shd w:val="clear" w:color="auto" w:fill="auto"/>
            <w:vAlign w:val="center"/>
          </w:tcPr>
          <w:p w14:paraId="73A7A2C9"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3</w:t>
            </w:r>
          </w:p>
        </w:tc>
      </w:tr>
      <w:tr w:rsidR="00FE004C" w:rsidRPr="00A17DB7" w14:paraId="51F5875A" w14:textId="77777777" w:rsidTr="00211B6D">
        <w:trPr>
          <w:jc w:val="center"/>
        </w:trPr>
        <w:tc>
          <w:tcPr>
            <w:tcW w:w="396" w:type="pct"/>
            <w:vMerge/>
            <w:tcBorders>
              <w:top w:val="nil"/>
              <w:bottom w:val="single" w:sz="4" w:space="0" w:color="auto"/>
            </w:tcBorders>
            <w:shd w:val="clear" w:color="auto" w:fill="auto"/>
            <w:vAlign w:val="center"/>
          </w:tcPr>
          <w:p w14:paraId="50D3C2F8" w14:textId="77777777" w:rsidR="00FE004C" w:rsidRPr="00A17DB7" w:rsidRDefault="00FE004C" w:rsidP="00211B6D">
            <w:pPr>
              <w:pStyle w:val="MDPI42tablebody"/>
              <w:autoSpaceDE w:val="0"/>
              <w:autoSpaceDN w:val="0"/>
              <w:spacing w:line="240" w:lineRule="auto"/>
              <w:rPr>
                <w:sz w:val="16"/>
              </w:rPr>
            </w:pPr>
          </w:p>
        </w:tc>
        <w:tc>
          <w:tcPr>
            <w:tcW w:w="692" w:type="pct"/>
            <w:tcBorders>
              <w:top w:val="nil"/>
              <w:bottom w:val="single" w:sz="4" w:space="0" w:color="auto"/>
            </w:tcBorders>
            <w:shd w:val="clear" w:color="auto" w:fill="auto"/>
            <w:vAlign w:val="center"/>
          </w:tcPr>
          <w:p w14:paraId="66EB8340"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Host rock</w:t>
            </w:r>
          </w:p>
        </w:tc>
        <w:tc>
          <w:tcPr>
            <w:tcW w:w="445" w:type="pct"/>
            <w:tcBorders>
              <w:top w:val="nil"/>
              <w:bottom w:val="single" w:sz="4" w:space="0" w:color="auto"/>
            </w:tcBorders>
            <w:shd w:val="clear" w:color="auto" w:fill="auto"/>
            <w:vAlign w:val="center"/>
          </w:tcPr>
          <w:p w14:paraId="74172DC6"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1.36</w:t>
            </w:r>
          </w:p>
        </w:tc>
        <w:tc>
          <w:tcPr>
            <w:tcW w:w="445" w:type="pct"/>
            <w:tcBorders>
              <w:top w:val="nil"/>
              <w:bottom w:val="single" w:sz="4" w:space="0" w:color="auto"/>
            </w:tcBorders>
            <w:shd w:val="clear" w:color="auto" w:fill="auto"/>
            <w:vAlign w:val="center"/>
          </w:tcPr>
          <w:p w14:paraId="38440AFA"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46.21</w:t>
            </w:r>
          </w:p>
        </w:tc>
        <w:tc>
          <w:tcPr>
            <w:tcW w:w="444" w:type="pct"/>
            <w:tcBorders>
              <w:top w:val="nil"/>
              <w:bottom w:val="single" w:sz="4" w:space="0" w:color="auto"/>
            </w:tcBorders>
            <w:shd w:val="clear" w:color="auto" w:fill="auto"/>
            <w:vAlign w:val="center"/>
          </w:tcPr>
          <w:p w14:paraId="2565F103"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0.03</w:t>
            </w:r>
          </w:p>
        </w:tc>
        <w:tc>
          <w:tcPr>
            <w:tcW w:w="396" w:type="pct"/>
            <w:tcBorders>
              <w:top w:val="nil"/>
              <w:bottom w:val="single" w:sz="4" w:space="0" w:color="auto"/>
            </w:tcBorders>
            <w:shd w:val="clear" w:color="auto" w:fill="auto"/>
            <w:vAlign w:val="center"/>
          </w:tcPr>
          <w:p w14:paraId="52DBD1E9"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8.77</w:t>
            </w:r>
          </w:p>
        </w:tc>
        <w:tc>
          <w:tcPr>
            <w:tcW w:w="345" w:type="pct"/>
            <w:tcBorders>
              <w:top w:val="nil"/>
              <w:bottom w:val="single" w:sz="4" w:space="0" w:color="auto"/>
            </w:tcBorders>
            <w:shd w:val="clear" w:color="auto" w:fill="auto"/>
            <w:vAlign w:val="center"/>
          </w:tcPr>
          <w:p w14:paraId="5610BEF8"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48</w:t>
            </w:r>
          </w:p>
        </w:tc>
        <w:tc>
          <w:tcPr>
            <w:tcW w:w="345" w:type="pct"/>
            <w:tcBorders>
              <w:top w:val="nil"/>
              <w:bottom w:val="single" w:sz="4" w:space="0" w:color="auto"/>
            </w:tcBorders>
            <w:shd w:val="clear" w:color="auto" w:fill="auto"/>
            <w:vAlign w:val="center"/>
          </w:tcPr>
          <w:p w14:paraId="5B7B1C70"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438</w:t>
            </w:r>
          </w:p>
        </w:tc>
        <w:tc>
          <w:tcPr>
            <w:tcW w:w="727" w:type="pct"/>
            <w:tcBorders>
              <w:top w:val="nil"/>
              <w:bottom w:val="single" w:sz="4" w:space="0" w:color="auto"/>
            </w:tcBorders>
            <w:shd w:val="clear" w:color="auto" w:fill="auto"/>
            <w:vAlign w:val="center"/>
          </w:tcPr>
          <w:p w14:paraId="1CFEE78E"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527</w:t>
            </w:r>
          </w:p>
        </w:tc>
        <w:tc>
          <w:tcPr>
            <w:tcW w:w="765" w:type="pct"/>
            <w:tcBorders>
              <w:top w:val="nil"/>
              <w:bottom w:val="single" w:sz="4" w:space="0" w:color="auto"/>
            </w:tcBorders>
            <w:shd w:val="clear" w:color="auto" w:fill="auto"/>
            <w:vAlign w:val="center"/>
          </w:tcPr>
          <w:p w14:paraId="7A05F784"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11</w:t>
            </w:r>
          </w:p>
        </w:tc>
      </w:tr>
      <w:tr w:rsidR="00FE004C" w:rsidRPr="00A17DB7" w14:paraId="0D12AE4D" w14:textId="77777777" w:rsidTr="00211B6D">
        <w:trPr>
          <w:jc w:val="center"/>
        </w:trPr>
        <w:tc>
          <w:tcPr>
            <w:tcW w:w="396" w:type="pct"/>
            <w:vMerge w:val="restart"/>
            <w:tcBorders>
              <w:top w:val="single" w:sz="4" w:space="0" w:color="auto"/>
              <w:bottom w:val="nil"/>
            </w:tcBorders>
            <w:shd w:val="clear" w:color="auto" w:fill="auto"/>
            <w:vAlign w:val="center"/>
          </w:tcPr>
          <w:p w14:paraId="53566009"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S-O 128</w:t>
            </w:r>
          </w:p>
        </w:tc>
        <w:tc>
          <w:tcPr>
            <w:tcW w:w="692" w:type="pct"/>
            <w:tcBorders>
              <w:top w:val="single" w:sz="4" w:space="0" w:color="auto"/>
              <w:bottom w:val="nil"/>
            </w:tcBorders>
            <w:shd w:val="clear" w:color="auto" w:fill="auto"/>
            <w:vAlign w:val="center"/>
          </w:tcPr>
          <w:p w14:paraId="33AF1907"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Alginite-rich layer</w:t>
            </w:r>
          </w:p>
        </w:tc>
        <w:tc>
          <w:tcPr>
            <w:tcW w:w="445" w:type="pct"/>
            <w:tcBorders>
              <w:top w:val="single" w:sz="4" w:space="0" w:color="auto"/>
              <w:bottom w:val="nil"/>
            </w:tcBorders>
            <w:shd w:val="clear" w:color="auto" w:fill="auto"/>
            <w:vAlign w:val="center"/>
          </w:tcPr>
          <w:p w14:paraId="5F6000A0"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color w:val="FF0000"/>
                <w:sz w:val="16"/>
                <w:lang w:val="ru-RU" w:eastAsia="ru-RU"/>
              </w:rPr>
            </w:pPr>
            <w:r w:rsidRPr="00A17DB7">
              <w:rPr>
                <w:rFonts w:ascii="Times New Roman" w:eastAsia="Times New Roman" w:hAnsi="Times New Roman"/>
                <w:sz w:val="16"/>
                <w:lang w:val="ru-RU" w:eastAsia="ru-RU"/>
              </w:rPr>
              <w:t>2.49</w:t>
            </w:r>
          </w:p>
        </w:tc>
        <w:tc>
          <w:tcPr>
            <w:tcW w:w="445" w:type="pct"/>
            <w:tcBorders>
              <w:top w:val="single" w:sz="4" w:space="0" w:color="auto"/>
              <w:bottom w:val="nil"/>
            </w:tcBorders>
            <w:shd w:val="clear" w:color="auto" w:fill="auto"/>
            <w:vAlign w:val="center"/>
          </w:tcPr>
          <w:p w14:paraId="0104E73A"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110.48</w:t>
            </w:r>
          </w:p>
        </w:tc>
        <w:tc>
          <w:tcPr>
            <w:tcW w:w="444" w:type="pct"/>
            <w:tcBorders>
              <w:top w:val="single" w:sz="4" w:space="0" w:color="auto"/>
              <w:bottom w:val="nil"/>
            </w:tcBorders>
            <w:shd w:val="clear" w:color="auto" w:fill="auto"/>
            <w:vAlign w:val="center"/>
          </w:tcPr>
          <w:p w14:paraId="34273B2B"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0.02</w:t>
            </w:r>
          </w:p>
        </w:tc>
        <w:tc>
          <w:tcPr>
            <w:tcW w:w="396" w:type="pct"/>
            <w:tcBorders>
              <w:top w:val="single" w:sz="4" w:space="0" w:color="auto"/>
              <w:bottom w:val="nil"/>
            </w:tcBorders>
            <w:shd w:val="clear" w:color="auto" w:fill="auto"/>
            <w:vAlign w:val="center"/>
          </w:tcPr>
          <w:p w14:paraId="6015A2B5"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12.20</w:t>
            </w:r>
          </w:p>
        </w:tc>
        <w:tc>
          <w:tcPr>
            <w:tcW w:w="345" w:type="pct"/>
            <w:tcBorders>
              <w:top w:val="single" w:sz="4" w:space="0" w:color="auto"/>
              <w:bottom w:val="nil"/>
            </w:tcBorders>
            <w:shd w:val="clear" w:color="auto" w:fill="auto"/>
            <w:vAlign w:val="center"/>
          </w:tcPr>
          <w:p w14:paraId="390FE70A"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79</w:t>
            </w:r>
          </w:p>
        </w:tc>
        <w:tc>
          <w:tcPr>
            <w:tcW w:w="345" w:type="pct"/>
            <w:tcBorders>
              <w:top w:val="single" w:sz="4" w:space="0" w:color="auto"/>
              <w:bottom w:val="nil"/>
            </w:tcBorders>
            <w:shd w:val="clear" w:color="auto" w:fill="auto"/>
            <w:vAlign w:val="center"/>
          </w:tcPr>
          <w:p w14:paraId="321F2E5F"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450</w:t>
            </w:r>
          </w:p>
        </w:tc>
        <w:tc>
          <w:tcPr>
            <w:tcW w:w="727" w:type="pct"/>
            <w:tcBorders>
              <w:top w:val="single" w:sz="4" w:space="0" w:color="auto"/>
              <w:bottom w:val="nil"/>
            </w:tcBorders>
            <w:shd w:val="clear" w:color="auto" w:fill="auto"/>
            <w:vAlign w:val="center"/>
          </w:tcPr>
          <w:p w14:paraId="7142ADC7"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905</w:t>
            </w:r>
          </w:p>
        </w:tc>
        <w:tc>
          <w:tcPr>
            <w:tcW w:w="765" w:type="pct"/>
            <w:tcBorders>
              <w:top w:val="single" w:sz="4" w:space="0" w:color="auto"/>
              <w:bottom w:val="nil"/>
            </w:tcBorders>
            <w:shd w:val="clear" w:color="auto" w:fill="auto"/>
            <w:vAlign w:val="center"/>
          </w:tcPr>
          <w:p w14:paraId="26119F22"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6</w:t>
            </w:r>
          </w:p>
        </w:tc>
      </w:tr>
      <w:tr w:rsidR="00FE004C" w:rsidRPr="00A17DB7" w14:paraId="3DC05D3F" w14:textId="77777777" w:rsidTr="00211B6D">
        <w:trPr>
          <w:jc w:val="center"/>
        </w:trPr>
        <w:tc>
          <w:tcPr>
            <w:tcW w:w="396" w:type="pct"/>
            <w:vMerge/>
            <w:tcBorders>
              <w:top w:val="nil"/>
              <w:bottom w:val="single" w:sz="4" w:space="0" w:color="auto"/>
            </w:tcBorders>
            <w:shd w:val="clear" w:color="auto" w:fill="auto"/>
            <w:vAlign w:val="center"/>
          </w:tcPr>
          <w:p w14:paraId="20B5765F" w14:textId="77777777" w:rsidR="00FE004C" w:rsidRPr="00A17DB7" w:rsidRDefault="00FE004C" w:rsidP="00211B6D">
            <w:pPr>
              <w:pStyle w:val="MDPI42tablebody"/>
              <w:autoSpaceDE w:val="0"/>
              <w:autoSpaceDN w:val="0"/>
              <w:spacing w:line="240" w:lineRule="auto"/>
              <w:rPr>
                <w:sz w:val="16"/>
              </w:rPr>
            </w:pPr>
          </w:p>
        </w:tc>
        <w:tc>
          <w:tcPr>
            <w:tcW w:w="692" w:type="pct"/>
            <w:tcBorders>
              <w:top w:val="nil"/>
              <w:bottom w:val="single" w:sz="4" w:space="0" w:color="auto"/>
            </w:tcBorders>
            <w:shd w:val="clear" w:color="auto" w:fill="auto"/>
            <w:vAlign w:val="center"/>
          </w:tcPr>
          <w:p w14:paraId="6C8AEF67"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Host rock</w:t>
            </w:r>
          </w:p>
        </w:tc>
        <w:tc>
          <w:tcPr>
            <w:tcW w:w="445" w:type="pct"/>
            <w:tcBorders>
              <w:top w:val="nil"/>
              <w:bottom w:val="single" w:sz="4" w:space="0" w:color="auto"/>
            </w:tcBorders>
            <w:shd w:val="clear" w:color="auto" w:fill="auto"/>
            <w:vAlign w:val="center"/>
          </w:tcPr>
          <w:p w14:paraId="290F3AE8"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2.99</w:t>
            </w:r>
          </w:p>
        </w:tc>
        <w:tc>
          <w:tcPr>
            <w:tcW w:w="445" w:type="pct"/>
            <w:tcBorders>
              <w:top w:val="nil"/>
              <w:bottom w:val="single" w:sz="4" w:space="0" w:color="auto"/>
            </w:tcBorders>
            <w:shd w:val="clear" w:color="auto" w:fill="auto"/>
            <w:vAlign w:val="center"/>
          </w:tcPr>
          <w:p w14:paraId="48538CC1"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71.05</w:t>
            </w:r>
          </w:p>
        </w:tc>
        <w:tc>
          <w:tcPr>
            <w:tcW w:w="444" w:type="pct"/>
            <w:tcBorders>
              <w:top w:val="nil"/>
              <w:bottom w:val="single" w:sz="4" w:space="0" w:color="auto"/>
            </w:tcBorders>
            <w:shd w:val="clear" w:color="auto" w:fill="auto"/>
            <w:vAlign w:val="center"/>
          </w:tcPr>
          <w:p w14:paraId="484BA3FA"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0.04</w:t>
            </w:r>
          </w:p>
        </w:tc>
        <w:tc>
          <w:tcPr>
            <w:tcW w:w="396" w:type="pct"/>
            <w:tcBorders>
              <w:top w:val="nil"/>
              <w:bottom w:val="single" w:sz="4" w:space="0" w:color="auto"/>
            </w:tcBorders>
            <w:shd w:val="clear" w:color="auto" w:fill="auto"/>
            <w:vAlign w:val="center"/>
          </w:tcPr>
          <w:p w14:paraId="18DE7BD3"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13.20</w:t>
            </w:r>
          </w:p>
        </w:tc>
        <w:tc>
          <w:tcPr>
            <w:tcW w:w="345" w:type="pct"/>
            <w:tcBorders>
              <w:top w:val="nil"/>
              <w:bottom w:val="single" w:sz="4" w:space="0" w:color="auto"/>
            </w:tcBorders>
            <w:shd w:val="clear" w:color="auto" w:fill="auto"/>
            <w:vAlign w:val="center"/>
          </w:tcPr>
          <w:p w14:paraId="2A410480"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49</w:t>
            </w:r>
          </w:p>
        </w:tc>
        <w:tc>
          <w:tcPr>
            <w:tcW w:w="345" w:type="pct"/>
            <w:tcBorders>
              <w:top w:val="nil"/>
              <w:bottom w:val="single" w:sz="4" w:space="0" w:color="auto"/>
            </w:tcBorders>
            <w:shd w:val="clear" w:color="auto" w:fill="auto"/>
            <w:vAlign w:val="center"/>
          </w:tcPr>
          <w:p w14:paraId="1B567AD8"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444</w:t>
            </w:r>
          </w:p>
        </w:tc>
        <w:tc>
          <w:tcPr>
            <w:tcW w:w="727" w:type="pct"/>
            <w:tcBorders>
              <w:top w:val="nil"/>
              <w:bottom w:val="single" w:sz="4" w:space="0" w:color="auto"/>
            </w:tcBorders>
            <w:shd w:val="clear" w:color="auto" w:fill="auto"/>
            <w:vAlign w:val="center"/>
          </w:tcPr>
          <w:p w14:paraId="5FB369DD"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538</w:t>
            </w:r>
          </w:p>
        </w:tc>
        <w:tc>
          <w:tcPr>
            <w:tcW w:w="765" w:type="pct"/>
            <w:tcBorders>
              <w:top w:val="nil"/>
              <w:bottom w:val="single" w:sz="4" w:space="0" w:color="auto"/>
            </w:tcBorders>
            <w:shd w:val="clear" w:color="auto" w:fill="auto"/>
            <w:vAlign w:val="center"/>
          </w:tcPr>
          <w:p w14:paraId="00F12260"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w:t>
            </w:r>
          </w:p>
        </w:tc>
      </w:tr>
      <w:tr w:rsidR="00FE004C" w:rsidRPr="00A17DB7" w14:paraId="1E666A0F" w14:textId="77777777" w:rsidTr="00211B6D">
        <w:trPr>
          <w:jc w:val="center"/>
        </w:trPr>
        <w:tc>
          <w:tcPr>
            <w:tcW w:w="396" w:type="pct"/>
            <w:vMerge w:val="restart"/>
            <w:tcBorders>
              <w:top w:val="single" w:sz="4" w:space="0" w:color="auto"/>
              <w:bottom w:val="nil"/>
            </w:tcBorders>
            <w:shd w:val="clear" w:color="auto" w:fill="auto"/>
            <w:vAlign w:val="center"/>
          </w:tcPr>
          <w:p w14:paraId="17C5FF59"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O 318</w:t>
            </w:r>
          </w:p>
        </w:tc>
        <w:tc>
          <w:tcPr>
            <w:tcW w:w="692" w:type="pct"/>
            <w:tcBorders>
              <w:top w:val="single" w:sz="4" w:space="0" w:color="auto"/>
              <w:bottom w:val="nil"/>
            </w:tcBorders>
            <w:shd w:val="clear" w:color="auto" w:fill="auto"/>
            <w:vAlign w:val="center"/>
          </w:tcPr>
          <w:p w14:paraId="21E1C6E3"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Alginite-rich layer</w:t>
            </w:r>
          </w:p>
        </w:tc>
        <w:tc>
          <w:tcPr>
            <w:tcW w:w="445" w:type="pct"/>
            <w:tcBorders>
              <w:top w:val="single" w:sz="4" w:space="0" w:color="auto"/>
              <w:bottom w:val="nil"/>
            </w:tcBorders>
            <w:shd w:val="clear" w:color="auto" w:fill="auto"/>
            <w:vAlign w:val="center"/>
          </w:tcPr>
          <w:p w14:paraId="6D97A5DD"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1,36</w:t>
            </w:r>
          </w:p>
        </w:tc>
        <w:tc>
          <w:tcPr>
            <w:tcW w:w="445" w:type="pct"/>
            <w:tcBorders>
              <w:top w:val="single" w:sz="4" w:space="0" w:color="auto"/>
              <w:bottom w:val="nil"/>
            </w:tcBorders>
            <w:shd w:val="clear" w:color="auto" w:fill="auto"/>
            <w:vAlign w:val="center"/>
          </w:tcPr>
          <w:p w14:paraId="6DC30059"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103.14</w:t>
            </w:r>
          </w:p>
        </w:tc>
        <w:tc>
          <w:tcPr>
            <w:tcW w:w="444" w:type="pct"/>
            <w:tcBorders>
              <w:top w:val="single" w:sz="4" w:space="0" w:color="auto"/>
              <w:bottom w:val="nil"/>
            </w:tcBorders>
            <w:shd w:val="clear" w:color="auto" w:fill="auto"/>
            <w:vAlign w:val="center"/>
          </w:tcPr>
          <w:p w14:paraId="6CF15A47"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0.53</w:t>
            </w:r>
          </w:p>
        </w:tc>
        <w:tc>
          <w:tcPr>
            <w:tcW w:w="396" w:type="pct"/>
            <w:tcBorders>
              <w:top w:val="single" w:sz="4" w:space="0" w:color="auto"/>
              <w:bottom w:val="nil"/>
            </w:tcBorders>
            <w:shd w:val="clear" w:color="auto" w:fill="auto"/>
            <w:vAlign w:val="center"/>
          </w:tcPr>
          <w:p w14:paraId="0221510E"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12,19</w:t>
            </w:r>
          </w:p>
        </w:tc>
        <w:tc>
          <w:tcPr>
            <w:tcW w:w="345" w:type="pct"/>
            <w:tcBorders>
              <w:top w:val="single" w:sz="4" w:space="0" w:color="auto"/>
              <w:bottom w:val="nil"/>
            </w:tcBorders>
            <w:shd w:val="clear" w:color="auto" w:fill="auto"/>
            <w:vAlign w:val="center"/>
          </w:tcPr>
          <w:p w14:paraId="532F31EB"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74</w:t>
            </w:r>
          </w:p>
        </w:tc>
        <w:tc>
          <w:tcPr>
            <w:tcW w:w="345" w:type="pct"/>
            <w:tcBorders>
              <w:top w:val="single" w:sz="4" w:space="0" w:color="auto"/>
              <w:bottom w:val="nil"/>
            </w:tcBorders>
            <w:shd w:val="clear" w:color="auto" w:fill="auto"/>
            <w:vAlign w:val="center"/>
          </w:tcPr>
          <w:p w14:paraId="549AE82D"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447</w:t>
            </w:r>
          </w:p>
        </w:tc>
        <w:tc>
          <w:tcPr>
            <w:tcW w:w="727" w:type="pct"/>
            <w:tcBorders>
              <w:top w:val="single" w:sz="4" w:space="0" w:color="auto"/>
              <w:bottom w:val="nil"/>
            </w:tcBorders>
            <w:shd w:val="clear" w:color="auto" w:fill="auto"/>
            <w:vAlign w:val="center"/>
          </w:tcPr>
          <w:p w14:paraId="55C9F517"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846</w:t>
            </w:r>
          </w:p>
        </w:tc>
        <w:tc>
          <w:tcPr>
            <w:tcW w:w="765" w:type="pct"/>
            <w:tcBorders>
              <w:top w:val="single" w:sz="4" w:space="0" w:color="auto"/>
              <w:bottom w:val="nil"/>
            </w:tcBorders>
            <w:shd w:val="clear" w:color="auto" w:fill="auto"/>
            <w:vAlign w:val="center"/>
          </w:tcPr>
          <w:p w14:paraId="3FCC5F07"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4</w:t>
            </w:r>
          </w:p>
        </w:tc>
      </w:tr>
      <w:tr w:rsidR="00FE004C" w:rsidRPr="00A17DB7" w14:paraId="6E5AF6AF" w14:textId="77777777" w:rsidTr="00211B6D">
        <w:trPr>
          <w:jc w:val="center"/>
        </w:trPr>
        <w:tc>
          <w:tcPr>
            <w:tcW w:w="396" w:type="pct"/>
            <w:vMerge/>
            <w:tcBorders>
              <w:top w:val="nil"/>
              <w:bottom w:val="nil"/>
            </w:tcBorders>
            <w:shd w:val="clear" w:color="auto" w:fill="auto"/>
            <w:vAlign w:val="center"/>
          </w:tcPr>
          <w:p w14:paraId="59FF851C" w14:textId="77777777" w:rsidR="00FE004C" w:rsidRPr="00A17DB7" w:rsidRDefault="00FE004C" w:rsidP="00211B6D">
            <w:pPr>
              <w:pStyle w:val="MDPI42tablebody"/>
              <w:autoSpaceDE w:val="0"/>
              <w:autoSpaceDN w:val="0"/>
              <w:spacing w:line="240" w:lineRule="auto"/>
              <w:rPr>
                <w:sz w:val="16"/>
              </w:rPr>
            </w:pPr>
          </w:p>
        </w:tc>
        <w:tc>
          <w:tcPr>
            <w:tcW w:w="692" w:type="pct"/>
            <w:tcBorders>
              <w:top w:val="nil"/>
              <w:bottom w:val="nil"/>
            </w:tcBorders>
            <w:shd w:val="clear" w:color="auto" w:fill="auto"/>
            <w:vAlign w:val="center"/>
          </w:tcPr>
          <w:p w14:paraId="3AA25DD6"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Tuff</w:t>
            </w:r>
          </w:p>
        </w:tc>
        <w:tc>
          <w:tcPr>
            <w:tcW w:w="445" w:type="pct"/>
            <w:tcBorders>
              <w:top w:val="nil"/>
              <w:bottom w:val="nil"/>
            </w:tcBorders>
            <w:shd w:val="clear" w:color="auto" w:fill="auto"/>
            <w:vAlign w:val="center"/>
          </w:tcPr>
          <w:p w14:paraId="01F6AC58"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0.22</w:t>
            </w:r>
          </w:p>
        </w:tc>
        <w:tc>
          <w:tcPr>
            <w:tcW w:w="445" w:type="pct"/>
            <w:tcBorders>
              <w:top w:val="nil"/>
              <w:bottom w:val="nil"/>
            </w:tcBorders>
            <w:shd w:val="clear" w:color="auto" w:fill="auto"/>
            <w:vAlign w:val="center"/>
          </w:tcPr>
          <w:p w14:paraId="6F3E5806"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2.08</w:t>
            </w:r>
          </w:p>
        </w:tc>
        <w:tc>
          <w:tcPr>
            <w:tcW w:w="444" w:type="pct"/>
            <w:tcBorders>
              <w:top w:val="nil"/>
              <w:bottom w:val="nil"/>
            </w:tcBorders>
            <w:shd w:val="clear" w:color="auto" w:fill="auto"/>
            <w:vAlign w:val="center"/>
          </w:tcPr>
          <w:p w14:paraId="45C3D6E4"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0.10</w:t>
            </w:r>
          </w:p>
        </w:tc>
        <w:tc>
          <w:tcPr>
            <w:tcW w:w="396" w:type="pct"/>
            <w:tcBorders>
              <w:top w:val="nil"/>
              <w:bottom w:val="nil"/>
            </w:tcBorders>
            <w:shd w:val="clear" w:color="auto" w:fill="auto"/>
            <w:vAlign w:val="center"/>
          </w:tcPr>
          <w:p w14:paraId="0517CB37"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0.77</w:t>
            </w:r>
          </w:p>
        </w:tc>
        <w:tc>
          <w:tcPr>
            <w:tcW w:w="345" w:type="pct"/>
            <w:tcBorders>
              <w:top w:val="nil"/>
              <w:bottom w:val="nil"/>
            </w:tcBorders>
            <w:shd w:val="clear" w:color="auto" w:fill="auto"/>
            <w:vAlign w:val="center"/>
          </w:tcPr>
          <w:p w14:paraId="7CDB9D0C"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34</w:t>
            </w:r>
          </w:p>
        </w:tc>
        <w:tc>
          <w:tcPr>
            <w:tcW w:w="345" w:type="pct"/>
            <w:tcBorders>
              <w:top w:val="nil"/>
              <w:bottom w:val="nil"/>
            </w:tcBorders>
            <w:shd w:val="clear" w:color="auto" w:fill="auto"/>
            <w:vAlign w:val="center"/>
          </w:tcPr>
          <w:p w14:paraId="1024CBAD"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436</w:t>
            </w:r>
          </w:p>
        </w:tc>
        <w:tc>
          <w:tcPr>
            <w:tcW w:w="727" w:type="pct"/>
            <w:tcBorders>
              <w:top w:val="nil"/>
              <w:bottom w:val="nil"/>
            </w:tcBorders>
            <w:shd w:val="clear" w:color="auto" w:fill="auto"/>
            <w:vAlign w:val="center"/>
          </w:tcPr>
          <w:p w14:paraId="6EA65821"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269</w:t>
            </w:r>
          </w:p>
        </w:tc>
        <w:tc>
          <w:tcPr>
            <w:tcW w:w="765" w:type="pct"/>
            <w:tcBorders>
              <w:top w:val="nil"/>
              <w:bottom w:val="nil"/>
            </w:tcBorders>
            <w:shd w:val="clear" w:color="auto" w:fill="auto"/>
            <w:vAlign w:val="center"/>
          </w:tcPr>
          <w:p w14:paraId="7E8FD13C"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36</w:t>
            </w:r>
          </w:p>
        </w:tc>
      </w:tr>
      <w:tr w:rsidR="00FE004C" w:rsidRPr="00A17DB7" w14:paraId="39B9E738" w14:textId="77777777" w:rsidTr="00211B6D">
        <w:trPr>
          <w:jc w:val="center"/>
        </w:trPr>
        <w:tc>
          <w:tcPr>
            <w:tcW w:w="396" w:type="pct"/>
            <w:vMerge/>
            <w:tcBorders>
              <w:top w:val="nil"/>
              <w:bottom w:val="single" w:sz="4" w:space="0" w:color="auto"/>
            </w:tcBorders>
            <w:shd w:val="clear" w:color="auto" w:fill="auto"/>
            <w:vAlign w:val="center"/>
          </w:tcPr>
          <w:p w14:paraId="32B69C93" w14:textId="77777777" w:rsidR="00FE004C" w:rsidRPr="00A17DB7" w:rsidRDefault="00FE004C" w:rsidP="00211B6D">
            <w:pPr>
              <w:pStyle w:val="MDPI42tablebody"/>
              <w:autoSpaceDE w:val="0"/>
              <w:autoSpaceDN w:val="0"/>
              <w:spacing w:line="240" w:lineRule="auto"/>
              <w:rPr>
                <w:sz w:val="16"/>
              </w:rPr>
            </w:pPr>
          </w:p>
        </w:tc>
        <w:tc>
          <w:tcPr>
            <w:tcW w:w="692" w:type="pct"/>
            <w:tcBorders>
              <w:top w:val="nil"/>
              <w:bottom w:val="single" w:sz="4" w:space="0" w:color="auto"/>
            </w:tcBorders>
            <w:shd w:val="clear" w:color="auto" w:fill="auto"/>
            <w:vAlign w:val="center"/>
          </w:tcPr>
          <w:p w14:paraId="22A176C4"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Host rock</w:t>
            </w:r>
          </w:p>
        </w:tc>
        <w:tc>
          <w:tcPr>
            <w:tcW w:w="445" w:type="pct"/>
            <w:tcBorders>
              <w:top w:val="nil"/>
              <w:bottom w:val="single" w:sz="4" w:space="0" w:color="auto"/>
            </w:tcBorders>
            <w:shd w:val="clear" w:color="auto" w:fill="auto"/>
            <w:vAlign w:val="center"/>
          </w:tcPr>
          <w:p w14:paraId="2755FBFF"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5,65</w:t>
            </w:r>
          </w:p>
        </w:tc>
        <w:tc>
          <w:tcPr>
            <w:tcW w:w="445" w:type="pct"/>
            <w:tcBorders>
              <w:top w:val="nil"/>
              <w:bottom w:val="single" w:sz="4" w:space="0" w:color="auto"/>
            </w:tcBorders>
            <w:shd w:val="clear" w:color="auto" w:fill="auto"/>
            <w:vAlign w:val="center"/>
          </w:tcPr>
          <w:p w14:paraId="28B1215B"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66,43</w:t>
            </w:r>
          </w:p>
        </w:tc>
        <w:tc>
          <w:tcPr>
            <w:tcW w:w="444" w:type="pct"/>
            <w:tcBorders>
              <w:top w:val="nil"/>
              <w:bottom w:val="single" w:sz="4" w:space="0" w:color="auto"/>
            </w:tcBorders>
            <w:shd w:val="clear" w:color="auto" w:fill="auto"/>
            <w:vAlign w:val="center"/>
          </w:tcPr>
          <w:p w14:paraId="2E5970FC"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0.45</w:t>
            </w:r>
          </w:p>
        </w:tc>
        <w:tc>
          <w:tcPr>
            <w:tcW w:w="396" w:type="pct"/>
            <w:tcBorders>
              <w:top w:val="nil"/>
              <w:bottom w:val="single" w:sz="4" w:space="0" w:color="auto"/>
            </w:tcBorders>
            <w:shd w:val="clear" w:color="auto" w:fill="auto"/>
            <w:vAlign w:val="center"/>
          </w:tcPr>
          <w:p w14:paraId="38502D9E"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13,9</w:t>
            </w:r>
          </w:p>
        </w:tc>
        <w:tc>
          <w:tcPr>
            <w:tcW w:w="345" w:type="pct"/>
            <w:tcBorders>
              <w:top w:val="nil"/>
              <w:bottom w:val="single" w:sz="4" w:space="0" w:color="auto"/>
            </w:tcBorders>
            <w:shd w:val="clear" w:color="auto" w:fill="auto"/>
            <w:vAlign w:val="center"/>
          </w:tcPr>
          <w:p w14:paraId="76F2D778"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48</w:t>
            </w:r>
          </w:p>
        </w:tc>
        <w:tc>
          <w:tcPr>
            <w:tcW w:w="345" w:type="pct"/>
            <w:tcBorders>
              <w:top w:val="nil"/>
              <w:bottom w:val="single" w:sz="4" w:space="0" w:color="auto"/>
            </w:tcBorders>
            <w:shd w:val="clear" w:color="auto" w:fill="auto"/>
            <w:vAlign w:val="center"/>
          </w:tcPr>
          <w:p w14:paraId="5D4104F6"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436</w:t>
            </w:r>
          </w:p>
        </w:tc>
        <w:tc>
          <w:tcPr>
            <w:tcW w:w="727" w:type="pct"/>
            <w:tcBorders>
              <w:top w:val="nil"/>
              <w:bottom w:val="single" w:sz="4" w:space="0" w:color="auto"/>
            </w:tcBorders>
            <w:shd w:val="clear" w:color="auto" w:fill="auto"/>
            <w:vAlign w:val="center"/>
          </w:tcPr>
          <w:p w14:paraId="226840A3"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478</w:t>
            </w:r>
          </w:p>
        </w:tc>
        <w:tc>
          <w:tcPr>
            <w:tcW w:w="765" w:type="pct"/>
            <w:tcBorders>
              <w:top w:val="nil"/>
              <w:bottom w:val="single" w:sz="4" w:space="0" w:color="auto"/>
            </w:tcBorders>
            <w:shd w:val="clear" w:color="auto" w:fill="auto"/>
            <w:vAlign w:val="center"/>
          </w:tcPr>
          <w:p w14:paraId="14847CF1"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3</w:t>
            </w:r>
          </w:p>
        </w:tc>
      </w:tr>
      <w:tr w:rsidR="00FE004C" w:rsidRPr="00A17DB7" w14:paraId="59126573" w14:textId="77777777" w:rsidTr="00211B6D">
        <w:trPr>
          <w:jc w:val="center"/>
        </w:trPr>
        <w:tc>
          <w:tcPr>
            <w:tcW w:w="396" w:type="pct"/>
            <w:vMerge w:val="restart"/>
            <w:tcBorders>
              <w:top w:val="single" w:sz="4" w:space="0" w:color="auto"/>
              <w:bottom w:val="nil"/>
            </w:tcBorders>
            <w:shd w:val="clear" w:color="auto" w:fill="auto"/>
            <w:vAlign w:val="center"/>
          </w:tcPr>
          <w:p w14:paraId="2BE815A1"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S 40</w:t>
            </w:r>
          </w:p>
        </w:tc>
        <w:tc>
          <w:tcPr>
            <w:tcW w:w="692" w:type="pct"/>
            <w:tcBorders>
              <w:top w:val="single" w:sz="4" w:space="0" w:color="auto"/>
              <w:bottom w:val="nil"/>
            </w:tcBorders>
            <w:shd w:val="clear" w:color="auto" w:fill="auto"/>
            <w:vAlign w:val="center"/>
          </w:tcPr>
          <w:p w14:paraId="01928381"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Alginite-rich layer</w:t>
            </w:r>
          </w:p>
        </w:tc>
        <w:tc>
          <w:tcPr>
            <w:tcW w:w="445" w:type="pct"/>
            <w:tcBorders>
              <w:top w:val="single" w:sz="4" w:space="0" w:color="auto"/>
              <w:bottom w:val="nil"/>
            </w:tcBorders>
            <w:shd w:val="clear" w:color="auto" w:fill="auto"/>
            <w:vAlign w:val="center"/>
          </w:tcPr>
          <w:p w14:paraId="6CCBA050"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1.79</w:t>
            </w:r>
          </w:p>
        </w:tc>
        <w:tc>
          <w:tcPr>
            <w:tcW w:w="445" w:type="pct"/>
            <w:tcBorders>
              <w:top w:val="single" w:sz="4" w:space="0" w:color="auto"/>
              <w:bottom w:val="nil"/>
            </w:tcBorders>
            <w:shd w:val="clear" w:color="auto" w:fill="auto"/>
            <w:vAlign w:val="center"/>
          </w:tcPr>
          <w:p w14:paraId="5AD1FC99"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140.25</w:t>
            </w:r>
          </w:p>
        </w:tc>
        <w:tc>
          <w:tcPr>
            <w:tcW w:w="444" w:type="pct"/>
            <w:tcBorders>
              <w:top w:val="single" w:sz="4" w:space="0" w:color="auto"/>
              <w:bottom w:val="nil"/>
            </w:tcBorders>
            <w:shd w:val="clear" w:color="auto" w:fill="auto"/>
            <w:vAlign w:val="center"/>
          </w:tcPr>
          <w:p w14:paraId="44D44F60"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0.01</w:t>
            </w:r>
          </w:p>
        </w:tc>
        <w:tc>
          <w:tcPr>
            <w:tcW w:w="396" w:type="pct"/>
            <w:tcBorders>
              <w:top w:val="single" w:sz="4" w:space="0" w:color="auto"/>
              <w:bottom w:val="nil"/>
            </w:tcBorders>
            <w:shd w:val="clear" w:color="auto" w:fill="auto"/>
            <w:vAlign w:val="center"/>
          </w:tcPr>
          <w:p w14:paraId="1FF5EEE4"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16.21</w:t>
            </w:r>
          </w:p>
        </w:tc>
        <w:tc>
          <w:tcPr>
            <w:tcW w:w="345" w:type="pct"/>
            <w:tcBorders>
              <w:top w:val="single" w:sz="4" w:space="0" w:color="auto"/>
              <w:bottom w:val="nil"/>
            </w:tcBorders>
            <w:shd w:val="clear" w:color="auto" w:fill="auto"/>
            <w:vAlign w:val="center"/>
          </w:tcPr>
          <w:p w14:paraId="38DA7293"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76</w:t>
            </w:r>
          </w:p>
        </w:tc>
        <w:tc>
          <w:tcPr>
            <w:tcW w:w="345" w:type="pct"/>
            <w:tcBorders>
              <w:top w:val="single" w:sz="4" w:space="0" w:color="auto"/>
              <w:bottom w:val="nil"/>
            </w:tcBorders>
            <w:shd w:val="clear" w:color="auto" w:fill="auto"/>
            <w:vAlign w:val="center"/>
          </w:tcPr>
          <w:p w14:paraId="2F6A51C3"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440</w:t>
            </w:r>
          </w:p>
        </w:tc>
        <w:tc>
          <w:tcPr>
            <w:tcW w:w="727" w:type="pct"/>
            <w:tcBorders>
              <w:top w:val="single" w:sz="4" w:space="0" w:color="auto"/>
              <w:bottom w:val="nil"/>
            </w:tcBorders>
            <w:shd w:val="clear" w:color="auto" w:fill="auto"/>
            <w:vAlign w:val="center"/>
          </w:tcPr>
          <w:p w14:paraId="1CCF6FF2"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865</w:t>
            </w:r>
          </w:p>
        </w:tc>
        <w:tc>
          <w:tcPr>
            <w:tcW w:w="765" w:type="pct"/>
            <w:tcBorders>
              <w:top w:val="single" w:sz="4" w:space="0" w:color="auto"/>
              <w:bottom w:val="nil"/>
            </w:tcBorders>
            <w:shd w:val="clear" w:color="auto" w:fill="auto"/>
            <w:vAlign w:val="center"/>
          </w:tcPr>
          <w:p w14:paraId="5D06630A"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w:t>
            </w:r>
          </w:p>
        </w:tc>
      </w:tr>
      <w:tr w:rsidR="00FE004C" w:rsidRPr="00A17DB7" w14:paraId="4D9F90D4" w14:textId="77777777" w:rsidTr="00211B6D">
        <w:trPr>
          <w:jc w:val="center"/>
        </w:trPr>
        <w:tc>
          <w:tcPr>
            <w:tcW w:w="396" w:type="pct"/>
            <w:vMerge/>
            <w:tcBorders>
              <w:top w:val="nil"/>
              <w:bottom w:val="single" w:sz="4" w:space="0" w:color="auto"/>
            </w:tcBorders>
            <w:shd w:val="clear" w:color="auto" w:fill="auto"/>
            <w:vAlign w:val="center"/>
          </w:tcPr>
          <w:p w14:paraId="31CADF6B" w14:textId="77777777" w:rsidR="00FE004C" w:rsidRPr="00A17DB7" w:rsidRDefault="00FE004C" w:rsidP="00211B6D">
            <w:pPr>
              <w:pStyle w:val="MDPI42tablebody"/>
              <w:autoSpaceDE w:val="0"/>
              <w:autoSpaceDN w:val="0"/>
              <w:spacing w:line="240" w:lineRule="auto"/>
              <w:rPr>
                <w:sz w:val="16"/>
              </w:rPr>
            </w:pPr>
          </w:p>
        </w:tc>
        <w:tc>
          <w:tcPr>
            <w:tcW w:w="692" w:type="pct"/>
            <w:tcBorders>
              <w:top w:val="nil"/>
              <w:bottom w:val="single" w:sz="4" w:space="0" w:color="auto"/>
            </w:tcBorders>
            <w:shd w:val="clear" w:color="auto" w:fill="auto"/>
            <w:vAlign w:val="center"/>
          </w:tcPr>
          <w:p w14:paraId="4EE9E243"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Host rock</w:t>
            </w:r>
          </w:p>
        </w:tc>
        <w:tc>
          <w:tcPr>
            <w:tcW w:w="445" w:type="pct"/>
            <w:tcBorders>
              <w:top w:val="nil"/>
              <w:bottom w:val="single" w:sz="4" w:space="0" w:color="auto"/>
            </w:tcBorders>
            <w:shd w:val="clear" w:color="auto" w:fill="auto"/>
            <w:vAlign w:val="center"/>
          </w:tcPr>
          <w:p w14:paraId="7D9A0EBC"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2.81</w:t>
            </w:r>
          </w:p>
        </w:tc>
        <w:tc>
          <w:tcPr>
            <w:tcW w:w="445" w:type="pct"/>
            <w:tcBorders>
              <w:top w:val="nil"/>
              <w:bottom w:val="single" w:sz="4" w:space="0" w:color="auto"/>
            </w:tcBorders>
            <w:shd w:val="clear" w:color="auto" w:fill="auto"/>
            <w:vAlign w:val="center"/>
          </w:tcPr>
          <w:p w14:paraId="1A343FCE"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51.93</w:t>
            </w:r>
          </w:p>
        </w:tc>
        <w:tc>
          <w:tcPr>
            <w:tcW w:w="444" w:type="pct"/>
            <w:tcBorders>
              <w:top w:val="nil"/>
              <w:bottom w:val="single" w:sz="4" w:space="0" w:color="auto"/>
            </w:tcBorders>
            <w:shd w:val="clear" w:color="auto" w:fill="auto"/>
            <w:vAlign w:val="center"/>
          </w:tcPr>
          <w:p w14:paraId="61807EE7"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0.05</w:t>
            </w:r>
          </w:p>
        </w:tc>
        <w:tc>
          <w:tcPr>
            <w:tcW w:w="396" w:type="pct"/>
            <w:tcBorders>
              <w:top w:val="nil"/>
              <w:bottom w:val="single" w:sz="4" w:space="0" w:color="auto"/>
            </w:tcBorders>
            <w:shd w:val="clear" w:color="auto" w:fill="auto"/>
            <w:vAlign w:val="center"/>
          </w:tcPr>
          <w:p w14:paraId="19913F2F"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10.69</w:t>
            </w:r>
          </w:p>
        </w:tc>
        <w:tc>
          <w:tcPr>
            <w:tcW w:w="345" w:type="pct"/>
            <w:tcBorders>
              <w:top w:val="nil"/>
              <w:bottom w:val="single" w:sz="4" w:space="0" w:color="auto"/>
            </w:tcBorders>
            <w:shd w:val="clear" w:color="auto" w:fill="auto"/>
            <w:vAlign w:val="center"/>
          </w:tcPr>
          <w:p w14:paraId="7431AAB0"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46</w:t>
            </w:r>
          </w:p>
        </w:tc>
        <w:tc>
          <w:tcPr>
            <w:tcW w:w="345" w:type="pct"/>
            <w:tcBorders>
              <w:top w:val="nil"/>
              <w:bottom w:val="single" w:sz="4" w:space="0" w:color="auto"/>
            </w:tcBorders>
            <w:shd w:val="clear" w:color="auto" w:fill="auto"/>
            <w:vAlign w:val="center"/>
          </w:tcPr>
          <w:p w14:paraId="306E201E"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430</w:t>
            </w:r>
          </w:p>
        </w:tc>
        <w:tc>
          <w:tcPr>
            <w:tcW w:w="727" w:type="pct"/>
            <w:tcBorders>
              <w:top w:val="nil"/>
              <w:bottom w:val="single" w:sz="4" w:space="0" w:color="auto"/>
            </w:tcBorders>
            <w:shd w:val="clear" w:color="auto" w:fill="auto"/>
            <w:vAlign w:val="center"/>
          </w:tcPr>
          <w:p w14:paraId="0BD2F43F"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485</w:t>
            </w:r>
          </w:p>
        </w:tc>
        <w:tc>
          <w:tcPr>
            <w:tcW w:w="765" w:type="pct"/>
            <w:tcBorders>
              <w:top w:val="nil"/>
              <w:bottom w:val="single" w:sz="4" w:space="0" w:color="auto"/>
            </w:tcBorders>
            <w:shd w:val="clear" w:color="auto" w:fill="auto"/>
            <w:vAlign w:val="center"/>
          </w:tcPr>
          <w:p w14:paraId="36F0C418"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3</w:t>
            </w:r>
          </w:p>
        </w:tc>
      </w:tr>
      <w:tr w:rsidR="00FE004C" w:rsidRPr="00A17DB7" w14:paraId="454DDACF" w14:textId="77777777" w:rsidTr="00211B6D">
        <w:trPr>
          <w:jc w:val="center"/>
        </w:trPr>
        <w:tc>
          <w:tcPr>
            <w:tcW w:w="396" w:type="pct"/>
            <w:vMerge w:val="restart"/>
            <w:tcBorders>
              <w:top w:val="single" w:sz="4" w:space="0" w:color="auto"/>
            </w:tcBorders>
            <w:shd w:val="clear" w:color="auto" w:fill="auto"/>
            <w:vAlign w:val="center"/>
          </w:tcPr>
          <w:p w14:paraId="7D83F31F"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V-I 301</w:t>
            </w:r>
          </w:p>
        </w:tc>
        <w:tc>
          <w:tcPr>
            <w:tcW w:w="692" w:type="pct"/>
            <w:tcBorders>
              <w:top w:val="single" w:sz="4" w:space="0" w:color="auto"/>
              <w:bottom w:val="nil"/>
            </w:tcBorders>
            <w:shd w:val="clear" w:color="auto" w:fill="auto"/>
            <w:vAlign w:val="center"/>
          </w:tcPr>
          <w:p w14:paraId="4A12F1DC"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Alginite-rich layer</w:t>
            </w:r>
          </w:p>
        </w:tc>
        <w:tc>
          <w:tcPr>
            <w:tcW w:w="445" w:type="pct"/>
            <w:tcBorders>
              <w:top w:val="single" w:sz="4" w:space="0" w:color="auto"/>
              <w:bottom w:val="nil"/>
            </w:tcBorders>
            <w:shd w:val="clear" w:color="auto" w:fill="auto"/>
            <w:vAlign w:val="center"/>
          </w:tcPr>
          <w:p w14:paraId="53D559AA"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0.50</w:t>
            </w:r>
          </w:p>
        </w:tc>
        <w:tc>
          <w:tcPr>
            <w:tcW w:w="445" w:type="pct"/>
            <w:tcBorders>
              <w:top w:val="single" w:sz="4" w:space="0" w:color="auto"/>
              <w:bottom w:val="nil"/>
            </w:tcBorders>
            <w:shd w:val="clear" w:color="auto" w:fill="auto"/>
            <w:vAlign w:val="center"/>
          </w:tcPr>
          <w:p w14:paraId="3ADDB94E"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66.78</w:t>
            </w:r>
          </w:p>
        </w:tc>
        <w:tc>
          <w:tcPr>
            <w:tcW w:w="444" w:type="pct"/>
            <w:tcBorders>
              <w:top w:val="single" w:sz="4" w:space="0" w:color="auto"/>
              <w:bottom w:val="nil"/>
            </w:tcBorders>
            <w:shd w:val="clear" w:color="auto" w:fill="auto"/>
            <w:vAlign w:val="center"/>
          </w:tcPr>
          <w:p w14:paraId="671ACA6A"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0.01</w:t>
            </w:r>
          </w:p>
        </w:tc>
        <w:tc>
          <w:tcPr>
            <w:tcW w:w="396" w:type="pct"/>
            <w:tcBorders>
              <w:top w:val="single" w:sz="4" w:space="0" w:color="auto"/>
              <w:bottom w:val="nil"/>
            </w:tcBorders>
            <w:shd w:val="clear" w:color="auto" w:fill="auto"/>
            <w:vAlign w:val="center"/>
          </w:tcPr>
          <w:p w14:paraId="09D41FA0"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8.19</w:t>
            </w:r>
          </w:p>
        </w:tc>
        <w:tc>
          <w:tcPr>
            <w:tcW w:w="345" w:type="pct"/>
            <w:tcBorders>
              <w:top w:val="single" w:sz="4" w:space="0" w:color="auto"/>
              <w:bottom w:val="nil"/>
            </w:tcBorders>
            <w:shd w:val="clear" w:color="auto" w:fill="auto"/>
            <w:vAlign w:val="center"/>
          </w:tcPr>
          <w:p w14:paraId="29CDEBCF"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72</w:t>
            </w:r>
          </w:p>
        </w:tc>
        <w:tc>
          <w:tcPr>
            <w:tcW w:w="345" w:type="pct"/>
            <w:tcBorders>
              <w:top w:val="single" w:sz="4" w:space="0" w:color="auto"/>
              <w:bottom w:val="nil"/>
            </w:tcBorders>
            <w:shd w:val="clear" w:color="auto" w:fill="auto"/>
            <w:vAlign w:val="center"/>
          </w:tcPr>
          <w:p w14:paraId="5BDC1DE5"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439</w:t>
            </w:r>
          </w:p>
        </w:tc>
        <w:tc>
          <w:tcPr>
            <w:tcW w:w="727" w:type="pct"/>
            <w:tcBorders>
              <w:top w:val="single" w:sz="4" w:space="0" w:color="auto"/>
              <w:bottom w:val="nil"/>
            </w:tcBorders>
            <w:shd w:val="clear" w:color="auto" w:fill="auto"/>
            <w:vAlign w:val="center"/>
          </w:tcPr>
          <w:p w14:paraId="2673AECA"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815</w:t>
            </w:r>
          </w:p>
        </w:tc>
        <w:tc>
          <w:tcPr>
            <w:tcW w:w="765" w:type="pct"/>
            <w:tcBorders>
              <w:top w:val="single" w:sz="4" w:space="0" w:color="auto"/>
              <w:bottom w:val="nil"/>
            </w:tcBorders>
            <w:shd w:val="clear" w:color="auto" w:fill="auto"/>
            <w:vAlign w:val="center"/>
          </w:tcPr>
          <w:p w14:paraId="3F0531A2"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4</w:t>
            </w:r>
          </w:p>
        </w:tc>
      </w:tr>
      <w:tr w:rsidR="00FE004C" w:rsidRPr="00A17DB7" w14:paraId="551F0C59" w14:textId="77777777" w:rsidTr="00211B6D">
        <w:trPr>
          <w:jc w:val="center"/>
        </w:trPr>
        <w:tc>
          <w:tcPr>
            <w:tcW w:w="396" w:type="pct"/>
            <w:vMerge/>
            <w:tcBorders>
              <w:bottom w:val="single" w:sz="4" w:space="0" w:color="auto"/>
            </w:tcBorders>
            <w:shd w:val="clear" w:color="auto" w:fill="auto"/>
            <w:vAlign w:val="center"/>
          </w:tcPr>
          <w:p w14:paraId="56D01190" w14:textId="77777777" w:rsidR="00FE004C" w:rsidRPr="00A17DB7" w:rsidRDefault="00FE004C" w:rsidP="00211B6D">
            <w:pPr>
              <w:pStyle w:val="MDPI42tablebody"/>
              <w:autoSpaceDE w:val="0"/>
              <w:autoSpaceDN w:val="0"/>
              <w:spacing w:line="240" w:lineRule="auto"/>
              <w:rPr>
                <w:sz w:val="16"/>
              </w:rPr>
            </w:pPr>
          </w:p>
        </w:tc>
        <w:tc>
          <w:tcPr>
            <w:tcW w:w="692" w:type="pct"/>
            <w:tcBorders>
              <w:top w:val="nil"/>
              <w:bottom w:val="single" w:sz="4" w:space="0" w:color="auto"/>
            </w:tcBorders>
            <w:shd w:val="clear" w:color="auto" w:fill="auto"/>
            <w:vAlign w:val="center"/>
          </w:tcPr>
          <w:p w14:paraId="073E9D67"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Host rock</w:t>
            </w:r>
          </w:p>
        </w:tc>
        <w:tc>
          <w:tcPr>
            <w:tcW w:w="445" w:type="pct"/>
            <w:tcBorders>
              <w:top w:val="nil"/>
              <w:bottom w:val="single" w:sz="4" w:space="0" w:color="auto"/>
            </w:tcBorders>
            <w:shd w:val="clear" w:color="auto" w:fill="auto"/>
            <w:vAlign w:val="center"/>
          </w:tcPr>
          <w:p w14:paraId="082934F7"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3.44</w:t>
            </w:r>
          </w:p>
        </w:tc>
        <w:tc>
          <w:tcPr>
            <w:tcW w:w="445" w:type="pct"/>
            <w:tcBorders>
              <w:top w:val="nil"/>
              <w:bottom w:val="single" w:sz="4" w:space="0" w:color="auto"/>
            </w:tcBorders>
            <w:shd w:val="clear" w:color="auto" w:fill="auto"/>
            <w:vAlign w:val="center"/>
          </w:tcPr>
          <w:p w14:paraId="2FE19237"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54.25</w:t>
            </w:r>
          </w:p>
        </w:tc>
        <w:tc>
          <w:tcPr>
            <w:tcW w:w="444" w:type="pct"/>
            <w:tcBorders>
              <w:top w:val="nil"/>
              <w:bottom w:val="single" w:sz="4" w:space="0" w:color="auto"/>
            </w:tcBorders>
            <w:shd w:val="clear" w:color="auto" w:fill="auto"/>
            <w:vAlign w:val="center"/>
          </w:tcPr>
          <w:p w14:paraId="7BB32171"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0.06</w:t>
            </w:r>
          </w:p>
        </w:tc>
        <w:tc>
          <w:tcPr>
            <w:tcW w:w="396" w:type="pct"/>
            <w:tcBorders>
              <w:top w:val="nil"/>
              <w:bottom w:val="single" w:sz="4" w:space="0" w:color="auto"/>
            </w:tcBorders>
            <w:shd w:val="clear" w:color="auto" w:fill="auto"/>
            <w:vAlign w:val="center"/>
          </w:tcPr>
          <w:p w14:paraId="2216E79C"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11.03</w:t>
            </w:r>
          </w:p>
        </w:tc>
        <w:tc>
          <w:tcPr>
            <w:tcW w:w="345" w:type="pct"/>
            <w:tcBorders>
              <w:top w:val="nil"/>
              <w:bottom w:val="single" w:sz="4" w:space="0" w:color="auto"/>
            </w:tcBorders>
            <w:shd w:val="clear" w:color="auto" w:fill="auto"/>
            <w:vAlign w:val="center"/>
          </w:tcPr>
          <w:p w14:paraId="63C01360"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48</w:t>
            </w:r>
          </w:p>
        </w:tc>
        <w:tc>
          <w:tcPr>
            <w:tcW w:w="345" w:type="pct"/>
            <w:tcBorders>
              <w:top w:val="nil"/>
              <w:bottom w:val="single" w:sz="4" w:space="0" w:color="auto"/>
            </w:tcBorders>
            <w:shd w:val="clear" w:color="auto" w:fill="auto"/>
            <w:vAlign w:val="center"/>
          </w:tcPr>
          <w:p w14:paraId="5AB4438F"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431</w:t>
            </w:r>
          </w:p>
        </w:tc>
        <w:tc>
          <w:tcPr>
            <w:tcW w:w="727" w:type="pct"/>
            <w:tcBorders>
              <w:top w:val="nil"/>
              <w:bottom w:val="single" w:sz="4" w:space="0" w:color="auto"/>
            </w:tcBorders>
            <w:shd w:val="clear" w:color="auto" w:fill="auto"/>
            <w:vAlign w:val="center"/>
          </w:tcPr>
          <w:p w14:paraId="50909E30"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491</w:t>
            </w:r>
          </w:p>
        </w:tc>
        <w:tc>
          <w:tcPr>
            <w:tcW w:w="765" w:type="pct"/>
            <w:tcBorders>
              <w:top w:val="nil"/>
              <w:bottom w:val="single" w:sz="4" w:space="0" w:color="auto"/>
            </w:tcBorders>
            <w:shd w:val="clear" w:color="auto" w:fill="auto"/>
            <w:vAlign w:val="center"/>
          </w:tcPr>
          <w:p w14:paraId="57117E17" w14:textId="77777777" w:rsidR="00FE004C" w:rsidRPr="00A17DB7" w:rsidRDefault="00FE004C" w:rsidP="00211B6D">
            <w:pPr>
              <w:pStyle w:val="MDPI42tablebody"/>
              <w:autoSpaceDE w:val="0"/>
              <w:autoSpaceDN w:val="0"/>
              <w:spacing w:line="240" w:lineRule="auto"/>
              <w:rPr>
                <w:sz w:val="16"/>
              </w:rPr>
            </w:pPr>
            <w:r w:rsidRPr="00A17DB7">
              <w:rPr>
                <w:rFonts w:ascii="Times New Roman" w:hAnsi="Times New Roman"/>
                <w:sz w:val="16"/>
                <w:lang w:val="ru-RU" w:eastAsia="ru-RU"/>
              </w:rPr>
              <w:t>5</w:t>
            </w:r>
          </w:p>
        </w:tc>
      </w:tr>
      <w:tr w:rsidR="00FE004C" w:rsidRPr="00A17DB7" w14:paraId="78119B32" w14:textId="77777777" w:rsidTr="00211B6D">
        <w:trPr>
          <w:jc w:val="center"/>
        </w:trPr>
        <w:tc>
          <w:tcPr>
            <w:tcW w:w="396" w:type="pct"/>
            <w:tcBorders>
              <w:bottom w:val="single" w:sz="4" w:space="0" w:color="auto"/>
            </w:tcBorders>
            <w:shd w:val="clear" w:color="auto" w:fill="auto"/>
            <w:vAlign w:val="center"/>
          </w:tcPr>
          <w:p w14:paraId="2329A3ED"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D 541</w:t>
            </w:r>
          </w:p>
        </w:tc>
        <w:tc>
          <w:tcPr>
            <w:tcW w:w="692" w:type="pct"/>
            <w:tcBorders>
              <w:top w:val="nil"/>
              <w:bottom w:val="single" w:sz="4" w:space="0" w:color="auto"/>
            </w:tcBorders>
            <w:shd w:val="clear" w:color="auto" w:fill="auto"/>
            <w:vAlign w:val="center"/>
          </w:tcPr>
          <w:p w14:paraId="0F827CAA"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Tuff</w:t>
            </w:r>
          </w:p>
        </w:tc>
        <w:tc>
          <w:tcPr>
            <w:tcW w:w="445" w:type="pct"/>
            <w:tcBorders>
              <w:top w:val="nil"/>
              <w:bottom w:val="single" w:sz="4" w:space="0" w:color="auto"/>
            </w:tcBorders>
            <w:shd w:val="clear" w:color="auto" w:fill="auto"/>
            <w:vAlign w:val="center"/>
          </w:tcPr>
          <w:p w14:paraId="1BF536C3"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0.16</w:t>
            </w:r>
          </w:p>
        </w:tc>
        <w:tc>
          <w:tcPr>
            <w:tcW w:w="445" w:type="pct"/>
            <w:tcBorders>
              <w:top w:val="nil"/>
              <w:bottom w:val="single" w:sz="4" w:space="0" w:color="auto"/>
            </w:tcBorders>
            <w:shd w:val="clear" w:color="auto" w:fill="auto"/>
            <w:vAlign w:val="center"/>
          </w:tcPr>
          <w:p w14:paraId="2942A8BD"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1.88</w:t>
            </w:r>
          </w:p>
        </w:tc>
        <w:tc>
          <w:tcPr>
            <w:tcW w:w="444" w:type="pct"/>
            <w:tcBorders>
              <w:top w:val="nil"/>
              <w:bottom w:val="single" w:sz="4" w:space="0" w:color="auto"/>
            </w:tcBorders>
            <w:shd w:val="clear" w:color="auto" w:fill="auto"/>
            <w:vAlign w:val="center"/>
          </w:tcPr>
          <w:p w14:paraId="7D502297"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0.08</w:t>
            </w:r>
          </w:p>
        </w:tc>
        <w:tc>
          <w:tcPr>
            <w:tcW w:w="396" w:type="pct"/>
            <w:tcBorders>
              <w:top w:val="nil"/>
              <w:bottom w:val="single" w:sz="4" w:space="0" w:color="auto"/>
            </w:tcBorders>
            <w:shd w:val="clear" w:color="auto" w:fill="auto"/>
            <w:vAlign w:val="center"/>
          </w:tcPr>
          <w:p w14:paraId="064BE316"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0.71</w:t>
            </w:r>
          </w:p>
        </w:tc>
        <w:tc>
          <w:tcPr>
            <w:tcW w:w="345" w:type="pct"/>
            <w:tcBorders>
              <w:top w:val="nil"/>
              <w:bottom w:val="single" w:sz="4" w:space="0" w:color="auto"/>
            </w:tcBorders>
            <w:shd w:val="clear" w:color="auto" w:fill="auto"/>
            <w:vAlign w:val="center"/>
          </w:tcPr>
          <w:p w14:paraId="28536995"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28</w:t>
            </w:r>
          </w:p>
        </w:tc>
        <w:tc>
          <w:tcPr>
            <w:tcW w:w="345" w:type="pct"/>
            <w:tcBorders>
              <w:top w:val="nil"/>
              <w:bottom w:val="single" w:sz="4" w:space="0" w:color="auto"/>
            </w:tcBorders>
            <w:shd w:val="clear" w:color="auto" w:fill="auto"/>
            <w:vAlign w:val="center"/>
          </w:tcPr>
          <w:p w14:paraId="23064183"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454</w:t>
            </w:r>
          </w:p>
        </w:tc>
        <w:tc>
          <w:tcPr>
            <w:tcW w:w="727" w:type="pct"/>
            <w:tcBorders>
              <w:top w:val="nil"/>
              <w:bottom w:val="single" w:sz="4" w:space="0" w:color="auto"/>
            </w:tcBorders>
            <w:shd w:val="clear" w:color="auto" w:fill="auto"/>
            <w:vAlign w:val="center"/>
          </w:tcPr>
          <w:p w14:paraId="420C03E6"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264</w:t>
            </w:r>
          </w:p>
        </w:tc>
        <w:tc>
          <w:tcPr>
            <w:tcW w:w="765" w:type="pct"/>
            <w:tcBorders>
              <w:top w:val="nil"/>
              <w:bottom w:val="single" w:sz="4" w:space="0" w:color="auto"/>
            </w:tcBorders>
            <w:shd w:val="clear" w:color="auto" w:fill="auto"/>
            <w:vAlign w:val="center"/>
          </w:tcPr>
          <w:p w14:paraId="61FE6911"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28</w:t>
            </w:r>
          </w:p>
        </w:tc>
      </w:tr>
      <w:tr w:rsidR="00FE004C" w:rsidRPr="00A17DB7" w14:paraId="35922F79" w14:textId="77777777" w:rsidTr="00211B6D">
        <w:trPr>
          <w:jc w:val="center"/>
        </w:trPr>
        <w:tc>
          <w:tcPr>
            <w:tcW w:w="396" w:type="pct"/>
            <w:tcBorders>
              <w:bottom w:val="single" w:sz="4" w:space="0" w:color="auto"/>
            </w:tcBorders>
            <w:shd w:val="clear" w:color="auto" w:fill="auto"/>
            <w:vAlign w:val="center"/>
          </w:tcPr>
          <w:p w14:paraId="567BCE31"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M 14</w:t>
            </w:r>
          </w:p>
        </w:tc>
        <w:tc>
          <w:tcPr>
            <w:tcW w:w="692" w:type="pct"/>
            <w:tcBorders>
              <w:top w:val="nil"/>
              <w:bottom w:val="single" w:sz="4" w:space="0" w:color="auto"/>
            </w:tcBorders>
            <w:shd w:val="clear" w:color="auto" w:fill="auto"/>
            <w:vAlign w:val="center"/>
          </w:tcPr>
          <w:p w14:paraId="66A1FF8C"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Tuff</w:t>
            </w:r>
          </w:p>
        </w:tc>
        <w:tc>
          <w:tcPr>
            <w:tcW w:w="445" w:type="pct"/>
            <w:tcBorders>
              <w:top w:val="nil"/>
              <w:bottom w:val="single" w:sz="4" w:space="0" w:color="auto"/>
            </w:tcBorders>
            <w:shd w:val="clear" w:color="auto" w:fill="auto"/>
            <w:vAlign w:val="center"/>
          </w:tcPr>
          <w:p w14:paraId="6FD57E37"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0.25</w:t>
            </w:r>
          </w:p>
        </w:tc>
        <w:tc>
          <w:tcPr>
            <w:tcW w:w="445" w:type="pct"/>
            <w:tcBorders>
              <w:top w:val="nil"/>
              <w:bottom w:val="single" w:sz="4" w:space="0" w:color="auto"/>
            </w:tcBorders>
            <w:shd w:val="clear" w:color="auto" w:fill="auto"/>
            <w:vAlign w:val="center"/>
          </w:tcPr>
          <w:p w14:paraId="6C57F472"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2.03</w:t>
            </w:r>
          </w:p>
        </w:tc>
        <w:tc>
          <w:tcPr>
            <w:tcW w:w="444" w:type="pct"/>
            <w:tcBorders>
              <w:top w:val="nil"/>
              <w:bottom w:val="single" w:sz="4" w:space="0" w:color="auto"/>
            </w:tcBorders>
            <w:shd w:val="clear" w:color="auto" w:fill="auto"/>
            <w:vAlign w:val="center"/>
          </w:tcPr>
          <w:p w14:paraId="0549ABFC"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0.11</w:t>
            </w:r>
          </w:p>
        </w:tc>
        <w:tc>
          <w:tcPr>
            <w:tcW w:w="396" w:type="pct"/>
            <w:tcBorders>
              <w:top w:val="nil"/>
              <w:bottom w:val="single" w:sz="4" w:space="0" w:color="auto"/>
            </w:tcBorders>
            <w:shd w:val="clear" w:color="auto" w:fill="auto"/>
            <w:vAlign w:val="center"/>
          </w:tcPr>
          <w:p w14:paraId="76578BAE"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0.60</w:t>
            </w:r>
          </w:p>
        </w:tc>
        <w:tc>
          <w:tcPr>
            <w:tcW w:w="345" w:type="pct"/>
            <w:tcBorders>
              <w:top w:val="nil"/>
              <w:bottom w:val="single" w:sz="4" w:space="0" w:color="auto"/>
            </w:tcBorders>
            <w:shd w:val="clear" w:color="auto" w:fill="auto"/>
            <w:vAlign w:val="center"/>
          </w:tcPr>
          <w:p w14:paraId="179687B4"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37</w:t>
            </w:r>
          </w:p>
        </w:tc>
        <w:tc>
          <w:tcPr>
            <w:tcW w:w="345" w:type="pct"/>
            <w:tcBorders>
              <w:top w:val="nil"/>
              <w:bottom w:val="single" w:sz="4" w:space="0" w:color="auto"/>
            </w:tcBorders>
            <w:shd w:val="clear" w:color="auto" w:fill="auto"/>
            <w:vAlign w:val="center"/>
          </w:tcPr>
          <w:p w14:paraId="04E0B0AD"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421</w:t>
            </w:r>
          </w:p>
        </w:tc>
        <w:tc>
          <w:tcPr>
            <w:tcW w:w="727" w:type="pct"/>
            <w:tcBorders>
              <w:top w:val="nil"/>
              <w:bottom w:val="single" w:sz="4" w:space="0" w:color="auto"/>
            </w:tcBorders>
            <w:shd w:val="clear" w:color="auto" w:fill="auto"/>
            <w:vAlign w:val="center"/>
          </w:tcPr>
          <w:p w14:paraId="3AE69DBC"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339</w:t>
            </w:r>
          </w:p>
        </w:tc>
        <w:tc>
          <w:tcPr>
            <w:tcW w:w="765" w:type="pct"/>
            <w:tcBorders>
              <w:top w:val="nil"/>
              <w:bottom w:val="single" w:sz="4" w:space="0" w:color="auto"/>
            </w:tcBorders>
            <w:shd w:val="clear" w:color="auto" w:fill="auto"/>
            <w:vAlign w:val="center"/>
          </w:tcPr>
          <w:p w14:paraId="3C3E1AAD"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59</w:t>
            </w:r>
          </w:p>
        </w:tc>
      </w:tr>
      <w:tr w:rsidR="00FE004C" w:rsidRPr="00A17DB7" w14:paraId="32D47F0B" w14:textId="77777777" w:rsidTr="00211B6D">
        <w:trPr>
          <w:jc w:val="center"/>
        </w:trPr>
        <w:tc>
          <w:tcPr>
            <w:tcW w:w="396" w:type="pct"/>
            <w:tcBorders>
              <w:bottom w:val="single" w:sz="8" w:space="0" w:color="auto"/>
            </w:tcBorders>
            <w:shd w:val="clear" w:color="auto" w:fill="auto"/>
            <w:vAlign w:val="center"/>
          </w:tcPr>
          <w:p w14:paraId="4433F984"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J 177</w:t>
            </w:r>
          </w:p>
        </w:tc>
        <w:tc>
          <w:tcPr>
            <w:tcW w:w="692" w:type="pct"/>
            <w:tcBorders>
              <w:top w:val="nil"/>
              <w:bottom w:val="single" w:sz="8" w:space="0" w:color="auto"/>
            </w:tcBorders>
            <w:shd w:val="clear" w:color="auto" w:fill="auto"/>
            <w:vAlign w:val="center"/>
          </w:tcPr>
          <w:p w14:paraId="18F81E83"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Tuff</w:t>
            </w:r>
          </w:p>
        </w:tc>
        <w:tc>
          <w:tcPr>
            <w:tcW w:w="445" w:type="pct"/>
            <w:tcBorders>
              <w:top w:val="nil"/>
              <w:bottom w:val="single" w:sz="8" w:space="0" w:color="auto"/>
            </w:tcBorders>
            <w:shd w:val="clear" w:color="auto" w:fill="auto"/>
            <w:vAlign w:val="center"/>
          </w:tcPr>
          <w:p w14:paraId="01B74E1A"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0.34</w:t>
            </w:r>
          </w:p>
        </w:tc>
        <w:tc>
          <w:tcPr>
            <w:tcW w:w="445" w:type="pct"/>
            <w:tcBorders>
              <w:top w:val="nil"/>
              <w:bottom w:val="single" w:sz="8" w:space="0" w:color="auto"/>
            </w:tcBorders>
            <w:shd w:val="clear" w:color="auto" w:fill="auto"/>
            <w:vAlign w:val="center"/>
          </w:tcPr>
          <w:p w14:paraId="703BEBFF"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1.89</w:t>
            </w:r>
          </w:p>
        </w:tc>
        <w:tc>
          <w:tcPr>
            <w:tcW w:w="444" w:type="pct"/>
            <w:tcBorders>
              <w:top w:val="nil"/>
              <w:bottom w:val="single" w:sz="8" w:space="0" w:color="auto"/>
            </w:tcBorders>
            <w:shd w:val="clear" w:color="auto" w:fill="auto"/>
            <w:vAlign w:val="center"/>
          </w:tcPr>
          <w:p w14:paraId="45D98A74"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0.15</w:t>
            </w:r>
          </w:p>
        </w:tc>
        <w:tc>
          <w:tcPr>
            <w:tcW w:w="396" w:type="pct"/>
            <w:tcBorders>
              <w:top w:val="nil"/>
              <w:bottom w:val="single" w:sz="8" w:space="0" w:color="auto"/>
            </w:tcBorders>
            <w:shd w:val="clear" w:color="auto" w:fill="auto"/>
            <w:vAlign w:val="center"/>
          </w:tcPr>
          <w:p w14:paraId="45A15570"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0.79</w:t>
            </w:r>
          </w:p>
        </w:tc>
        <w:tc>
          <w:tcPr>
            <w:tcW w:w="345" w:type="pct"/>
            <w:tcBorders>
              <w:top w:val="nil"/>
              <w:bottom w:val="single" w:sz="8" w:space="0" w:color="auto"/>
            </w:tcBorders>
            <w:shd w:val="clear" w:color="auto" w:fill="auto"/>
            <w:vAlign w:val="center"/>
          </w:tcPr>
          <w:p w14:paraId="59578699"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28</w:t>
            </w:r>
          </w:p>
        </w:tc>
        <w:tc>
          <w:tcPr>
            <w:tcW w:w="345" w:type="pct"/>
            <w:tcBorders>
              <w:top w:val="nil"/>
              <w:bottom w:val="single" w:sz="8" w:space="0" w:color="auto"/>
            </w:tcBorders>
            <w:shd w:val="clear" w:color="auto" w:fill="auto"/>
            <w:vAlign w:val="center"/>
          </w:tcPr>
          <w:p w14:paraId="0DD37E6A"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437</w:t>
            </w:r>
          </w:p>
        </w:tc>
        <w:tc>
          <w:tcPr>
            <w:tcW w:w="727" w:type="pct"/>
            <w:tcBorders>
              <w:top w:val="nil"/>
              <w:bottom w:val="single" w:sz="8" w:space="0" w:color="auto"/>
            </w:tcBorders>
            <w:shd w:val="clear" w:color="auto" w:fill="auto"/>
            <w:vAlign w:val="center"/>
          </w:tcPr>
          <w:p w14:paraId="05A57264"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240</w:t>
            </w:r>
          </w:p>
        </w:tc>
        <w:tc>
          <w:tcPr>
            <w:tcW w:w="765" w:type="pct"/>
            <w:tcBorders>
              <w:top w:val="nil"/>
              <w:bottom w:val="single" w:sz="8" w:space="0" w:color="auto"/>
            </w:tcBorders>
            <w:shd w:val="clear" w:color="auto" w:fill="auto"/>
            <w:vAlign w:val="center"/>
          </w:tcPr>
          <w:p w14:paraId="37221D8D" w14:textId="77777777" w:rsidR="00FE004C" w:rsidRPr="00A17DB7" w:rsidRDefault="00FE004C" w:rsidP="00211B6D">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29</w:t>
            </w:r>
          </w:p>
        </w:tc>
      </w:tr>
    </w:tbl>
    <w:p w14:paraId="1FB256C4" w14:textId="77777777" w:rsidR="00FE004C" w:rsidRPr="00A17DB7" w:rsidRDefault="00FE004C" w:rsidP="00211B6D">
      <w:pPr>
        <w:pStyle w:val="MDPI52figure"/>
        <w:ind w:left="2608"/>
        <w:jc w:val="left"/>
      </w:pPr>
      <w:r w:rsidRPr="00A17DB7">
        <w:rPr>
          <w:noProof/>
          <w:snapToGrid/>
          <w:lang w:val="ru-RU" w:eastAsia="ru-RU" w:bidi="ar-SA"/>
        </w:rPr>
        <w:lastRenderedPageBreak/>
        <w:drawing>
          <wp:inline distT="0" distB="0" distL="0" distR="0" wp14:anchorId="14511FD8" wp14:editId="425DE8C5">
            <wp:extent cx="4857750" cy="2488284"/>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igure 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96560" cy="2508164"/>
                    </a:xfrm>
                    <a:prstGeom prst="rect">
                      <a:avLst/>
                    </a:prstGeom>
                  </pic:spPr>
                </pic:pic>
              </a:graphicData>
            </a:graphic>
          </wp:inline>
        </w:drawing>
      </w:r>
    </w:p>
    <w:p w14:paraId="17B75254" w14:textId="4814A1CA" w:rsidR="00FE004C" w:rsidRPr="00A17DB7" w:rsidRDefault="00211B6D" w:rsidP="00211B6D">
      <w:pPr>
        <w:pStyle w:val="MDPI51figurecaption"/>
      </w:pPr>
      <w:r w:rsidRPr="00A17DB7">
        <w:rPr>
          <w:b/>
        </w:rPr>
        <w:t xml:space="preserve">Figure 6. </w:t>
      </w:r>
      <w:r w:rsidR="00FE004C" w:rsidRPr="00A17DB7">
        <w:t xml:space="preserve">Modified </w:t>
      </w:r>
      <w:r w:rsidR="0008793F" w:rsidRPr="00A17DB7">
        <w:t>v</w:t>
      </w:r>
      <w:r w:rsidR="00FE004C" w:rsidRPr="00A17DB7">
        <w:t>an Krevelen diagram (</w:t>
      </w:r>
      <w:r w:rsidR="00FE004C" w:rsidRPr="00A17DB7">
        <w:rPr>
          <w:b/>
        </w:rPr>
        <w:t>a</w:t>
      </w:r>
      <w:r w:rsidR="00FE004C" w:rsidRPr="00A17DB7">
        <w:t>) and S2 vs. TOC plot (</w:t>
      </w:r>
      <w:r w:rsidR="00FE004C" w:rsidRPr="00A17DB7">
        <w:rPr>
          <w:b/>
        </w:rPr>
        <w:t>b</w:t>
      </w:r>
      <w:r w:rsidR="00FE004C" w:rsidRPr="00A17DB7">
        <w:t>) for the studied samples.</w:t>
      </w:r>
    </w:p>
    <w:p w14:paraId="6EDE3209" w14:textId="5A8F9BD9" w:rsidR="00FE004C" w:rsidRPr="00A17DB7" w:rsidRDefault="00FE004C" w:rsidP="00FE004C">
      <w:pPr>
        <w:pStyle w:val="MDPI31text"/>
      </w:pPr>
      <w:r w:rsidRPr="00A17DB7">
        <w:t xml:space="preserve">Organic matter in the alginite-rich layers has a </w:t>
      </w:r>
      <w:r w:rsidRPr="00A17DB7">
        <w:rPr>
          <w:iCs/>
          <w:lang w:val="en-GB"/>
        </w:rPr>
        <w:t>higher</w:t>
      </w:r>
      <w:r w:rsidRPr="00A17DB7">
        <w:t xml:space="preserve"> quantity of pyrolyzable carbon compared to the background along the section. Generative organic carbon to TOC ratio (K</w:t>
      </w:r>
      <w:r w:rsidRPr="00A17DB7">
        <w:rPr>
          <w:vertAlign w:val="subscript"/>
        </w:rPr>
        <w:t>goc</w:t>
      </w:r>
      <w:r w:rsidRPr="00A17DB7">
        <w:t>) reaches 91% and decreases with the increase of OM maturity (Table 1).</w:t>
      </w:r>
    </w:p>
    <w:p w14:paraId="5D327516" w14:textId="77777777" w:rsidR="00FE004C" w:rsidRPr="00A17DB7" w:rsidRDefault="00FE004C" w:rsidP="00FE004C">
      <w:pPr>
        <w:pStyle w:val="MDPI31text"/>
      </w:pPr>
      <w:r w:rsidRPr="00A17DB7">
        <w:t>Figure 7 illustrates section of a core sample (7 cm thick) with alternating layers of bright and dull luminescence intensities, related to alginite contents. The samples were analyzed by Rock-Eval pyrolysis, and we observed significant variations of the parameters even in such a small interval.</w:t>
      </w:r>
    </w:p>
    <w:p w14:paraId="73C2A388" w14:textId="57AE750A" w:rsidR="00FE004C" w:rsidRPr="00A17DB7" w:rsidRDefault="002C3D8B" w:rsidP="00211B6D">
      <w:pPr>
        <w:pStyle w:val="MDPI52figure"/>
        <w:ind w:left="2608"/>
        <w:jc w:val="left"/>
      </w:pPr>
      <w:r w:rsidRPr="00A17DB7">
        <w:rPr>
          <w:noProof/>
          <w:snapToGrid/>
          <w:lang w:val="ru-RU" w:eastAsia="ru-RU" w:bidi="ar-SA"/>
        </w:rPr>
        <w:drawing>
          <wp:inline distT="0" distB="0" distL="0" distR="0" wp14:anchorId="5ACCF525" wp14:editId="26411CE4">
            <wp:extent cx="4948049" cy="168402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Послойный пиролиз.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98672" cy="1701249"/>
                    </a:xfrm>
                    <a:prstGeom prst="rect">
                      <a:avLst/>
                    </a:prstGeom>
                  </pic:spPr>
                </pic:pic>
              </a:graphicData>
            </a:graphic>
          </wp:inline>
        </w:drawing>
      </w:r>
    </w:p>
    <w:p w14:paraId="0D0890BF" w14:textId="122CB825" w:rsidR="00FE004C" w:rsidRPr="008961E4" w:rsidRDefault="00211B6D" w:rsidP="00211B6D">
      <w:pPr>
        <w:pStyle w:val="MDPI51figurecaption"/>
      </w:pPr>
      <w:r w:rsidRPr="00A17DB7">
        <w:rPr>
          <w:b/>
        </w:rPr>
        <w:t xml:space="preserve">Figure 7. </w:t>
      </w:r>
      <w:r w:rsidR="00FE004C" w:rsidRPr="00A17DB7">
        <w:t>Detailed (layer-by-layer) Rock-Eval pyrolysis for core sample with interbedding of the alginite-rich layer and hosting organic-rich siliceous rock from well V-K 81.</w:t>
      </w:r>
      <w:r w:rsidR="008961E4">
        <w:t xml:space="preserve"> </w:t>
      </w:r>
      <w:r w:rsidR="008961E4">
        <w:rPr>
          <w:lang w:val="ru-RU"/>
        </w:rPr>
        <w:t>А</w:t>
      </w:r>
      <w:r w:rsidR="008961E4">
        <w:t>-L – sampling points.</w:t>
      </w:r>
    </w:p>
    <w:p w14:paraId="1CA59813" w14:textId="7B13392C" w:rsidR="00FE004C" w:rsidRPr="00A17DB7" w:rsidRDefault="00FE004C" w:rsidP="00FE004C">
      <w:pPr>
        <w:pStyle w:val="MDPI31text"/>
      </w:pPr>
      <w:r w:rsidRPr="00A17DB7">
        <w:t>Rock-Eval pyrolysis parameters</w:t>
      </w:r>
      <w:r w:rsidRPr="00A17DB7" w:rsidDel="008E63FD">
        <w:t xml:space="preserve"> </w:t>
      </w:r>
      <w:r w:rsidRPr="00A17DB7">
        <w:t xml:space="preserve">obtained for the first background point A (Figure 7) are common for the Bazhenov Formation rocks, for darker non-luminescent layers TOC is 8–11 </w:t>
      </w:r>
      <w:r w:rsidR="00973ABA" w:rsidRPr="00A17DB7">
        <w:t>wt.%</w:t>
      </w:r>
      <w:r w:rsidRPr="00A17DB7">
        <w:t xml:space="preserve">, and for the luminescent alginite-rich layers TOC is 13–25 </w:t>
      </w:r>
      <w:r w:rsidR="00973ABA" w:rsidRPr="00A17DB7">
        <w:t>wt.%</w:t>
      </w:r>
      <w:r w:rsidRPr="00A17DB7">
        <w:t>. For the luminescent layers, we observe a significant increase of T</w:t>
      </w:r>
      <w:r w:rsidRPr="00A17DB7">
        <w:rPr>
          <w:vertAlign w:val="subscript"/>
        </w:rPr>
        <w:t>max</w:t>
      </w:r>
      <w:r w:rsidRPr="00A17DB7">
        <w:t xml:space="preserve"> by 5–11 </w:t>
      </w:r>
      <w:r w:rsidRPr="00A17DB7">
        <w:rPr>
          <w:b/>
        </w:rPr>
        <w:t>°</w:t>
      </w:r>
      <w:proofErr w:type="spellStart"/>
      <w:r w:rsidRPr="00A17DB7">
        <w:t>C over</w:t>
      </w:r>
      <w:proofErr w:type="spellEnd"/>
      <w:r w:rsidRPr="00A17DB7">
        <w:t xml:space="preserve"> for darker ones. Difference in HI for nearby layers reaches 450 mg HC/g TOC. The amount of thermally desorbed light hydrocarbons (S0+S1) changes inversely to S2 and TOC, i.e. for luminescent rocks S2 is high and S0+S1 is low, and </w:t>
      </w:r>
      <w:r w:rsidRPr="00C5555B">
        <w:rPr>
          <w:i/>
        </w:rPr>
        <w:t>vice versa</w:t>
      </w:r>
      <w:r w:rsidRPr="00A17DB7">
        <w:t xml:space="preserve"> for the darker layers. Thus, layer-by-layer Rock-Eval pyrolysis emphasizes the heterogeneous saturation of the Bazhenov Formation rocks with type I kerogen, which interbeds and mixes with different types of OM (type I and type II of kerogen).</w:t>
      </w:r>
    </w:p>
    <w:p w14:paraId="17C7DC95" w14:textId="77777777" w:rsidR="00FE004C" w:rsidRPr="00A17DB7" w:rsidRDefault="00FE004C" w:rsidP="00FE004C">
      <w:pPr>
        <w:pStyle w:val="MDPI23heading3"/>
      </w:pPr>
      <w:r w:rsidRPr="00A17DB7">
        <w:t>4.4.2. Organic matter thermal decomposition</w:t>
      </w:r>
    </w:p>
    <w:p w14:paraId="69660523" w14:textId="2B853FB3" w:rsidR="00FE004C" w:rsidRPr="00A17DB7" w:rsidRDefault="00FE004C" w:rsidP="00FE004C">
      <w:pPr>
        <w:pStyle w:val="MDPI31text"/>
      </w:pPr>
      <w:r w:rsidRPr="00A17DB7">
        <w:t xml:space="preserve">The presence of type I kerogen in the alginite-rich layers is confirmed by the bulk kinetic characteristics of OM thermal decomposition. In Figure 8, we provide the activation energy distributions for two pairs of samples: from the alginite-rich layer and from </w:t>
      </w:r>
      <w:r w:rsidRPr="00A17DB7">
        <w:lastRenderedPageBreak/>
        <w:t>the adjacent host rock. The spectrum for the alginite-rich organic matter is narrow and consists of a single energy Ea = 53 kcal/mol (Figure 8b</w:t>
      </w:r>
      <w:proofErr w:type="gramStart"/>
      <w:r w:rsidRPr="00A17DB7">
        <w:t>,d</w:t>
      </w:r>
      <w:proofErr w:type="gramEnd"/>
      <w:r w:rsidRPr="00A17DB7">
        <w:t>), which is a feature of type I kerogen [</w:t>
      </w:r>
      <w:r w:rsidR="00B145E0" w:rsidRPr="00C5555B">
        <w:t>57, 58</w:t>
      </w:r>
      <w:r w:rsidRPr="00A17DB7">
        <w:t>]. For the host rocks, the activation energy distributions (with the maximum at 52 kcal/mol) have the typical shape for the Bazhenov kerogen, and characterizes the host rocks OM as type II kerogen (Figure 8a</w:t>
      </w:r>
      <w:proofErr w:type="gramStart"/>
      <w:r w:rsidRPr="00A17DB7">
        <w:t>,c</w:t>
      </w:r>
      <w:proofErr w:type="gramEnd"/>
      <w:r w:rsidRPr="00A17DB7">
        <w:t>). The upper pair of samples (Figure 8a</w:t>
      </w:r>
      <w:proofErr w:type="gramStart"/>
      <w:r w:rsidRPr="00A17DB7">
        <w:t>,b</w:t>
      </w:r>
      <w:proofErr w:type="gramEnd"/>
      <w:r w:rsidRPr="00A17DB7">
        <w:t>) was taken from the section of the Bazhenov Formation with moderately immature OM (MC1). The lower one (Fig</w:t>
      </w:r>
      <w:r w:rsidR="009D48FD" w:rsidRPr="00A17DB7">
        <w:t>ure</w:t>
      </w:r>
      <w:r w:rsidRPr="00A17DB7">
        <w:t xml:space="preserve"> 8c</w:t>
      </w:r>
      <w:proofErr w:type="gramStart"/>
      <w:r w:rsidRPr="00A17DB7">
        <w:t>,d</w:t>
      </w:r>
      <w:proofErr w:type="gramEnd"/>
      <w:r w:rsidRPr="00A17DB7">
        <w:t>) was taken from the section in the early oil window (MC1-2).</w:t>
      </w:r>
    </w:p>
    <w:p w14:paraId="09DFF4B9" w14:textId="48E11F23" w:rsidR="00FE004C" w:rsidRPr="00A17DB7" w:rsidRDefault="006A2A23" w:rsidP="00211B6D">
      <w:pPr>
        <w:pStyle w:val="MDPI52figure"/>
        <w:ind w:left="2608"/>
        <w:jc w:val="left"/>
      </w:pPr>
      <w:r w:rsidRPr="00A17DB7">
        <w:rPr>
          <w:noProof/>
          <w:snapToGrid/>
          <w:lang w:val="ru-RU" w:eastAsia="ru-RU" w:bidi="ar-SA"/>
        </w:rPr>
        <w:drawing>
          <wp:inline distT="0" distB="0" distL="0" distR="0" wp14:anchorId="7F744E83" wp14:editId="55D85DB3">
            <wp:extent cx="4151770" cy="3411940"/>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e 8.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73467" cy="3429770"/>
                    </a:xfrm>
                    <a:prstGeom prst="rect">
                      <a:avLst/>
                    </a:prstGeom>
                  </pic:spPr>
                </pic:pic>
              </a:graphicData>
            </a:graphic>
          </wp:inline>
        </w:drawing>
      </w:r>
    </w:p>
    <w:p w14:paraId="139E3685" w14:textId="77777777" w:rsidR="000121B6" w:rsidRDefault="00211B6D" w:rsidP="000121B6">
      <w:pPr>
        <w:pStyle w:val="MDPI31text"/>
        <w:spacing w:before="120" w:after="240"/>
        <w:ind w:firstLine="0"/>
        <w:rPr>
          <w:sz w:val="18"/>
        </w:rPr>
      </w:pPr>
      <w:r w:rsidRPr="00A17DB7">
        <w:rPr>
          <w:b/>
          <w:sz w:val="18"/>
        </w:rPr>
        <w:t xml:space="preserve">Figure 8. </w:t>
      </w:r>
      <w:r w:rsidR="00FE004C" w:rsidRPr="00A17DB7">
        <w:rPr>
          <w:sz w:val="18"/>
        </w:rPr>
        <w:t>Activation energy distribution of organic matter thermal decomposition for the host rocks (</w:t>
      </w:r>
      <w:proofErr w:type="spellStart"/>
      <w:r w:rsidR="00FE004C" w:rsidRPr="00A17DB7">
        <w:rPr>
          <w:b/>
          <w:sz w:val="18"/>
        </w:rPr>
        <w:t>a</w:t>
      </w:r>
      <w:proofErr w:type="gramStart"/>
      <w:r w:rsidR="00FE004C" w:rsidRPr="00A17DB7">
        <w:rPr>
          <w:b/>
          <w:sz w:val="18"/>
        </w:rPr>
        <w:t>,c</w:t>
      </w:r>
      <w:proofErr w:type="spellEnd"/>
      <w:proofErr w:type="gramEnd"/>
      <w:r w:rsidR="00FE004C" w:rsidRPr="00A17DB7">
        <w:rPr>
          <w:sz w:val="18"/>
        </w:rPr>
        <w:t>) and for the alginite-rich layers (</w:t>
      </w:r>
      <w:proofErr w:type="spellStart"/>
      <w:r w:rsidR="00FE004C" w:rsidRPr="00A17DB7">
        <w:rPr>
          <w:b/>
          <w:sz w:val="18"/>
        </w:rPr>
        <w:t>b,d</w:t>
      </w:r>
      <w:proofErr w:type="spellEnd"/>
      <w:r w:rsidR="00FE004C" w:rsidRPr="00A17DB7">
        <w:rPr>
          <w:sz w:val="18"/>
        </w:rPr>
        <w:t>).</w:t>
      </w:r>
      <w:r w:rsidR="00E5255D" w:rsidRPr="00A17DB7">
        <w:rPr>
          <w:sz w:val="18"/>
        </w:rPr>
        <w:t xml:space="preserve"> </w:t>
      </w:r>
      <w:r w:rsidR="006A2A23" w:rsidRPr="00A17DB7">
        <w:rPr>
          <w:sz w:val="18"/>
        </w:rPr>
        <w:t>Frequency factor A is fixed to 1×10</w:t>
      </w:r>
      <w:r w:rsidR="006A2A23" w:rsidRPr="00A17DB7">
        <w:rPr>
          <w:sz w:val="18"/>
          <w:vertAlign w:val="superscript"/>
        </w:rPr>
        <w:t>14</w:t>
      </w:r>
      <w:r w:rsidR="006A2A23" w:rsidRPr="00A17DB7">
        <w:rPr>
          <w:sz w:val="18"/>
        </w:rPr>
        <w:t xml:space="preserve"> s</w:t>
      </w:r>
      <w:r w:rsidR="006A2A23" w:rsidRPr="00A17DB7">
        <w:rPr>
          <w:sz w:val="18"/>
          <w:vertAlign w:val="superscript"/>
        </w:rPr>
        <w:t>-1</w:t>
      </w:r>
      <w:r w:rsidR="006A2A23" w:rsidRPr="00A17DB7">
        <w:rPr>
          <w:sz w:val="18"/>
        </w:rPr>
        <w:t>.</w:t>
      </w:r>
    </w:p>
    <w:p w14:paraId="215FC6F4" w14:textId="422153F2" w:rsidR="00BB1CEB" w:rsidRPr="00A17DB7" w:rsidRDefault="00FE004C" w:rsidP="00D23B95">
      <w:pPr>
        <w:pStyle w:val="MDPI31text"/>
      </w:pPr>
      <w:r w:rsidRPr="00A17DB7">
        <w:t xml:space="preserve">Results of pyrolysis-gas chromatography/mass spectrometry </w:t>
      </w:r>
      <w:r w:rsidR="00E240E2" w:rsidRPr="00A17DB7">
        <w:t>give us information about the quantitative and qualitative chemistry of the thermal decomposition products from the cracking of kerogen</w:t>
      </w:r>
      <w:r w:rsidR="00B145E0" w:rsidRPr="00C5555B">
        <w:t xml:space="preserve"> </w:t>
      </w:r>
      <w:r w:rsidR="00B145E0" w:rsidRPr="00A17DB7">
        <w:t>[</w:t>
      </w:r>
      <w:r w:rsidR="00CC4A0F" w:rsidRPr="00A17DB7">
        <w:t>59</w:t>
      </w:r>
      <w:r w:rsidR="00B145E0" w:rsidRPr="00A17DB7">
        <w:t>]</w:t>
      </w:r>
      <w:r w:rsidR="00E240E2" w:rsidRPr="00A17DB7">
        <w:t>.</w:t>
      </w:r>
      <w:r w:rsidR="0040161A" w:rsidRPr="00A17DB7">
        <w:t xml:space="preserve"> This method provides a direct indicator for the geochemical typing of kerogens and types of hydrocarbons that can be generated during thermal maturation.</w:t>
      </w:r>
      <w:r w:rsidR="00151084" w:rsidRPr="00A17DB7">
        <w:t xml:space="preserve"> </w:t>
      </w:r>
      <w:r w:rsidR="00700D69" w:rsidRPr="00A17DB7">
        <w:t>Comparison of the aliphatic and aromatic nature of kerogens has been previously described in publications [</w:t>
      </w:r>
      <w:r w:rsidR="00B145E0" w:rsidRPr="00C5555B">
        <w:t>57, 59-61</w:t>
      </w:r>
      <w:r w:rsidR="00700D69" w:rsidRPr="00C5555B">
        <w:t>].</w:t>
      </w:r>
    </w:p>
    <w:p w14:paraId="09F9A41E" w14:textId="04786CAC" w:rsidR="00E45EF9" w:rsidRPr="00A17DB7" w:rsidRDefault="00BB1CEB" w:rsidP="00E45EF9">
      <w:pPr>
        <w:pStyle w:val="MDPI31text"/>
      </w:pPr>
      <w:r w:rsidRPr="00A17DB7">
        <w:t xml:space="preserve">Numerous compound </w:t>
      </w:r>
      <w:r w:rsidR="004F6005">
        <w:t xml:space="preserve">hydrocarbon </w:t>
      </w:r>
      <w:r w:rsidRPr="00A17DB7">
        <w:t>classes have been found in pyrolysis products of kerogen, including light hydrocarbons C1-C7, n-alkanes C8-C40, unsaturated HС, naphthenes, mono-, di-, tri- and poly-aromatic compounds (Table 2).</w:t>
      </w:r>
      <w:r w:rsidR="007775E3" w:rsidRPr="00A17DB7">
        <w:t xml:space="preserve"> Type I kerogen of the alginite-rich layers produces dominantly long-chain n-alkanes and n-alkenes</w:t>
      </w:r>
      <w:r w:rsidR="009D48FD" w:rsidRPr="00A17DB7">
        <w:t xml:space="preserve">, whereas type II kerogen of host rocks produces more </w:t>
      </w:r>
      <w:r w:rsidR="00780C26" w:rsidRPr="00A17DB7">
        <w:t>unsaturated HС, naphthenes and aromatic compounds</w:t>
      </w:r>
      <w:r w:rsidR="001F7882" w:rsidRPr="00A17DB7">
        <w:t xml:space="preserve"> (Figure 9a,b)</w:t>
      </w:r>
      <w:r w:rsidR="009D48FD" w:rsidRPr="00A17DB7">
        <w:t>.</w:t>
      </w:r>
      <w:r w:rsidR="00791881" w:rsidRPr="00A17DB7">
        <w:t xml:space="preserve"> </w:t>
      </w:r>
      <w:r w:rsidR="00E45EF9" w:rsidRPr="00A17DB7">
        <w:t xml:space="preserve">These differences are also reflected in elemental composition. Type I kerogen of the alginite-rich layers has high atomic H/C up to 1.88 and low atomic O/C </w:t>
      </w:r>
      <w:r w:rsidR="00792F4B" w:rsidRPr="00A17DB7">
        <w:t>(</w:t>
      </w:r>
      <w:r w:rsidR="00E45EF9" w:rsidRPr="00A17DB7">
        <w:t>0.05-0.07</w:t>
      </w:r>
      <w:r w:rsidR="00792F4B" w:rsidRPr="00A17DB7">
        <w:t>)</w:t>
      </w:r>
      <w:r w:rsidR="00E45EF9" w:rsidRPr="00A17DB7">
        <w:t xml:space="preserve">. Kerogen of host rocks characterized by </w:t>
      </w:r>
      <w:r w:rsidR="007F5299" w:rsidRPr="00A17DB7">
        <w:t xml:space="preserve">high </w:t>
      </w:r>
      <w:r w:rsidR="00792F4B" w:rsidRPr="00A17DB7">
        <w:t>atomic H/C (1.09-1.19) and low atomic O/C (0.06-0.09).</w:t>
      </w:r>
    </w:p>
    <w:p w14:paraId="4D516ADA" w14:textId="0520D0A0" w:rsidR="0003004E" w:rsidRPr="00A17DB7" w:rsidRDefault="0003004E" w:rsidP="001F7882">
      <w:pPr>
        <w:pStyle w:val="MDPI31text"/>
      </w:pPr>
      <w:r w:rsidRPr="00A17DB7">
        <w:t xml:space="preserve">High aliphaticity </w:t>
      </w:r>
      <w:r w:rsidR="00700D69" w:rsidRPr="00A17DB7">
        <w:t>(at least 90 wt.%) of pyrolysis products suggest that</w:t>
      </w:r>
      <w:r w:rsidR="00FB6FDB" w:rsidRPr="00C5555B">
        <w:t xml:space="preserve"> </w:t>
      </w:r>
      <w:r w:rsidR="00700D69" w:rsidRPr="00A17DB7">
        <w:t>t</w:t>
      </w:r>
      <w:r w:rsidR="001F7882" w:rsidRPr="00A17DB7">
        <w:t>ype I kerogen of the alginite-rich layers is dominated by lipid-rich and protein-rich algal material that has undergone extensive bacterial reworking in reducing conditions.</w:t>
      </w:r>
      <w:r w:rsidR="00FB6FDB" w:rsidRPr="00C5555B">
        <w:t xml:space="preserve"> </w:t>
      </w:r>
      <w:r w:rsidRPr="00A17DB7">
        <w:t>Aliphatic to aromatic ratio of pyrolysis products show that type II kerogen of host rocks originates from various precursors (mixed phytoplankton, zooplankton and bacterial material).</w:t>
      </w:r>
    </w:p>
    <w:p w14:paraId="097869BD" w14:textId="54CE4311" w:rsidR="00FE004C" w:rsidRPr="00A17DB7" w:rsidRDefault="00211B6D" w:rsidP="00211B6D">
      <w:pPr>
        <w:pStyle w:val="MDPI41tablecaption"/>
        <w:ind w:left="425" w:right="425"/>
        <w:jc w:val="center"/>
      </w:pPr>
      <w:r w:rsidRPr="00A17DB7">
        <w:rPr>
          <w:b/>
        </w:rPr>
        <w:lastRenderedPageBreak/>
        <w:t xml:space="preserve">Table 2. </w:t>
      </w:r>
      <w:r w:rsidR="00FE004C" w:rsidRPr="00A17DB7">
        <w:t xml:space="preserve">Distribution of HC classes from Pyro-GC×GC-TOF MS/FID </w:t>
      </w:r>
      <w:r w:rsidR="00A17DB7">
        <w:t>and elemental analysi</w:t>
      </w:r>
      <w:r w:rsidR="007775E3" w:rsidRPr="00A17DB7">
        <w:t>s</w:t>
      </w:r>
      <w:r w:rsidR="00A17DB7">
        <w:t xml:space="preserve"> data</w:t>
      </w:r>
      <w:r w:rsidR="007775E3" w:rsidRPr="00A17DB7">
        <w:t xml:space="preserve"> </w:t>
      </w:r>
      <w:r w:rsidR="00FE004C" w:rsidRPr="00A17DB7">
        <w:t>for the alginite-rich layers and host rocks.</w:t>
      </w:r>
    </w:p>
    <w:tbl>
      <w:tblPr>
        <w:tblW w:w="10465" w:type="dxa"/>
        <w:jc w:val="center"/>
        <w:tblLayout w:type="fixed"/>
        <w:tblCellMar>
          <w:left w:w="0" w:type="dxa"/>
          <w:right w:w="0" w:type="dxa"/>
        </w:tblCellMar>
        <w:tblLook w:val="04A0" w:firstRow="1" w:lastRow="0" w:firstColumn="1" w:lastColumn="0" w:noHBand="0" w:noVBand="1"/>
      </w:tblPr>
      <w:tblGrid>
        <w:gridCol w:w="3945"/>
        <w:gridCol w:w="1122"/>
        <w:gridCol w:w="2139"/>
        <w:gridCol w:w="1122"/>
        <w:gridCol w:w="2137"/>
      </w:tblGrid>
      <w:tr w:rsidR="00FE004C" w:rsidRPr="00A17DB7" w14:paraId="04C55C36" w14:textId="77777777" w:rsidTr="00211B6D">
        <w:trPr>
          <w:jc w:val="center"/>
        </w:trPr>
        <w:tc>
          <w:tcPr>
            <w:tcW w:w="1885" w:type="pct"/>
            <w:vMerge w:val="restart"/>
            <w:tcBorders>
              <w:top w:val="single" w:sz="8" w:space="0" w:color="auto"/>
            </w:tcBorders>
            <w:shd w:val="clear" w:color="auto" w:fill="auto"/>
            <w:vAlign w:val="center"/>
          </w:tcPr>
          <w:p w14:paraId="6B7D3759" w14:textId="3EC74757" w:rsidR="00FE004C" w:rsidRPr="00A17DB7" w:rsidRDefault="00FE004C" w:rsidP="00211B6D">
            <w:pPr>
              <w:pStyle w:val="MDPI42tablebody"/>
              <w:autoSpaceDE w:val="0"/>
              <w:autoSpaceDN w:val="0"/>
              <w:spacing w:line="240" w:lineRule="auto"/>
              <w:rPr>
                <w:b/>
                <w:bCs/>
                <w:sz w:val="16"/>
              </w:rPr>
            </w:pPr>
            <w:r w:rsidRPr="00A17DB7">
              <w:rPr>
                <w:b/>
                <w:bCs/>
                <w:sz w:val="16"/>
              </w:rPr>
              <w:t xml:space="preserve">Hydrocarbon </w:t>
            </w:r>
            <w:r w:rsidR="00211B6D" w:rsidRPr="00A17DB7">
              <w:rPr>
                <w:b/>
                <w:bCs/>
                <w:sz w:val="16"/>
              </w:rPr>
              <w:t>C</w:t>
            </w:r>
            <w:r w:rsidRPr="00A17DB7">
              <w:rPr>
                <w:b/>
                <w:bCs/>
                <w:sz w:val="16"/>
              </w:rPr>
              <w:t>lasses (% w/w)</w:t>
            </w:r>
          </w:p>
        </w:tc>
        <w:tc>
          <w:tcPr>
            <w:tcW w:w="1558" w:type="pct"/>
            <w:gridSpan w:val="2"/>
            <w:tcBorders>
              <w:top w:val="single" w:sz="8" w:space="0" w:color="auto"/>
              <w:bottom w:val="single" w:sz="4" w:space="0" w:color="auto"/>
            </w:tcBorders>
            <w:shd w:val="clear" w:color="auto" w:fill="auto"/>
            <w:vAlign w:val="center"/>
          </w:tcPr>
          <w:p w14:paraId="3DC13A4F" w14:textId="77777777" w:rsidR="00FE004C" w:rsidRPr="00A17DB7" w:rsidRDefault="00FE004C" w:rsidP="00211B6D">
            <w:pPr>
              <w:pStyle w:val="MDPI42tablebody"/>
              <w:autoSpaceDE w:val="0"/>
              <w:autoSpaceDN w:val="0"/>
              <w:spacing w:line="240" w:lineRule="auto"/>
              <w:rPr>
                <w:b/>
                <w:bCs/>
                <w:sz w:val="16"/>
              </w:rPr>
            </w:pPr>
            <w:r w:rsidRPr="00A17DB7">
              <w:rPr>
                <w:b/>
                <w:bCs/>
                <w:sz w:val="16"/>
              </w:rPr>
              <w:t>Well S-O 128</w:t>
            </w:r>
          </w:p>
        </w:tc>
        <w:tc>
          <w:tcPr>
            <w:tcW w:w="1557" w:type="pct"/>
            <w:gridSpan w:val="2"/>
            <w:tcBorders>
              <w:top w:val="single" w:sz="8" w:space="0" w:color="auto"/>
              <w:bottom w:val="single" w:sz="4" w:space="0" w:color="auto"/>
            </w:tcBorders>
            <w:shd w:val="clear" w:color="auto" w:fill="auto"/>
            <w:vAlign w:val="center"/>
          </w:tcPr>
          <w:p w14:paraId="38E6AE9C" w14:textId="77777777" w:rsidR="00FE004C" w:rsidRPr="00A17DB7" w:rsidRDefault="00FE004C" w:rsidP="00211B6D">
            <w:pPr>
              <w:pStyle w:val="MDPI42tablebody"/>
              <w:autoSpaceDE w:val="0"/>
              <w:autoSpaceDN w:val="0"/>
              <w:spacing w:line="240" w:lineRule="auto"/>
              <w:rPr>
                <w:b/>
                <w:bCs/>
                <w:sz w:val="16"/>
              </w:rPr>
            </w:pPr>
            <w:r w:rsidRPr="00A17DB7">
              <w:rPr>
                <w:b/>
                <w:bCs/>
                <w:sz w:val="16"/>
              </w:rPr>
              <w:t>Well V-I 301</w:t>
            </w:r>
          </w:p>
        </w:tc>
      </w:tr>
      <w:tr w:rsidR="00FE004C" w:rsidRPr="00A17DB7" w14:paraId="1B9D0B2F" w14:textId="77777777" w:rsidTr="00211B6D">
        <w:trPr>
          <w:jc w:val="center"/>
        </w:trPr>
        <w:tc>
          <w:tcPr>
            <w:tcW w:w="1885" w:type="pct"/>
            <w:vMerge/>
            <w:tcBorders>
              <w:bottom w:val="single" w:sz="4" w:space="0" w:color="auto"/>
            </w:tcBorders>
            <w:shd w:val="clear" w:color="auto" w:fill="auto"/>
            <w:vAlign w:val="center"/>
          </w:tcPr>
          <w:p w14:paraId="226F2650" w14:textId="77777777" w:rsidR="00FE004C" w:rsidRPr="00A17DB7" w:rsidRDefault="00FE004C" w:rsidP="00211B6D">
            <w:pPr>
              <w:pStyle w:val="MDPI42tablebody"/>
              <w:autoSpaceDE w:val="0"/>
              <w:autoSpaceDN w:val="0"/>
              <w:spacing w:line="240" w:lineRule="auto"/>
              <w:rPr>
                <w:b/>
                <w:bCs/>
                <w:sz w:val="16"/>
              </w:rPr>
            </w:pPr>
          </w:p>
        </w:tc>
        <w:tc>
          <w:tcPr>
            <w:tcW w:w="536" w:type="pct"/>
            <w:tcBorders>
              <w:top w:val="single" w:sz="4" w:space="0" w:color="auto"/>
              <w:bottom w:val="single" w:sz="4" w:space="0" w:color="auto"/>
            </w:tcBorders>
            <w:shd w:val="clear" w:color="auto" w:fill="auto"/>
            <w:vAlign w:val="center"/>
          </w:tcPr>
          <w:p w14:paraId="1D1D825D" w14:textId="2CEA5393" w:rsidR="00FE004C" w:rsidRPr="00A17DB7" w:rsidRDefault="00FE004C" w:rsidP="00211B6D">
            <w:pPr>
              <w:pStyle w:val="MDPI42tablebody"/>
              <w:autoSpaceDE w:val="0"/>
              <w:autoSpaceDN w:val="0"/>
              <w:spacing w:line="240" w:lineRule="auto"/>
              <w:rPr>
                <w:b/>
                <w:bCs/>
                <w:sz w:val="16"/>
              </w:rPr>
            </w:pPr>
            <w:r w:rsidRPr="00A17DB7">
              <w:rPr>
                <w:b/>
                <w:bCs/>
                <w:sz w:val="16"/>
              </w:rPr>
              <w:t xml:space="preserve">Host </w:t>
            </w:r>
            <w:r w:rsidR="00211B6D" w:rsidRPr="00A17DB7">
              <w:rPr>
                <w:b/>
                <w:bCs/>
                <w:sz w:val="16"/>
              </w:rPr>
              <w:t>R</w:t>
            </w:r>
            <w:r w:rsidRPr="00A17DB7">
              <w:rPr>
                <w:b/>
                <w:bCs/>
                <w:sz w:val="16"/>
              </w:rPr>
              <w:t>ock</w:t>
            </w:r>
          </w:p>
        </w:tc>
        <w:tc>
          <w:tcPr>
            <w:tcW w:w="1022" w:type="pct"/>
            <w:tcBorders>
              <w:top w:val="single" w:sz="4" w:space="0" w:color="auto"/>
              <w:bottom w:val="single" w:sz="4" w:space="0" w:color="auto"/>
            </w:tcBorders>
            <w:shd w:val="clear" w:color="auto" w:fill="auto"/>
            <w:vAlign w:val="center"/>
          </w:tcPr>
          <w:p w14:paraId="101EDF36" w14:textId="5CB594DE" w:rsidR="00FE004C" w:rsidRPr="00A17DB7" w:rsidRDefault="00FE004C" w:rsidP="00211B6D">
            <w:pPr>
              <w:pStyle w:val="MDPI42tablebody"/>
              <w:autoSpaceDE w:val="0"/>
              <w:autoSpaceDN w:val="0"/>
              <w:spacing w:line="240" w:lineRule="auto"/>
              <w:rPr>
                <w:b/>
                <w:bCs/>
                <w:sz w:val="16"/>
              </w:rPr>
            </w:pPr>
            <w:r w:rsidRPr="00A17DB7">
              <w:rPr>
                <w:b/>
                <w:bCs/>
                <w:sz w:val="16"/>
              </w:rPr>
              <w:t>Alginite-</w:t>
            </w:r>
            <w:r w:rsidR="00211B6D" w:rsidRPr="00A17DB7">
              <w:rPr>
                <w:b/>
                <w:bCs/>
                <w:sz w:val="16"/>
              </w:rPr>
              <w:t>R</w:t>
            </w:r>
            <w:r w:rsidRPr="00A17DB7">
              <w:rPr>
                <w:b/>
                <w:bCs/>
                <w:sz w:val="16"/>
              </w:rPr>
              <w:t xml:space="preserve">ich </w:t>
            </w:r>
            <w:r w:rsidR="00211B6D" w:rsidRPr="00A17DB7">
              <w:rPr>
                <w:b/>
                <w:bCs/>
                <w:sz w:val="16"/>
              </w:rPr>
              <w:t>L</w:t>
            </w:r>
            <w:r w:rsidRPr="00A17DB7">
              <w:rPr>
                <w:b/>
                <w:bCs/>
                <w:sz w:val="16"/>
              </w:rPr>
              <w:t>ayer</w:t>
            </w:r>
          </w:p>
        </w:tc>
        <w:tc>
          <w:tcPr>
            <w:tcW w:w="536" w:type="pct"/>
            <w:tcBorders>
              <w:top w:val="single" w:sz="4" w:space="0" w:color="auto"/>
              <w:bottom w:val="single" w:sz="4" w:space="0" w:color="auto"/>
            </w:tcBorders>
            <w:shd w:val="clear" w:color="auto" w:fill="auto"/>
            <w:vAlign w:val="center"/>
          </w:tcPr>
          <w:p w14:paraId="0B65E1A7" w14:textId="00D708BC" w:rsidR="00FE004C" w:rsidRPr="00A17DB7" w:rsidRDefault="00FE004C" w:rsidP="00211B6D">
            <w:pPr>
              <w:pStyle w:val="MDPI42tablebody"/>
              <w:autoSpaceDE w:val="0"/>
              <w:autoSpaceDN w:val="0"/>
              <w:spacing w:line="240" w:lineRule="auto"/>
              <w:rPr>
                <w:b/>
                <w:bCs/>
                <w:sz w:val="16"/>
              </w:rPr>
            </w:pPr>
            <w:r w:rsidRPr="00A17DB7">
              <w:rPr>
                <w:b/>
                <w:bCs/>
                <w:sz w:val="16"/>
              </w:rPr>
              <w:t xml:space="preserve">Host </w:t>
            </w:r>
            <w:r w:rsidR="00211B6D" w:rsidRPr="00A17DB7">
              <w:rPr>
                <w:b/>
                <w:bCs/>
                <w:sz w:val="16"/>
              </w:rPr>
              <w:t>R</w:t>
            </w:r>
            <w:r w:rsidRPr="00A17DB7">
              <w:rPr>
                <w:b/>
                <w:bCs/>
                <w:sz w:val="16"/>
              </w:rPr>
              <w:t>ock</w:t>
            </w:r>
          </w:p>
        </w:tc>
        <w:tc>
          <w:tcPr>
            <w:tcW w:w="1021" w:type="pct"/>
            <w:tcBorders>
              <w:top w:val="single" w:sz="4" w:space="0" w:color="auto"/>
              <w:bottom w:val="single" w:sz="4" w:space="0" w:color="auto"/>
            </w:tcBorders>
            <w:shd w:val="clear" w:color="auto" w:fill="auto"/>
            <w:vAlign w:val="center"/>
          </w:tcPr>
          <w:p w14:paraId="5E8E7EA3" w14:textId="5788C533" w:rsidR="00FE004C" w:rsidRPr="00A17DB7" w:rsidRDefault="00FE004C" w:rsidP="00211B6D">
            <w:pPr>
              <w:pStyle w:val="MDPI42tablebody"/>
              <w:autoSpaceDE w:val="0"/>
              <w:autoSpaceDN w:val="0"/>
              <w:spacing w:line="240" w:lineRule="auto"/>
              <w:rPr>
                <w:b/>
                <w:bCs/>
                <w:sz w:val="16"/>
              </w:rPr>
            </w:pPr>
            <w:r w:rsidRPr="00A17DB7">
              <w:rPr>
                <w:b/>
                <w:bCs/>
                <w:sz w:val="16"/>
              </w:rPr>
              <w:t>Alginite-</w:t>
            </w:r>
            <w:r w:rsidR="00211B6D" w:rsidRPr="00A17DB7">
              <w:rPr>
                <w:b/>
                <w:bCs/>
                <w:sz w:val="16"/>
              </w:rPr>
              <w:t>R</w:t>
            </w:r>
            <w:r w:rsidRPr="00A17DB7">
              <w:rPr>
                <w:b/>
                <w:bCs/>
                <w:sz w:val="16"/>
              </w:rPr>
              <w:t xml:space="preserve">ich </w:t>
            </w:r>
            <w:r w:rsidR="00211B6D" w:rsidRPr="00A17DB7">
              <w:rPr>
                <w:b/>
                <w:bCs/>
                <w:sz w:val="16"/>
              </w:rPr>
              <w:t>L</w:t>
            </w:r>
            <w:r w:rsidRPr="00A17DB7">
              <w:rPr>
                <w:b/>
                <w:bCs/>
                <w:sz w:val="16"/>
              </w:rPr>
              <w:t>ayer</w:t>
            </w:r>
          </w:p>
        </w:tc>
      </w:tr>
      <w:tr w:rsidR="00FE004C" w:rsidRPr="00A17DB7" w14:paraId="6403EAC0" w14:textId="77777777" w:rsidTr="00211B6D">
        <w:trPr>
          <w:jc w:val="center"/>
        </w:trPr>
        <w:tc>
          <w:tcPr>
            <w:tcW w:w="1885" w:type="pct"/>
            <w:tcBorders>
              <w:top w:val="single" w:sz="4" w:space="0" w:color="auto"/>
            </w:tcBorders>
            <w:shd w:val="clear" w:color="auto" w:fill="auto"/>
            <w:vAlign w:val="center"/>
          </w:tcPr>
          <w:p w14:paraId="72C2C6FD" w14:textId="64FF017E" w:rsidR="00FE004C" w:rsidRPr="00A17DB7" w:rsidRDefault="00FE004C" w:rsidP="00211B6D">
            <w:pPr>
              <w:pStyle w:val="MDPI42tablebody"/>
              <w:autoSpaceDE w:val="0"/>
              <w:autoSpaceDN w:val="0"/>
              <w:spacing w:line="240" w:lineRule="auto"/>
              <w:rPr>
                <w:sz w:val="16"/>
              </w:rPr>
            </w:pPr>
            <w:r w:rsidRPr="00A17DB7">
              <w:rPr>
                <w:sz w:val="16"/>
              </w:rPr>
              <w:t>Light HC</w:t>
            </w:r>
            <w:r w:rsidR="00BB1CEB" w:rsidRPr="00A17DB7">
              <w:rPr>
                <w:sz w:val="16"/>
              </w:rPr>
              <w:t xml:space="preserve"> C1-C7</w:t>
            </w:r>
          </w:p>
        </w:tc>
        <w:tc>
          <w:tcPr>
            <w:tcW w:w="536" w:type="pct"/>
            <w:tcBorders>
              <w:top w:val="single" w:sz="4" w:space="0" w:color="auto"/>
            </w:tcBorders>
            <w:shd w:val="clear" w:color="auto" w:fill="auto"/>
            <w:vAlign w:val="center"/>
          </w:tcPr>
          <w:p w14:paraId="3558CB9A" w14:textId="77777777" w:rsidR="00FE004C" w:rsidRPr="00A17DB7" w:rsidRDefault="00FE004C" w:rsidP="00211B6D">
            <w:pPr>
              <w:pStyle w:val="MDPI42tablebody"/>
              <w:autoSpaceDE w:val="0"/>
              <w:autoSpaceDN w:val="0"/>
              <w:spacing w:line="240" w:lineRule="auto"/>
              <w:rPr>
                <w:sz w:val="16"/>
              </w:rPr>
            </w:pPr>
            <w:r w:rsidRPr="00A17DB7">
              <w:rPr>
                <w:sz w:val="16"/>
              </w:rPr>
              <w:t>7</w:t>
            </w:r>
          </w:p>
        </w:tc>
        <w:tc>
          <w:tcPr>
            <w:tcW w:w="1022" w:type="pct"/>
            <w:tcBorders>
              <w:top w:val="single" w:sz="4" w:space="0" w:color="auto"/>
            </w:tcBorders>
            <w:shd w:val="clear" w:color="auto" w:fill="auto"/>
            <w:vAlign w:val="center"/>
          </w:tcPr>
          <w:p w14:paraId="2A8797CE" w14:textId="77777777" w:rsidR="00FE004C" w:rsidRPr="00A17DB7" w:rsidRDefault="00FE004C" w:rsidP="00211B6D">
            <w:pPr>
              <w:pStyle w:val="MDPI42tablebody"/>
              <w:autoSpaceDE w:val="0"/>
              <w:autoSpaceDN w:val="0"/>
              <w:spacing w:line="240" w:lineRule="auto"/>
              <w:rPr>
                <w:sz w:val="16"/>
              </w:rPr>
            </w:pPr>
            <w:r w:rsidRPr="00A17DB7">
              <w:rPr>
                <w:sz w:val="16"/>
              </w:rPr>
              <w:t>6</w:t>
            </w:r>
          </w:p>
        </w:tc>
        <w:tc>
          <w:tcPr>
            <w:tcW w:w="536" w:type="pct"/>
            <w:tcBorders>
              <w:top w:val="single" w:sz="4" w:space="0" w:color="auto"/>
            </w:tcBorders>
            <w:shd w:val="clear" w:color="auto" w:fill="auto"/>
            <w:vAlign w:val="center"/>
          </w:tcPr>
          <w:p w14:paraId="2ED790E7" w14:textId="77777777" w:rsidR="00FE004C" w:rsidRPr="00A17DB7" w:rsidRDefault="00FE004C" w:rsidP="00211B6D">
            <w:pPr>
              <w:pStyle w:val="MDPI42tablebody"/>
              <w:autoSpaceDE w:val="0"/>
              <w:autoSpaceDN w:val="0"/>
              <w:spacing w:line="240" w:lineRule="auto"/>
              <w:rPr>
                <w:sz w:val="16"/>
              </w:rPr>
            </w:pPr>
            <w:r w:rsidRPr="00A17DB7">
              <w:rPr>
                <w:sz w:val="16"/>
              </w:rPr>
              <w:t>19</w:t>
            </w:r>
          </w:p>
        </w:tc>
        <w:tc>
          <w:tcPr>
            <w:tcW w:w="1021" w:type="pct"/>
            <w:tcBorders>
              <w:top w:val="single" w:sz="4" w:space="0" w:color="auto"/>
            </w:tcBorders>
            <w:shd w:val="clear" w:color="auto" w:fill="auto"/>
            <w:vAlign w:val="center"/>
          </w:tcPr>
          <w:p w14:paraId="1EDECA4F" w14:textId="77777777" w:rsidR="00FE004C" w:rsidRPr="00A17DB7" w:rsidRDefault="00FE004C" w:rsidP="00211B6D">
            <w:pPr>
              <w:pStyle w:val="MDPI42tablebody"/>
              <w:autoSpaceDE w:val="0"/>
              <w:autoSpaceDN w:val="0"/>
              <w:spacing w:line="240" w:lineRule="auto"/>
              <w:rPr>
                <w:sz w:val="16"/>
              </w:rPr>
            </w:pPr>
            <w:r w:rsidRPr="00A17DB7">
              <w:rPr>
                <w:sz w:val="16"/>
              </w:rPr>
              <w:t>8</w:t>
            </w:r>
          </w:p>
        </w:tc>
      </w:tr>
      <w:tr w:rsidR="00FE004C" w:rsidRPr="00A17DB7" w14:paraId="0CF065B5" w14:textId="77777777" w:rsidTr="00211B6D">
        <w:trPr>
          <w:jc w:val="center"/>
        </w:trPr>
        <w:tc>
          <w:tcPr>
            <w:tcW w:w="1885" w:type="pct"/>
            <w:shd w:val="clear" w:color="auto" w:fill="auto"/>
            <w:vAlign w:val="center"/>
          </w:tcPr>
          <w:p w14:paraId="0551AE7B" w14:textId="77777777" w:rsidR="00FE004C" w:rsidRPr="00A17DB7" w:rsidRDefault="00FE004C" w:rsidP="00211B6D">
            <w:pPr>
              <w:pStyle w:val="MDPI42tablebody"/>
              <w:autoSpaceDE w:val="0"/>
              <w:autoSpaceDN w:val="0"/>
              <w:spacing w:line="240" w:lineRule="auto"/>
              <w:rPr>
                <w:sz w:val="16"/>
              </w:rPr>
            </w:pPr>
            <w:r w:rsidRPr="00A17DB7">
              <w:rPr>
                <w:sz w:val="16"/>
              </w:rPr>
              <w:t>n-alkanes С8-40</w:t>
            </w:r>
          </w:p>
        </w:tc>
        <w:tc>
          <w:tcPr>
            <w:tcW w:w="536" w:type="pct"/>
            <w:shd w:val="clear" w:color="auto" w:fill="auto"/>
            <w:vAlign w:val="center"/>
          </w:tcPr>
          <w:p w14:paraId="299F5949" w14:textId="77777777" w:rsidR="00FE004C" w:rsidRPr="00A17DB7" w:rsidRDefault="00FE004C" w:rsidP="00211B6D">
            <w:pPr>
              <w:pStyle w:val="MDPI42tablebody"/>
              <w:autoSpaceDE w:val="0"/>
              <w:autoSpaceDN w:val="0"/>
              <w:spacing w:line="240" w:lineRule="auto"/>
              <w:rPr>
                <w:sz w:val="16"/>
              </w:rPr>
            </w:pPr>
            <w:r w:rsidRPr="00A17DB7">
              <w:rPr>
                <w:sz w:val="16"/>
              </w:rPr>
              <w:t>8</w:t>
            </w:r>
          </w:p>
        </w:tc>
        <w:tc>
          <w:tcPr>
            <w:tcW w:w="1022" w:type="pct"/>
            <w:shd w:val="clear" w:color="auto" w:fill="auto"/>
            <w:vAlign w:val="center"/>
          </w:tcPr>
          <w:p w14:paraId="61310CA0" w14:textId="77777777" w:rsidR="00FE004C" w:rsidRPr="00A17DB7" w:rsidRDefault="00FE004C" w:rsidP="00211B6D">
            <w:pPr>
              <w:pStyle w:val="MDPI42tablebody"/>
              <w:autoSpaceDE w:val="0"/>
              <w:autoSpaceDN w:val="0"/>
              <w:spacing w:line="240" w:lineRule="auto"/>
              <w:rPr>
                <w:sz w:val="16"/>
              </w:rPr>
            </w:pPr>
            <w:r w:rsidRPr="00A17DB7">
              <w:rPr>
                <w:sz w:val="16"/>
              </w:rPr>
              <w:t>25</w:t>
            </w:r>
          </w:p>
        </w:tc>
        <w:tc>
          <w:tcPr>
            <w:tcW w:w="536" w:type="pct"/>
            <w:shd w:val="clear" w:color="auto" w:fill="auto"/>
            <w:vAlign w:val="center"/>
          </w:tcPr>
          <w:p w14:paraId="31BE3E6D" w14:textId="77777777" w:rsidR="00FE004C" w:rsidRPr="00A17DB7" w:rsidRDefault="00FE004C" w:rsidP="00211B6D">
            <w:pPr>
              <w:pStyle w:val="MDPI42tablebody"/>
              <w:autoSpaceDE w:val="0"/>
              <w:autoSpaceDN w:val="0"/>
              <w:spacing w:line="240" w:lineRule="auto"/>
              <w:rPr>
                <w:sz w:val="16"/>
              </w:rPr>
            </w:pPr>
            <w:r w:rsidRPr="00A17DB7">
              <w:rPr>
                <w:sz w:val="16"/>
              </w:rPr>
              <w:t>25</w:t>
            </w:r>
          </w:p>
        </w:tc>
        <w:tc>
          <w:tcPr>
            <w:tcW w:w="1021" w:type="pct"/>
            <w:shd w:val="clear" w:color="auto" w:fill="auto"/>
            <w:vAlign w:val="center"/>
          </w:tcPr>
          <w:p w14:paraId="6A6DAF71" w14:textId="77777777" w:rsidR="00FE004C" w:rsidRPr="00A17DB7" w:rsidRDefault="00FE004C" w:rsidP="00211B6D">
            <w:pPr>
              <w:pStyle w:val="MDPI42tablebody"/>
              <w:autoSpaceDE w:val="0"/>
              <w:autoSpaceDN w:val="0"/>
              <w:spacing w:line="240" w:lineRule="auto"/>
              <w:rPr>
                <w:sz w:val="16"/>
              </w:rPr>
            </w:pPr>
            <w:r w:rsidRPr="00A17DB7">
              <w:rPr>
                <w:sz w:val="16"/>
              </w:rPr>
              <w:t>33</w:t>
            </w:r>
          </w:p>
        </w:tc>
      </w:tr>
      <w:tr w:rsidR="00FE004C" w:rsidRPr="00A17DB7" w14:paraId="230D557D" w14:textId="77777777" w:rsidTr="00211B6D">
        <w:trPr>
          <w:jc w:val="center"/>
        </w:trPr>
        <w:tc>
          <w:tcPr>
            <w:tcW w:w="1885" w:type="pct"/>
            <w:shd w:val="clear" w:color="auto" w:fill="auto"/>
            <w:vAlign w:val="center"/>
          </w:tcPr>
          <w:p w14:paraId="7D7A9A8E" w14:textId="77777777" w:rsidR="00FE004C" w:rsidRPr="00A17DB7" w:rsidRDefault="00FE004C" w:rsidP="00211B6D">
            <w:pPr>
              <w:pStyle w:val="MDPI42tablebody"/>
              <w:autoSpaceDE w:val="0"/>
              <w:autoSpaceDN w:val="0"/>
              <w:spacing w:line="240" w:lineRule="auto"/>
              <w:rPr>
                <w:sz w:val="16"/>
              </w:rPr>
            </w:pPr>
            <w:r w:rsidRPr="00A17DB7">
              <w:rPr>
                <w:sz w:val="16"/>
              </w:rPr>
              <w:t>Unsaturated HС and naphthenes</w:t>
            </w:r>
          </w:p>
        </w:tc>
        <w:tc>
          <w:tcPr>
            <w:tcW w:w="536" w:type="pct"/>
            <w:shd w:val="clear" w:color="auto" w:fill="auto"/>
            <w:vAlign w:val="center"/>
          </w:tcPr>
          <w:p w14:paraId="63883691" w14:textId="77777777" w:rsidR="00FE004C" w:rsidRPr="00A17DB7" w:rsidRDefault="00FE004C" w:rsidP="00211B6D">
            <w:pPr>
              <w:pStyle w:val="MDPI42tablebody"/>
              <w:autoSpaceDE w:val="0"/>
              <w:autoSpaceDN w:val="0"/>
              <w:spacing w:line="240" w:lineRule="auto"/>
              <w:rPr>
                <w:sz w:val="16"/>
              </w:rPr>
            </w:pPr>
            <w:r w:rsidRPr="00A17DB7">
              <w:rPr>
                <w:sz w:val="16"/>
              </w:rPr>
              <w:t>37</w:t>
            </w:r>
          </w:p>
        </w:tc>
        <w:tc>
          <w:tcPr>
            <w:tcW w:w="1022" w:type="pct"/>
            <w:shd w:val="clear" w:color="auto" w:fill="auto"/>
            <w:vAlign w:val="center"/>
          </w:tcPr>
          <w:p w14:paraId="7BA2319D" w14:textId="77777777" w:rsidR="00FE004C" w:rsidRPr="00A17DB7" w:rsidRDefault="00FE004C" w:rsidP="00211B6D">
            <w:pPr>
              <w:pStyle w:val="MDPI42tablebody"/>
              <w:autoSpaceDE w:val="0"/>
              <w:autoSpaceDN w:val="0"/>
              <w:spacing w:line="240" w:lineRule="auto"/>
              <w:rPr>
                <w:sz w:val="16"/>
              </w:rPr>
            </w:pPr>
            <w:r w:rsidRPr="00A17DB7">
              <w:rPr>
                <w:sz w:val="16"/>
              </w:rPr>
              <w:t>64</w:t>
            </w:r>
          </w:p>
        </w:tc>
        <w:tc>
          <w:tcPr>
            <w:tcW w:w="536" w:type="pct"/>
            <w:shd w:val="clear" w:color="auto" w:fill="auto"/>
            <w:vAlign w:val="center"/>
          </w:tcPr>
          <w:p w14:paraId="1856452E" w14:textId="77777777" w:rsidR="00FE004C" w:rsidRPr="00A17DB7" w:rsidRDefault="00FE004C" w:rsidP="00211B6D">
            <w:pPr>
              <w:pStyle w:val="MDPI42tablebody"/>
              <w:autoSpaceDE w:val="0"/>
              <w:autoSpaceDN w:val="0"/>
              <w:spacing w:line="240" w:lineRule="auto"/>
              <w:rPr>
                <w:sz w:val="16"/>
              </w:rPr>
            </w:pPr>
            <w:r w:rsidRPr="00A17DB7">
              <w:rPr>
                <w:sz w:val="16"/>
              </w:rPr>
              <w:t>29</w:t>
            </w:r>
          </w:p>
        </w:tc>
        <w:tc>
          <w:tcPr>
            <w:tcW w:w="1021" w:type="pct"/>
            <w:shd w:val="clear" w:color="auto" w:fill="auto"/>
            <w:vAlign w:val="center"/>
          </w:tcPr>
          <w:p w14:paraId="40A8B3FA" w14:textId="77777777" w:rsidR="00FE004C" w:rsidRPr="00A17DB7" w:rsidRDefault="00FE004C" w:rsidP="00211B6D">
            <w:pPr>
              <w:pStyle w:val="MDPI42tablebody"/>
              <w:autoSpaceDE w:val="0"/>
              <w:autoSpaceDN w:val="0"/>
              <w:spacing w:line="240" w:lineRule="auto"/>
              <w:rPr>
                <w:sz w:val="16"/>
              </w:rPr>
            </w:pPr>
            <w:r w:rsidRPr="00A17DB7">
              <w:rPr>
                <w:sz w:val="16"/>
              </w:rPr>
              <w:t>53</w:t>
            </w:r>
          </w:p>
        </w:tc>
      </w:tr>
      <w:tr w:rsidR="00FE004C" w:rsidRPr="00A17DB7" w14:paraId="23138D50" w14:textId="77777777" w:rsidTr="00211B6D">
        <w:trPr>
          <w:jc w:val="center"/>
        </w:trPr>
        <w:tc>
          <w:tcPr>
            <w:tcW w:w="1885" w:type="pct"/>
            <w:shd w:val="clear" w:color="auto" w:fill="auto"/>
            <w:vAlign w:val="center"/>
          </w:tcPr>
          <w:p w14:paraId="519563D1" w14:textId="77777777" w:rsidR="00FE004C" w:rsidRPr="00A17DB7" w:rsidRDefault="00FE004C" w:rsidP="00211B6D">
            <w:pPr>
              <w:pStyle w:val="MDPI42tablebody"/>
              <w:autoSpaceDE w:val="0"/>
              <w:autoSpaceDN w:val="0"/>
              <w:spacing w:line="240" w:lineRule="auto"/>
              <w:rPr>
                <w:sz w:val="16"/>
              </w:rPr>
            </w:pPr>
            <w:r w:rsidRPr="00A17DB7">
              <w:rPr>
                <w:sz w:val="16"/>
              </w:rPr>
              <w:t>Mono-aromatic compounds</w:t>
            </w:r>
          </w:p>
        </w:tc>
        <w:tc>
          <w:tcPr>
            <w:tcW w:w="536" w:type="pct"/>
            <w:shd w:val="clear" w:color="auto" w:fill="auto"/>
            <w:vAlign w:val="center"/>
          </w:tcPr>
          <w:p w14:paraId="6B2326BC" w14:textId="77777777" w:rsidR="00FE004C" w:rsidRPr="00A17DB7" w:rsidRDefault="00FE004C" w:rsidP="00211B6D">
            <w:pPr>
              <w:pStyle w:val="MDPI42tablebody"/>
              <w:autoSpaceDE w:val="0"/>
              <w:autoSpaceDN w:val="0"/>
              <w:spacing w:line="240" w:lineRule="auto"/>
              <w:rPr>
                <w:sz w:val="16"/>
              </w:rPr>
            </w:pPr>
            <w:r w:rsidRPr="00A17DB7">
              <w:rPr>
                <w:sz w:val="16"/>
              </w:rPr>
              <w:t>21</w:t>
            </w:r>
          </w:p>
        </w:tc>
        <w:tc>
          <w:tcPr>
            <w:tcW w:w="1022" w:type="pct"/>
            <w:shd w:val="clear" w:color="auto" w:fill="auto"/>
            <w:vAlign w:val="center"/>
          </w:tcPr>
          <w:p w14:paraId="3E91E405" w14:textId="77777777" w:rsidR="00FE004C" w:rsidRPr="00A17DB7" w:rsidRDefault="00FE004C" w:rsidP="00211B6D">
            <w:pPr>
              <w:pStyle w:val="MDPI42tablebody"/>
              <w:autoSpaceDE w:val="0"/>
              <w:autoSpaceDN w:val="0"/>
              <w:spacing w:line="240" w:lineRule="auto"/>
              <w:rPr>
                <w:sz w:val="16"/>
              </w:rPr>
            </w:pPr>
            <w:r w:rsidRPr="00A17DB7">
              <w:rPr>
                <w:sz w:val="16"/>
              </w:rPr>
              <w:t>4</w:t>
            </w:r>
          </w:p>
        </w:tc>
        <w:tc>
          <w:tcPr>
            <w:tcW w:w="536" w:type="pct"/>
            <w:shd w:val="clear" w:color="auto" w:fill="auto"/>
            <w:vAlign w:val="center"/>
          </w:tcPr>
          <w:p w14:paraId="7DE5790B" w14:textId="77777777" w:rsidR="00FE004C" w:rsidRPr="00A17DB7" w:rsidRDefault="00FE004C" w:rsidP="00211B6D">
            <w:pPr>
              <w:pStyle w:val="MDPI42tablebody"/>
              <w:autoSpaceDE w:val="0"/>
              <w:autoSpaceDN w:val="0"/>
              <w:spacing w:line="240" w:lineRule="auto"/>
              <w:rPr>
                <w:sz w:val="16"/>
              </w:rPr>
            </w:pPr>
            <w:r w:rsidRPr="00A17DB7">
              <w:rPr>
                <w:sz w:val="16"/>
              </w:rPr>
              <w:t>19</w:t>
            </w:r>
          </w:p>
        </w:tc>
        <w:tc>
          <w:tcPr>
            <w:tcW w:w="1021" w:type="pct"/>
            <w:shd w:val="clear" w:color="auto" w:fill="auto"/>
            <w:vAlign w:val="center"/>
          </w:tcPr>
          <w:p w14:paraId="6761840B" w14:textId="77777777" w:rsidR="00FE004C" w:rsidRPr="00A17DB7" w:rsidRDefault="00FE004C" w:rsidP="00211B6D">
            <w:pPr>
              <w:pStyle w:val="MDPI42tablebody"/>
              <w:autoSpaceDE w:val="0"/>
              <w:autoSpaceDN w:val="0"/>
              <w:spacing w:line="240" w:lineRule="auto"/>
              <w:rPr>
                <w:sz w:val="16"/>
              </w:rPr>
            </w:pPr>
            <w:r w:rsidRPr="00A17DB7">
              <w:rPr>
                <w:sz w:val="16"/>
              </w:rPr>
              <w:t>4</w:t>
            </w:r>
          </w:p>
        </w:tc>
      </w:tr>
      <w:tr w:rsidR="00FE004C" w:rsidRPr="00A17DB7" w14:paraId="14946CAA" w14:textId="77777777" w:rsidTr="00211B6D">
        <w:trPr>
          <w:jc w:val="center"/>
        </w:trPr>
        <w:tc>
          <w:tcPr>
            <w:tcW w:w="1885" w:type="pct"/>
            <w:shd w:val="clear" w:color="auto" w:fill="auto"/>
            <w:vAlign w:val="center"/>
          </w:tcPr>
          <w:p w14:paraId="4020FE72" w14:textId="77777777" w:rsidR="00FE004C" w:rsidRPr="00A17DB7" w:rsidRDefault="00FE004C" w:rsidP="00211B6D">
            <w:pPr>
              <w:pStyle w:val="MDPI42tablebody"/>
              <w:autoSpaceDE w:val="0"/>
              <w:autoSpaceDN w:val="0"/>
              <w:spacing w:line="240" w:lineRule="auto"/>
              <w:rPr>
                <w:sz w:val="16"/>
              </w:rPr>
            </w:pPr>
            <w:r w:rsidRPr="00A17DB7">
              <w:rPr>
                <w:sz w:val="16"/>
              </w:rPr>
              <w:t>Di-aromatic compounds</w:t>
            </w:r>
          </w:p>
        </w:tc>
        <w:tc>
          <w:tcPr>
            <w:tcW w:w="536" w:type="pct"/>
            <w:shd w:val="clear" w:color="auto" w:fill="auto"/>
            <w:vAlign w:val="center"/>
          </w:tcPr>
          <w:p w14:paraId="4CCE20B9" w14:textId="77777777" w:rsidR="00FE004C" w:rsidRPr="00A17DB7" w:rsidRDefault="00FE004C" w:rsidP="00211B6D">
            <w:pPr>
              <w:pStyle w:val="MDPI42tablebody"/>
              <w:autoSpaceDE w:val="0"/>
              <w:autoSpaceDN w:val="0"/>
              <w:spacing w:line="240" w:lineRule="auto"/>
              <w:rPr>
                <w:sz w:val="16"/>
              </w:rPr>
            </w:pPr>
            <w:r w:rsidRPr="00A17DB7">
              <w:rPr>
                <w:sz w:val="16"/>
              </w:rPr>
              <w:t>15</w:t>
            </w:r>
          </w:p>
        </w:tc>
        <w:tc>
          <w:tcPr>
            <w:tcW w:w="1022" w:type="pct"/>
            <w:shd w:val="clear" w:color="auto" w:fill="auto"/>
            <w:vAlign w:val="center"/>
          </w:tcPr>
          <w:p w14:paraId="1ACA33B9" w14:textId="77777777" w:rsidR="00FE004C" w:rsidRPr="00A17DB7" w:rsidRDefault="00FE004C" w:rsidP="00211B6D">
            <w:pPr>
              <w:pStyle w:val="MDPI42tablebody"/>
              <w:autoSpaceDE w:val="0"/>
              <w:autoSpaceDN w:val="0"/>
              <w:spacing w:line="240" w:lineRule="auto"/>
              <w:rPr>
                <w:sz w:val="16"/>
              </w:rPr>
            </w:pPr>
            <w:r w:rsidRPr="00A17DB7">
              <w:rPr>
                <w:sz w:val="16"/>
              </w:rPr>
              <w:t>1</w:t>
            </w:r>
          </w:p>
        </w:tc>
        <w:tc>
          <w:tcPr>
            <w:tcW w:w="536" w:type="pct"/>
            <w:shd w:val="clear" w:color="auto" w:fill="auto"/>
            <w:vAlign w:val="center"/>
          </w:tcPr>
          <w:p w14:paraId="5A2F03DE" w14:textId="77777777" w:rsidR="00FE004C" w:rsidRPr="00A17DB7" w:rsidRDefault="00FE004C" w:rsidP="00211B6D">
            <w:pPr>
              <w:pStyle w:val="MDPI42tablebody"/>
              <w:autoSpaceDE w:val="0"/>
              <w:autoSpaceDN w:val="0"/>
              <w:spacing w:line="240" w:lineRule="auto"/>
              <w:rPr>
                <w:sz w:val="16"/>
              </w:rPr>
            </w:pPr>
            <w:r w:rsidRPr="00A17DB7">
              <w:rPr>
                <w:sz w:val="16"/>
              </w:rPr>
              <w:t>7</w:t>
            </w:r>
          </w:p>
        </w:tc>
        <w:tc>
          <w:tcPr>
            <w:tcW w:w="1021" w:type="pct"/>
            <w:shd w:val="clear" w:color="auto" w:fill="auto"/>
            <w:vAlign w:val="center"/>
          </w:tcPr>
          <w:p w14:paraId="58B4364F" w14:textId="77777777" w:rsidR="00FE004C" w:rsidRPr="00A17DB7" w:rsidRDefault="00FE004C" w:rsidP="00211B6D">
            <w:pPr>
              <w:pStyle w:val="MDPI42tablebody"/>
              <w:autoSpaceDE w:val="0"/>
              <w:autoSpaceDN w:val="0"/>
              <w:spacing w:line="240" w:lineRule="auto"/>
              <w:rPr>
                <w:sz w:val="16"/>
              </w:rPr>
            </w:pPr>
            <w:r w:rsidRPr="00A17DB7">
              <w:rPr>
                <w:sz w:val="16"/>
              </w:rPr>
              <w:t>1</w:t>
            </w:r>
          </w:p>
        </w:tc>
      </w:tr>
      <w:tr w:rsidR="00FE004C" w:rsidRPr="00A17DB7" w14:paraId="16F64578" w14:textId="77777777" w:rsidTr="00211B6D">
        <w:trPr>
          <w:jc w:val="center"/>
        </w:trPr>
        <w:tc>
          <w:tcPr>
            <w:tcW w:w="1885" w:type="pct"/>
            <w:shd w:val="clear" w:color="auto" w:fill="auto"/>
            <w:vAlign w:val="center"/>
          </w:tcPr>
          <w:p w14:paraId="1D1961D1" w14:textId="77777777" w:rsidR="00FE004C" w:rsidRPr="00A17DB7" w:rsidRDefault="00FE004C" w:rsidP="00211B6D">
            <w:pPr>
              <w:pStyle w:val="MDPI42tablebody"/>
              <w:autoSpaceDE w:val="0"/>
              <w:autoSpaceDN w:val="0"/>
              <w:spacing w:line="240" w:lineRule="auto"/>
              <w:rPr>
                <w:sz w:val="16"/>
              </w:rPr>
            </w:pPr>
            <w:r w:rsidRPr="00A17DB7">
              <w:rPr>
                <w:sz w:val="16"/>
              </w:rPr>
              <w:t>Tri- and poly-aromatic compounds</w:t>
            </w:r>
          </w:p>
        </w:tc>
        <w:tc>
          <w:tcPr>
            <w:tcW w:w="536" w:type="pct"/>
            <w:shd w:val="clear" w:color="auto" w:fill="auto"/>
            <w:vAlign w:val="center"/>
          </w:tcPr>
          <w:p w14:paraId="71CA6145" w14:textId="77777777" w:rsidR="00FE004C" w:rsidRPr="00A17DB7" w:rsidRDefault="00FE004C" w:rsidP="00211B6D">
            <w:pPr>
              <w:pStyle w:val="MDPI42tablebody"/>
              <w:autoSpaceDE w:val="0"/>
              <w:autoSpaceDN w:val="0"/>
              <w:spacing w:line="240" w:lineRule="auto"/>
              <w:rPr>
                <w:sz w:val="16"/>
              </w:rPr>
            </w:pPr>
            <w:r w:rsidRPr="00A17DB7">
              <w:rPr>
                <w:sz w:val="16"/>
              </w:rPr>
              <w:t>12</w:t>
            </w:r>
          </w:p>
        </w:tc>
        <w:tc>
          <w:tcPr>
            <w:tcW w:w="1022" w:type="pct"/>
            <w:shd w:val="clear" w:color="auto" w:fill="auto"/>
            <w:vAlign w:val="center"/>
          </w:tcPr>
          <w:p w14:paraId="7C0285CE" w14:textId="77777777" w:rsidR="00FE004C" w:rsidRPr="00A17DB7" w:rsidRDefault="00FE004C" w:rsidP="00211B6D">
            <w:pPr>
              <w:pStyle w:val="MDPI42tablebody"/>
              <w:autoSpaceDE w:val="0"/>
              <w:autoSpaceDN w:val="0"/>
              <w:spacing w:line="240" w:lineRule="auto"/>
              <w:rPr>
                <w:sz w:val="16"/>
              </w:rPr>
            </w:pPr>
            <w:r w:rsidRPr="00A17DB7">
              <w:rPr>
                <w:sz w:val="16"/>
              </w:rPr>
              <w:t>0</w:t>
            </w:r>
          </w:p>
        </w:tc>
        <w:tc>
          <w:tcPr>
            <w:tcW w:w="536" w:type="pct"/>
            <w:shd w:val="clear" w:color="auto" w:fill="auto"/>
            <w:vAlign w:val="center"/>
          </w:tcPr>
          <w:p w14:paraId="07D425DA" w14:textId="77777777" w:rsidR="00FE004C" w:rsidRPr="00A17DB7" w:rsidRDefault="00FE004C" w:rsidP="00211B6D">
            <w:pPr>
              <w:pStyle w:val="MDPI42tablebody"/>
              <w:autoSpaceDE w:val="0"/>
              <w:autoSpaceDN w:val="0"/>
              <w:spacing w:line="240" w:lineRule="auto"/>
              <w:rPr>
                <w:sz w:val="16"/>
              </w:rPr>
            </w:pPr>
            <w:r w:rsidRPr="00A17DB7">
              <w:rPr>
                <w:sz w:val="16"/>
              </w:rPr>
              <w:t>1</w:t>
            </w:r>
          </w:p>
        </w:tc>
        <w:tc>
          <w:tcPr>
            <w:tcW w:w="1021" w:type="pct"/>
            <w:shd w:val="clear" w:color="auto" w:fill="auto"/>
            <w:vAlign w:val="center"/>
          </w:tcPr>
          <w:p w14:paraId="70BCD2F7" w14:textId="77777777" w:rsidR="00FE004C" w:rsidRPr="00A17DB7" w:rsidRDefault="00FE004C" w:rsidP="00211B6D">
            <w:pPr>
              <w:pStyle w:val="MDPI42tablebody"/>
              <w:autoSpaceDE w:val="0"/>
              <w:autoSpaceDN w:val="0"/>
              <w:spacing w:line="240" w:lineRule="auto"/>
              <w:rPr>
                <w:sz w:val="16"/>
              </w:rPr>
            </w:pPr>
            <w:r w:rsidRPr="00A17DB7">
              <w:rPr>
                <w:sz w:val="16"/>
              </w:rPr>
              <w:t>1</w:t>
            </w:r>
          </w:p>
        </w:tc>
      </w:tr>
      <w:tr w:rsidR="00FE004C" w:rsidRPr="00A17DB7" w14:paraId="1F16D238" w14:textId="77777777" w:rsidTr="00C5555B">
        <w:trPr>
          <w:jc w:val="center"/>
        </w:trPr>
        <w:tc>
          <w:tcPr>
            <w:tcW w:w="1885" w:type="pct"/>
            <w:shd w:val="clear" w:color="auto" w:fill="auto"/>
            <w:vAlign w:val="center"/>
          </w:tcPr>
          <w:p w14:paraId="00D3CA44" w14:textId="77777777" w:rsidR="00FE004C" w:rsidRPr="00A17DB7" w:rsidRDefault="00FE004C" w:rsidP="00211B6D">
            <w:pPr>
              <w:pStyle w:val="MDPI42tablebody"/>
              <w:autoSpaceDE w:val="0"/>
              <w:autoSpaceDN w:val="0"/>
              <w:spacing w:line="240" w:lineRule="auto"/>
              <w:rPr>
                <w:sz w:val="16"/>
              </w:rPr>
            </w:pPr>
            <w:r w:rsidRPr="00A17DB7">
              <w:rPr>
                <w:sz w:val="16"/>
              </w:rPr>
              <w:t>Aliphatic/aromatic</w:t>
            </w:r>
          </w:p>
        </w:tc>
        <w:tc>
          <w:tcPr>
            <w:tcW w:w="536" w:type="pct"/>
            <w:shd w:val="clear" w:color="auto" w:fill="auto"/>
            <w:vAlign w:val="center"/>
          </w:tcPr>
          <w:p w14:paraId="5803329F" w14:textId="77777777" w:rsidR="00FE004C" w:rsidRPr="00A17DB7" w:rsidRDefault="00FE004C" w:rsidP="00211B6D">
            <w:pPr>
              <w:pStyle w:val="MDPI42tablebody"/>
              <w:autoSpaceDE w:val="0"/>
              <w:autoSpaceDN w:val="0"/>
              <w:spacing w:line="240" w:lineRule="auto"/>
              <w:rPr>
                <w:sz w:val="16"/>
              </w:rPr>
            </w:pPr>
            <w:r w:rsidRPr="00A17DB7">
              <w:rPr>
                <w:sz w:val="16"/>
              </w:rPr>
              <w:t>52/48</w:t>
            </w:r>
          </w:p>
        </w:tc>
        <w:tc>
          <w:tcPr>
            <w:tcW w:w="1022" w:type="pct"/>
            <w:shd w:val="clear" w:color="auto" w:fill="auto"/>
            <w:vAlign w:val="center"/>
          </w:tcPr>
          <w:p w14:paraId="0DB9E624" w14:textId="77777777" w:rsidR="00FE004C" w:rsidRPr="00A17DB7" w:rsidRDefault="00FE004C" w:rsidP="00211B6D">
            <w:pPr>
              <w:pStyle w:val="MDPI42tablebody"/>
              <w:autoSpaceDE w:val="0"/>
              <w:autoSpaceDN w:val="0"/>
              <w:spacing w:line="240" w:lineRule="auto"/>
              <w:rPr>
                <w:sz w:val="16"/>
              </w:rPr>
            </w:pPr>
            <w:r w:rsidRPr="00A17DB7">
              <w:rPr>
                <w:sz w:val="16"/>
              </w:rPr>
              <w:t>95/5</w:t>
            </w:r>
          </w:p>
        </w:tc>
        <w:tc>
          <w:tcPr>
            <w:tcW w:w="536" w:type="pct"/>
            <w:shd w:val="clear" w:color="auto" w:fill="auto"/>
            <w:vAlign w:val="center"/>
          </w:tcPr>
          <w:p w14:paraId="2FBEB2FE" w14:textId="77777777" w:rsidR="00FE004C" w:rsidRPr="00A17DB7" w:rsidRDefault="00FE004C" w:rsidP="00211B6D">
            <w:pPr>
              <w:pStyle w:val="MDPI42tablebody"/>
              <w:autoSpaceDE w:val="0"/>
              <w:autoSpaceDN w:val="0"/>
              <w:spacing w:line="240" w:lineRule="auto"/>
              <w:rPr>
                <w:sz w:val="16"/>
              </w:rPr>
            </w:pPr>
            <w:r w:rsidRPr="00A17DB7">
              <w:rPr>
                <w:sz w:val="16"/>
              </w:rPr>
              <w:t>73/27</w:t>
            </w:r>
          </w:p>
        </w:tc>
        <w:tc>
          <w:tcPr>
            <w:tcW w:w="1021" w:type="pct"/>
            <w:shd w:val="clear" w:color="auto" w:fill="auto"/>
            <w:vAlign w:val="center"/>
          </w:tcPr>
          <w:p w14:paraId="41E591CA" w14:textId="77777777" w:rsidR="00FE004C" w:rsidRPr="00A17DB7" w:rsidRDefault="00FE004C" w:rsidP="00211B6D">
            <w:pPr>
              <w:pStyle w:val="MDPI42tablebody"/>
              <w:autoSpaceDE w:val="0"/>
              <w:autoSpaceDN w:val="0"/>
              <w:spacing w:line="240" w:lineRule="auto"/>
              <w:rPr>
                <w:sz w:val="16"/>
              </w:rPr>
            </w:pPr>
            <w:r w:rsidRPr="00A17DB7">
              <w:rPr>
                <w:sz w:val="16"/>
              </w:rPr>
              <w:t>94/6</w:t>
            </w:r>
          </w:p>
        </w:tc>
      </w:tr>
      <w:tr w:rsidR="007775E3" w:rsidRPr="00A17DB7" w14:paraId="2129AD49" w14:textId="77777777" w:rsidTr="00C5555B">
        <w:trPr>
          <w:jc w:val="center"/>
        </w:trPr>
        <w:tc>
          <w:tcPr>
            <w:tcW w:w="1885" w:type="pct"/>
            <w:shd w:val="clear" w:color="auto" w:fill="auto"/>
            <w:vAlign w:val="center"/>
          </w:tcPr>
          <w:p w14:paraId="5630DC69" w14:textId="25218A10" w:rsidR="007775E3" w:rsidRPr="00A17DB7" w:rsidRDefault="007775E3" w:rsidP="00211B6D">
            <w:pPr>
              <w:pStyle w:val="MDPI42tablebody"/>
              <w:autoSpaceDE w:val="0"/>
              <w:autoSpaceDN w:val="0"/>
              <w:spacing w:line="240" w:lineRule="auto"/>
              <w:rPr>
                <w:sz w:val="16"/>
              </w:rPr>
            </w:pPr>
            <w:r w:rsidRPr="00A17DB7">
              <w:rPr>
                <w:sz w:val="16"/>
              </w:rPr>
              <w:t>H/C</w:t>
            </w:r>
          </w:p>
        </w:tc>
        <w:tc>
          <w:tcPr>
            <w:tcW w:w="536" w:type="pct"/>
            <w:shd w:val="clear" w:color="auto" w:fill="auto"/>
            <w:vAlign w:val="center"/>
          </w:tcPr>
          <w:p w14:paraId="2B848A14" w14:textId="00BF703A" w:rsidR="007775E3" w:rsidRPr="00A17DB7" w:rsidRDefault="00DE39D0" w:rsidP="00211B6D">
            <w:pPr>
              <w:pStyle w:val="MDPI42tablebody"/>
              <w:autoSpaceDE w:val="0"/>
              <w:autoSpaceDN w:val="0"/>
              <w:spacing w:line="240" w:lineRule="auto"/>
              <w:rPr>
                <w:sz w:val="16"/>
              </w:rPr>
            </w:pPr>
            <w:r w:rsidRPr="00A17DB7">
              <w:rPr>
                <w:sz w:val="16"/>
              </w:rPr>
              <w:t>1.09</w:t>
            </w:r>
          </w:p>
        </w:tc>
        <w:tc>
          <w:tcPr>
            <w:tcW w:w="1022" w:type="pct"/>
            <w:shd w:val="clear" w:color="auto" w:fill="auto"/>
            <w:vAlign w:val="center"/>
          </w:tcPr>
          <w:p w14:paraId="16B1E441" w14:textId="07256037" w:rsidR="007775E3" w:rsidRPr="00A17DB7" w:rsidRDefault="00DE39D0" w:rsidP="00211B6D">
            <w:pPr>
              <w:pStyle w:val="MDPI42tablebody"/>
              <w:autoSpaceDE w:val="0"/>
              <w:autoSpaceDN w:val="0"/>
              <w:spacing w:line="240" w:lineRule="auto"/>
              <w:rPr>
                <w:sz w:val="16"/>
              </w:rPr>
            </w:pPr>
            <w:r w:rsidRPr="00A17DB7">
              <w:rPr>
                <w:sz w:val="16"/>
              </w:rPr>
              <w:t>1.88</w:t>
            </w:r>
          </w:p>
        </w:tc>
        <w:tc>
          <w:tcPr>
            <w:tcW w:w="536" w:type="pct"/>
            <w:shd w:val="clear" w:color="auto" w:fill="auto"/>
            <w:vAlign w:val="center"/>
          </w:tcPr>
          <w:p w14:paraId="418E53ED" w14:textId="5467D43D" w:rsidR="007775E3" w:rsidRPr="00A17DB7" w:rsidRDefault="00DE39D0" w:rsidP="00211B6D">
            <w:pPr>
              <w:pStyle w:val="MDPI42tablebody"/>
              <w:autoSpaceDE w:val="0"/>
              <w:autoSpaceDN w:val="0"/>
              <w:spacing w:line="240" w:lineRule="auto"/>
              <w:rPr>
                <w:sz w:val="16"/>
              </w:rPr>
            </w:pPr>
            <w:r w:rsidRPr="00A17DB7">
              <w:rPr>
                <w:sz w:val="16"/>
              </w:rPr>
              <w:t>1.19</w:t>
            </w:r>
          </w:p>
        </w:tc>
        <w:tc>
          <w:tcPr>
            <w:tcW w:w="1021" w:type="pct"/>
            <w:shd w:val="clear" w:color="auto" w:fill="auto"/>
            <w:vAlign w:val="center"/>
          </w:tcPr>
          <w:p w14:paraId="0C367B6D" w14:textId="1E2953BE" w:rsidR="007775E3" w:rsidRPr="00A17DB7" w:rsidRDefault="00DE39D0" w:rsidP="00211B6D">
            <w:pPr>
              <w:pStyle w:val="MDPI42tablebody"/>
              <w:autoSpaceDE w:val="0"/>
              <w:autoSpaceDN w:val="0"/>
              <w:spacing w:line="240" w:lineRule="auto"/>
              <w:rPr>
                <w:sz w:val="16"/>
              </w:rPr>
            </w:pPr>
            <w:r w:rsidRPr="00A17DB7">
              <w:rPr>
                <w:sz w:val="16"/>
              </w:rPr>
              <w:t>1.69</w:t>
            </w:r>
          </w:p>
        </w:tc>
      </w:tr>
      <w:tr w:rsidR="007775E3" w:rsidRPr="00A17DB7" w14:paraId="78D34717" w14:textId="77777777" w:rsidTr="00211B6D">
        <w:trPr>
          <w:jc w:val="center"/>
        </w:trPr>
        <w:tc>
          <w:tcPr>
            <w:tcW w:w="1885" w:type="pct"/>
            <w:tcBorders>
              <w:bottom w:val="single" w:sz="8" w:space="0" w:color="auto"/>
            </w:tcBorders>
            <w:shd w:val="clear" w:color="auto" w:fill="auto"/>
            <w:vAlign w:val="center"/>
          </w:tcPr>
          <w:p w14:paraId="683A01DE" w14:textId="21165886" w:rsidR="007775E3" w:rsidRPr="00A17DB7" w:rsidRDefault="007775E3" w:rsidP="00211B6D">
            <w:pPr>
              <w:pStyle w:val="MDPI42tablebody"/>
              <w:autoSpaceDE w:val="0"/>
              <w:autoSpaceDN w:val="0"/>
              <w:spacing w:line="240" w:lineRule="auto"/>
              <w:rPr>
                <w:sz w:val="16"/>
              </w:rPr>
            </w:pPr>
            <w:r w:rsidRPr="00A17DB7">
              <w:rPr>
                <w:sz w:val="16"/>
              </w:rPr>
              <w:t>O/C</w:t>
            </w:r>
          </w:p>
        </w:tc>
        <w:tc>
          <w:tcPr>
            <w:tcW w:w="536" w:type="pct"/>
            <w:tcBorders>
              <w:bottom w:val="single" w:sz="8" w:space="0" w:color="auto"/>
            </w:tcBorders>
            <w:shd w:val="clear" w:color="auto" w:fill="auto"/>
            <w:vAlign w:val="center"/>
          </w:tcPr>
          <w:p w14:paraId="14668D06" w14:textId="4007E5FE" w:rsidR="007775E3" w:rsidRPr="00A17DB7" w:rsidRDefault="00DE39D0" w:rsidP="00DE39D0">
            <w:pPr>
              <w:pStyle w:val="MDPI42tablebody"/>
              <w:autoSpaceDE w:val="0"/>
              <w:autoSpaceDN w:val="0"/>
              <w:spacing w:line="240" w:lineRule="auto"/>
              <w:rPr>
                <w:sz w:val="16"/>
              </w:rPr>
            </w:pPr>
            <w:r w:rsidRPr="00A17DB7">
              <w:rPr>
                <w:sz w:val="16"/>
              </w:rPr>
              <w:t>0.06</w:t>
            </w:r>
          </w:p>
        </w:tc>
        <w:tc>
          <w:tcPr>
            <w:tcW w:w="1022" w:type="pct"/>
            <w:tcBorders>
              <w:bottom w:val="single" w:sz="8" w:space="0" w:color="auto"/>
            </w:tcBorders>
            <w:shd w:val="clear" w:color="auto" w:fill="auto"/>
            <w:vAlign w:val="center"/>
          </w:tcPr>
          <w:p w14:paraId="3D3CDDD2" w14:textId="5A41E305" w:rsidR="007775E3" w:rsidRPr="00A17DB7" w:rsidRDefault="00DE39D0" w:rsidP="00211B6D">
            <w:pPr>
              <w:pStyle w:val="MDPI42tablebody"/>
              <w:autoSpaceDE w:val="0"/>
              <w:autoSpaceDN w:val="0"/>
              <w:spacing w:line="240" w:lineRule="auto"/>
              <w:rPr>
                <w:sz w:val="16"/>
              </w:rPr>
            </w:pPr>
            <w:r w:rsidRPr="00A17DB7">
              <w:rPr>
                <w:sz w:val="16"/>
              </w:rPr>
              <w:t>0.07</w:t>
            </w:r>
          </w:p>
        </w:tc>
        <w:tc>
          <w:tcPr>
            <w:tcW w:w="536" w:type="pct"/>
            <w:tcBorders>
              <w:bottom w:val="single" w:sz="8" w:space="0" w:color="auto"/>
            </w:tcBorders>
            <w:shd w:val="clear" w:color="auto" w:fill="auto"/>
            <w:vAlign w:val="center"/>
          </w:tcPr>
          <w:p w14:paraId="6316956F" w14:textId="5FE6D4B9" w:rsidR="007775E3" w:rsidRPr="00A17DB7" w:rsidRDefault="00DE39D0" w:rsidP="00211B6D">
            <w:pPr>
              <w:pStyle w:val="MDPI42tablebody"/>
              <w:autoSpaceDE w:val="0"/>
              <w:autoSpaceDN w:val="0"/>
              <w:spacing w:line="240" w:lineRule="auto"/>
              <w:rPr>
                <w:sz w:val="16"/>
              </w:rPr>
            </w:pPr>
            <w:r w:rsidRPr="00A17DB7">
              <w:rPr>
                <w:sz w:val="16"/>
              </w:rPr>
              <w:t>0.09</w:t>
            </w:r>
          </w:p>
        </w:tc>
        <w:tc>
          <w:tcPr>
            <w:tcW w:w="1021" w:type="pct"/>
            <w:tcBorders>
              <w:bottom w:val="single" w:sz="8" w:space="0" w:color="auto"/>
            </w:tcBorders>
            <w:shd w:val="clear" w:color="auto" w:fill="auto"/>
            <w:vAlign w:val="center"/>
          </w:tcPr>
          <w:p w14:paraId="746F9C7C" w14:textId="2E51E7F0" w:rsidR="007775E3" w:rsidRPr="00A17DB7" w:rsidRDefault="00DE39D0" w:rsidP="00211B6D">
            <w:pPr>
              <w:pStyle w:val="MDPI42tablebody"/>
              <w:autoSpaceDE w:val="0"/>
              <w:autoSpaceDN w:val="0"/>
              <w:spacing w:line="240" w:lineRule="auto"/>
              <w:rPr>
                <w:sz w:val="16"/>
              </w:rPr>
            </w:pPr>
            <w:r w:rsidRPr="00A17DB7">
              <w:rPr>
                <w:sz w:val="16"/>
              </w:rPr>
              <w:t>0.05</w:t>
            </w:r>
          </w:p>
        </w:tc>
      </w:tr>
    </w:tbl>
    <w:p w14:paraId="498B6E08" w14:textId="77777777" w:rsidR="00383765" w:rsidRPr="00A17DB7" w:rsidRDefault="00383765" w:rsidP="000E62AE">
      <w:pPr>
        <w:pStyle w:val="MDPI31text"/>
      </w:pPr>
    </w:p>
    <w:p w14:paraId="050911E2" w14:textId="6E9A546F" w:rsidR="00FE004C" w:rsidRPr="00A17DB7" w:rsidRDefault="002C3D8B" w:rsidP="006364B5">
      <w:pPr>
        <w:pStyle w:val="MDPI52figure"/>
        <w:ind w:left="2608"/>
        <w:jc w:val="left"/>
      </w:pPr>
      <w:r w:rsidRPr="00A17DB7">
        <w:rPr>
          <w:noProof/>
          <w:snapToGrid/>
          <w:lang w:val="ru-RU" w:eastAsia="ru-RU" w:bidi="ar-SA"/>
        </w:rPr>
        <w:drawing>
          <wp:inline distT="0" distB="0" distL="0" distR="0" wp14:anchorId="31A62434" wp14:editId="3BF12A05">
            <wp:extent cx="4393521" cy="4308653"/>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D хроматограммы.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99954" cy="4314962"/>
                    </a:xfrm>
                    <a:prstGeom prst="rect">
                      <a:avLst/>
                    </a:prstGeom>
                  </pic:spPr>
                </pic:pic>
              </a:graphicData>
            </a:graphic>
          </wp:inline>
        </w:drawing>
      </w:r>
    </w:p>
    <w:p w14:paraId="47FFD0EF" w14:textId="6C1B3B91" w:rsidR="00FE004C" w:rsidRPr="00A17DB7" w:rsidRDefault="006364B5" w:rsidP="006364B5">
      <w:pPr>
        <w:pStyle w:val="MDPI51figurecaption"/>
      </w:pPr>
      <w:r w:rsidRPr="00A17DB7">
        <w:rPr>
          <w:b/>
        </w:rPr>
        <w:t xml:space="preserve">Figure 9. </w:t>
      </w:r>
      <w:r w:rsidR="00FE004C" w:rsidRPr="00A17DB7">
        <w:t>Two-dimensional total ion chromatograms (TIC) of kerogen cracking products for the alginite-rich layers (</w:t>
      </w:r>
      <w:r w:rsidR="00FE004C" w:rsidRPr="00A17DB7">
        <w:rPr>
          <w:b/>
        </w:rPr>
        <w:t>a</w:t>
      </w:r>
      <w:r w:rsidR="00FE004C" w:rsidRPr="00A17DB7">
        <w:t>) and host rocks (</w:t>
      </w:r>
      <w:r w:rsidR="00FE004C" w:rsidRPr="00A17DB7">
        <w:rPr>
          <w:b/>
        </w:rPr>
        <w:t>b</w:t>
      </w:r>
      <w:r w:rsidR="00FE004C" w:rsidRPr="00A17DB7">
        <w:t>).</w:t>
      </w:r>
    </w:p>
    <w:p w14:paraId="3BFF45C1" w14:textId="13E099D1" w:rsidR="00FE004C" w:rsidRPr="00A17DB7" w:rsidRDefault="00FE004C" w:rsidP="00FE004C">
      <w:pPr>
        <w:pStyle w:val="MDPI23heading3"/>
      </w:pPr>
      <w:r w:rsidRPr="00A17DB7">
        <w:t>4.4.3. Isotope composition of C, N, S</w:t>
      </w:r>
    </w:p>
    <w:p w14:paraId="4B23CA4A" w14:textId="77777777" w:rsidR="00FE004C" w:rsidRPr="00A17DB7" w:rsidRDefault="00FE004C" w:rsidP="00FE004C">
      <w:pPr>
        <w:pStyle w:val="MDPI31text"/>
      </w:pPr>
      <w:r w:rsidRPr="00A17DB7">
        <w:t xml:space="preserve">Among geochemical data, isotope composition of carbon, nitrogen and sulfur in rocks is enables genesis estimation of organic matter. In Table </w:t>
      </w:r>
      <w:r w:rsidR="004C5FF2" w:rsidRPr="00A17DB7">
        <w:t>3,</w:t>
      </w:r>
      <w:r w:rsidRPr="00A17DB7">
        <w:t xml:space="preserve"> we provide the results of stable isotope studies of carbon, nitrogen and sulfur.</w:t>
      </w:r>
    </w:p>
    <w:p w14:paraId="3714562B" w14:textId="1B27D142" w:rsidR="00FE004C" w:rsidRPr="00A17DB7" w:rsidRDefault="006364B5" w:rsidP="006364B5">
      <w:pPr>
        <w:pStyle w:val="MDPI41tablecaption"/>
        <w:ind w:left="425" w:right="425"/>
        <w:jc w:val="center"/>
      </w:pPr>
      <w:r w:rsidRPr="00A17DB7">
        <w:rPr>
          <w:b/>
        </w:rPr>
        <w:t xml:space="preserve">Table 3. </w:t>
      </w:r>
      <w:r w:rsidR="00FE004C" w:rsidRPr="00A17DB7">
        <w:t>Bulk C, N and S elemental and isotope composition for the alginite-rich layers, host rocks and tuffs.</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019"/>
        <w:gridCol w:w="1681"/>
        <w:gridCol w:w="959"/>
        <w:gridCol w:w="1394"/>
        <w:gridCol w:w="917"/>
        <w:gridCol w:w="1335"/>
        <w:gridCol w:w="871"/>
        <w:gridCol w:w="1360"/>
        <w:gridCol w:w="929"/>
      </w:tblGrid>
      <w:tr w:rsidR="00FE004C" w:rsidRPr="00A17DB7" w14:paraId="1B150040" w14:textId="77777777" w:rsidTr="006364B5">
        <w:trPr>
          <w:jc w:val="center"/>
        </w:trPr>
        <w:tc>
          <w:tcPr>
            <w:tcW w:w="487" w:type="pct"/>
            <w:tcBorders>
              <w:top w:val="single" w:sz="8" w:space="0" w:color="auto"/>
              <w:bottom w:val="single" w:sz="4" w:space="0" w:color="auto"/>
              <w:right w:val="nil"/>
            </w:tcBorders>
            <w:shd w:val="clear" w:color="auto" w:fill="auto"/>
            <w:vAlign w:val="center"/>
          </w:tcPr>
          <w:p w14:paraId="223A8EEF" w14:textId="77777777" w:rsidR="00FE004C" w:rsidRPr="00A17DB7" w:rsidRDefault="00B27C8B" w:rsidP="006364B5">
            <w:pPr>
              <w:pStyle w:val="MDPI42tablebody"/>
              <w:autoSpaceDE w:val="0"/>
              <w:autoSpaceDN w:val="0"/>
              <w:spacing w:line="240" w:lineRule="auto"/>
              <w:rPr>
                <w:b/>
                <w:bCs/>
                <w:sz w:val="16"/>
              </w:rPr>
            </w:pPr>
            <w:r w:rsidRPr="00A17DB7">
              <w:rPr>
                <w:b/>
                <w:bCs/>
                <w:sz w:val="16"/>
              </w:rPr>
              <w:t>Well</w:t>
            </w:r>
          </w:p>
        </w:tc>
        <w:tc>
          <w:tcPr>
            <w:tcW w:w="803" w:type="pct"/>
            <w:tcBorders>
              <w:top w:val="single" w:sz="8" w:space="0" w:color="auto"/>
              <w:left w:val="nil"/>
              <w:bottom w:val="single" w:sz="4" w:space="0" w:color="auto"/>
              <w:right w:val="nil"/>
            </w:tcBorders>
            <w:shd w:val="clear" w:color="auto" w:fill="auto"/>
            <w:vAlign w:val="center"/>
          </w:tcPr>
          <w:p w14:paraId="3B8A1C19" w14:textId="77777777" w:rsidR="00FE004C" w:rsidRPr="00A17DB7" w:rsidRDefault="00FE004C" w:rsidP="006364B5">
            <w:pPr>
              <w:pStyle w:val="MDPI42tablebody"/>
              <w:autoSpaceDE w:val="0"/>
              <w:autoSpaceDN w:val="0"/>
              <w:spacing w:line="240" w:lineRule="auto"/>
              <w:rPr>
                <w:b/>
                <w:bCs/>
                <w:sz w:val="16"/>
              </w:rPr>
            </w:pPr>
            <w:r w:rsidRPr="00A17DB7">
              <w:rPr>
                <w:b/>
                <w:bCs/>
                <w:sz w:val="16"/>
              </w:rPr>
              <w:t>Sample</w:t>
            </w:r>
          </w:p>
        </w:tc>
        <w:tc>
          <w:tcPr>
            <w:tcW w:w="458" w:type="pct"/>
            <w:tcBorders>
              <w:top w:val="single" w:sz="8" w:space="0" w:color="auto"/>
              <w:left w:val="nil"/>
              <w:bottom w:val="single" w:sz="4" w:space="0" w:color="auto"/>
              <w:right w:val="nil"/>
            </w:tcBorders>
            <w:shd w:val="clear" w:color="auto" w:fill="auto"/>
            <w:vAlign w:val="center"/>
            <w:hideMark/>
          </w:tcPr>
          <w:p w14:paraId="3C64CA8B" w14:textId="77777777" w:rsidR="00FE004C" w:rsidRPr="00A17DB7" w:rsidRDefault="00FE004C" w:rsidP="006364B5">
            <w:pPr>
              <w:pStyle w:val="MDPI42tablebody"/>
              <w:autoSpaceDE w:val="0"/>
              <w:autoSpaceDN w:val="0"/>
              <w:spacing w:line="240" w:lineRule="auto"/>
              <w:rPr>
                <w:b/>
                <w:bCs/>
                <w:sz w:val="16"/>
              </w:rPr>
            </w:pPr>
            <w:r w:rsidRPr="00A17DB7">
              <w:rPr>
                <w:b/>
                <w:bCs/>
                <w:sz w:val="16"/>
              </w:rPr>
              <w:t>Сorg/Ntot</w:t>
            </w:r>
          </w:p>
        </w:tc>
        <w:tc>
          <w:tcPr>
            <w:tcW w:w="666" w:type="pct"/>
            <w:tcBorders>
              <w:top w:val="single" w:sz="8" w:space="0" w:color="auto"/>
              <w:left w:val="nil"/>
              <w:bottom w:val="single" w:sz="4" w:space="0" w:color="auto"/>
              <w:right w:val="nil"/>
            </w:tcBorders>
            <w:shd w:val="clear" w:color="auto" w:fill="auto"/>
            <w:vAlign w:val="center"/>
          </w:tcPr>
          <w:p w14:paraId="01BAF9B6" w14:textId="77777777" w:rsidR="00FE004C" w:rsidRPr="00A17DB7" w:rsidRDefault="00FE004C" w:rsidP="006364B5">
            <w:pPr>
              <w:pStyle w:val="MDPI42tablebody"/>
              <w:autoSpaceDE w:val="0"/>
              <w:autoSpaceDN w:val="0"/>
              <w:spacing w:line="240" w:lineRule="auto"/>
              <w:rPr>
                <w:b/>
                <w:bCs/>
                <w:sz w:val="16"/>
              </w:rPr>
            </w:pPr>
            <w:r w:rsidRPr="00A17DB7">
              <w:rPr>
                <w:b/>
                <w:bCs/>
                <w:sz w:val="16"/>
              </w:rPr>
              <w:t>δ</w:t>
            </w:r>
            <w:r w:rsidRPr="00A17DB7">
              <w:rPr>
                <w:b/>
                <w:bCs/>
                <w:sz w:val="16"/>
                <w:vertAlign w:val="superscript"/>
              </w:rPr>
              <w:t>13</w:t>
            </w:r>
            <w:r w:rsidRPr="00A17DB7">
              <w:rPr>
                <w:b/>
                <w:bCs/>
                <w:sz w:val="16"/>
              </w:rPr>
              <w:t>С</w:t>
            </w:r>
            <w:r w:rsidRPr="00A17DB7">
              <w:rPr>
                <w:b/>
                <w:bCs/>
                <w:sz w:val="16"/>
                <w:vertAlign w:val="subscript"/>
              </w:rPr>
              <w:t>org</w:t>
            </w:r>
            <w:r w:rsidRPr="00A17DB7">
              <w:rPr>
                <w:b/>
                <w:bCs/>
                <w:sz w:val="16"/>
              </w:rPr>
              <w:t>, ‰ PDB</w:t>
            </w:r>
          </w:p>
        </w:tc>
        <w:tc>
          <w:tcPr>
            <w:tcW w:w="438" w:type="pct"/>
            <w:tcBorders>
              <w:top w:val="single" w:sz="8" w:space="0" w:color="auto"/>
              <w:left w:val="nil"/>
              <w:bottom w:val="single" w:sz="4" w:space="0" w:color="auto"/>
              <w:right w:val="nil"/>
            </w:tcBorders>
            <w:shd w:val="clear" w:color="auto" w:fill="auto"/>
            <w:vAlign w:val="center"/>
          </w:tcPr>
          <w:p w14:paraId="7D0A6BF8" w14:textId="3EA8324C" w:rsidR="00FE004C" w:rsidRPr="00A17DB7" w:rsidRDefault="00FE004C" w:rsidP="006364B5">
            <w:pPr>
              <w:pStyle w:val="MDPI42tablebody"/>
              <w:autoSpaceDE w:val="0"/>
              <w:autoSpaceDN w:val="0"/>
              <w:spacing w:line="240" w:lineRule="auto"/>
              <w:rPr>
                <w:b/>
                <w:bCs/>
                <w:sz w:val="16"/>
              </w:rPr>
            </w:pPr>
            <w:r w:rsidRPr="00A17DB7">
              <w:rPr>
                <w:b/>
                <w:bCs/>
                <w:sz w:val="16"/>
              </w:rPr>
              <w:t>N</w:t>
            </w:r>
            <w:r w:rsidRPr="00A17DB7">
              <w:rPr>
                <w:b/>
                <w:bCs/>
                <w:sz w:val="16"/>
                <w:vertAlign w:val="subscript"/>
              </w:rPr>
              <w:t>tot</w:t>
            </w:r>
            <w:r w:rsidRPr="00A17DB7">
              <w:rPr>
                <w:b/>
                <w:bCs/>
                <w:sz w:val="16"/>
              </w:rPr>
              <w:t xml:space="preserve">, </w:t>
            </w:r>
            <w:r w:rsidR="00973ABA" w:rsidRPr="00A17DB7">
              <w:rPr>
                <w:b/>
                <w:bCs/>
                <w:sz w:val="16"/>
              </w:rPr>
              <w:t>wt.%</w:t>
            </w:r>
          </w:p>
        </w:tc>
        <w:tc>
          <w:tcPr>
            <w:tcW w:w="638" w:type="pct"/>
            <w:tcBorders>
              <w:top w:val="single" w:sz="8" w:space="0" w:color="auto"/>
              <w:left w:val="nil"/>
              <w:bottom w:val="single" w:sz="4" w:space="0" w:color="auto"/>
              <w:right w:val="nil"/>
            </w:tcBorders>
            <w:shd w:val="clear" w:color="auto" w:fill="auto"/>
            <w:vAlign w:val="center"/>
          </w:tcPr>
          <w:p w14:paraId="13DCF36C" w14:textId="77777777" w:rsidR="00FE004C" w:rsidRPr="00A17DB7" w:rsidRDefault="00FE004C" w:rsidP="006364B5">
            <w:pPr>
              <w:pStyle w:val="MDPI42tablebody"/>
              <w:autoSpaceDE w:val="0"/>
              <w:autoSpaceDN w:val="0"/>
              <w:spacing w:line="240" w:lineRule="auto"/>
              <w:rPr>
                <w:b/>
                <w:bCs/>
                <w:sz w:val="16"/>
              </w:rPr>
            </w:pPr>
            <w:r w:rsidRPr="00A17DB7">
              <w:rPr>
                <w:b/>
                <w:bCs/>
                <w:sz w:val="16"/>
              </w:rPr>
              <w:t>δ</w:t>
            </w:r>
            <w:r w:rsidRPr="00A17DB7">
              <w:rPr>
                <w:b/>
                <w:bCs/>
                <w:sz w:val="16"/>
                <w:vertAlign w:val="superscript"/>
              </w:rPr>
              <w:t>15</w:t>
            </w:r>
            <w:r w:rsidRPr="00A17DB7">
              <w:rPr>
                <w:b/>
                <w:bCs/>
                <w:sz w:val="16"/>
              </w:rPr>
              <w:t>N</w:t>
            </w:r>
            <w:r w:rsidRPr="00A17DB7">
              <w:rPr>
                <w:b/>
                <w:bCs/>
                <w:sz w:val="16"/>
                <w:vertAlign w:val="subscript"/>
              </w:rPr>
              <w:t>tot</w:t>
            </w:r>
            <w:r w:rsidRPr="00A17DB7">
              <w:rPr>
                <w:b/>
                <w:bCs/>
                <w:sz w:val="16"/>
              </w:rPr>
              <w:t>, ‰ AIR</w:t>
            </w:r>
          </w:p>
        </w:tc>
        <w:tc>
          <w:tcPr>
            <w:tcW w:w="416" w:type="pct"/>
            <w:tcBorders>
              <w:top w:val="single" w:sz="8" w:space="0" w:color="auto"/>
              <w:left w:val="nil"/>
              <w:bottom w:val="single" w:sz="4" w:space="0" w:color="auto"/>
              <w:right w:val="nil"/>
            </w:tcBorders>
            <w:shd w:val="clear" w:color="auto" w:fill="auto"/>
            <w:vAlign w:val="center"/>
          </w:tcPr>
          <w:p w14:paraId="1E73370D" w14:textId="559E57DD" w:rsidR="00FE004C" w:rsidRPr="00A17DB7" w:rsidRDefault="00FE004C" w:rsidP="006364B5">
            <w:pPr>
              <w:pStyle w:val="MDPI42tablebody"/>
              <w:autoSpaceDE w:val="0"/>
              <w:autoSpaceDN w:val="0"/>
              <w:spacing w:line="240" w:lineRule="auto"/>
              <w:rPr>
                <w:b/>
                <w:bCs/>
                <w:sz w:val="16"/>
              </w:rPr>
            </w:pPr>
            <w:r w:rsidRPr="00A17DB7">
              <w:rPr>
                <w:b/>
                <w:bCs/>
                <w:sz w:val="16"/>
              </w:rPr>
              <w:t>S</w:t>
            </w:r>
            <w:r w:rsidRPr="00A17DB7">
              <w:rPr>
                <w:b/>
                <w:bCs/>
                <w:sz w:val="16"/>
                <w:vertAlign w:val="subscript"/>
              </w:rPr>
              <w:t>tot</w:t>
            </w:r>
            <w:r w:rsidRPr="00A17DB7">
              <w:rPr>
                <w:b/>
                <w:bCs/>
                <w:sz w:val="16"/>
              </w:rPr>
              <w:t xml:space="preserve">, </w:t>
            </w:r>
            <w:r w:rsidR="00973ABA" w:rsidRPr="00A17DB7">
              <w:rPr>
                <w:b/>
                <w:bCs/>
                <w:sz w:val="16"/>
              </w:rPr>
              <w:t>wt.%</w:t>
            </w:r>
          </w:p>
        </w:tc>
        <w:tc>
          <w:tcPr>
            <w:tcW w:w="650" w:type="pct"/>
            <w:tcBorders>
              <w:top w:val="single" w:sz="8" w:space="0" w:color="auto"/>
              <w:left w:val="nil"/>
              <w:bottom w:val="single" w:sz="4" w:space="0" w:color="auto"/>
              <w:right w:val="nil"/>
            </w:tcBorders>
            <w:shd w:val="clear" w:color="auto" w:fill="auto"/>
            <w:vAlign w:val="center"/>
          </w:tcPr>
          <w:p w14:paraId="4513A5C5" w14:textId="77777777" w:rsidR="00FE004C" w:rsidRPr="00A17DB7" w:rsidRDefault="00FE004C" w:rsidP="006364B5">
            <w:pPr>
              <w:pStyle w:val="MDPI42tablebody"/>
              <w:autoSpaceDE w:val="0"/>
              <w:autoSpaceDN w:val="0"/>
              <w:spacing w:line="240" w:lineRule="auto"/>
              <w:rPr>
                <w:b/>
                <w:bCs/>
                <w:sz w:val="16"/>
              </w:rPr>
            </w:pPr>
            <w:r w:rsidRPr="00A17DB7">
              <w:rPr>
                <w:b/>
                <w:bCs/>
                <w:sz w:val="16"/>
              </w:rPr>
              <w:t>δ</w:t>
            </w:r>
            <w:r w:rsidRPr="00A17DB7">
              <w:rPr>
                <w:b/>
                <w:bCs/>
                <w:sz w:val="16"/>
                <w:vertAlign w:val="superscript"/>
              </w:rPr>
              <w:t>34</w:t>
            </w:r>
            <w:r w:rsidRPr="00A17DB7">
              <w:rPr>
                <w:b/>
                <w:bCs/>
                <w:sz w:val="16"/>
              </w:rPr>
              <w:t>S</w:t>
            </w:r>
            <w:r w:rsidRPr="00A17DB7">
              <w:rPr>
                <w:b/>
                <w:bCs/>
                <w:sz w:val="16"/>
                <w:vertAlign w:val="subscript"/>
              </w:rPr>
              <w:t>tot</w:t>
            </w:r>
            <w:r w:rsidRPr="00A17DB7">
              <w:rPr>
                <w:b/>
                <w:bCs/>
                <w:sz w:val="16"/>
              </w:rPr>
              <w:t>, ‰ CDT</w:t>
            </w:r>
          </w:p>
        </w:tc>
        <w:tc>
          <w:tcPr>
            <w:tcW w:w="444" w:type="pct"/>
            <w:tcBorders>
              <w:top w:val="single" w:sz="8" w:space="0" w:color="auto"/>
              <w:left w:val="nil"/>
              <w:bottom w:val="single" w:sz="4" w:space="0" w:color="auto"/>
              <w:right w:val="nil"/>
            </w:tcBorders>
            <w:shd w:val="clear" w:color="auto" w:fill="auto"/>
            <w:vAlign w:val="center"/>
          </w:tcPr>
          <w:p w14:paraId="1DCB4B50" w14:textId="369D935A" w:rsidR="00FE004C" w:rsidRPr="00A17DB7" w:rsidRDefault="00FE004C" w:rsidP="006364B5">
            <w:pPr>
              <w:pStyle w:val="MDPI42tablebody"/>
              <w:autoSpaceDE w:val="0"/>
              <w:autoSpaceDN w:val="0"/>
              <w:spacing w:line="240" w:lineRule="auto"/>
              <w:rPr>
                <w:b/>
                <w:bCs/>
                <w:sz w:val="16"/>
              </w:rPr>
            </w:pPr>
            <w:r w:rsidRPr="00A17DB7">
              <w:rPr>
                <w:b/>
                <w:bCs/>
                <w:sz w:val="16"/>
              </w:rPr>
              <w:t>C</w:t>
            </w:r>
            <w:r w:rsidRPr="00A17DB7">
              <w:rPr>
                <w:b/>
                <w:bCs/>
                <w:sz w:val="16"/>
                <w:vertAlign w:val="subscript"/>
              </w:rPr>
              <w:t>org</w:t>
            </w:r>
            <w:r w:rsidRPr="00A17DB7">
              <w:rPr>
                <w:b/>
                <w:bCs/>
                <w:sz w:val="16"/>
              </w:rPr>
              <w:t xml:space="preserve">, </w:t>
            </w:r>
            <w:r w:rsidR="00973ABA" w:rsidRPr="00A17DB7">
              <w:rPr>
                <w:b/>
                <w:bCs/>
                <w:sz w:val="16"/>
              </w:rPr>
              <w:t>wt.%</w:t>
            </w:r>
          </w:p>
        </w:tc>
      </w:tr>
      <w:tr w:rsidR="00FE004C" w:rsidRPr="00A17DB7" w14:paraId="5C570083" w14:textId="77777777" w:rsidTr="006364B5">
        <w:trPr>
          <w:jc w:val="center"/>
        </w:trPr>
        <w:tc>
          <w:tcPr>
            <w:tcW w:w="487" w:type="pct"/>
            <w:vMerge w:val="restart"/>
            <w:tcBorders>
              <w:top w:val="single" w:sz="4" w:space="0" w:color="auto"/>
              <w:bottom w:val="nil"/>
            </w:tcBorders>
            <w:shd w:val="clear" w:color="auto" w:fill="auto"/>
            <w:vAlign w:val="center"/>
            <w:hideMark/>
          </w:tcPr>
          <w:p w14:paraId="0FB755F8" w14:textId="77777777" w:rsidR="00FE004C" w:rsidRPr="00A17DB7" w:rsidRDefault="00FE004C" w:rsidP="006364B5">
            <w:pPr>
              <w:autoSpaceDE w:val="0"/>
              <w:autoSpaceDN w:val="0"/>
              <w:adjustRightInd w:val="0"/>
              <w:snapToGrid w:val="0"/>
              <w:spacing w:line="240" w:lineRule="auto"/>
              <w:jc w:val="center"/>
              <w:rPr>
                <w:sz w:val="16"/>
              </w:rPr>
            </w:pPr>
            <w:r w:rsidRPr="00A17DB7">
              <w:rPr>
                <w:sz w:val="16"/>
              </w:rPr>
              <w:t>V-K81</w:t>
            </w:r>
          </w:p>
        </w:tc>
        <w:tc>
          <w:tcPr>
            <w:tcW w:w="803" w:type="pct"/>
            <w:tcBorders>
              <w:top w:val="single" w:sz="4" w:space="0" w:color="auto"/>
              <w:bottom w:val="nil"/>
            </w:tcBorders>
            <w:shd w:val="clear" w:color="auto" w:fill="auto"/>
            <w:vAlign w:val="center"/>
            <w:hideMark/>
          </w:tcPr>
          <w:p w14:paraId="0769BFD9" w14:textId="77777777" w:rsidR="00FE004C" w:rsidRPr="00A17DB7" w:rsidRDefault="00FE004C" w:rsidP="006364B5">
            <w:pPr>
              <w:autoSpaceDE w:val="0"/>
              <w:autoSpaceDN w:val="0"/>
              <w:adjustRightInd w:val="0"/>
              <w:snapToGrid w:val="0"/>
              <w:spacing w:line="240" w:lineRule="auto"/>
              <w:jc w:val="center"/>
              <w:rPr>
                <w:sz w:val="16"/>
              </w:rPr>
            </w:pPr>
            <w:r w:rsidRPr="00A17DB7">
              <w:rPr>
                <w:sz w:val="16"/>
              </w:rPr>
              <w:t>Alginite-rich layer</w:t>
            </w:r>
          </w:p>
        </w:tc>
        <w:tc>
          <w:tcPr>
            <w:tcW w:w="458" w:type="pct"/>
            <w:tcBorders>
              <w:top w:val="single" w:sz="4" w:space="0" w:color="auto"/>
              <w:bottom w:val="nil"/>
            </w:tcBorders>
            <w:shd w:val="clear" w:color="auto" w:fill="auto"/>
            <w:vAlign w:val="center"/>
          </w:tcPr>
          <w:p w14:paraId="7EF19682" w14:textId="77777777" w:rsidR="00FE004C" w:rsidRPr="00A17DB7" w:rsidRDefault="00FE004C" w:rsidP="006364B5">
            <w:pPr>
              <w:autoSpaceDE w:val="0"/>
              <w:autoSpaceDN w:val="0"/>
              <w:adjustRightInd w:val="0"/>
              <w:snapToGrid w:val="0"/>
              <w:spacing w:line="240" w:lineRule="auto"/>
              <w:jc w:val="center"/>
              <w:rPr>
                <w:sz w:val="16"/>
              </w:rPr>
            </w:pPr>
            <w:r w:rsidRPr="00A17DB7">
              <w:rPr>
                <w:sz w:val="16"/>
              </w:rPr>
              <w:t>93.37</w:t>
            </w:r>
          </w:p>
        </w:tc>
        <w:tc>
          <w:tcPr>
            <w:tcW w:w="666" w:type="pct"/>
            <w:tcBorders>
              <w:top w:val="single" w:sz="4" w:space="0" w:color="auto"/>
              <w:bottom w:val="nil"/>
            </w:tcBorders>
            <w:shd w:val="clear" w:color="auto" w:fill="auto"/>
            <w:vAlign w:val="center"/>
          </w:tcPr>
          <w:p w14:paraId="1527FFA7" w14:textId="45BC86AF" w:rsidR="00FE004C" w:rsidRPr="00A17DB7" w:rsidRDefault="006364B5" w:rsidP="006364B5">
            <w:pPr>
              <w:autoSpaceDE w:val="0"/>
              <w:autoSpaceDN w:val="0"/>
              <w:adjustRightInd w:val="0"/>
              <w:snapToGrid w:val="0"/>
              <w:spacing w:line="240" w:lineRule="auto"/>
              <w:jc w:val="center"/>
              <w:rPr>
                <w:sz w:val="16"/>
              </w:rPr>
            </w:pPr>
            <w:r w:rsidRPr="00A17DB7">
              <w:rPr>
                <w:sz w:val="16"/>
              </w:rPr>
              <w:t>−</w:t>
            </w:r>
            <w:r w:rsidR="00FE004C" w:rsidRPr="00A17DB7">
              <w:rPr>
                <w:sz w:val="16"/>
              </w:rPr>
              <w:t>31.5</w:t>
            </w:r>
          </w:p>
        </w:tc>
        <w:tc>
          <w:tcPr>
            <w:tcW w:w="438" w:type="pct"/>
            <w:tcBorders>
              <w:top w:val="single" w:sz="4" w:space="0" w:color="auto"/>
              <w:bottom w:val="nil"/>
            </w:tcBorders>
            <w:shd w:val="clear" w:color="auto" w:fill="auto"/>
            <w:vAlign w:val="center"/>
          </w:tcPr>
          <w:p w14:paraId="3A87580D" w14:textId="77777777" w:rsidR="00FE004C" w:rsidRPr="00A17DB7" w:rsidRDefault="00FE004C" w:rsidP="006364B5">
            <w:pPr>
              <w:autoSpaceDE w:val="0"/>
              <w:autoSpaceDN w:val="0"/>
              <w:adjustRightInd w:val="0"/>
              <w:snapToGrid w:val="0"/>
              <w:spacing w:line="240" w:lineRule="auto"/>
              <w:jc w:val="center"/>
              <w:rPr>
                <w:sz w:val="16"/>
              </w:rPr>
            </w:pPr>
            <w:r w:rsidRPr="00A17DB7">
              <w:rPr>
                <w:sz w:val="16"/>
              </w:rPr>
              <w:t>0.21</w:t>
            </w:r>
          </w:p>
        </w:tc>
        <w:tc>
          <w:tcPr>
            <w:tcW w:w="638" w:type="pct"/>
            <w:tcBorders>
              <w:top w:val="single" w:sz="4" w:space="0" w:color="auto"/>
              <w:bottom w:val="nil"/>
            </w:tcBorders>
            <w:shd w:val="clear" w:color="auto" w:fill="auto"/>
            <w:vAlign w:val="center"/>
          </w:tcPr>
          <w:p w14:paraId="7549AEE8" w14:textId="77777777" w:rsidR="00FE004C" w:rsidRPr="00A17DB7" w:rsidRDefault="00FE004C" w:rsidP="006364B5">
            <w:pPr>
              <w:autoSpaceDE w:val="0"/>
              <w:autoSpaceDN w:val="0"/>
              <w:adjustRightInd w:val="0"/>
              <w:snapToGrid w:val="0"/>
              <w:spacing w:line="240" w:lineRule="auto"/>
              <w:jc w:val="center"/>
              <w:rPr>
                <w:sz w:val="16"/>
              </w:rPr>
            </w:pPr>
            <w:r w:rsidRPr="00A17DB7">
              <w:rPr>
                <w:sz w:val="16"/>
              </w:rPr>
              <w:t>5.9</w:t>
            </w:r>
          </w:p>
        </w:tc>
        <w:tc>
          <w:tcPr>
            <w:tcW w:w="416" w:type="pct"/>
            <w:tcBorders>
              <w:top w:val="single" w:sz="4" w:space="0" w:color="auto"/>
              <w:bottom w:val="nil"/>
            </w:tcBorders>
            <w:shd w:val="clear" w:color="auto" w:fill="auto"/>
            <w:vAlign w:val="center"/>
          </w:tcPr>
          <w:p w14:paraId="26C7DF5D" w14:textId="77777777" w:rsidR="00FE004C" w:rsidRPr="00A17DB7" w:rsidRDefault="00FE004C" w:rsidP="006364B5">
            <w:pPr>
              <w:autoSpaceDE w:val="0"/>
              <w:autoSpaceDN w:val="0"/>
              <w:adjustRightInd w:val="0"/>
              <w:snapToGrid w:val="0"/>
              <w:spacing w:line="240" w:lineRule="auto"/>
              <w:jc w:val="center"/>
              <w:rPr>
                <w:sz w:val="16"/>
              </w:rPr>
            </w:pPr>
            <w:r w:rsidRPr="00A17DB7">
              <w:rPr>
                <w:sz w:val="16"/>
              </w:rPr>
              <w:t>2.31</w:t>
            </w:r>
          </w:p>
        </w:tc>
        <w:tc>
          <w:tcPr>
            <w:tcW w:w="650" w:type="pct"/>
            <w:tcBorders>
              <w:top w:val="single" w:sz="4" w:space="0" w:color="auto"/>
              <w:bottom w:val="nil"/>
            </w:tcBorders>
            <w:shd w:val="clear" w:color="auto" w:fill="auto"/>
            <w:vAlign w:val="center"/>
          </w:tcPr>
          <w:p w14:paraId="5CD0A79C" w14:textId="313BB85A" w:rsidR="00FE004C" w:rsidRPr="00A17DB7" w:rsidRDefault="006364B5" w:rsidP="006364B5">
            <w:pPr>
              <w:autoSpaceDE w:val="0"/>
              <w:autoSpaceDN w:val="0"/>
              <w:adjustRightInd w:val="0"/>
              <w:snapToGrid w:val="0"/>
              <w:spacing w:line="240" w:lineRule="auto"/>
              <w:jc w:val="center"/>
              <w:rPr>
                <w:sz w:val="16"/>
              </w:rPr>
            </w:pPr>
            <w:r w:rsidRPr="00A17DB7">
              <w:rPr>
                <w:sz w:val="16"/>
              </w:rPr>
              <w:t>−</w:t>
            </w:r>
            <w:r w:rsidR="00FE004C" w:rsidRPr="00A17DB7">
              <w:rPr>
                <w:sz w:val="16"/>
              </w:rPr>
              <w:t>6.0</w:t>
            </w:r>
          </w:p>
        </w:tc>
        <w:tc>
          <w:tcPr>
            <w:tcW w:w="444" w:type="pct"/>
            <w:tcBorders>
              <w:top w:val="single" w:sz="4" w:space="0" w:color="auto"/>
              <w:bottom w:val="nil"/>
            </w:tcBorders>
            <w:shd w:val="clear" w:color="auto" w:fill="auto"/>
            <w:vAlign w:val="center"/>
          </w:tcPr>
          <w:p w14:paraId="4BBAE7AF" w14:textId="77777777" w:rsidR="00FE004C" w:rsidRPr="00A17DB7" w:rsidRDefault="00FE004C" w:rsidP="006364B5">
            <w:pPr>
              <w:autoSpaceDE w:val="0"/>
              <w:autoSpaceDN w:val="0"/>
              <w:adjustRightInd w:val="0"/>
              <w:snapToGrid w:val="0"/>
              <w:spacing w:line="240" w:lineRule="auto"/>
              <w:jc w:val="center"/>
              <w:rPr>
                <w:sz w:val="16"/>
              </w:rPr>
            </w:pPr>
            <w:r w:rsidRPr="00A17DB7">
              <w:rPr>
                <w:sz w:val="16"/>
              </w:rPr>
              <w:t>22.12</w:t>
            </w:r>
          </w:p>
        </w:tc>
      </w:tr>
      <w:tr w:rsidR="00FE004C" w:rsidRPr="00A17DB7" w14:paraId="2F46A4A8" w14:textId="77777777" w:rsidTr="006364B5">
        <w:trPr>
          <w:jc w:val="center"/>
        </w:trPr>
        <w:tc>
          <w:tcPr>
            <w:tcW w:w="487" w:type="pct"/>
            <w:vMerge/>
            <w:tcBorders>
              <w:top w:val="nil"/>
              <w:bottom w:val="single" w:sz="4" w:space="0" w:color="auto"/>
            </w:tcBorders>
            <w:shd w:val="clear" w:color="auto" w:fill="auto"/>
            <w:vAlign w:val="center"/>
            <w:hideMark/>
          </w:tcPr>
          <w:p w14:paraId="10BB7690" w14:textId="77777777" w:rsidR="00FE004C" w:rsidRPr="00A17DB7" w:rsidRDefault="00FE004C" w:rsidP="006364B5">
            <w:pPr>
              <w:pStyle w:val="MDPI42tablebody"/>
              <w:autoSpaceDE w:val="0"/>
              <w:autoSpaceDN w:val="0"/>
              <w:spacing w:line="240" w:lineRule="auto"/>
              <w:rPr>
                <w:sz w:val="16"/>
              </w:rPr>
            </w:pPr>
          </w:p>
        </w:tc>
        <w:tc>
          <w:tcPr>
            <w:tcW w:w="803" w:type="pct"/>
            <w:tcBorders>
              <w:top w:val="nil"/>
              <w:bottom w:val="single" w:sz="4" w:space="0" w:color="auto"/>
            </w:tcBorders>
            <w:shd w:val="clear" w:color="auto" w:fill="auto"/>
            <w:vAlign w:val="center"/>
            <w:hideMark/>
          </w:tcPr>
          <w:p w14:paraId="02C0250B" w14:textId="77777777" w:rsidR="00FE004C" w:rsidRPr="00A17DB7" w:rsidRDefault="00FE004C" w:rsidP="006364B5">
            <w:pPr>
              <w:pStyle w:val="MDPI42tablebody"/>
              <w:autoSpaceDE w:val="0"/>
              <w:autoSpaceDN w:val="0"/>
              <w:spacing w:line="240" w:lineRule="auto"/>
              <w:rPr>
                <w:sz w:val="16"/>
              </w:rPr>
            </w:pPr>
            <w:r w:rsidRPr="00A17DB7">
              <w:rPr>
                <w:sz w:val="16"/>
              </w:rPr>
              <w:t>Host rock</w:t>
            </w:r>
          </w:p>
        </w:tc>
        <w:tc>
          <w:tcPr>
            <w:tcW w:w="458" w:type="pct"/>
            <w:tcBorders>
              <w:top w:val="nil"/>
              <w:bottom w:val="single" w:sz="4" w:space="0" w:color="auto"/>
            </w:tcBorders>
            <w:shd w:val="clear" w:color="auto" w:fill="auto"/>
            <w:vAlign w:val="center"/>
          </w:tcPr>
          <w:p w14:paraId="2059C95A" w14:textId="77777777" w:rsidR="00FE004C" w:rsidRPr="00A17DB7" w:rsidRDefault="00FE004C" w:rsidP="006364B5">
            <w:pPr>
              <w:pStyle w:val="MDPI42tablebody"/>
              <w:autoSpaceDE w:val="0"/>
              <w:autoSpaceDN w:val="0"/>
              <w:spacing w:line="240" w:lineRule="auto"/>
              <w:rPr>
                <w:sz w:val="16"/>
              </w:rPr>
            </w:pPr>
            <w:r w:rsidRPr="00A17DB7">
              <w:rPr>
                <w:sz w:val="16"/>
              </w:rPr>
              <w:t>43.84</w:t>
            </w:r>
          </w:p>
        </w:tc>
        <w:tc>
          <w:tcPr>
            <w:tcW w:w="666" w:type="pct"/>
            <w:tcBorders>
              <w:top w:val="nil"/>
              <w:bottom w:val="single" w:sz="4" w:space="0" w:color="auto"/>
            </w:tcBorders>
            <w:shd w:val="clear" w:color="auto" w:fill="auto"/>
            <w:vAlign w:val="center"/>
          </w:tcPr>
          <w:p w14:paraId="2F8E3793" w14:textId="5F8EB957" w:rsidR="00FE004C" w:rsidRPr="00A17DB7" w:rsidRDefault="006364B5" w:rsidP="006364B5">
            <w:pPr>
              <w:pStyle w:val="MDPI42tablebody"/>
              <w:autoSpaceDE w:val="0"/>
              <w:autoSpaceDN w:val="0"/>
              <w:spacing w:line="240" w:lineRule="auto"/>
              <w:rPr>
                <w:sz w:val="16"/>
              </w:rPr>
            </w:pPr>
            <w:r w:rsidRPr="00A17DB7">
              <w:rPr>
                <w:sz w:val="16"/>
              </w:rPr>
              <w:t>−</w:t>
            </w:r>
            <w:r w:rsidR="00FE004C" w:rsidRPr="00A17DB7">
              <w:rPr>
                <w:sz w:val="16"/>
              </w:rPr>
              <w:t>31.4</w:t>
            </w:r>
          </w:p>
        </w:tc>
        <w:tc>
          <w:tcPr>
            <w:tcW w:w="438" w:type="pct"/>
            <w:tcBorders>
              <w:top w:val="nil"/>
              <w:bottom w:val="single" w:sz="4" w:space="0" w:color="auto"/>
            </w:tcBorders>
            <w:shd w:val="clear" w:color="auto" w:fill="auto"/>
            <w:vAlign w:val="center"/>
          </w:tcPr>
          <w:p w14:paraId="7DF6BD84" w14:textId="77777777" w:rsidR="00FE004C" w:rsidRPr="00A17DB7" w:rsidRDefault="00FE004C" w:rsidP="006364B5">
            <w:pPr>
              <w:pStyle w:val="MDPI42tablebody"/>
              <w:autoSpaceDE w:val="0"/>
              <w:autoSpaceDN w:val="0"/>
              <w:spacing w:line="240" w:lineRule="auto"/>
              <w:rPr>
                <w:sz w:val="16"/>
              </w:rPr>
            </w:pPr>
            <w:r w:rsidRPr="00A17DB7">
              <w:rPr>
                <w:sz w:val="16"/>
              </w:rPr>
              <w:t>0.37</w:t>
            </w:r>
          </w:p>
        </w:tc>
        <w:tc>
          <w:tcPr>
            <w:tcW w:w="638" w:type="pct"/>
            <w:tcBorders>
              <w:top w:val="nil"/>
              <w:bottom w:val="single" w:sz="4" w:space="0" w:color="auto"/>
            </w:tcBorders>
            <w:shd w:val="clear" w:color="auto" w:fill="auto"/>
            <w:vAlign w:val="center"/>
          </w:tcPr>
          <w:p w14:paraId="7DD17D37" w14:textId="77777777" w:rsidR="00FE004C" w:rsidRPr="00A17DB7" w:rsidRDefault="00FE004C" w:rsidP="006364B5">
            <w:pPr>
              <w:pStyle w:val="MDPI42tablebody"/>
              <w:autoSpaceDE w:val="0"/>
              <w:autoSpaceDN w:val="0"/>
              <w:spacing w:line="240" w:lineRule="auto"/>
              <w:rPr>
                <w:sz w:val="16"/>
              </w:rPr>
            </w:pPr>
            <w:r w:rsidRPr="00A17DB7">
              <w:rPr>
                <w:sz w:val="16"/>
              </w:rPr>
              <w:t>0.9</w:t>
            </w:r>
          </w:p>
        </w:tc>
        <w:tc>
          <w:tcPr>
            <w:tcW w:w="416" w:type="pct"/>
            <w:tcBorders>
              <w:top w:val="nil"/>
              <w:bottom w:val="single" w:sz="4" w:space="0" w:color="auto"/>
            </w:tcBorders>
            <w:shd w:val="clear" w:color="auto" w:fill="auto"/>
            <w:vAlign w:val="center"/>
          </w:tcPr>
          <w:p w14:paraId="68BDA861" w14:textId="77777777" w:rsidR="00FE004C" w:rsidRPr="00A17DB7" w:rsidRDefault="00FE004C" w:rsidP="006364B5">
            <w:pPr>
              <w:pStyle w:val="MDPI42tablebody"/>
              <w:autoSpaceDE w:val="0"/>
              <w:autoSpaceDN w:val="0"/>
              <w:spacing w:line="240" w:lineRule="auto"/>
              <w:rPr>
                <w:sz w:val="16"/>
              </w:rPr>
            </w:pPr>
            <w:r w:rsidRPr="00A17DB7">
              <w:rPr>
                <w:sz w:val="16"/>
              </w:rPr>
              <w:t>4.36</w:t>
            </w:r>
          </w:p>
        </w:tc>
        <w:tc>
          <w:tcPr>
            <w:tcW w:w="650" w:type="pct"/>
            <w:tcBorders>
              <w:top w:val="nil"/>
              <w:bottom w:val="single" w:sz="4" w:space="0" w:color="auto"/>
            </w:tcBorders>
            <w:shd w:val="clear" w:color="auto" w:fill="auto"/>
            <w:vAlign w:val="center"/>
          </w:tcPr>
          <w:p w14:paraId="4EF185C0" w14:textId="3C6AAA95" w:rsidR="00FE004C" w:rsidRPr="00A17DB7" w:rsidRDefault="006364B5" w:rsidP="006364B5">
            <w:pPr>
              <w:pStyle w:val="MDPI42tablebody"/>
              <w:autoSpaceDE w:val="0"/>
              <w:autoSpaceDN w:val="0"/>
              <w:spacing w:line="240" w:lineRule="auto"/>
              <w:rPr>
                <w:sz w:val="16"/>
              </w:rPr>
            </w:pPr>
            <w:r w:rsidRPr="00A17DB7">
              <w:rPr>
                <w:sz w:val="16"/>
              </w:rPr>
              <w:t>−</w:t>
            </w:r>
            <w:r w:rsidR="00FE004C" w:rsidRPr="00A17DB7">
              <w:rPr>
                <w:sz w:val="16"/>
              </w:rPr>
              <w:t>17.3</w:t>
            </w:r>
          </w:p>
        </w:tc>
        <w:tc>
          <w:tcPr>
            <w:tcW w:w="444" w:type="pct"/>
            <w:tcBorders>
              <w:top w:val="nil"/>
              <w:bottom w:val="single" w:sz="4" w:space="0" w:color="auto"/>
            </w:tcBorders>
            <w:shd w:val="clear" w:color="auto" w:fill="auto"/>
            <w:vAlign w:val="center"/>
          </w:tcPr>
          <w:p w14:paraId="22A501E6" w14:textId="77777777" w:rsidR="00FE004C" w:rsidRPr="00A17DB7" w:rsidRDefault="00FE004C" w:rsidP="006364B5">
            <w:pPr>
              <w:pStyle w:val="MDPI42tablebody"/>
              <w:autoSpaceDE w:val="0"/>
              <w:autoSpaceDN w:val="0"/>
              <w:spacing w:line="240" w:lineRule="auto"/>
              <w:rPr>
                <w:sz w:val="16"/>
              </w:rPr>
            </w:pPr>
            <w:r w:rsidRPr="00A17DB7">
              <w:rPr>
                <w:sz w:val="16"/>
              </w:rPr>
              <w:t>17.81</w:t>
            </w:r>
          </w:p>
        </w:tc>
      </w:tr>
      <w:tr w:rsidR="00FE004C" w:rsidRPr="00A17DB7" w14:paraId="325BCEAB" w14:textId="77777777" w:rsidTr="006364B5">
        <w:trPr>
          <w:jc w:val="center"/>
        </w:trPr>
        <w:tc>
          <w:tcPr>
            <w:tcW w:w="487" w:type="pct"/>
            <w:vMerge w:val="restart"/>
            <w:tcBorders>
              <w:top w:val="single" w:sz="4" w:space="0" w:color="auto"/>
              <w:bottom w:val="nil"/>
            </w:tcBorders>
            <w:shd w:val="clear" w:color="auto" w:fill="auto"/>
            <w:vAlign w:val="center"/>
          </w:tcPr>
          <w:p w14:paraId="44277B2D"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S-O 128</w:t>
            </w:r>
          </w:p>
        </w:tc>
        <w:tc>
          <w:tcPr>
            <w:tcW w:w="803" w:type="pct"/>
            <w:tcBorders>
              <w:top w:val="single" w:sz="4" w:space="0" w:color="auto"/>
              <w:bottom w:val="nil"/>
            </w:tcBorders>
            <w:shd w:val="clear" w:color="auto" w:fill="auto"/>
            <w:vAlign w:val="center"/>
          </w:tcPr>
          <w:p w14:paraId="39AD4564"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Alginite-rich layer</w:t>
            </w:r>
          </w:p>
        </w:tc>
        <w:tc>
          <w:tcPr>
            <w:tcW w:w="458" w:type="pct"/>
            <w:tcBorders>
              <w:top w:val="single" w:sz="4" w:space="0" w:color="auto"/>
              <w:bottom w:val="nil"/>
            </w:tcBorders>
            <w:shd w:val="clear" w:color="auto" w:fill="auto"/>
            <w:vAlign w:val="center"/>
          </w:tcPr>
          <w:p w14:paraId="474BD137"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103.28</w:t>
            </w:r>
          </w:p>
        </w:tc>
        <w:tc>
          <w:tcPr>
            <w:tcW w:w="666" w:type="pct"/>
            <w:tcBorders>
              <w:top w:val="single" w:sz="4" w:space="0" w:color="auto"/>
              <w:bottom w:val="nil"/>
            </w:tcBorders>
            <w:shd w:val="clear" w:color="auto" w:fill="auto"/>
            <w:vAlign w:val="center"/>
          </w:tcPr>
          <w:p w14:paraId="42A5F430" w14:textId="3151039D" w:rsidR="00FE004C" w:rsidRPr="00A17DB7" w:rsidRDefault="006364B5"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w:t>
            </w:r>
            <w:r w:rsidR="00FE004C" w:rsidRPr="00A17DB7">
              <w:rPr>
                <w:rFonts w:ascii="Times New Roman" w:eastAsia="Times New Roman" w:hAnsi="Times New Roman"/>
                <w:sz w:val="16"/>
                <w:lang w:val="ru-RU" w:eastAsia="ru-RU"/>
              </w:rPr>
              <w:t>31.8</w:t>
            </w:r>
          </w:p>
        </w:tc>
        <w:tc>
          <w:tcPr>
            <w:tcW w:w="438" w:type="pct"/>
            <w:tcBorders>
              <w:top w:val="single" w:sz="4" w:space="0" w:color="auto"/>
              <w:bottom w:val="nil"/>
            </w:tcBorders>
            <w:shd w:val="clear" w:color="auto" w:fill="auto"/>
            <w:vAlign w:val="center"/>
          </w:tcPr>
          <w:p w14:paraId="73959AAB"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0.11</w:t>
            </w:r>
          </w:p>
        </w:tc>
        <w:tc>
          <w:tcPr>
            <w:tcW w:w="638" w:type="pct"/>
            <w:tcBorders>
              <w:top w:val="single" w:sz="4" w:space="0" w:color="auto"/>
              <w:bottom w:val="nil"/>
            </w:tcBorders>
            <w:shd w:val="clear" w:color="auto" w:fill="auto"/>
            <w:vAlign w:val="center"/>
          </w:tcPr>
          <w:p w14:paraId="4D5B8C07"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7.7</w:t>
            </w:r>
          </w:p>
        </w:tc>
        <w:tc>
          <w:tcPr>
            <w:tcW w:w="416" w:type="pct"/>
            <w:tcBorders>
              <w:top w:val="single" w:sz="4" w:space="0" w:color="auto"/>
              <w:bottom w:val="nil"/>
            </w:tcBorders>
            <w:shd w:val="clear" w:color="auto" w:fill="auto"/>
            <w:vAlign w:val="center"/>
          </w:tcPr>
          <w:p w14:paraId="4C17D6C3"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1.61</w:t>
            </w:r>
          </w:p>
        </w:tc>
        <w:tc>
          <w:tcPr>
            <w:tcW w:w="650" w:type="pct"/>
            <w:tcBorders>
              <w:top w:val="single" w:sz="4" w:space="0" w:color="auto"/>
              <w:bottom w:val="nil"/>
            </w:tcBorders>
            <w:shd w:val="clear" w:color="auto" w:fill="auto"/>
            <w:vAlign w:val="center"/>
          </w:tcPr>
          <w:p w14:paraId="4996D819" w14:textId="235AB3D5" w:rsidR="00FE004C" w:rsidRPr="00A17DB7" w:rsidRDefault="006364B5"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w:t>
            </w:r>
            <w:r w:rsidR="00FE004C" w:rsidRPr="00A17DB7">
              <w:rPr>
                <w:rFonts w:ascii="Times New Roman" w:eastAsia="Times New Roman" w:hAnsi="Times New Roman"/>
                <w:sz w:val="16"/>
                <w:lang w:val="ru-RU" w:eastAsia="ru-RU"/>
              </w:rPr>
              <w:t>18.5</w:t>
            </w:r>
          </w:p>
        </w:tc>
        <w:tc>
          <w:tcPr>
            <w:tcW w:w="444" w:type="pct"/>
            <w:tcBorders>
              <w:top w:val="single" w:sz="4" w:space="0" w:color="auto"/>
              <w:bottom w:val="nil"/>
            </w:tcBorders>
            <w:shd w:val="clear" w:color="auto" w:fill="auto"/>
            <w:vAlign w:val="center"/>
          </w:tcPr>
          <w:p w14:paraId="3AED0815"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12</w:t>
            </w:r>
            <w:r w:rsidRPr="00A17DB7">
              <w:rPr>
                <w:rFonts w:ascii="Times New Roman" w:eastAsia="Times New Roman" w:hAnsi="Times New Roman"/>
                <w:sz w:val="16"/>
                <w:lang w:eastAsia="ru-RU"/>
              </w:rPr>
              <w:t>.</w:t>
            </w:r>
            <w:r w:rsidRPr="00A17DB7">
              <w:rPr>
                <w:rFonts w:ascii="Times New Roman" w:eastAsia="Times New Roman" w:hAnsi="Times New Roman"/>
                <w:sz w:val="16"/>
                <w:lang w:val="ru-RU" w:eastAsia="ru-RU"/>
              </w:rPr>
              <w:t>20</w:t>
            </w:r>
          </w:p>
        </w:tc>
      </w:tr>
      <w:tr w:rsidR="00FE004C" w:rsidRPr="00A17DB7" w14:paraId="4B0FF531" w14:textId="77777777" w:rsidTr="006364B5">
        <w:trPr>
          <w:jc w:val="center"/>
        </w:trPr>
        <w:tc>
          <w:tcPr>
            <w:tcW w:w="487" w:type="pct"/>
            <w:vMerge/>
            <w:tcBorders>
              <w:top w:val="nil"/>
              <w:bottom w:val="single" w:sz="4" w:space="0" w:color="auto"/>
            </w:tcBorders>
            <w:shd w:val="clear" w:color="auto" w:fill="auto"/>
            <w:vAlign w:val="center"/>
          </w:tcPr>
          <w:p w14:paraId="07144314" w14:textId="77777777" w:rsidR="00FE004C" w:rsidRPr="00A17DB7" w:rsidRDefault="00FE004C" w:rsidP="006364B5">
            <w:pPr>
              <w:pStyle w:val="MDPI42tablebody"/>
              <w:autoSpaceDE w:val="0"/>
              <w:autoSpaceDN w:val="0"/>
              <w:spacing w:line="240" w:lineRule="auto"/>
              <w:rPr>
                <w:sz w:val="16"/>
              </w:rPr>
            </w:pPr>
          </w:p>
        </w:tc>
        <w:tc>
          <w:tcPr>
            <w:tcW w:w="803" w:type="pct"/>
            <w:tcBorders>
              <w:top w:val="nil"/>
              <w:bottom w:val="single" w:sz="4" w:space="0" w:color="auto"/>
            </w:tcBorders>
            <w:shd w:val="clear" w:color="auto" w:fill="auto"/>
            <w:vAlign w:val="center"/>
          </w:tcPr>
          <w:p w14:paraId="2F5DF849"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Host rock</w:t>
            </w:r>
          </w:p>
        </w:tc>
        <w:tc>
          <w:tcPr>
            <w:tcW w:w="458" w:type="pct"/>
            <w:tcBorders>
              <w:top w:val="nil"/>
              <w:bottom w:val="single" w:sz="4" w:space="0" w:color="auto"/>
            </w:tcBorders>
            <w:shd w:val="clear" w:color="auto" w:fill="auto"/>
            <w:vAlign w:val="center"/>
          </w:tcPr>
          <w:p w14:paraId="430ACDD4"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43.54</w:t>
            </w:r>
          </w:p>
        </w:tc>
        <w:tc>
          <w:tcPr>
            <w:tcW w:w="666" w:type="pct"/>
            <w:tcBorders>
              <w:top w:val="nil"/>
              <w:bottom w:val="single" w:sz="4" w:space="0" w:color="auto"/>
            </w:tcBorders>
            <w:shd w:val="clear" w:color="auto" w:fill="auto"/>
            <w:vAlign w:val="center"/>
          </w:tcPr>
          <w:p w14:paraId="10871888" w14:textId="621752FE" w:rsidR="00FE004C" w:rsidRPr="00A17DB7" w:rsidRDefault="006364B5" w:rsidP="006364B5">
            <w:pPr>
              <w:pStyle w:val="MDPI42tablebody"/>
              <w:autoSpaceDE w:val="0"/>
              <w:autoSpaceDN w:val="0"/>
              <w:spacing w:line="240" w:lineRule="auto"/>
              <w:rPr>
                <w:sz w:val="16"/>
              </w:rPr>
            </w:pPr>
            <w:r w:rsidRPr="00A17DB7">
              <w:rPr>
                <w:rFonts w:ascii="Times New Roman" w:hAnsi="Times New Roman"/>
                <w:sz w:val="16"/>
                <w:lang w:val="ru-RU" w:eastAsia="ru-RU"/>
              </w:rPr>
              <w:t>−</w:t>
            </w:r>
            <w:r w:rsidR="00FE004C" w:rsidRPr="00A17DB7">
              <w:rPr>
                <w:rFonts w:ascii="Times New Roman" w:hAnsi="Times New Roman"/>
                <w:sz w:val="16"/>
                <w:lang w:val="ru-RU" w:eastAsia="ru-RU"/>
              </w:rPr>
              <w:t>30.5</w:t>
            </w:r>
          </w:p>
        </w:tc>
        <w:tc>
          <w:tcPr>
            <w:tcW w:w="438" w:type="pct"/>
            <w:tcBorders>
              <w:top w:val="nil"/>
              <w:bottom w:val="single" w:sz="4" w:space="0" w:color="auto"/>
            </w:tcBorders>
            <w:shd w:val="clear" w:color="auto" w:fill="auto"/>
            <w:vAlign w:val="center"/>
          </w:tcPr>
          <w:p w14:paraId="29C4DD11"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0.34</w:t>
            </w:r>
          </w:p>
        </w:tc>
        <w:tc>
          <w:tcPr>
            <w:tcW w:w="638" w:type="pct"/>
            <w:tcBorders>
              <w:top w:val="nil"/>
              <w:bottom w:val="single" w:sz="4" w:space="0" w:color="auto"/>
            </w:tcBorders>
            <w:shd w:val="clear" w:color="auto" w:fill="auto"/>
            <w:vAlign w:val="center"/>
          </w:tcPr>
          <w:p w14:paraId="0061AFD8"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3.2</w:t>
            </w:r>
          </w:p>
        </w:tc>
        <w:tc>
          <w:tcPr>
            <w:tcW w:w="416" w:type="pct"/>
            <w:tcBorders>
              <w:top w:val="nil"/>
              <w:bottom w:val="single" w:sz="4" w:space="0" w:color="auto"/>
            </w:tcBorders>
            <w:shd w:val="clear" w:color="auto" w:fill="auto"/>
            <w:vAlign w:val="center"/>
          </w:tcPr>
          <w:p w14:paraId="3EA39CB4"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3.71</w:t>
            </w:r>
          </w:p>
        </w:tc>
        <w:tc>
          <w:tcPr>
            <w:tcW w:w="650" w:type="pct"/>
            <w:tcBorders>
              <w:top w:val="nil"/>
              <w:bottom w:val="single" w:sz="4" w:space="0" w:color="auto"/>
            </w:tcBorders>
            <w:shd w:val="clear" w:color="auto" w:fill="auto"/>
            <w:vAlign w:val="center"/>
          </w:tcPr>
          <w:p w14:paraId="25BF77D1" w14:textId="775614FC" w:rsidR="00FE004C" w:rsidRPr="00A17DB7" w:rsidRDefault="006364B5" w:rsidP="006364B5">
            <w:pPr>
              <w:pStyle w:val="MDPI42tablebody"/>
              <w:autoSpaceDE w:val="0"/>
              <w:autoSpaceDN w:val="0"/>
              <w:spacing w:line="240" w:lineRule="auto"/>
              <w:rPr>
                <w:sz w:val="16"/>
              </w:rPr>
            </w:pPr>
            <w:r w:rsidRPr="00A17DB7">
              <w:rPr>
                <w:rFonts w:ascii="Times New Roman" w:hAnsi="Times New Roman"/>
                <w:sz w:val="16"/>
                <w:lang w:val="ru-RU" w:eastAsia="ru-RU"/>
              </w:rPr>
              <w:t>−</w:t>
            </w:r>
            <w:r w:rsidR="00FE004C" w:rsidRPr="00A17DB7">
              <w:rPr>
                <w:rFonts w:ascii="Times New Roman" w:hAnsi="Times New Roman"/>
                <w:sz w:val="16"/>
                <w:lang w:val="ru-RU" w:eastAsia="ru-RU"/>
              </w:rPr>
              <w:t>24.9</w:t>
            </w:r>
          </w:p>
        </w:tc>
        <w:tc>
          <w:tcPr>
            <w:tcW w:w="444" w:type="pct"/>
            <w:tcBorders>
              <w:top w:val="nil"/>
              <w:bottom w:val="single" w:sz="4" w:space="0" w:color="auto"/>
            </w:tcBorders>
            <w:shd w:val="clear" w:color="auto" w:fill="auto"/>
            <w:vAlign w:val="center"/>
          </w:tcPr>
          <w:p w14:paraId="3D64474C"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12.30</w:t>
            </w:r>
          </w:p>
        </w:tc>
      </w:tr>
      <w:tr w:rsidR="00FE004C" w:rsidRPr="00A17DB7" w14:paraId="380C5095" w14:textId="77777777" w:rsidTr="006364B5">
        <w:trPr>
          <w:jc w:val="center"/>
        </w:trPr>
        <w:tc>
          <w:tcPr>
            <w:tcW w:w="487" w:type="pct"/>
            <w:vMerge w:val="restart"/>
            <w:tcBorders>
              <w:top w:val="single" w:sz="4" w:space="0" w:color="auto"/>
              <w:bottom w:val="nil"/>
            </w:tcBorders>
            <w:shd w:val="clear" w:color="auto" w:fill="auto"/>
            <w:vAlign w:val="center"/>
          </w:tcPr>
          <w:p w14:paraId="3E3E36B0"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lastRenderedPageBreak/>
              <w:t>V-I 301</w:t>
            </w:r>
          </w:p>
        </w:tc>
        <w:tc>
          <w:tcPr>
            <w:tcW w:w="803" w:type="pct"/>
            <w:tcBorders>
              <w:top w:val="single" w:sz="4" w:space="0" w:color="auto"/>
              <w:bottom w:val="nil"/>
            </w:tcBorders>
            <w:shd w:val="clear" w:color="auto" w:fill="auto"/>
            <w:vAlign w:val="center"/>
          </w:tcPr>
          <w:p w14:paraId="73C4C843"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Alginite-rich layer</w:t>
            </w:r>
          </w:p>
        </w:tc>
        <w:tc>
          <w:tcPr>
            <w:tcW w:w="458" w:type="pct"/>
            <w:tcBorders>
              <w:top w:val="single" w:sz="4" w:space="0" w:color="auto"/>
              <w:bottom w:val="nil"/>
            </w:tcBorders>
            <w:shd w:val="clear" w:color="auto" w:fill="auto"/>
            <w:vAlign w:val="center"/>
          </w:tcPr>
          <w:p w14:paraId="5F43B9BC"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109.57</w:t>
            </w:r>
          </w:p>
        </w:tc>
        <w:tc>
          <w:tcPr>
            <w:tcW w:w="666" w:type="pct"/>
            <w:tcBorders>
              <w:top w:val="single" w:sz="4" w:space="0" w:color="auto"/>
              <w:bottom w:val="nil"/>
            </w:tcBorders>
            <w:shd w:val="clear" w:color="auto" w:fill="auto"/>
            <w:vAlign w:val="center"/>
          </w:tcPr>
          <w:p w14:paraId="443943D4" w14:textId="31227FB5" w:rsidR="00FE004C" w:rsidRPr="00A17DB7" w:rsidRDefault="006364B5"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w:t>
            </w:r>
            <w:r w:rsidR="00FE004C" w:rsidRPr="00A17DB7">
              <w:rPr>
                <w:rFonts w:ascii="Times New Roman" w:eastAsia="Times New Roman" w:hAnsi="Times New Roman"/>
                <w:sz w:val="16"/>
                <w:lang w:val="ru-RU" w:eastAsia="ru-RU"/>
              </w:rPr>
              <w:t>31.8</w:t>
            </w:r>
          </w:p>
        </w:tc>
        <w:tc>
          <w:tcPr>
            <w:tcW w:w="438" w:type="pct"/>
            <w:tcBorders>
              <w:top w:val="single" w:sz="4" w:space="0" w:color="auto"/>
              <w:bottom w:val="nil"/>
            </w:tcBorders>
            <w:shd w:val="clear" w:color="auto" w:fill="auto"/>
            <w:vAlign w:val="center"/>
          </w:tcPr>
          <w:p w14:paraId="63EBF062"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0.07</w:t>
            </w:r>
          </w:p>
        </w:tc>
        <w:tc>
          <w:tcPr>
            <w:tcW w:w="638" w:type="pct"/>
            <w:tcBorders>
              <w:top w:val="single" w:sz="4" w:space="0" w:color="auto"/>
              <w:bottom w:val="nil"/>
            </w:tcBorders>
            <w:shd w:val="clear" w:color="auto" w:fill="auto"/>
            <w:vAlign w:val="center"/>
          </w:tcPr>
          <w:p w14:paraId="6D71CDAB"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17.5</w:t>
            </w:r>
          </w:p>
        </w:tc>
        <w:tc>
          <w:tcPr>
            <w:tcW w:w="416" w:type="pct"/>
            <w:tcBorders>
              <w:top w:val="single" w:sz="4" w:space="0" w:color="auto"/>
              <w:bottom w:val="nil"/>
            </w:tcBorders>
            <w:shd w:val="clear" w:color="auto" w:fill="auto"/>
            <w:vAlign w:val="center"/>
          </w:tcPr>
          <w:p w14:paraId="41EC12CE"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2.75</w:t>
            </w:r>
          </w:p>
        </w:tc>
        <w:tc>
          <w:tcPr>
            <w:tcW w:w="650" w:type="pct"/>
            <w:tcBorders>
              <w:top w:val="single" w:sz="4" w:space="0" w:color="auto"/>
              <w:bottom w:val="nil"/>
            </w:tcBorders>
            <w:shd w:val="clear" w:color="auto" w:fill="auto"/>
            <w:vAlign w:val="center"/>
          </w:tcPr>
          <w:p w14:paraId="189A4214" w14:textId="32EDF69C" w:rsidR="00FE004C" w:rsidRPr="00A17DB7" w:rsidRDefault="006364B5"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w:t>
            </w:r>
            <w:r w:rsidR="00FE004C" w:rsidRPr="00A17DB7">
              <w:rPr>
                <w:rFonts w:ascii="Times New Roman" w:eastAsia="Times New Roman" w:hAnsi="Times New Roman"/>
                <w:sz w:val="16"/>
                <w:lang w:val="ru-RU" w:eastAsia="ru-RU"/>
              </w:rPr>
              <w:t>11.2</w:t>
            </w:r>
          </w:p>
        </w:tc>
        <w:tc>
          <w:tcPr>
            <w:tcW w:w="444" w:type="pct"/>
            <w:tcBorders>
              <w:top w:val="single" w:sz="4" w:space="0" w:color="auto"/>
              <w:bottom w:val="nil"/>
            </w:tcBorders>
            <w:shd w:val="clear" w:color="auto" w:fill="auto"/>
            <w:vAlign w:val="center"/>
          </w:tcPr>
          <w:p w14:paraId="70E5B98D"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8.19</w:t>
            </w:r>
          </w:p>
        </w:tc>
      </w:tr>
      <w:tr w:rsidR="00FE004C" w:rsidRPr="00A17DB7" w14:paraId="78BFA2B1" w14:textId="77777777" w:rsidTr="006364B5">
        <w:trPr>
          <w:jc w:val="center"/>
        </w:trPr>
        <w:tc>
          <w:tcPr>
            <w:tcW w:w="487" w:type="pct"/>
            <w:vMerge/>
            <w:tcBorders>
              <w:top w:val="nil"/>
              <w:bottom w:val="single" w:sz="4" w:space="0" w:color="auto"/>
            </w:tcBorders>
            <w:shd w:val="clear" w:color="auto" w:fill="auto"/>
            <w:vAlign w:val="center"/>
          </w:tcPr>
          <w:p w14:paraId="4B7C2F6E" w14:textId="77777777" w:rsidR="00FE004C" w:rsidRPr="00A17DB7" w:rsidRDefault="00FE004C" w:rsidP="006364B5">
            <w:pPr>
              <w:pStyle w:val="MDPI42tablebody"/>
              <w:autoSpaceDE w:val="0"/>
              <w:autoSpaceDN w:val="0"/>
              <w:spacing w:line="240" w:lineRule="auto"/>
              <w:rPr>
                <w:sz w:val="16"/>
              </w:rPr>
            </w:pPr>
          </w:p>
        </w:tc>
        <w:tc>
          <w:tcPr>
            <w:tcW w:w="803" w:type="pct"/>
            <w:tcBorders>
              <w:top w:val="nil"/>
              <w:bottom w:val="single" w:sz="4" w:space="0" w:color="auto"/>
            </w:tcBorders>
            <w:shd w:val="clear" w:color="auto" w:fill="auto"/>
            <w:vAlign w:val="center"/>
          </w:tcPr>
          <w:p w14:paraId="76347DDA"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Host rock</w:t>
            </w:r>
          </w:p>
        </w:tc>
        <w:tc>
          <w:tcPr>
            <w:tcW w:w="458" w:type="pct"/>
            <w:tcBorders>
              <w:top w:val="nil"/>
              <w:bottom w:val="single" w:sz="4" w:space="0" w:color="auto"/>
            </w:tcBorders>
            <w:shd w:val="clear" w:color="auto" w:fill="auto"/>
            <w:vAlign w:val="center"/>
          </w:tcPr>
          <w:p w14:paraId="56CD0DCE"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42.23</w:t>
            </w:r>
          </w:p>
        </w:tc>
        <w:tc>
          <w:tcPr>
            <w:tcW w:w="666" w:type="pct"/>
            <w:tcBorders>
              <w:top w:val="nil"/>
              <w:bottom w:val="single" w:sz="4" w:space="0" w:color="auto"/>
            </w:tcBorders>
            <w:shd w:val="clear" w:color="auto" w:fill="auto"/>
            <w:vAlign w:val="center"/>
          </w:tcPr>
          <w:p w14:paraId="13976A2F" w14:textId="0BA79ECB" w:rsidR="00FE004C" w:rsidRPr="00A17DB7" w:rsidRDefault="006364B5" w:rsidP="006364B5">
            <w:pPr>
              <w:pStyle w:val="MDPI42tablebody"/>
              <w:autoSpaceDE w:val="0"/>
              <w:autoSpaceDN w:val="0"/>
              <w:spacing w:line="240" w:lineRule="auto"/>
              <w:rPr>
                <w:sz w:val="16"/>
              </w:rPr>
            </w:pPr>
            <w:r w:rsidRPr="00A17DB7">
              <w:rPr>
                <w:rFonts w:ascii="Times New Roman" w:hAnsi="Times New Roman"/>
                <w:sz w:val="16"/>
                <w:lang w:val="ru-RU" w:eastAsia="ru-RU"/>
              </w:rPr>
              <w:t>−</w:t>
            </w:r>
            <w:r w:rsidR="00FE004C" w:rsidRPr="00A17DB7">
              <w:rPr>
                <w:rFonts w:ascii="Times New Roman" w:hAnsi="Times New Roman"/>
                <w:sz w:val="16"/>
                <w:lang w:val="ru-RU" w:eastAsia="ru-RU"/>
              </w:rPr>
              <w:t>31.9</w:t>
            </w:r>
          </w:p>
        </w:tc>
        <w:tc>
          <w:tcPr>
            <w:tcW w:w="438" w:type="pct"/>
            <w:tcBorders>
              <w:top w:val="nil"/>
              <w:bottom w:val="single" w:sz="4" w:space="0" w:color="auto"/>
            </w:tcBorders>
            <w:shd w:val="clear" w:color="auto" w:fill="auto"/>
            <w:vAlign w:val="center"/>
          </w:tcPr>
          <w:p w14:paraId="32D15874"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0.24</w:t>
            </w:r>
          </w:p>
        </w:tc>
        <w:tc>
          <w:tcPr>
            <w:tcW w:w="638" w:type="pct"/>
            <w:tcBorders>
              <w:top w:val="nil"/>
              <w:bottom w:val="single" w:sz="4" w:space="0" w:color="auto"/>
            </w:tcBorders>
            <w:shd w:val="clear" w:color="auto" w:fill="auto"/>
            <w:vAlign w:val="center"/>
          </w:tcPr>
          <w:p w14:paraId="243B29A4"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5.4</w:t>
            </w:r>
          </w:p>
        </w:tc>
        <w:tc>
          <w:tcPr>
            <w:tcW w:w="416" w:type="pct"/>
            <w:tcBorders>
              <w:top w:val="nil"/>
              <w:bottom w:val="single" w:sz="4" w:space="0" w:color="auto"/>
            </w:tcBorders>
            <w:shd w:val="clear" w:color="auto" w:fill="auto"/>
            <w:vAlign w:val="center"/>
          </w:tcPr>
          <w:p w14:paraId="0CB947B5"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4.18</w:t>
            </w:r>
          </w:p>
        </w:tc>
        <w:tc>
          <w:tcPr>
            <w:tcW w:w="650" w:type="pct"/>
            <w:tcBorders>
              <w:top w:val="nil"/>
              <w:bottom w:val="single" w:sz="4" w:space="0" w:color="auto"/>
            </w:tcBorders>
            <w:shd w:val="clear" w:color="auto" w:fill="auto"/>
            <w:vAlign w:val="center"/>
          </w:tcPr>
          <w:p w14:paraId="3B00970A" w14:textId="29D11F6A" w:rsidR="00FE004C" w:rsidRPr="00A17DB7" w:rsidRDefault="006364B5" w:rsidP="006364B5">
            <w:pPr>
              <w:pStyle w:val="MDPI42tablebody"/>
              <w:autoSpaceDE w:val="0"/>
              <w:autoSpaceDN w:val="0"/>
              <w:spacing w:line="240" w:lineRule="auto"/>
              <w:rPr>
                <w:sz w:val="16"/>
              </w:rPr>
            </w:pPr>
            <w:r w:rsidRPr="00A17DB7">
              <w:rPr>
                <w:rFonts w:ascii="Times New Roman" w:hAnsi="Times New Roman"/>
                <w:sz w:val="16"/>
                <w:lang w:val="ru-RU" w:eastAsia="ru-RU"/>
              </w:rPr>
              <w:t>−</w:t>
            </w:r>
            <w:r w:rsidR="00FE004C" w:rsidRPr="00A17DB7">
              <w:rPr>
                <w:rFonts w:ascii="Times New Roman" w:hAnsi="Times New Roman"/>
                <w:sz w:val="16"/>
                <w:lang w:val="ru-RU" w:eastAsia="ru-RU"/>
              </w:rPr>
              <w:t>26.0</w:t>
            </w:r>
          </w:p>
        </w:tc>
        <w:tc>
          <w:tcPr>
            <w:tcW w:w="444" w:type="pct"/>
            <w:tcBorders>
              <w:top w:val="nil"/>
              <w:bottom w:val="single" w:sz="4" w:space="0" w:color="auto"/>
            </w:tcBorders>
            <w:shd w:val="clear" w:color="auto" w:fill="auto"/>
            <w:vAlign w:val="center"/>
          </w:tcPr>
          <w:p w14:paraId="20AF1B86"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11.03</w:t>
            </w:r>
          </w:p>
        </w:tc>
      </w:tr>
      <w:tr w:rsidR="00FE004C" w:rsidRPr="00A17DB7" w14:paraId="6BB76132" w14:textId="77777777" w:rsidTr="006364B5">
        <w:trPr>
          <w:jc w:val="center"/>
        </w:trPr>
        <w:tc>
          <w:tcPr>
            <w:tcW w:w="487" w:type="pct"/>
            <w:vMerge w:val="restart"/>
            <w:tcBorders>
              <w:top w:val="single" w:sz="4" w:space="0" w:color="auto"/>
              <w:bottom w:val="nil"/>
            </w:tcBorders>
            <w:shd w:val="clear" w:color="auto" w:fill="auto"/>
            <w:vAlign w:val="center"/>
          </w:tcPr>
          <w:p w14:paraId="6AD15749"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V-C 526</w:t>
            </w:r>
          </w:p>
        </w:tc>
        <w:tc>
          <w:tcPr>
            <w:tcW w:w="803" w:type="pct"/>
            <w:tcBorders>
              <w:top w:val="single" w:sz="4" w:space="0" w:color="auto"/>
              <w:bottom w:val="nil"/>
            </w:tcBorders>
            <w:shd w:val="clear" w:color="auto" w:fill="auto"/>
            <w:vAlign w:val="center"/>
          </w:tcPr>
          <w:p w14:paraId="7C0E7670"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Alginite-rich layer</w:t>
            </w:r>
          </w:p>
        </w:tc>
        <w:tc>
          <w:tcPr>
            <w:tcW w:w="458" w:type="pct"/>
            <w:tcBorders>
              <w:top w:val="single" w:sz="4" w:space="0" w:color="auto"/>
              <w:bottom w:val="nil"/>
            </w:tcBorders>
            <w:shd w:val="clear" w:color="auto" w:fill="auto"/>
            <w:vAlign w:val="center"/>
          </w:tcPr>
          <w:p w14:paraId="51E2AEAE"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155.50</w:t>
            </w:r>
          </w:p>
        </w:tc>
        <w:tc>
          <w:tcPr>
            <w:tcW w:w="666" w:type="pct"/>
            <w:tcBorders>
              <w:top w:val="single" w:sz="4" w:space="0" w:color="auto"/>
              <w:bottom w:val="nil"/>
            </w:tcBorders>
            <w:shd w:val="clear" w:color="auto" w:fill="auto"/>
            <w:vAlign w:val="center"/>
          </w:tcPr>
          <w:p w14:paraId="00543D21" w14:textId="0F00339E" w:rsidR="00FE004C" w:rsidRPr="00A17DB7" w:rsidRDefault="006364B5"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w:t>
            </w:r>
            <w:r w:rsidR="00FE004C" w:rsidRPr="00A17DB7">
              <w:rPr>
                <w:rFonts w:ascii="Times New Roman" w:eastAsia="Times New Roman" w:hAnsi="Times New Roman"/>
                <w:sz w:val="16"/>
                <w:lang w:val="ru-RU" w:eastAsia="ru-RU"/>
              </w:rPr>
              <w:t>31.1</w:t>
            </w:r>
          </w:p>
        </w:tc>
        <w:tc>
          <w:tcPr>
            <w:tcW w:w="438" w:type="pct"/>
            <w:tcBorders>
              <w:top w:val="single" w:sz="4" w:space="0" w:color="auto"/>
              <w:bottom w:val="nil"/>
            </w:tcBorders>
            <w:shd w:val="clear" w:color="auto" w:fill="auto"/>
            <w:vAlign w:val="center"/>
          </w:tcPr>
          <w:p w14:paraId="3AB9CE64"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0.15</w:t>
            </w:r>
          </w:p>
        </w:tc>
        <w:tc>
          <w:tcPr>
            <w:tcW w:w="638" w:type="pct"/>
            <w:tcBorders>
              <w:top w:val="single" w:sz="4" w:space="0" w:color="auto"/>
              <w:bottom w:val="nil"/>
            </w:tcBorders>
            <w:shd w:val="clear" w:color="auto" w:fill="auto"/>
            <w:vAlign w:val="center"/>
          </w:tcPr>
          <w:p w14:paraId="052F9D09"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25.7</w:t>
            </w:r>
          </w:p>
        </w:tc>
        <w:tc>
          <w:tcPr>
            <w:tcW w:w="416" w:type="pct"/>
            <w:tcBorders>
              <w:top w:val="single" w:sz="4" w:space="0" w:color="auto"/>
              <w:bottom w:val="nil"/>
            </w:tcBorders>
            <w:shd w:val="clear" w:color="auto" w:fill="auto"/>
            <w:vAlign w:val="center"/>
          </w:tcPr>
          <w:p w14:paraId="0EA827CE"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1.37</w:t>
            </w:r>
          </w:p>
        </w:tc>
        <w:tc>
          <w:tcPr>
            <w:tcW w:w="650" w:type="pct"/>
            <w:tcBorders>
              <w:top w:val="single" w:sz="4" w:space="0" w:color="auto"/>
              <w:bottom w:val="nil"/>
            </w:tcBorders>
            <w:shd w:val="clear" w:color="auto" w:fill="auto"/>
            <w:vAlign w:val="center"/>
          </w:tcPr>
          <w:p w14:paraId="640BD2E4" w14:textId="55D660AB" w:rsidR="00FE004C" w:rsidRPr="00A17DB7" w:rsidRDefault="006364B5"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w:t>
            </w:r>
            <w:r w:rsidR="00FE004C" w:rsidRPr="00A17DB7">
              <w:rPr>
                <w:rFonts w:ascii="Times New Roman" w:eastAsia="Times New Roman" w:hAnsi="Times New Roman"/>
                <w:sz w:val="16"/>
                <w:lang w:val="ru-RU" w:eastAsia="ru-RU"/>
              </w:rPr>
              <w:t>9.3</w:t>
            </w:r>
          </w:p>
        </w:tc>
        <w:tc>
          <w:tcPr>
            <w:tcW w:w="444" w:type="pct"/>
            <w:tcBorders>
              <w:top w:val="single" w:sz="4" w:space="0" w:color="auto"/>
              <w:bottom w:val="nil"/>
            </w:tcBorders>
            <w:shd w:val="clear" w:color="auto" w:fill="auto"/>
            <w:vAlign w:val="center"/>
          </w:tcPr>
          <w:p w14:paraId="34A6527D"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21</w:t>
            </w:r>
            <w:r w:rsidRPr="00A17DB7">
              <w:rPr>
                <w:rFonts w:ascii="Times New Roman" w:eastAsia="Times New Roman" w:hAnsi="Times New Roman"/>
                <w:sz w:val="16"/>
                <w:lang w:eastAsia="ru-RU"/>
              </w:rPr>
              <w:t>.</w:t>
            </w:r>
            <w:r w:rsidRPr="00A17DB7">
              <w:rPr>
                <w:rFonts w:ascii="Times New Roman" w:eastAsia="Times New Roman" w:hAnsi="Times New Roman"/>
                <w:sz w:val="16"/>
                <w:lang w:val="ru-RU" w:eastAsia="ru-RU"/>
              </w:rPr>
              <w:t>56</w:t>
            </w:r>
          </w:p>
        </w:tc>
      </w:tr>
      <w:tr w:rsidR="00FE004C" w:rsidRPr="00A17DB7" w14:paraId="2E89D32C" w14:textId="77777777" w:rsidTr="006364B5">
        <w:trPr>
          <w:jc w:val="center"/>
        </w:trPr>
        <w:tc>
          <w:tcPr>
            <w:tcW w:w="487" w:type="pct"/>
            <w:vMerge/>
            <w:tcBorders>
              <w:top w:val="nil"/>
              <w:bottom w:val="single" w:sz="4" w:space="0" w:color="auto"/>
            </w:tcBorders>
            <w:shd w:val="clear" w:color="auto" w:fill="auto"/>
            <w:vAlign w:val="center"/>
          </w:tcPr>
          <w:p w14:paraId="7518A88E" w14:textId="77777777" w:rsidR="00FE004C" w:rsidRPr="00A17DB7" w:rsidRDefault="00FE004C" w:rsidP="006364B5">
            <w:pPr>
              <w:pStyle w:val="MDPI42tablebody"/>
              <w:autoSpaceDE w:val="0"/>
              <w:autoSpaceDN w:val="0"/>
              <w:spacing w:line="240" w:lineRule="auto"/>
              <w:rPr>
                <w:sz w:val="16"/>
              </w:rPr>
            </w:pPr>
          </w:p>
        </w:tc>
        <w:tc>
          <w:tcPr>
            <w:tcW w:w="803" w:type="pct"/>
            <w:tcBorders>
              <w:top w:val="nil"/>
              <w:bottom w:val="single" w:sz="4" w:space="0" w:color="auto"/>
            </w:tcBorders>
            <w:shd w:val="clear" w:color="auto" w:fill="auto"/>
            <w:vAlign w:val="center"/>
          </w:tcPr>
          <w:p w14:paraId="4E075748"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Host rock</w:t>
            </w:r>
          </w:p>
        </w:tc>
        <w:tc>
          <w:tcPr>
            <w:tcW w:w="458" w:type="pct"/>
            <w:tcBorders>
              <w:top w:val="nil"/>
              <w:bottom w:val="single" w:sz="4" w:space="0" w:color="auto"/>
            </w:tcBorders>
            <w:shd w:val="clear" w:color="auto" w:fill="auto"/>
            <w:vAlign w:val="center"/>
          </w:tcPr>
          <w:p w14:paraId="0AAC3D33"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w:t>
            </w:r>
          </w:p>
        </w:tc>
        <w:tc>
          <w:tcPr>
            <w:tcW w:w="666" w:type="pct"/>
            <w:tcBorders>
              <w:top w:val="nil"/>
              <w:bottom w:val="single" w:sz="4" w:space="0" w:color="auto"/>
            </w:tcBorders>
            <w:shd w:val="clear" w:color="auto" w:fill="auto"/>
            <w:vAlign w:val="center"/>
          </w:tcPr>
          <w:p w14:paraId="0CB4916A"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w:t>
            </w:r>
          </w:p>
        </w:tc>
        <w:tc>
          <w:tcPr>
            <w:tcW w:w="438" w:type="pct"/>
            <w:tcBorders>
              <w:top w:val="nil"/>
              <w:bottom w:val="single" w:sz="4" w:space="0" w:color="auto"/>
            </w:tcBorders>
            <w:shd w:val="clear" w:color="auto" w:fill="auto"/>
            <w:vAlign w:val="center"/>
          </w:tcPr>
          <w:p w14:paraId="063B58B7"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w:t>
            </w:r>
          </w:p>
        </w:tc>
        <w:tc>
          <w:tcPr>
            <w:tcW w:w="638" w:type="pct"/>
            <w:tcBorders>
              <w:top w:val="nil"/>
              <w:bottom w:val="single" w:sz="4" w:space="0" w:color="auto"/>
            </w:tcBorders>
            <w:shd w:val="clear" w:color="auto" w:fill="auto"/>
            <w:vAlign w:val="center"/>
          </w:tcPr>
          <w:p w14:paraId="2DC729B7"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w:t>
            </w:r>
          </w:p>
        </w:tc>
        <w:tc>
          <w:tcPr>
            <w:tcW w:w="416" w:type="pct"/>
            <w:tcBorders>
              <w:top w:val="nil"/>
              <w:bottom w:val="single" w:sz="4" w:space="0" w:color="auto"/>
            </w:tcBorders>
            <w:shd w:val="clear" w:color="auto" w:fill="auto"/>
            <w:vAlign w:val="center"/>
          </w:tcPr>
          <w:p w14:paraId="4C982506"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w:t>
            </w:r>
          </w:p>
        </w:tc>
        <w:tc>
          <w:tcPr>
            <w:tcW w:w="650" w:type="pct"/>
            <w:tcBorders>
              <w:top w:val="nil"/>
              <w:bottom w:val="single" w:sz="4" w:space="0" w:color="auto"/>
            </w:tcBorders>
            <w:shd w:val="clear" w:color="auto" w:fill="auto"/>
            <w:vAlign w:val="center"/>
          </w:tcPr>
          <w:p w14:paraId="03D14554"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w:t>
            </w:r>
          </w:p>
        </w:tc>
        <w:tc>
          <w:tcPr>
            <w:tcW w:w="444" w:type="pct"/>
            <w:tcBorders>
              <w:top w:val="nil"/>
              <w:bottom w:val="single" w:sz="4" w:space="0" w:color="auto"/>
            </w:tcBorders>
            <w:shd w:val="clear" w:color="auto" w:fill="auto"/>
            <w:vAlign w:val="center"/>
          </w:tcPr>
          <w:p w14:paraId="0E5D5B72"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w:t>
            </w:r>
          </w:p>
        </w:tc>
      </w:tr>
      <w:tr w:rsidR="00FE004C" w:rsidRPr="00A17DB7" w14:paraId="66F6B5CF" w14:textId="77777777" w:rsidTr="006364B5">
        <w:trPr>
          <w:jc w:val="center"/>
        </w:trPr>
        <w:tc>
          <w:tcPr>
            <w:tcW w:w="487" w:type="pct"/>
            <w:vMerge w:val="restart"/>
            <w:tcBorders>
              <w:top w:val="single" w:sz="4" w:space="0" w:color="auto"/>
              <w:bottom w:val="nil"/>
            </w:tcBorders>
            <w:shd w:val="clear" w:color="auto" w:fill="auto"/>
            <w:vAlign w:val="center"/>
          </w:tcPr>
          <w:p w14:paraId="7876FFA5"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L 42</w:t>
            </w:r>
          </w:p>
        </w:tc>
        <w:tc>
          <w:tcPr>
            <w:tcW w:w="803" w:type="pct"/>
            <w:tcBorders>
              <w:top w:val="single" w:sz="4" w:space="0" w:color="auto"/>
              <w:bottom w:val="nil"/>
            </w:tcBorders>
            <w:shd w:val="clear" w:color="auto" w:fill="auto"/>
            <w:vAlign w:val="center"/>
          </w:tcPr>
          <w:p w14:paraId="083A53C8"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Alginite-rich layer</w:t>
            </w:r>
          </w:p>
        </w:tc>
        <w:tc>
          <w:tcPr>
            <w:tcW w:w="458" w:type="pct"/>
            <w:tcBorders>
              <w:top w:val="single" w:sz="4" w:space="0" w:color="auto"/>
              <w:bottom w:val="nil"/>
            </w:tcBorders>
            <w:shd w:val="clear" w:color="auto" w:fill="auto"/>
            <w:vAlign w:val="center"/>
          </w:tcPr>
          <w:p w14:paraId="40ACD66E"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76.83</w:t>
            </w:r>
          </w:p>
        </w:tc>
        <w:tc>
          <w:tcPr>
            <w:tcW w:w="666" w:type="pct"/>
            <w:tcBorders>
              <w:top w:val="single" w:sz="4" w:space="0" w:color="auto"/>
              <w:bottom w:val="nil"/>
            </w:tcBorders>
            <w:shd w:val="clear" w:color="auto" w:fill="auto"/>
            <w:vAlign w:val="center"/>
          </w:tcPr>
          <w:p w14:paraId="41AB0B55" w14:textId="7AF3A5C6" w:rsidR="00FE004C" w:rsidRPr="00A17DB7" w:rsidRDefault="006364B5"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w:t>
            </w:r>
            <w:r w:rsidR="00FE004C" w:rsidRPr="00A17DB7">
              <w:rPr>
                <w:rFonts w:ascii="Times New Roman" w:eastAsia="Times New Roman" w:hAnsi="Times New Roman"/>
                <w:sz w:val="16"/>
                <w:lang w:val="ru-RU" w:eastAsia="ru-RU"/>
              </w:rPr>
              <w:t>31.9</w:t>
            </w:r>
          </w:p>
        </w:tc>
        <w:tc>
          <w:tcPr>
            <w:tcW w:w="438" w:type="pct"/>
            <w:tcBorders>
              <w:top w:val="single" w:sz="4" w:space="0" w:color="auto"/>
              <w:bottom w:val="nil"/>
            </w:tcBorders>
            <w:shd w:val="clear" w:color="auto" w:fill="auto"/>
            <w:vAlign w:val="center"/>
          </w:tcPr>
          <w:p w14:paraId="59DE9FC2"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0.21</w:t>
            </w:r>
          </w:p>
        </w:tc>
        <w:tc>
          <w:tcPr>
            <w:tcW w:w="638" w:type="pct"/>
            <w:tcBorders>
              <w:top w:val="single" w:sz="4" w:space="0" w:color="auto"/>
              <w:bottom w:val="nil"/>
            </w:tcBorders>
            <w:shd w:val="clear" w:color="auto" w:fill="auto"/>
            <w:vAlign w:val="center"/>
          </w:tcPr>
          <w:p w14:paraId="4CA3B42F"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13.0</w:t>
            </w:r>
          </w:p>
        </w:tc>
        <w:tc>
          <w:tcPr>
            <w:tcW w:w="416" w:type="pct"/>
            <w:tcBorders>
              <w:top w:val="single" w:sz="4" w:space="0" w:color="auto"/>
              <w:bottom w:val="nil"/>
            </w:tcBorders>
            <w:shd w:val="clear" w:color="auto" w:fill="auto"/>
            <w:vAlign w:val="center"/>
          </w:tcPr>
          <w:p w14:paraId="3F445FB1"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2.10</w:t>
            </w:r>
          </w:p>
        </w:tc>
        <w:tc>
          <w:tcPr>
            <w:tcW w:w="650" w:type="pct"/>
            <w:tcBorders>
              <w:top w:val="single" w:sz="4" w:space="0" w:color="auto"/>
              <w:bottom w:val="nil"/>
            </w:tcBorders>
            <w:shd w:val="clear" w:color="auto" w:fill="auto"/>
            <w:vAlign w:val="center"/>
          </w:tcPr>
          <w:p w14:paraId="3D17E35D" w14:textId="535D7CED" w:rsidR="00FE004C" w:rsidRPr="00A17DB7" w:rsidRDefault="006364B5"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w:t>
            </w:r>
            <w:r w:rsidR="00FE004C" w:rsidRPr="00A17DB7">
              <w:rPr>
                <w:rFonts w:ascii="Times New Roman" w:eastAsia="Times New Roman" w:hAnsi="Times New Roman"/>
                <w:sz w:val="16"/>
                <w:lang w:val="ru-RU" w:eastAsia="ru-RU"/>
              </w:rPr>
              <w:t>7.1</w:t>
            </w:r>
          </w:p>
        </w:tc>
        <w:tc>
          <w:tcPr>
            <w:tcW w:w="444" w:type="pct"/>
            <w:tcBorders>
              <w:top w:val="single" w:sz="4" w:space="0" w:color="auto"/>
              <w:bottom w:val="nil"/>
            </w:tcBorders>
            <w:shd w:val="clear" w:color="auto" w:fill="auto"/>
            <w:vAlign w:val="center"/>
          </w:tcPr>
          <w:p w14:paraId="587A4D5C"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19.79</w:t>
            </w:r>
          </w:p>
        </w:tc>
      </w:tr>
      <w:tr w:rsidR="00FE004C" w:rsidRPr="00A17DB7" w14:paraId="18E32AD2" w14:textId="77777777" w:rsidTr="006364B5">
        <w:trPr>
          <w:jc w:val="center"/>
        </w:trPr>
        <w:tc>
          <w:tcPr>
            <w:tcW w:w="487" w:type="pct"/>
            <w:vMerge/>
            <w:tcBorders>
              <w:top w:val="nil"/>
              <w:bottom w:val="single" w:sz="4" w:space="0" w:color="auto"/>
            </w:tcBorders>
            <w:shd w:val="clear" w:color="auto" w:fill="auto"/>
            <w:vAlign w:val="center"/>
          </w:tcPr>
          <w:p w14:paraId="21A9BBEA" w14:textId="77777777" w:rsidR="00FE004C" w:rsidRPr="00A17DB7" w:rsidRDefault="00FE004C" w:rsidP="006364B5">
            <w:pPr>
              <w:pStyle w:val="MDPI42tablebody"/>
              <w:autoSpaceDE w:val="0"/>
              <w:autoSpaceDN w:val="0"/>
              <w:spacing w:line="240" w:lineRule="auto"/>
              <w:rPr>
                <w:sz w:val="16"/>
              </w:rPr>
            </w:pPr>
          </w:p>
        </w:tc>
        <w:tc>
          <w:tcPr>
            <w:tcW w:w="803" w:type="pct"/>
            <w:tcBorders>
              <w:top w:val="nil"/>
              <w:bottom w:val="single" w:sz="4" w:space="0" w:color="auto"/>
            </w:tcBorders>
            <w:shd w:val="clear" w:color="auto" w:fill="auto"/>
            <w:vAlign w:val="center"/>
          </w:tcPr>
          <w:p w14:paraId="079AC133"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Host rock</w:t>
            </w:r>
          </w:p>
        </w:tc>
        <w:tc>
          <w:tcPr>
            <w:tcW w:w="458" w:type="pct"/>
            <w:tcBorders>
              <w:top w:val="nil"/>
              <w:bottom w:val="single" w:sz="4" w:space="0" w:color="auto"/>
            </w:tcBorders>
            <w:shd w:val="clear" w:color="auto" w:fill="auto"/>
            <w:vAlign w:val="center"/>
          </w:tcPr>
          <w:p w14:paraId="56F2760D"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w:t>
            </w:r>
          </w:p>
        </w:tc>
        <w:tc>
          <w:tcPr>
            <w:tcW w:w="666" w:type="pct"/>
            <w:tcBorders>
              <w:top w:val="nil"/>
              <w:bottom w:val="single" w:sz="4" w:space="0" w:color="auto"/>
            </w:tcBorders>
            <w:shd w:val="clear" w:color="auto" w:fill="auto"/>
            <w:vAlign w:val="center"/>
          </w:tcPr>
          <w:p w14:paraId="2EA7B73A"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w:t>
            </w:r>
          </w:p>
        </w:tc>
        <w:tc>
          <w:tcPr>
            <w:tcW w:w="438" w:type="pct"/>
            <w:tcBorders>
              <w:top w:val="nil"/>
              <w:bottom w:val="single" w:sz="4" w:space="0" w:color="auto"/>
            </w:tcBorders>
            <w:shd w:val="clear" w:color="auto" w:fill="auto"/>
            <w:vAlign w:val="center"/>
          </w:tcPr>
          <w:p w14:paraId="732CF220"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w:t>
            </w:r>
          </w:p>
        </w:tc>
        <w:tc>
          <w:tcPr>
            <w:tcW w:w="638" w:type="pct"/>
            <w:tcBorders>
              <w:top w:val="nil"/>
              <w:bottom w:val="single" w:sz="4" w:space="0" w:color="auto"/>
            </w:tcBorders>
            <w:shd w:val="clear" w:color="auto" w:fill="auto"/>
            <w:vAlign w:val="center"/>
          </w:tcPr>
          <w:p w14:paraId="1E51AF76"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w:t>
            </w:r>
          </w:p>
        </w:tc>
        <w:tc>
          <w:tcPr>
            <w:tcW w:w="416" w:type="pct"/>
            <w:tcBorders>
              <w:top w:val="nil"/>
              <w:bottom w:val="single" w:sz="4" w:space="0" w:color="auto"/>
            </w:tcBorders>
            <w:shd w:val="clear" w:color="auto" w:fill="auto"/>
            <w:vAlign w:val="center"/>
          </w:tcPr>
          <w:p w14:paraId="3EC502D5"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w:t>
            </w:r>
          </w:p>
        </w:tc>
        <w:tc>
          <w:tcPr>
            <w:tcW w:w="650" w:type="pct"/>
            <w:tcBorders>
              <w:top w:val="nil"/>
              <w:bottom w:val="single" w:sz="4" w:space="0" w:color="auto"/>
            </w:tcBorders>
            <w:shd w:val="clear" w:color="auto" w:fill="auto"/>
            <w:vAlign w:val="center"/>
          </w:tcPr>
          <w:p w14:paraId="270A6B5D"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w:t>
            </w:r>
          </w:p>
        </w:tc>
        <w:tc>
          <w:tcPr>
            <w:tcW w:w="444" w:type="pct"/>
            <w:tcBorders>
              <w:top w:val="nil"/>
              <w:bottom w:val="single" w:sz="4" w:space="0" w:color="auto"/>
            </w:tcBorders>
            <w:shd w:val="clear" w:color="auto" w:fill="auto"/>
            <w:vAlign w:val="center"/>
          </w:tcPr>
          <w:p w14:paraId="55C59B49" w14:textId="77777777" w:rsidR="00FE004C" w:rsidRPr="00A17DB7" w:rsidRDefault="00FE004C" w:rsidP="006364B5">
            <w:pPr>
              <w:pStyle w:val="MDPI42tablebody"/>
              <w:autoSpaceDE w:val="0"/>
              <w:autoSpaceDN w:val="0"/>
              <w:spacing w:line="240" w:lineRule="auto"/>
              <w:rPr>
                <w:sz w:val="16"/>
              </w:rPr>
            </w:pPr>
            <w:r w:rsidRPr="00A17DB7">
              <w:rPr>
                <w:rFonts w:ascii="Times New Roman" w:hAnsi="Times New Roman"/>
                <w:sz w:val="16"/>
                <w:lang w:val="ru-RU" w:eastAsia="ru-RU"/>
              </w:rPr>
              <w:t>-</w:t>
            </w:r>
          </w:p>
        </w:tc>
      </w:tr>
      <w:tr w:rsidR="00FE004C" w:rsidRPr="00A17DB7" w14:paraId="23370801" w14:textId="77777777" w:rsidTr="006364B5">
        <w:trPr>
          <w:jc w:val="center"/>
        </w:trPr>
        <w:tc>
          <w:tcPr>
            <w:tcW w:w="487" w:type="pct"/>
            <w:tcBorders>
              <w:top w:val="single" w:sz="4" w:space="0" w:color="auto"/>
              <w:bottom w:val="single" w:sz="4" w:space="0" w:color="auto"/>
            </w:tcBorders>
            <w:shd w:val="clear" w:color="auto" w:fill="auto"/>
            <w:vAlign w:val="center"/>
          </w:tcPr>
          <w:p w14:paraId="5DEE71F6"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D 541</w:t>
            </w:r>
          </w:p>
        </w:tc>
        <w:tc>
          <w:tcPr>
            <w:tcW w:w="803" w:type="pct"/>
            <w:tcBorders>
              <w:top w:val="single" w:sz="4" w:space="0" w:color="auto"/>
              <w:bottom w:val="single" w:sz="4" w:space="0" w:color="auto"/>
            </w:tcBorders>
            <w:shd w:val="clear" w:color="auto" w:fill="auto"/>
            <w:vAlign w:val="center"/>
          </w:tcPr>
          <w:p w14:paraId="1F96C2A3"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Tuff</w:t>
            </w:r>
          </w:p>
        </w:tc>
        <w:tc>
          <w:tcPr>
            <w:tcW w:w="458" w:type="pct"/>
            <w:tcBorders>
              <w:top w:val="single" w:sz="4" w:space="0" w:color="auto"/>
              <w:bottom w:val="single" w:sz="4" w:space="0" w:color="auto"/>
            </w:tcBorders>
            <w:shd w:val="clear" w:color="auto" w:fill="auto"/>
            <w:vAlign w:val="center"/>
          </w:tcPr>
          <w:p w14:paraId="75B599A3"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2.70</w:t>
            </w:r>
          </w:p>
        </w:tc>
        <w:tc>
          <w:tcPr>
            <w:tcW w:w="666" w:type="pct"/>
            <w:tcBorders>
              <w:top w:val="single" w:sz="4" w:space="0" w:color="auto"/>
              <w:bottom w:val="single" w:sz="4" w:space="0" w:color="auto"/>
            </w:tcBorders>
            <w:shd w:val="clear" w:color="auto" w:fill="auto"/>
            <w:vAlign w:val="center"/>
          </w:tcPr>
          <w:p w14:paraId="52D40BC8" w14:textId="2871579E" w:rsidR="00FE004C" w:rsidRPr="00A17DB7" w:rsidRDefault="006364B5"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w:t>
            </w:r>
            <w:r w:rsidR="00FE004C" w:rsidRPr="00A17DB7">
              <w:rPr>
                <w:rFonts w:ascii="Times New Roman" w:eastAsia="Times New Roman" w:hAnsi="Times New Roman"/>
                <w:sz w:val="16"/>
                <w:lang w:val="ru-RU" w:eastAsia="ru-RU"/>
              </w:rPr>
              <w:t>28.8</w:t>
            </w:r>
          </w:p>
        </w:tc>
        <w:tc>
          <w:tcPr>
            <w:tcW w:w="438" w:type="pct"/>
            <w:tcBorders>
              <w:top w:val="single" w:sz="4" w:space="0" w:color="auto"/>
              <w:bottom w:val="single" w:sz="4" w:space="0" w:color="auto"/>
            </w:tcBorders>
            <w:shd w:val="clear" w:color="auto" w:fill="auto"/>
            <w:vAlign w:val="center"/>
          </w:tcPr>
          <w:p w14:paraId="2BD4E461"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0.45</w:t>
            </w:r>
          </w:p>
        </w:tc>
        <w:tc>
          <w:tcPr>
            <w:tcW w:w="638" w:type="pct"/>
            <w:tcBorders>
              <w:top w:val="single" w:sz="4" w:space="0" w:color="auto"/>
              <w:bottom w:val="single" w:sz="4" w:space="0" w:color="auto"/>
            </w:tcBorders>
            <w:shd w:val="clear" w:color="auto" w:fill="auto"/>
            <w:vAlign w:val="center"/>
          </w:tcPr>
          <w:p w14:paraId="214A2638"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2.4</w:t>
            </w:r>
          </w:p>
        </w:tc>
        <w:tc>
          <w:tcPr>
            <w:tcW w:w="416" w:type="pct"/>
            <w:tcBorders>
              <w:top w:val="single" w:sz="4" w:space="0" w:color="auto"/>
              <w:bottom w:val="single" w:sz="4" w:space="0" w:color="auto"/>
            </w:tcBorders>
            <w:shd w:val="clear" w:color="auto" w:fill="auto"/>
            <w:vAlign w:val="center"/>
          </w:tcPr>
          <w:p w14:paraId="34A90909"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1.89</w:t>
            </w:r>
          </w:p>
        </w:tc>
        <w:tc>
          <w:tcPr>
            <w:tcW w:w="650" w:type="pct"/>
            <w:tcBorders>
              <w:top w:val="single" w:sz="4" w:space="0" w:color="auto"/>
              <w:bottom w:val="single" w:sz="4" w:space="0" w:color="auto"/>
            </w:tcBorders>
            <w:shd w:val="clear" w:color="auto" w:fill="auto"/>
            <w:vAlign w:val="center"/>
          </w:tcPr>
          <w:p w14:paraId="53CC7E2D"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4.4</w:t>
            </w:r>
          </w:p>
        </w:tc>
        <w:tc>
          <w:tcPr>
            <w:tcW w:w="444" w:type="pct"/>
            <w:tcBorders>
              <w:top w:val="single" w:sz="4" w:space="0" w:color="auto"/>
              <w:bottom w:val="single" w:sz="4" w:space="0" w:color="auto"/>
            </w:tcBorders>
            <w:shd w:val="clear" w:color="auto" w:fill="auto"/>
            <w:vAlign w:val="center"/>
          </w:tcPr>
          <w:p w14:paraId="6711715E"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0.71</w:t>
            </w:r>
          </w:p>
        </w:tc>
      </w:tr>
      <w:tr w:rsidR="00FE004C" w:rsidRPr="00A17DB7" w14:paraId="177BC9CF" w14:textId="77777777" w:rsidTr="006364B5">
        <w:trPr>
          <w:jc w:val="center"/>
        </w:trPr>
        <w:tc>
          <w:tcPr>
            <w:tcW w:w="487" w:type="pct"/>
            <w:tcBorders>
              <w:top w:val="single" w:sz="4" w:space="0" w:color="auto"/>
              <w:bottom w:val="single" w:sz="4" w:space="0" w:color="auto"/>
            </w:tcBorders>
            <w:shd w:val="clear" w:color="auto" w:fill="auto"/>
            <w:vAlign w:val="center"/>
          </w:tcPr>
          <w:p w14:paraId="113AD493"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М 14</w:t>
            </w:r>
          </w:p>
        </w:tc>
        <w:tc>
          <w:tcPr>
            <w:tcW w:w="803" w:type="pct"/>
            <w:tcBorders>
              <w:top w:val="single" w:sz="4" w:space="0" w:color="auto"/>
              <w:bottom w:val="single" w:sz="4" w:space="0" w:color="auto"/>
            </w:tcBorders>
            <w:shd w:val="clear" w:color="auto" w:fill="auto"/>
            <w:vAlign w:val="center"/>
          </w:tcPr>
          <w:p w14:paraId="18F9C673"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Tuff</w:t>
            </w:r>
          </w:p>
        </w:tc>
        <w:tc>
          <w:tcPr>
            <w:tcW w:w="458" w:type="pct"/>
            <w:tcBorders>
              <w:top w:val="single" w:sz="4" w:space="0" w:color="auto"/>
              <w:bottom w:val="single" w:sz="4" w:space="0" w:color="auto"/>
            </w:tcBorders>
            <w:shd w:val="clear" w:color="auto" w:fill="auto"/>
            <w:vAlign w:val="center"/>
          </w:tcPr>
          <w:p w14:paraId="413EE259"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4.38</w:t>
            </w:r>
          </w:p>
        </w:tc>
        <w:tc>
          <w:tcPr>
            <w:tcW w:w="666" w:type="pct"/>
            <w:tcBorders>
              <w:top w:val="single" w:sz="4" w:space="0" w:color="auto"/>
              <w:bottom w:val="single" w:sz="4" w:space="0" w:color="auto"/>
            </w:tcBorders>
            <w:shd w:val="clear" w:color="auto" w:fill="auto"/>
            <w:vAlign w:val="center"/>
          </w:tcPr>
          <w:p w14:paraId="247E4F7E" w14:textId="37CEB02A" w:rsidR="00FE004C" w:rsidRPr="00A17DB7" w:rsidRDefault="006364B5"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w:t>
            </w:r>
            <w:r w:rsidR="00FE004C" w:rsidRPr="00A17DB7">
              <w:rPr>
                <w:rFonts w:ascii="Times New Roman" w:eastAsia="Times New Roman" w:hAnsi="Times New Roman"/>
                <w:sz w:val="16"/>
                <w:lang w:val="ru-RU" w:eastAsia="ru-RU"/>
              </w:rPr>
              <w:t>29.0</w:t>
            </w:r>
          </w:p>
        </w:tc>
        <w:tc>
          <w:tcPr>
            <w:tcW w:w="438" w:type="pct"/>
            <w:tcBorders>
              <w:top w:val="single" w:sz="4" w:space="0" w:color="auto"/>
              <w:bottom w:val="single" w:sz="4" w:space="0" w:color="auto"/>
            </w:tcBorders>
            <w:shd w:val="clear" w:color="auto" w:fill="auto"/>
            <w:vAlign w:val="center"/>
          </w:tcPr>
          <w:p w14:paraId="1CBC627A"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0.21</w:t>
            </w:r>
          </w:p>
        </w:tc>
        <w:tc>
          <w:tcPr>
            <w:tcW w:w="638" w:type="pct"/>
            <w:tcBorders>
              <w:top w:val="single" w:sz="4" w:space="0" w:color="auto"/>
              <w:bottom w:val="single" w:sz="4" w:space="0" w:color="auto"/>
            </w:tcBorders>
            <w:shd w:val="clear" w:color="auto" w:fill="auto"/>
            <w:vAlign w:val="center"/>
          </w:tcPr>
          <w:p w14:paraId="021AA3A9"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1.5</w:t>
            </w:r>
          </w:p>
        </w:tc>
        <w:tc>
          <w:tcPr>
            <w:tcW w:w="416" w:type="pct"/>
            <w:tcBorders>
              <w:top w:val="single" w:sz="4" w:space="0" w:color="auto"/>
              <w:bottom w:val="single" w:sz="4" w:space="0" w:color="auto"/>
            </w:tcBorders>
            <w:shd w:val="clear" w:color="auto" w:fill="auto"/>
            <w:vAlign w:val="center"/>
          </w:tcPr>
          <w:p w14:paraId="53054CDB"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0.69</w:t>
            </w:r>
          </w:p>
        </w:tc>
        <w:tc>
          <w:tcPr>
            <w:tcW w:w="650" w:type="pct"/>
            <w:tcBorders>
              <w:top w:val="single" w:sz="4" w:space="0" w:color="auto"/>
              <w:bottom w:val="single" w:sz="4" w:space="0" w:color="auto"/>
            </w:tcBorders>
            <w:shd w:val="clear" w:color="auto" w:fill="auto"/>
            <w:vAlign w:val="center"/>
          </w:tcPr>
          <w:p w14:paraId="0D624BD3"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4.5</w:t>
            </w:r>
          </w:p>
        </w:tc>
        <w:tc>
          <w:tcPr>
            <w:tcW w:w="444" w:type="pct"/>
            <w:tcBorders>
              <w:top w:val="single" w:sz="4" w:space="0" w:color="auto"/>
              <w:bottom w:val="single" w:sz="4" w:space="0" w:color="auto"/>
            </w:tcBorders>
            <w:shd w:val="clear" w:color="auto" w:fill="auto"/>
            <w:vAlign w:val="center"/>
          </w:tcPr>
          <w:p w14:paraId="0F03951A"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0.60</w:t>
            </w:r>
          </w:p>
        </w:tc>
      </w:tr>
      <w:tr w:rsidR="00FE004C" w:rsidRPr="00A17DB7" w14:paraId="29323B3E" w14:textId="77777777" w:rsidTr="006364B5">
        <w:trPr>
          <w:jc w:val="center"/>
        </w:trPr>
        <w:tc>
          <w:tcPr>
            <w:tcW w:w="487" w:type="pct"/>
            <w:tcBorders>
              <w:top w:val="single" w:sz="4" w:space="0" w:color="auto"/>
              <w:bottom w:val="single" w:sz="8" w:space="0" w:color="auto"/>
            </w:tcBorders>
            <w:shd w:val="clear" w:color="auto" w:fill="auto"/>
            <w:vAlign w:val="center"/>
          </w:tcPr>
          <w:p w14:paraId="02F9C8FE"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J 177</w:t>
            </w:r>
          </w:p>
        </w:tc>
        <w:tc>
          <w:tcPr>
            <w:tcW w:w="803" w:type="pct"/>
            <w:tcBorders>
              <w:top w:val="single" w:sz="4" w:space="0" w:color="auto"/>
              <w:bottom w:val="single" w:sz="8" w:space="0" w:color="auto"/>
            </w:tcBorders>
            <w:shd w:val="clear" w:color="auto" w:fill="auto"/>
            <w:vAlign w:val="center"/>
          </w:tcPr>
          <w:p w14:paraId="43A073FE"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Tuff</w:t>
            </w:r>
          </w:p>
        </w:tc>
        <w:tc>
          <w:tcPr>
            <w:tcW w:w="458" w:type="pct"/>
            <w:tcBorders>
              <w:top w:val="single" w:sz="4" w:space="0" w:color="auto"/>
              <w:bottom w:val="single" w:sz="8" w:space="0" w:color="auto"/>
            </w:tcBorders>
            <w:shd w:val="clear" w:color="auto" w:fill="auto"/>
            <w:vAlign w:val="center"/>
          </w:tcPr>
          <w:p w14:paraId="7D8EA832"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4.11</w:t>
            </w:r>
          </w:p>
        </w:tc>
        <w:tc>
          <w:tcPr>
            <w:tcW w:w="666" w:type="pct"/>
            <w:tcBorders>
              <w:top w:val="single" w:sz="4" w:space="0" w:color="auto"/>
              <w:bottom w:val="single" w:sz="8" w:space="0" w:color="auto"/>
            </w:tcBorders>
            <w:shd w:val="clear" w:color="auto" w:fill="auto"/>
            <w:vAlign w:val="center"/>
          </w:tcPr>
          <w:p w14:paraId="64D77D99" w14:textId="00D53C1B" w:rsidR="00FE004C" w:rsidRPr="00A17DB7" w:rsidRDefault="006364B5"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w:t>
            </w:r>
            <w:r w:rsidR="00FE004C" w:rsidRPr="00A17DB7">
              <w:rPr>
                <w:rFonts w:ascii="Times New Roman" w:eastAsia="Times New Roman" w:hAnsi="Times New Roman"/>
                <w:sz w:val="16"/>
                <w:lang w:val="ru-RU" w:eastAsia="ru-RU"/>
              </w:rPr>
              <w:t>28.9</w:t>
            </w:r>
          </w:p>
        </w:tc>
        <w:tc>
          <w:tcPr>
            <w:tcW w:w="438" w:type="pct"/>
            <w:tcBorders>
              <w:top w:val="single" w:sz="4" w:space="0" w:color="auto"/>
              <w:bottom w:val="single" w:sz="8" w:space="0" w:color="auto"/>
            </w:tcBorders>
            <w:shd w:val="clear" w:color="auto" w:fill="auto"/>
            <w:vAlign w:val="center"/>
          </w:tcPr>
          <w:p w14:paraId="39FA451A"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0.23</w:t>
            </w:r>
          </w:p>
        </w:tc>
        <w:tc>
          <w:tcPr>
            <w:tcW w:w="638" w:type="pct"/>
            <w:tcBorders>
              <w:top w:val="single" w:sz="4" w:space="0" w:color="auto"/>
              <w:bottom w:val="single" w:sz="8" w:space="0" w:color="auto"/>
            </w:tcBorders>
            <w:shd w:val="clear" w:color="auto" w:fill="auto"/>
            <w:vAlign w:val="center"/>
          </w:tcPr>
          <w:p w14:paraId="5139CD36"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2.1</w:t>
            </w:r>
          </w:p>
        </w:tc>
        <w:tc>
          <w:tcPr>
            <w:tcW w:w="416" w:type="pct"/>
            <w:tcBorders>
              <w:top w:val="single" w:sz="4" w:space="0" w:color="auto"/>
              <w:bottom w:val="single" w:sz="8" w:space="0" w:color="auto"/>
            </w:tcBorders>
            <w:shd w:val="clear" w:color="auto" w:fill="auto"/>
            <w:vAlign w:val="center"/>
          </w:tcPr>
          <w:p w14:paraId="3182777F"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0.63</w:t>
            </w:r>
          </w:p>
        </w:tc>
        <w:tc>
          <w:tcPr>
            <w:tcW w:w="650" w:type="pct"/>
            <w:tcBorders>
              <w:top w:val="single" w:sz="4" w:space="0" w:color="auto"/>
              <w:bottom w:val="single" w:sz="8" w:space="0" w:color="auto"/>
            </w:tcBorders>
            <w:shd w:val="clear" w:color="auto" w:fill="auto"/>
            <w:vAlign w:val="center"/>
          </w:tcPr>
          <w:p w14:paraId="752F05AC"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2.4</w:t>
            </w:r>
          </w:p>
        </w:tc>
        <w:tc>
          <w:tcPr>
            <w:tcW w:w="444" w:type="pct"/>
            <w:tcBorders>
              <w:top w:val="single" w:sz="4" w:space="0" w:color="auto"/>
              <w:bottom w:val="single" w:sz="8" w:space="0" w:color="auto"/>
            </w:tcBorders>
            <w:shd w:val="clear" w:color="auto" w:fill="auto"/>
            <w:vAlign w:val="center"/>
          </w:tcPr>
          <w:p w14:paraId="27F97CB7" w14:textId="77777777" w:rsidR="00FE004C" w:rsidRPr="00A17DB7" w:rsidRDefault="00FE004C" w:rsidP="006364B5">
            <w:pPr>
              <w:autoSpaceDE w:val="0"/>
              <w:autoSpaceDN w:val="0"/>
              <w:adjustRightInd w:val="0"/>
              <w:snapToGrid w:val="0"/>
              <w:spacing w:line="240" w:lineRule="auto"/>
              <w:jc w:val="center"/>
              <w:rPr>
                <w:rFonts w:ascii="Times New Roman" w:eastAsia="Times New Roman" w:hAnsi="Times New Roman"/>
                <w:sz w:val="16"/>
                <w:lang w:val="ru-RU" w:eastAsia="ru-RU"/>
              </w:rPr>
            </w:pPr>
            <w:r w:rsidRPr="00A17DB7">
              <w:rPr>
                <w:rFonts w:ascii="Times New Roman" w:eastAsia="Times New Roman" w:hAnsi="Times New Roman"/>
                <w:sz w:val="16"/>
                <w:lang w:val="ru-RU" w:eastAsia="ru-RU"/>
              </w:rPr>
              <w:t>0</w:t>
            </w:r>
            <w:r w:rsidRPr="00A17DB7">
              <w:rPr>
                <w:rFonts w:ascii="Times New Roman" w:eastAsia="Times New Roman" w:hAnsi="Times New Roman"/>
                <w:sz w:val="16"/>
                <w:lang w:eastAsia="ru-RU"/>
              </w:rPr>
              <w:t>.</w:t>
            </w:r>
            <w:r w:rsidRPr="00A17DB7">
              <w:rPr>
                <w:rFonts w:ascii="Times New Roman" w:eastAsia="Times New Roman" w:hAnsi="Times New Roman"/>
                <w:sz w:val="16"/>
                <w:lang w:val="ru-RU" w:eastAsia="ru-RU"/>
              </w:rPr>
              <w:t>79</w:t>
            </w:r>
          </w:p>
        </w:tc>
      </w:tr>
    </w:tbl>
    <w:p w14:paraId="07178D4C" w14:textId="77777777" w:rsidR="00383765" w:rsidRPr="00A17DB7" w:rsidRDefault="00383765" w:rsidP="000E62AE">
      <w:pPr>
        <w:pStyle w:val="MDPI31text"/>
      </w:pPr>
    </w:p>
    <w:p w14:paraId="2D9452EF" w14:textId="59F9B0E4" w:rsidR="00FE004C" w:rsidRPr="00A17DB7" w:rsidRDefault="00FE004C" w:rsidP="00FE004C">
      <w:pPr>
        <w:pStyle w:val="MDPI31text"/>
      </w:pPr>
      <w:r w:rsidRPr="00A17DB7">
        <w:t xml:space="preserve">Carbon isotope composition for the alginite-rich layers varies in the range from </w:t>
      </w:r>
      <w:r w:rsidR="00861733" w:rsidRPr="00A17DB7">
        <w:t>−</w:t>
      </w:r>
      <w:r w:rsidRPr="00A17DB7">
        <w:t xml:space="preserve">31.1 to </w:t>
      </w:r>
      <w:r w:rsidR="005E6430" w:rsidRPr="00A17DB7">
        <w:t>−</w:t>
      </w:r>
      <w:r w:rsidRPr="00A17DB7">
        <w:t>31.9‰, while for the host rocks δ</w:t>
      </w:r>
      <w:r w:rsidRPr="00A17DB7">
        <w:rPr>
          <w:vertAlign w:val="superscript"/>
        </w:rPr>
        <w:t>13</w:t>
      </w:r>
      <w:r w:rsidRPr="00A17DB7">
        <w:t>С</w:t>
      </w:r>
      <w:r w:rsidRPr="00A17DB7">
        <w:rPr>
          <w:vertAlign w:val="subscript"/>
        </w:rPr>
        <w:t>org</w:t>
      </w:r>
      <w:r w:rsidRPr="00A17DB7">
        <w:t xml:space="preserve"> takes values from </w:t>
      </w:r>
      <w:r w:rsidR="00D85C3C" w:rsidRPr="00A17DB7">
        <w:t>−</w:t>
      </w:r>
      <w:r w:rsidRPr="00A17DB7">
        <w:t xml:space="preserve">30.5 to </w:t>
      </w:r>
      <w:r w:rsidR="00DA46BE" w:rsidRPr="00A17DB7">
        <w:t>−</w:t>
      </w:r>
      <w:r w:rsidRPr="00A17DB7">
        <w:t>31.9‰. In contrast, tuffs contain 10–30 times less organic carbon than host rocks and the alginite-rich layers. Tuffs are enriched in heavy carbon isotope, and δ</w:t>
      </w:r>
      <w:r w:rsidRPr="00A17DB7">
        <w:rPr>
          <w:vertAlign w:val="superscript"/>
        </w:rPr>
        <w:t>13</w:t>
      </w:r>
      <w:r w:rsidRPr="00A17DB7">
        <w:t>С</w:t>
      </w:r>
      <w:r w:rsidRPr="00A17DB7">
        <w:rPr>
          <w:vertAlign w:val="subscript"/>
        </w:rPr>
        <w:t>org</w:t>
      </w:r>
      <w:r w:rsidRPr="00A17DB7">
        <w:t xml:space="preserve"> is from </w:t>
      </w:r>
      <w:r w:rsidR="00DA46BE" w:rsidRPr="00A17DB7">
        <w:t>−</w:t>
      </w:r>
      <w:r w:rsidRPr="00A17DB7">
        <w:t xml:space="preserve">29.0 to </w:t>
      </w:r>
      <w:r w:rsidR="00DA46BE" w:rsidRPr="00A17DB7">
        <w:t>−</w:t>
      </w:r>
      <w:r w:rsidRPr="00A17DB7">
        <w:t>28.8‰.</w:t>
      </w:r>
    </w:p>
    <w:p w14:paraId="2E3E68C0" w14:textId="6F124190" w:rsidR="00FE004C" w:rsidRPr="00A17DB7" w:rsidRDefault="00FE004C" w:rsidP="00FE004C">
      <w:pPr>
        <w:pStyle w:val="MDPI31text"/>
      </w:pPr>
      <w:r w:rsidRPr="00A17DB7">
        <w:t xml:space="preserve">Nitrogen concentration in the alginite-rich layers and in host rocks vary from 0.07 to 0.37 </w:t>
      </w:r>
      <w:r w:rsidR="00973ABA" w:rsidRPr="00A17DB7">
        <w:t>wt</w:t>
      </w:r>
      <w:proofErr w:type="gramStart"/>
      <w:r w:rsidR="00973ABA" w:rsidRPr="00A17DB7">
        <w:t>.%</w:t>
      </w:r>
      <w:proofErr w:type="gramEnd"/>
      <w:r w:rsidRPr="00A17DB7">
        <w:t xml:space="preserve">. For all the samples from the alginite-rich layers, we observe 1.5–2 times lower nitrogen content compared to the host rocks. Concentration of nitrogen in the host rocks takes values from 0.24 to 0.37 </w:t>
      </w:r>
      <w:r w:rsidR="00973ABA" w:rsidRPr="00A17DB7">
        <w:t>wt</w:t>
      </w:r>
      <w:proofErr w:type="gramStart"/>
      <w:r w:rsidR="00973ABA" w:rsidRPr="00A17DB7">
        <w:t>.%</w:t>
      </w:r>
      <w:proofErr w:type="gramEnd"/>
      <w:r w:rsidRPr="00A17DB7">
        <w:t>, and δ</w:t>
      </w:r>
      <w:r w:rsidRPr="00A17DB7">
        <w:rPr>
          <w:vertAlign w:val="superscript"/>
        </w:rPr>
        <w:t>15</w:t>
      </w:r>
      <w:r w:rsidRPr="00A17DB7">
        <w:t>N</w:t>
      </w:r>
      <w:r w:rsidRPr="00A17DB7">
        <w:rPr>
          <w:vertAlign w:val="subscript"/>
        </w:rPr>
        <w:t>tot</w:t>
      </w:r>
      <w:r w:rsidRPr="00A17DB7">
        <w:t xml:space="preserve"> varies from 0.9 to 5.4‰. Nitrogen content in the alginite-rich layers is from 0.07 up to 0.21</w:t>
      </w:r>
      <w:r w:rsidR="00BC41D5">
        <w:t xml:space="preserve"> wt</w:t>
      </w:r>
      <w:proofErr w:type="gramStart"/>
      <w:r w:rsidR="00BC41D5">
        <w:t>.</w:t>
      </w:r>
      <w:r w:rsidRPr="00A17DB7">
        <w:t>%</w:t>
      </w:r>
      <w:proofErr w:type="gramEnd"/>
      <w:r w:rsidRPr="00A17DB7">
        <w:t xml:space="preserve">, and organic matter is enriched in </w:t>
      </w:r>
      <w:r w:rsidRPr="00A17DB7">
        <w:rPr>
          <w:vertAlign w:val="superscript"/>
        </w:rPr>
        <w:t>15</w:t>
      </w:r>
      <w:r w:rsidRPr="00A17DB7">
        <w:t>N (δ</w:t>
      </w:r>
      <w:r w:rsidRPr="00A17DB7">
        <w:rPr>
          <w:vertAlign w:val="superscript"/>
        </w:rPr>
        <w:t>15</w:t>
      </w:r>
      <w:r w:rsidRPr="00A17DB7">
        <w:t>N</w:t>
      </w:r>
      <w:r w:rsidRPr="00A17DB7">
        <w:rPr>
          <w:vertAlign w:val="subscript"/>
        </w:rPr>
        <w:t>tot</w:t>
      </w:r>
      <w:r w:rsidRPr="00A17DB7">
        <w:t xml:space="preserve"> is from 5.9 to 25.7‰). С</w:t>
      </w:r>
      <w:r w:rsidRPr="00A17DB7">
        <w:rPr>
          <w:vertAlign w:val="subscript"/>
        </w:rPr>
        <w:t>org</w:t>
      </w:r>
      <w:r w:rsidRPr="00A17DB7">
        <w:t>/N</w:t>
      </w:r>
      <w:r w:rsidRPr="00A17DB7">
        <w:rPr>
          <w:vertAlign w:val="subscript"/>
        </w:rPr>
        <w:t>tot</w:t>
      </w:r>
      <w:r w:rsidRPr="00A17DB7">
        <w:t xml:space="preserve"> ratio correlates with the heavier nitrogen isotope composition (Figure 10a). Tuffs are characterized by С</w:t>
      </w:r>
      <w:r w:rsidRPr="00A17DB7">
        <w:rPr>
          <w:vertAlign w:val="subscript"/>
        </w:rPr>
        <w:t>org</w:t>
      </w:r>
      <w:r w:rsidRPr="00A17DB7">
        <w:t>/N</w:t>
      </w:r>
      <w:r w:rsidRPr="00A17DB7">
        <w:rPr>
          <w:vertAlign w:val="subscript"/>
        </w:rPr>
        <w:t>tot</w:t>
      </w:r>
      <w:r w:rsidR="006D3C7A">
        <w:t xml:space="preserve"> ratio from 2.7 to 4.38</w:t>
      </w:r>
      <w:r w:rsidRPr="00A17DB7">
        <w:t>, and by δ</w:t>
      </w:r>
      <w:r w:rsidRPr="00A17DB7">
        <w:rPr>
          <w:vertAlign w:val="superscript"/>
        </w:rPr>
        <w:t>15</w:t>
      </w:r>
      <w:r w:rsidRPr="00A17DB7">
        <w:t>N</w:t>
      </w:r>
      <w:r w:rsidRPr="00A17DB7">
        <w:rPr>
          <w:vertAlign w:val="subscript"/>
        </w:rPr>
        <w:t>tot</w:t>
      </w:r>
      <w:r w:rsidRPr="00A17DB7">
        <w:t xml:space="preserve"> values from 1.2 to 2.4‰.</w:t>
      </w:r>
    </w:p>
    <w:p w14:paraId="2B4563FE" w14:textId="77777777" w:rsidR="00FE004C" w:rsidRPr="00A17DB7" w:rsidRDefault="00FE004C" w:rsidP="006E1A71">
      <w:pPr>
        <w:pStyle w:val="MDPI52figure"/>
        <w:ind w:left="2608"/>
        <w:jc w:val="left"/>
      </w:pPr>
      <w:r w:rsidRPr="00A17DB7">
        <w:rPr>
          <w:noProof/>
          <w:snapToGrid/>
          <w:lang w:val="ru-RU" w:eastAsia="ru-RU" w:bidi="ar-SA"/>
        </w:rPr>
        <w:drawing>
          <wp:inline distT="0" distB="0" distL="0" distR="0" wp14:anchorId="7C49CE13" wp14:editId="16DA169A">
            <wp:extent cx="4952282" cy="2009114"/>
            <wp:effectExtent l="0" t="0" r="127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sotop-anual.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84035" cy="2021996"/>
                    </a:xfrm>
                    <a:prstGeom prst="rect">
                      <a:avLst/>
                    </a:prstGeom>
                  </pic:spPr>
                </pic:pic>
              </a:graphicData>
            </a:graphic>
          </wp:inline>
        </w:drawing>
      </w:r>
    </w:p>
    <w:p w14:paraId="2019E3BD" w14:textId="2A581676" w:rsidR="00FE004C" w:rsidRPr="00A17DB7" w:rsidRDefault="006E1A71" w:rsidP="006E1A71">
      <w:pPr>
        <w:pStyle w:val="MDPI51figurecaption"/>
      </w:pPr>
      <w:r w:rsidRPr="00A17DB7">
        <w:rPr>
          <w:b/>
        </w:rPr>
        <w:t xml:space="preserve">Figure 10. </w:t>
      </w:r>
      <w:r w:rsidR="00FE004C" w:rsidRPr="00A17DB7">
        <w:t>Comparison of δ</w:t>
      </w:r>
      <w:r w:rsidR="00FE004C" w:rsidRPr="00A17DB7">
        <w:rPr>
          <w:vertAlign w:val="superscript"/>
        </w:rPr>
        <w:t>15</w:t>
      </w:r>
      <w:r w:rsidR="00FE004C" w:rsidRPr="00A17DB7">
        <w:t>N</w:t>
      </w:r>
      <w:r w:rsidR="00FE004C" w:rsidRPr="00A17DB7">
        <w:rPr>
          <w:vertAlign w:val="subscript"/>
        </w:rPr>
        <w:t>tot</w:t>
      </w:r>
      <w:r w:rsidR="00FE004C" w:rsidRPr="00A17DB7">
        <w:t xml:space="preserve"> values and С</w:t>
      </w:r>
      <w:r w:rsidR="00FE004C" w:rsidRPr="00A17DB7">
        <w:rPr>
          <w:vertAlign w:val="subscript"/>
        </w:rPr>
        <w:t>org</w:t>
      </w:r>
      <w:r w:rsidR="00FE004C" w:rsidRPr="00A17DB7">
        <w:t>/N</w:t>
      </w:r>
      <w:r w:rsidR="00FE004C" w:rsidRPr="00A17DB7">
        <w:rPr>
          <w:vertAlign w:val="subscript"/>
        </w:rPr>
        <w:t>tot</w:t>
      </w:r>
      <w:r w:rsidR="00FE004C" w:rsidRPr="00A17DB7">
        <w:t xml:space="preserve"> ratio (</w:t>
      </w:r>
      <w:r w:rsidR="00FE004C" w:rsidRPr="00A17DB7">
        <w:rPr>
          <w:b/>
        </w:rPr>
        <w:t>а</w:t>
      </w:r>
      <w:r w:rsidR="00FE004C" w:rsidRPr="00A17DB7">
        <w:t>), and comparison of δ</w:t>
      </w:r>
      <w:r w:rsidR="00FE004C" w:rsidRPr="00A17DB7">
        <w:rPr>
          <w:vertAlign w:val="superscript"/>
        </w:rPr>
        <w:t>34</w:t>
      </w:r>
      <w:r w:rsidR="00FE004C" w:rsidRPr="00A17DB7">
        <w:t>S</w:t>
      </w:r>
      <w:r w:rsidR="00FE004C" w:rsidRPr="00A17DB7">
        <w:rPr>
          <w:vertAlign w:val="subscript"/>
        </w:rPr>
        <w:t>tot</w:t>
      </w:r>
      <w:r w:rsidR="00FE004C" w:rsidRPr="00A17DB7">
        <w:t xml:space="preserve"> values and S</w:t>
      </w:r>
      <w:r w:rsidR="00FE004C" w:rsidRPr="00A17DB7">
        <w:rPr>
          <w:vertAlign w:val="subscript"/>
        </w:rPr>
        <w:t xml:space="preserve">tot </w:t>
      </w:r>
      <w:r w:rsidR="00FE004C" w:rsidRPr="00A17DB7">
        <w:t>content (</w:t>
      </w:r>
      <w:r w:rsidR="00FE004C" w:rsidRPr="00A17DB7">
        <w:rPr>
          <w:b/>
        </w:rPr>
        <w:t>b</w:t>
      </w:r>
      <w:r w:rsidR="00FE004C" w:rsidRPr="00A17DB7">
        <w:t>) in the alginite-rich layers, host rocks and tuffs.</w:t>
      </w:r>
    </w:p>
    <w:p w14:paraId="1C4282AF" w14:textId="4F770BD5" w:rsidR="00FE004C" w:rsidRPr="00A17DB7" w:rsidRDefault="00FE004C" w:rsidP="00FE004C">
      <w:pPr>
        <w:pStyle w:val="MDPI31text"/>
      </w:pPr>
      <w:r w:rsidRPr="00A17DB7">
        <w:t>Content and isotope composition of the total sulfur is also different for the rocks from the alginite-rich, host deposits and tuff. For the alginite-rich layers δ</w:t>
      </w:r>
      <w:r w:rsidRPr="00A17DB7">
        <w:rPr>
          <w:vertAlign w:val="superscript"/>
        </w:rPr>
        <w:t>34</w:t>
      </w:r>
      <w:r w:rsidRPr="00A17DB7">
        <w:t>S</w:t>
      </w:r>
      <w:r w:rsidRPr="00A17DB7">
        <w:rPr>
          <w:vertAlign w:val="subscript"/>
        </w:rPr>
        <w:t>tot</w:t>
      </w:r>
      <w:r w:rsidRPr="00A17DB7">
        <w:t xml:space="preserve"> values range from </w:t>
      </w:r>
      <w:r w:rsidR="006E1A71" w:rsidRPr="00A17DB7">
        <w:t>−</w:t>
      </w:r>
      <w:r w:rsidRPr="00A17DB7">
        <w:t xml:space="preserve">6.0 to </w:t>
      </w:r>
      <w:r w:rsidR="006E1A71" w:rsidRPr="00A17DB7">
        <w:t>−</w:t>
      </w:r>
      <w:r w:rsidRPr="00A17DB7">
        <w:t xml:space="preserve">18.5‰ with a total sulfur content of 1.37 to 2.75 </w:t>
      </w:r>
      <w:r w:rsidR="00973ABA" w:rsidRPr="00A17DB7">
        <w:t>wt.%</w:t>
      </w:r>
      <w:r w:rsidRPr="00A17DB7">
        <w:t xml:space="preserve">. For the host </w:t>
      </w:r>
      <w:r w:rsidR="003404ED" w:rsidRPr="00A17DB7">
        <w:t>rocks,</w:t>
      </w:r>
      <w:r w:rsidRPr="00A17DB7">
        <w:t xml:space="preserve"> we detect a predominance of lighter sulfur: δ</w:t>
      </w:r>
      <w:r w:rsidRPr="00A17DB7">
        <w:rPr>
          <w:vertAlign w:val="superscript"/>
        </w:rPr>
        <w:t>34</w:t>
      </w:r>
      <w:r w:rsidRPr="00A17DB7">
        <w:t>S</w:t>
      </w:r>
      <w:r w:rsidRPr="00A17DB7">
        <w:rPr>
          <w:vertAlign w:val="subscript"/>
        </w:rPr>
        <w:t>tot</w:t>
      </w:r>
      <w:r w:rsidRPr="00A17DB7">
        <w:t xml:space="preserve"> varies from </w:t>
      </w:r>
      <w:r w:rsidR="001B2A23" w:rsidRPr="00A17DB7">
        <w:t>−</w:t>
      </w:r>
      <w:r w:rsidRPr="00A17DB7">
        <w:t xml:space="preserve">17.3 to </w:t>
      </w:r>
      <w:r w:rsidR="001B2A23" w:rsidRPr="00A17DB7">
        <w:t>−</w:t>
      </w:r>
      <w:r w:rsidRPr="00A17DB7">
        <w:t>26.0‰ for S</w:t>
      </w:r>
      <w:r w:rsidRPr="00A17DB7">
        <w:rPr>
          <w:vertAlign w:val="subscript"/>
        </w:rPr>
        <w:t>tot</w:t>
      </w:r>
      <w:r w:rsidRPr="00A17DB7">
        <w:t xml:space="preserve"> from 3.71 to 4.36%. Tuffs demonstrate the heaviest sulfur isotope ratio (Figure 10b).</w:t>
      </w:r>
    </w:p>
    <w:p w14:paraId="3E9C2FD1" w14:textId="77777777" w:rsidR="00FE004C" w:rsidRPr="00A17DB7" w:rsidRDefault="00FE004C" w:rsidP="00FE004C">
      <w:pPr>
        <w:pStyle w:val="MDPI21heading1"/>
      </w:pPr>
      <w:r w:rsidRPr="00A17DB7">
        <w:t>5. Discussion</w:t>
      </w:r>
    </w:p>
    <w:p w14:paraId="08E34044" w14:textId="27A7389C" w:rsidR="00FE004C" w:rsidRPr="00A17DB7" w:rsidRDefault="00FE004C" w:rsidP="00FE004C">
      <w:pPr>
        <w:pStyle w:val="MDPI22heading2"/>
        <w:spacing w:before="240"/>
      </w:pPr>
      <w:r w:rsidRPr="00A17DB7">
        <w:t>5.1. Occurrence</w:t>
      </w:r>
    </w:p>
    <w:p w14:paraId="1125344B" w14:textId="7D4FAAA7" w:rsidR="00FE004C" w:rsidRPr="00A17DB7" w:rsidRDefault="00FE004C" w:rsidP="00FE004C">
      <w:pPr>
        <w:pStyle w:val="MDPI31text"/>
      </w:pPr>
      <w:r w:rsidRPr="00A17DB7">
        <w:t>Alginite-rich layers discovered throughout the Bazhenov sequence within the central part of the Western Siberia in unit 4, where the Jurassic-Cretaceous boundary situated between Upper and Lower Bazhenov Formation. Variably-sized algae remains are regularly microscopically recorded in rock samples, particularly in fine-grained organic-rich siliceous rocks that occur throughout the Bazhenov sequence, but pure and concentrated algae found only in the alginite-rich layers. According to results, the alginite-rich layers widely extend for more than 455</w:t>
      </w:r>
      <w:r w:rsidR="000F0921" w:rsidRPr="00A17DB7">
        <w:t>,</w:t>
      </w:r>
      <w:r w:rsidRPr="00A17DB7">
        <w:t>000 km</w:t>
      </w:r>
      <w:r w:rsidRPr="00A17DB7">
        <w:rPr>
          <w:vertAlign w:val="superscript"/>
        </w:rPr>
        <w:t>2</w:t>
      </w:r>
      <w:r w:rsidRPr="00A17DB7">
        <w:t xml:space="preserve"> area (Figure 1). Studied wells located in different regions of the Western Siberia and confined to the various tectonic elements: the </w:t>
      </w:r>
      <w:r w:rsidRPr="00A17DB7">
        <w:lastRenderedPageBreak/>
        <w:t>Frolovskaya Megadepression, the Krasnoleninsky Arch, the Surgut Arch, the Nizhnevartovsky Arch, the Yugansk Megadepression</w:t>
      </w:r>
      <w:r w:rsidR="001C00E5" w:rsidRPr="00A17DB7">
        <w:t>,</w:t>
      </w:r>
      <w:r w:rsidRPr="00A17DB7">
        <w:t xml:space="preserve"> and the Nyurolskaya Depression and others.</w:t>
      </w:r>
    </w:p>
    <w:p w14:paraId="5B53CE94" w14:textId="1299E46A" w:rsidR="00FE004C" w:rsidRPr="00A17DB7" w:rsidRDefault="00FE004C" w:rsidP="00FE004C">
      <w:pPr>
        <w:pStyle w:val="MDPI22heading2"/>
        <w:spacing w:before="240"/>
      </w:pPr>
      <w:r w:rsidRPr="00A17DB7">
        <w:t xml:space="preserve">5.2. </w:t>
      </w:r>
      <w:bookmarkStart w:id="0" w:name="_Hlk69722589"/>
      <w:r w:rsidRPr="00A17DB7">
        <w:t xml:space="preserve">Key </w:t>
      </w:r>
      <w:r w:rsidR="000F0921" w:rsidRPr="00A17DB7">
        <w:t>C</w:t>
      </w:r>
      <w:r w:rsidRPr="00A17DB7">
        <w:t xml:space="preserve">haracteristics </w:t>
      </w:r>
      <w:bookmarkEnd w:id="0"/>
      <w:r w:rsidRPr="00A17DB7">
        <w:t xml:space="preserve">of the </w:t>
      </w:r>
      <w:r w:rsidR="000F0921" w:rsidRPr="00A17DB7">
        <w:t>A</w:t>
      </w:r>
      <w:r w:rsidRPr="00A17DB7">
        <w:t>lginit-</w:t>
      </w:r>
      <w:r w:rsidR="000F0921" w:rsidRPr="00A17DB7">
        <w:t>R</w:t>
      </w:r>
      <w:r w:rsidRPr="00A17DB7">
        <w:t xml:space="preserve">ich </w:t>
      </w:r>
      <w:r w:rsidR="000F0921" w:rsidRPr="00A17DB7">
        <w:t>L</w:t>
      </w:r>
      <w:r w:rsidRPr="00A17DB7">
        <w:t xml:space="preserve">ayers </w:t>
      </w:r>
    </w:p>
    <w:p w14:paraId="3928D97C" w14:textId="2B871A82" w:rsidR="00FE004C" w:rsidRPr="00A17DB7" w:rsidRDefault="00FE004C" w:rsidP="00FE004C">
      <w:pPr>
        <w:pStyle w:val="MDPI31text"/>
      </w:pPr>
      <w:r w:rsidRPr="00A17DB7">
        <w:t>Considering visual characteristics and obtained mineralogical and geochemical data key features that can be used in identifying the alginite-rich layers from host rocks are</w:t>
      </w:r>
      <w:r w:rsidR="00BC16AD" w:rsidRPr="00A17DB7">
        <w:t>:</w:t>
      </w:r>
      <w:r w:rsidRPr="00A17DB7">
        <w:t xml:space="preserve"> </w:t>
      </w:r>
      <w:r w:rsidR="00BC16AD" w:rsidRPr="00A17DB7">
        <w:t xml:space="preserve">macroscopically visually </w:t>
      </w:r>
      <w:r w:rsidRPr="00A17DB7">
        <w:t>lighter coloring in comparison to darker host rocks; luminescence under UV light; low density and plasticity; matrix consists mainly of algal OM and quartz aggregations; Rock-Eval pyrolysis data</w:t>
      </w:r>
      <w:r w:rsidR="00B95987">
        <w:t>,</w:t>
      </w:r>
      <w:r w:rsidRPr="00A17DB7">
        <w:t xml:space="preserve"> kinetics parameters</w:t>
      </w:r>
      <w:r w:rsidR="00B95987">
        <w:t xml:space="preserve"> and elemental </w:t>
      </w:r>
      <w:r w:rsidR="002A5D82">
        <w:t>composition</w:t>
      </w:r>
      <w:r w:rsidRPr="00A17DB7">
        <w:t xml:space="preserve"> indicate on type I kerogen in the alginite-rich layers; high С</w:t>
      </w:r>
      <w:r w:rsidRPr="00A17DB7">
        <w:rPr>
          <w:vertAlign w:val="subscript"/>
        </w:rPr>
        <w:t>org</w:t>
      </w:r>
      <w:r w:rsidRPr="00A17DB7">
        <w:t>/N</w:t>
      </w:r>
      <w:r w:rsidRPr="00A17DB7">
        <w:rPr>
          <w:vertAlign w:val="subscript"/>
        </w:rPr>
        <w:t>tot</w:t>
      </w:r>
      <w:r w:rsidRPr="00A17DB7">
        <w:t xml:space="preserve"> ratio and δ</w:t>
      </w:r>
      <w:r w:rsidRPr="00A17DB7">
        <w:rPr>
          <w:vertAlign w:val="superscript"/>
        </w:rPr>
        <w:t>15</w:t>
      </w:r>
      <w:r w:rsidRPr="00A17DB7">
        <w:t>N</w:t>
      </w:r>
      <w:r w:rsidRPr="00A17DB7">
        <w:rPr>
          <w:vertAlign w:val="subscript"/>
        </w:rPr>
        <w:t>tot</w:t>
      </w:r>
      <w:r w:rsidRPr="00A17DB7">
        <w:t xml:space="preserve"> values.</w:t>
      </w:r>
    </w:p>
    <w:p w14:paraId="6F2C3C17" w14:textId="40623E00" w:rsidR="00C87E95" w:rsidRPr="00A17DB7" w:rsidRDefault="00C87E95" w:rsidP="00C87E95">
      <w:pPr>
        <w:pStyle w:val="MDPI31text"/>
      </w:pPr>
      <w:r w:rsidRPr="00A17DB7">
        <w:t>The Rock-Eval pyrolysis parameters of the alginite layers significantly exceed those in host rocks. Values of K</w:t>
      </w:r>
      <w:r w:rsidRPr="00A17DB7">
        <w:rPr>
          <w:vertAlign w:val="subscript"/>
        </w:rPr>
        <w:t>goc</w:t>
      </w:r>
      <w:r w:rsidRPr="00A17DB7">
        <w:t xml:space="preserve"> reach 90%. Hydrogen indices are 400–500 mg HC/g TOC higher, T</w:t>
      </w:r>
      <w:r w:rsidRPr="00A17DB7">
        <w:rPr>
          <w:vertAlign w:val="subscript"/>
        </w:rPr>
        <w:t xml:space="preserve">max </w:t>
      </w:r>
      <w:r w:rsidRPr="00A17DB7">
        <w:t xml:space="preserve">higher by to 5–10 </w:t>
      </w:r>
      <w:r w:rsidRPr="00A17DB7">
        <w:rPr>
          <w:b/>
        </w:rPr>
        <w:t>°</w:t>
      </w:r>
      <w:r w:rsidRPr="00A17DB7">
        <w:t xml:space="preserve">C compare to host rocks. </w:t>
      </w:r>
      <w:r w:rsidR="002A5D82" w:rsidRPr="002A5D82">
        <w:t xml:space="preserve">Atomic H/C ration up to 1.88. </w:t>
      </w:r>
      <w:r w:rsidRPr="00A17DB7">
        <w:t>Rock-Eval pyrolysis parameters</w:t>
      </w:r>
      <w:r w:rsidR="002A5D82">
        <w:t>,</w:t>
      </w:r>
      <w:r w:rsidRPr="00A17DB7">
        <w:t xml:space="preserve"> bulk kinetics data</w:t>
      </w:r>
      <w:r w:rsidR="002A5D82">
        <w:t xml:space="preserve"> and </w:t>
      </w:r>
      <w:r w:rsidR="002A5D82" w:rsidRPr="002A5D82">
        <w:t>elemental composition</w:t>
      </w:r>
      <w:r w:rsidRPr="00A17DB7">
        <w:t xml:space="preserve"> </w:t>
      </w:r>
      <w:r w:rsidR="002A5D82" w:rsidRPr="002A5D82">
        <w:t xml:space="preserve">confidently </w:t>
      </w:r>
      <w:r w:rsidRPr="00A17DB7">
        <w:t xml:space="preserve">describes OM as type I kerogen. </w:t>
      </w:r>
    </w:p>
    <w:p w14:paraId="0F0A3A97" w14:textId="250DD1EF" w:rsidR="00C87E95" w:rsidRPr="00A17DB7" w:rsidRDefault="00C87E95" w:rsidP="00C87E95">
      <w:pPr>
        <w:pStyle w:val="MDPI31text"/>
      </w:pPr>
      <w:r w:rsidRPr="00A17DB7">
        <w:t xml:space="preserve">The mineral composition of alginite-rich layers mainly consists of quartz grains (60–90 </w:t>
      </w:r>
      <w:r w:rsidR="00973ABA" w:rsidRPr="00A17DB7">
        <w:t>wt</w:t>
      </w:r>
      <w:proofErr w:type="gramStart"/>
      <w:r w:rsidR="00973ABA" w:rsidRPr="00A17DB7">
        <w:t>.%</w:t>
      </w:r>
      <w:proofErr w:type="gramEnd"/>
      <w:r w:rsidRPr="00A17DB7">
        <w:t>), which is not typical for the Bazhenov Formation rocks. In general, abnormal quartz concentrations within unit 4 can indirectly show the occurrence of the alginite-rich layers.</w:t>
      </w:r>
    </w:p>
    <w:p w14:paraId="16766CA1" w14:textId="1571EFBF" w:rsidR="00C87E95" w:rsidRPr="00A17DB7" w:rsidRDefault="00C87E95" w:rsidP="00C87E95">
      <w:pPr>
        <w:pStyle w:val="MDPI31text"/>
        <w:rPr>
          <w:color w:val="auto"/>
        </w:rPr>
      </w:pPr>
      <w:r w:rsidRPr="00A17DB7">
        <w:t>Carbon isotope composition of OM indicates the source of organic matter. The δ</w:t>
      </w:r>
      <w:r w:rsidRPr="00A17DB7">
        <w:rPr>
          <w:vertAlign w:val="superscript"/>
        </w:rPr>
        <w:t>13</w:t>
      </w:r>
      <w:r w:rsidRPr="00A17DB7">
        <w:t>С</w:t>
      </w:r>
      <w:r w:rsidRPr="00A17DB7">
        <w:rPr>
          <w:vertAlign w:val="subscript"/>
        </w:rPr>
        <w:t>org</w:t>
      </w:r>
      <w:r w:rsidRPr="00A17DB7">
        <w:t xml:space="preserve"> values of the alginite-rich layers (from </w:t>
      </w:r>
      <w:r w:rsidR="005344BD" w:rsidRPr="00A17DB7">
        <w:t>−</w:t>
      </w:r>
      <w:r w:rsidRPr="00A17DB7">
        <w:t xml:space="preserve">31.1 to </w:t>
      </w:r>
      <w:r w:rsidR="005344BD" w:rsidRPr="00A17DB7">
        <w:t>−</w:t>
      </w:r>
      <w:r w:rsidRPr="00A17DB7">
        <w:t xml:space="preserve">31.9‰) are similar to host rocks (from </w:t>
      </w:r>
      <w:r w:rsidR="005344BD" w:rsidRPr="00A17DB7">
        <w:t>−</w:t>
      </w:r>
      <w:r w:rsidRPr="00A17DB7">
        <w:t xml:space="preserve">30.5 </w:t>
      </w:r>
      <w:r w:rsidRPr="00A17DB7">
        <w:rPr>
          <w:color w:val="auto"/>
        </w:rPr>
        <w:t xml:space="preserve">to </w:t>
      </w:r>
      <w:r w:rsidR="005344BD" w:rsidRPr="00A17DB7">
        <w:rPr>
          <w:color w:val="auto"/>
        </w:rPr>
        <w:t>−</w:t>
      </w:r>
      <w:r w:rsidRPr="00A17DB7">
        <w:rPr>
          <w:color w:val="auto"/>
        </w:rPr>
        <w:t>31.9‰). The resulting values are typical for marine OM of the Bazhenov Formation previously reported [4</w:t>
      </w:r>
      <w:proofErr w:type="gramStart"/>
      <w:r w:rsidRPr="00A17DB7">
        <w:rPr>
          <w:color w:val="auto"/>
        </w:rPr>
        <w:t>,</w:t>
      </w:r>
      <w:r w:rsidR="00CC4A0F" w:rsidRPr="00C5555B">
        <w:rPr>
          <w:color w:val="auto"/>
        </w:rPr>
        <w:t>62</w:t>
      </w:r>
      <w:proofErr w:type="gramEnd"/>
      <w:r w:rsidRPr="00A17DB7">
        <w:rPr>
          <w:color w:val="auto"/>
        </w:rPr>
        <w:t>].</w:t>
      </w:r>
    </w:p>
    <w:p w14:paraId="583211B0" w14:textId="1E3B725A" w:rsidR="00C87E95" w:rsidRPr="00A17DB7" w:rsidRDefault="00C87E95" w:rsidP="00C87E95">
      <w:pPr>
        <w:pStyle w:val="MDPI31text"/>
        <w:rPr>
          <w:color w:val="auto"/>
        </w:rPr>
      </w:pPr>
      <w:r w:rsidRPr="00A17DB7">
        <w:rPr>
          <w:color w:val="auto"/>
          <w:szCs w:val="20"/>
          <w:lang w:val="en-GB"/>
        </w:rPr>
        <w:t xml:space="preserve">According to mineralogical studies, the main chemical form of sulphur in investigated samples is, according to mineralogical studies, the sulphide sulphur fixed as pyrite. Organic sulphur presents in a very subordinate amount, the sulphur content in organic matter in sedimentary rocks of West Siberia is generally low and does not exceed 5 </w:t>
      </w:r>
      <w:r w:rsidR="00973ABA" w:rsidRPr="00A17DB7">
        <w:rPr>
          <w:color w:val="auto"/>
          <w:szCs w:val="20"/>
          <w:lang w:val="en-GB"/>
        </w:rPr>
        <w:t>wt.%</w:t>
      </w:r>
      <w:r w:rsidRPr="00A17DB7">
        <w:rPr>
          <w:color w:val="auto"/>
          <w:szCs w:val="20"/>
          <w:lang w:val="en-GB"/>
        </w:rPr>
        <w:t xml:space="preserve"> </w:t>
      </w:r>
      <w:r w:rsidRPr="00A17DB7">
        <w:rPr>
          <w:color w:val="auto"/>
          <w:szCs w:val="20"/>
        </w:rPr>
        <w:t>[</w:t>
      </w:r>
      <w:r w:rsidR="00CC4A0F" w:rsidRPr="00C5555B">
        <w:rPr>
          <w:color w:val="auto"/>
          <w:szCs w:val="20"/>
        </w:rPr>
        <w:t>62</w:t>
      </w:r>
      <w:r w:rsidRPr="00A17DB7">
        <w:rPr>
          <w:color w:val="auto"/>
          <w:szCs w:val="20"/>
        </w:rPr>
        <w:t xml:space="preserve">]. </w:t>
      </w:r>
      <w:r w:rsidRPr="00A17DB7">
        <w:rPr>
          <w:color w:val="auto"/>
        </w:rPr>
        <w:t>Sulfur isotope composition of sulphide sulfur indicates the changes in redox conditions during sedimentation and the sulfate-reducing bacteria activity. Intensive sulfate reduction in euxinic conditions results in higher sulfur content and its “lighter” isotope composition [</w:t>
      </w:r>
      <w:r w:rsidR="00CC4A0F" w:rsidRPr="00C5555B">
        <w:rPr>
          <w:color w:val="auto"/>
        </w:rPr>
        <w:t>63</w:t>
      </w:r>
      <w:r w:rsidRPr="00A17DB7">
        <w:rPr>
          <w:color w:val="auto"/>
        </w:rPr>
        <w:t>], which is observed in the host rocks with δ</w:t>
      </w:r>
      <w:r w:rsidRPr="00A17DB7">
        <w:rPr>
          <w:color w:val="auto"/>
          <w:vertAlign w:val="superscript"/>
        </w:rPr>
        <w:t>34</w:t>
      </w:r>
      <w:r w:rsidRPr="00A17DB7">
        <w:rPr>
          <w:color w:val="auto"/>
        </w:rPr>
        <w:t>S</w:t>
      </w:r>
      <w:r w:rsidRPr="00A17DB7">
        <w:rPr>
          <w:color w:val="auto"/>
          <w:vertAlign w:val="subscript"/>
        </w:rPr>
        <w:t>tot</w:t>
      </w:r>
      <w:r w:rsidRPr="00A17DB7">
        <w:rPr>
          <w:color w:val="auto"/>
        </w:rPr>
        <w:t xml:space="preserve"> from </w:t>
      </w:r>
      <w:r w:rsidR="00F2028D" w:rsidRPr="00A17DB7">
        <w:rPr>
          <w:color w:val="auto"/>
        </w:rPr>
        <w:t>-</w:t>
      </w:r>
      <w:r w:rsidRPr="00A17DB7">
        <w:rPr>
          <w:color w:val="auto"/>
        </w:rPr>
        <w:t xml:space="preserve">17.3 to </w:t>
      </w:r>
      <w:r w:rsidR="000679A3" w:rsidRPr="00A17DB7">
        <w:rPr>
          <w:color w:val="auto"/>
        </w:rPr>
        <w:t>−</w:t>
      </w:r>
      <w:r w:rsidRPr="00A17DB7">
        <w:rPr>
          <w:color w:val="auto"/>
        </w:rPr>
        <w:t>26.0‰. The alginite-rich layers are characterized by intermediate values of sulfur content and δ</w:t>
      </w:r>
      <w:r w:rsidRPr="00A17DB7">
        <w:rPr>
          <w:color w:val="auto"/>
          <w:vertAlign w:val="superscript"/>
        </w:rPr>
        <w:t>34</w:t>
      </w:r>
      <w:r w:rsidRPr="00A17DB7">
        <w:rPr>
          <w:color w:val="auto"/>
        </w:rPr>
        <w:t>S</w:t>
      </w:r>
      <w:r w:rsidRPr="00A17DB7">
        <w:rPr>
          <w:color w:val="auto"/>
          <w:vertAlign w:val="subscript"/>
        </w:rPr>
        <w:t>tot</w:t>
      </w:r>
      <w:r w:rsidRPr="00A17DB7">
        <w:rPr>
          <w:color w:val="auto"/>
        </w:rPr>
        <w:t xml:space="preserve"> from </w:t>
      </w:r>
      <w:r w:rsidR="000679A3" w:rsidRPr="00A17DB7">
        <w:rPr>
          <w:color w:val="auto"/>
        </w:rPr>
        <w:t>−</w:t>
      </w:r>
      <w:r w:rsidRPr="00A17DB7">
        <w:rPr>
          <w:color w:val="auto"/>
        </w:rPr>
        <w:t xml:space="preserve">6.0 to </w:t>
      </w:r>
      <w:r w:rsidR="000679A3" w:rsidRPr="00A17DB7">
        <w:rPr>
          <w:color w:val="auto"/>
        </w:rPr>
        <w:t>−</w:t>
      </w:r>
      <w:r w:rsidRPr="00A17DB7">
        <w:rPr>
          <w:color w:val="auto"/>
        </w:rPr>
        <w:t>18.5‰, which reflects suboxic conditions of sedimentation compared to the host rocks. The tuff samples are quite different with low sulfur content and relatively high δ</w:t>
      </w:r>
      <w:r w:rsidRPr="00A17DB7">
        <w:rPr>
          <w:color w:val="auto"/>
          <w:vertAlign w:val="superscript"/>
        </w:rPr>
        <w:t>34</w:t>
      </w:r>
      <w:r w:rsidRPr="00A17DB7">
        <w:rPr>
          <w:color w:val="auto"/>
        </w:rPr>
        <w:t>S</w:t>
      </w:r>
      <w:r w:rsidRPr="00A17DB7">
        <w:rPr>
          <w:color w:val="auto"/>
          <w:vertAlign w:val="subscript"/>
        </w:rPr>
        <w:t>tot</w:t>
      </w:r>
      <w:r w:rsidRPr="00A17DB7">
        <w:rPr>
          <w:color w:val="auto"/>
        </w:rPr>
        <w:t xml:space="preserve"> from 2.4 to 4.5‰. The sulfur isotope composition of tuffs is possibly affected by the admixture of volcanic sulfur from pyroclastic material [</w:t>
      </w:r>
      <w:r w:rsidR="00CC4A0F" w:rsidRPr="00C5555B">
        <w:rPr>
          <w:color w:val="auto"/>
        </w:rPr>
        <w:t>64</w:t>
      </w:r>
      <w:proofErr w:type="gramStart"/>
      <w:r w:rsidR="00CC4A0F" w:rsidRPr="00C5555B">
        <w:rPr>
          <w:color w:val="auto"/>
        </w:rPr>
        <w:t>,65</w:t>
      </w:r>
      <w:proofErr w:type="gramEnd"/>
      <w:r w:rsidRPr="00A17DB7">
        <w:rPr>
          <w:color w:val="auto"/>
        </w:rPr>
        <w:t>].</w:t>
      </w:r>
    </w:p>
    <w:p w14:paraId="13DD656E" w14:textId="699EA6D5" w:rsidR="00C87E95" w:rsidRPr="00A17DB7" w:rsidRDefault="00C87E95" w:rsidP="00C87E95">
      <w:pPr>
        <w:pStyle w:val="MDPI31text"/>
        <w:rPr>
          <w:color w:val="auto"/>
        </w:rPr>
      </w:pPr>
      <w:r w:rsidRPr="00A17DB7">
        <w:rPr>
          <w:color w:val="auto"/>
        </w:rPr>
        <w:t xml:space="preserve">Low nitrogen concentration (0.07–0.21 </w:t>
      </w:r>
      <w:r w:rsidR="00973ABA" w:rsidRPr="00A17DB7">
        <w:rPr>
          <w:color w:val="auto"/>
        </w:rPr>
        <w:t>wt</w:t>
      </w:r>
      <w:proofErr w:type="gramStart"/>
      <w:r w:rsidR="00973ABA" w:rsidRPr="00A17DB7">
        <w:rPr>
          <w:color w:val="auto"/>
        </w:rPr>
        <w:t>.%</w:t>
      </w:r>
      <w:proofErr w:type="gramEnd"/>
      <w:r w:rsidRPr="00A17DB7">
        <w:rPr>
          <w:color w:val="auto"/>
        </w:rPr>
        <w:t>), high С</w:t>
      </w:r>
      <w:r w:rsidRPr="00A17DB7">
        <w:rPr>
          <w:color w:val="auto"/>
          <w:vertAlign w:val="subscript"/>
        </w:rPr>
        <w:t>org</w:t>
      </w:r>
      <w:r w:rsidRPr="00A17DB7">
        <w:rPr>
          <w:color w:val="auto"/>
        </w:rPr>
        <w:t>/N</w:t>
      </w:r>
      <w:r w:rsidRPr="00A17DB7">
        <w:rPr>
          <w:color w:val="auto"/>
          <w:vertAlign w:val="subscript"/>
        </w:rPr>
        <w:t>tot</w:t>
      </w:r>
      <w:r w:rsidRPr="00A17DB7">
        <w:rPr>
          <w:color w:val="auto"/>
        </w:rPr>
        <w:t xml:space="preserve"> ratio (70–155 and above) and δ</w:t>
      </w:r>
      <w:r w:rsidRPr="00A17DB7">
        <w:rPr>
          <w:color w:val="auto"/>
          <w:vertAlign w:val="superscript"/>
        </w:rPr>
        <w:t>15</w:t>
      </w:r>
      <w:r w:rsidRPr="00A17DB7">
        <w:rPr>
          <w:color w:val="auto"/>
        </w:rPr>
        <w:t>N</w:t>
      </w:r>
      <w:r w:rsidRPr="00A17DB7">
        <w:rPr>
          <w:color w:val="auto"/>
          <w:vertAlign w:val="subscript"/>
        </w:rPr>
        <w:t>tot</w:t>
      </w:r>
      <w:r w:rsidRPr="00A17DB7">
        <w:rPr>
          <w:color w:val="auto"/>
        </w:rPr>
        <w:t xml:space="preserve"> values (up to 25.7‰) are characteristic features of the alginite-rich layers. Host rocks have С</w:t>
      </w:r>
      <w:r w:rsidRPr="00A17DB7">
        <w:rPr>
          <w:color w:val="auto"/>
          <w:vertAlign w:val="subscript"/>
        </w:rPr>
        <w:t>org</w:t>
      </w:r>
      <w:r w:rsidRPr="00A17DB7">
        <w:rPr>
          <w:color w:val="auto"/>
        </w:rPr>
        <w:t>/N</w:t>
      </w:r>
      <w:r w:rsidRPr="00A17DB7">
        <w:rPr>
          <w:color w:val="auto"/>
          <w:vertAlign w:val="subscript"/>
        </w:rPr>
        <w:t xml:space="preserve">tot </w:t>
      </w:r>
      <w:r w:rsidRPr="00A17DB7">
        <w:rPr>
          <w:color w:val="auto"/>
        </w:rPr>
        <w:t>from</w:t>
      </w:r>
      <w:r w:rsidRPr="00A17DB7">
        <w:rPr>
          <w:color w:val="auto"/>
          <w:vertAlign w:val="subscript"/>
        </w:rPr>
        <w:t xml:space="preserve"> </w:t>
      </w:r>
      <w:r w:rsidRPr="00A17DB7">
        <w:rPr>
          <w:color w:val="auto"/>
        </w:rPr>
        <w:t>3 to 50 and δ</w:t>
      </w:r>
      <w:r w:rsidRPr="00A17DB7">
        <w:rPr>
          <w:color w:val="auto"/>
          <w:vertAlign w:val="superscript"/>
        </w:rPr>
        <w:t>15</w:t>
      </w:r>
      <w:r w:rsidRPr="00A17DB7">
        <w:rPr>
          <w:color w:val="auto"/>
        </w:rPr>
        <w:t>N</w:t>
      </w:r>
      <w:r w:rsidRPr="00A17DB7">
        <w:rPr>
          <w:color w:val="auto"/>
          <w:vertAlign w:val="subscript"/>
        </w:rPr>
        <w:t xml:space="preserve">tot </w:t>
      </w:r>
      <w:r w:rsidRPr="00A17DB7">
        <w:rPr>
          <w:color w:val="auto"/>
        </w:rPr>
        <w:t>from 1 to 5.4‰ that show the same values as the black shales of various ages [</w:t>
      </w:r>
      <w:r w:rsidR="00CC4A0F" w:rsidRPr="00C5555B">
        <w:rPr>
          <w:color w:val="auto"/>
        </w:rPr>
        <w:t>66-68</w:t>
      </w:r>
      <w:r w:rsidRPr="00A17DB7">
        <w:rPr>
          <w:color w:val="auto"/>
        </w:rPr>
        <w:t>]. Low nitrogen content and heavy isotope composition corresponds to initial predominance of lipid components and/or significant microbial alteration of OM at the diagenesis stage. The process of bacterial transformation is known to be common for the sapropelic OM formation, and it is usually accompanied by destruction of proteins and carbohydrates [</w:t>
      </w:r>
      <w:r w:rsidR="00E00018" w:rsidRPr="00A17DB7">
        <w:rPr>
          <w:color w:val="auto"/>
        </w:rPr>
        <w:t>6</w:t>
      </w:r>
      <w:r w:rsidR="00CC4A0F" w:rsidRPr="00C5555B">
        <w:rPr>
          <w:color w:val="auto"/>
        </w:rPr>
        <w:t>9</w:t>
      </w:r>
      <w:r w:rsidRPr="00A17DB7">
        <w:rPr>
          <w:color w:val="auto"/>
        </w:rPr>
        <w:t xml:space="preserve">]. Nitrogen isotope fractionation occurs due to amino acids destruction resulting in the loss of amino groups, and kinetic isotope effect is directed towards the accumulation of lighter </w:t>
      </w:r>
      <w:r w:rsidRPr="00A17DB7">
        <w:rPr>
          <w:color w:val="auto"/>
          <w:vertAlign w:val="superscript"/>
        </w:rPr>
        <w:t>14</w:t>
      </w:r>
      <w:r w:rsidRPr="00A17DB7">
        <w:rPr>
          <w:color w:val="auto"/>
        </w:rPr>
        <w:t xml:space="preserve">N in the products of biochemical reactions and enrichment of the residual substrate by </w:t>
      </w:r>
      <w:r w:rsidRPr="00A17DB7">
        <w:rPr>
          <w:color w:val="auto"/>
          <w:vertAlign w:val="superscript"/>
        </w:rPr>
        <w:t>15</w:t>
      </w:r>
      <w:r w:rsidRPr="00A17DB7">
        <w:rPr>
          <w:color w:val="auto"/>
        </w:rPr>
        <w:t>N [</w:t>
      </w:r>
      <w:r w:rsidR="00CC4A0F" w:rsidRPr="00C5555B">
        <w:rPr>
          <w:color w:val="auto"/>
        </w:rPr>
        <w:t>70</w:t>
      </w:r>
      <w:r w:rsidRPr="00A17DB7">
        <w:rPr>
          <w:color w:val="auto"/>
        </w:rPr>
        <w:t>].</w:t>
      </w:r>
    </w:p>
    <w:p w14:paraId="2F88F44B" w14:textId="759E2E2A" w:rsidR="00C87E95" w:rsidRPr="00A17DB7" w:rsidRDefault="00C87E95" w:rsidP="00C87E95">
      <w:pPr>
        <w:pStyle w:val="MDPI31text"/>
        <w:rPr>
          <w:color w:val="auto"/>
        </w:rPr>
      </w:pPr>
      <w:r w:rsidRPr="00A17DB7">
        <w:rPr>
          <w:color w:val="auto"/>
        </w:rPr>
        <w:t>For comparison, luminescent tuffs exhibit relatively high nitrogen and low organic carbon concentrations, indicating the presence of inorganic nitrogen in the rocks. In detailed mineralogical study of tuff layers of the Bazhenov Formation, Shaldybin and co-authors have found t</w:t>
      </w:r>
      <w:r w:rsidRPr="00A17DB7">
        <w:rPr>
          <w:color w:val="auto"/>
          <w:shd w:val="clear" w:color="auto" w:fill="FFFFFF"/>
        </w:rPr>
        <w:t>he illite/tobelite/smectite mixed-layered mineral compounds</w:t>
      </w:r>
      <w:r w:rsidRPr="00A17DB7">
        <w:rPr>
          <w:color w:val="auto"/>
        </w:rPr>
        <w:t>, where ammonium partially replaces potassium in the crystal structure of tobelite [</w:t>
      </w:r>
      <w:r w:rsidR="002148D4" w:rsidRPr="00A17DB7">
        <w:rPr>
          <w:color w:val="auto"/>
        </w:rPr>
        <w:t xml:space="preserve">10, </w:t>
      </w:r>
      <w:r w:rsidR="00CC4A0F" w:rsidRPr="00C5555B">
        <w:rPr>
          <w:color w:val="auto"/>
        </w:rPr>
        <w:t>71</w:t>
      </w:r>
      <w:r w:rsidRPr="00A17DB7">
        <w:rPr>
          <w:color w:val="auto"/>
        </w:rPr>
        <w:t xml:space="preserve">]. We </w:t>
      </w:r>
      <w:r w:rsidRPr="00A17DB7">
        <w:rPr>
          <w:color w:val="auto"/>
        </w:rPr>
        <w:lastRenderedPageBreak/>
        <w:t>attribute formation of these minerals to transformation of pyroclastic material at the diagenesis stage in the presence of ammonium, formed during the OM decomposition in the pore waters. High nitrogen content and low δ</w:t>
      </w:r>
      <w:r w:rsidRPr="00A17DB7">
        <w:rPr>
          <w:color w:val="auto"/>
          <w:vertAlign w:val="superscript"/>
        </w:rPr>
        <w:t>15</w:t>
      </w:r>
      <w:r w:rsidRPr="00A17DB7">
        <w:rPr>
          <w:color w:val="auto"/>
        </w:rPr>
        <w:t>N</w:t>
      </w:r>
      <w:r w:rsidRPr="00A17DB7">
        <w:rPr>
          <w:color w:val="auto"/>
          <w:vertAlign w:val="subscript"/>
        </w:rPr>
        <w:t>tot</w:t>
      </w:r>
      <w:r w:rsidRPr="00A17DB7">
        <w:rPr>
          <w:color w:val="auto"/>
        </w:rPr>
        <w:t xml:space="preserve"> values, obtained for tuff samples in this study, are consistent with this concept.</w:t>
      </w:r>
    </w:p>
    <w:p w14:paraId="3410B817" w14:textId="0B1471C1" w:rsidR="00C87E95" w:rsidRPr="00A17DB7" w:rsidRDefault="00C87E95" w:rsidP="00C87E95">
      <w:pPr>
        <w:pStyle w:val="MDPI22heading2"/>
        <w:spacing w:before="240"/>
      </w:pPr>
      <w:r w:rsidRPr="00A17DB7">
        <w:t xml:space="preserve">5.3. Origin of the </w:t>
      </w:r>
      <w:r w:rsidR="00A935E6" w:rsidRPr="00A17DB7">
        <w:t>A</w:t>
      </w:r>
      <w:r w:rsidRPr="00A17DB7">
        <w:t>lginite-</w:t>
      </w:r>
      <w:r w:rsidR="00A935E6" w:rsidRPr="00A17DB7">
        <w:t>R</w:t>
      </w:r>
      <w:r w:rsidRPr="00A17DB7">
        <w:t xml:space="preserve">ich </w:t>
      </w:r>
      <w:r w:rsidR="00A935E6" w:rsidRPr="00A17DB7">
        <w:t>L</w:t>
      </w:r>
      <w:r w:rsidRPr="00A17DB7">
        <w:t>ayers</w:t>
      </w:r>
    </w:p>
    <w:p w14:paraId="007311D7" w14:textId="067325CE" w:rsidR="00C87E95" w:rsidRPr="00A17DB7" w:rsidRDefault="00C87E95" w:rsidP="00C87E95">
      <w:pPr>
        <w:pStyle w:val="MDPI31text"/>
      </w:pPr>
      <w:r w:rsidRPr="00A17DB7">
        <w:t xml:space="preserve">The obtained results show extensive environmental changes occurred during </w:t>
      </w:r>
      <w:r w:rsidR="00F72211" w:rsidRPr="00A17DB7">
        <w:t xml:space="preserve">the </w:t>
      </w:r>
      <w:r w:rsidRPr="00A17DB7">
        <w:t>short-term, in the geological timescale</w:t>
      </w:r>
      <w:r w:rsidR="00714B13" w:rsidRPr="00A17DB7">
        <w:t>,</w:t>
      </w:r>
      <w:r w:rsidRPr="00A17DB7">
        <w:t xml:space="preserve"> period of sedimentation in paleobasin on the territory of modern Western Siberia. Due to these changes, a considerable amount of organic-matter-rich algal sapropel has been accumulated in most parts of the paleosea. Observed thickness of lithified material corresponds to the sedimentation of 5–10 m of </w:t>
      </w:r>
      <w:r w:rsidR="002148D4" w:rsidRPr="00C5555B">
        <w:t>mud</w:t>
      </w:r>
      <w:r w:rsidR="002148D4" w:rsidRPr="00A17DB7">
        <w:t xml:space="preserve"> </w:t>
      </w:r>
      <w:r w:rsidRPr="00A17DB7">
        <w:t>enriched with algae, which most probably was formed as a result of algal blooms.</w:t>
      </w:r>
    </w:p>
    <w:p w14:paraId="59802385" w14:textId="671C8910" w:rsidR="00C87E95" w:rsidRPr="00A17DB7" w:rsidRDefault="00C87E95" w:rsidP="00C87E95">
      <w:pPr>
        <w:pStyle w:val="MDPI31text"/>
        <w:rPr>
          <w:color w:val="auto"/>
        </w:rPr>
      </w:pPr>
      <w:r w:rsidRPr="00A17DB7">
        <w:t xml:space="preserve">Algae are known to occur in a variety of depositional environments and have been </w:t>
      </w:r>
      <w:r w:rsidRPr="00A17DB7">
        <w:rPr>
          <w:color w:val="auto"/>
        </w:rPr>
        <w:t>described from ancient deposits to recent times. The environment must have had a regular and ample nutrient supply, enough light intensity, and optimal water temperature. Algal blooms happen regularly in the Black and the Mediterranean [</w:t>
      </w:r>
      <w:r w:rsidR="00CC4A0F" w:rsidRPr="00C5555B">
        <w:rPr>
          <w:color w:val="auto"/>
        </w:rPr>
        <w:t>72</w:t>
      </w:r>
      <w:proofErr w:type="gramStart"/>
      <w:r w:rsidR="00E00018" w:rsidRPr="00A17DB7">
        <w:rPr>
          <w:color w:val="auto"/>
        </w:rPr>
        <w:t>,</w:t>
      </w:r>
      <w:r w:rsidR="00CC4A0F" w:rsidRPr="00C5555B">
        <w:rPr>
          <w:color w:val="auto"/>
        </w:rPr>
        <w:t>73</w:t>
      </w:r>
      <w:proofErr w:type="gramEnd"/>
      <w:r w:rsidRPr="00A17DB7">
        <w:rPr>
          <w:color w:val="auto"/>
        </w:rPr>
        <w:t>]. The source of nutrients in the middle of paleosea potentially stimulating algal blooms could be volcanic ash [</w:t>
      </w:r>
      <w:r w:rsidR="00E00018" w:rsidRPr="00A17DB7">
        <w:rPr>
          <w:color w:val="auto"/>
        </w:rPr>
        <w:t>7</w:t>
      </w:r>
      <w:r w:rsidR="00CC4A0F" w:rsidRPr="00C5555B">
        <w:rPr>
          <w:color w:val="auto"/>
        </w:rPr>
        <w:t>4</w:t>
      </w:r>
      <w:r w:rsidR="00E00018" w:rsidRPr="00A17DB7">
        <w:rPr>
          <w:color w:val="auto"/>
        </w:rPr>
        <w:t>–7</w:t>
      </w:r>
      <w:r w:rsidR="00CC4A0F" w:rsidRPr="00C5555B">
        <w:rPr>
          <w:color w:val="auto"/>
        </w:rPr>
        <w:t>6</w:t>
      </w:r>
      <w:r w:rsidRPr="00A17DB7">
        <w:rPr>
          <w:color w:val="auto"/>
        </w:rPr>
        <w:t>], eolian processes [</w:t>
      </w:r>
      <w:r w:rsidR="00CC4A0F" w:rsidRPr="00C5555B">
        <w:rPr>
          <w:color w:val="auto"/>
        </w:rPr>
        <w:t>77-79</w:t>
      </w:r>
      <w:r w:rsidRPr="00A17DB7">
        <w:rPr>
          <w:color w:val="auto"/>
        </w:rPr>
        <w:t>], upwelling [</w:t>
      </w:r>
      <w:r w:rsidR="00CC4A0F" w:rsidRPr="00C5555B">
        <w:rPr>
          <w:color w:val="auto"/>
        </w:rPr>
        <w:t>80</w:t>
      </w:r>
      <w:r w:rsidRPr="00A17DB7">
        <w:rPr>
          <w:color w:val="auto"/>
        </w:rPr>
        <w:t>], or run-off from the eroding land areas, and currents, concentrating stock of living plankton. The occurrence of large amount of quartz in the alginite-rich layers is associated with the release of silica or input from an external source. The source of silica most commonly includes biogenic debris (radiolarians, diatoms, sponge spicule and others), the transformation of clay minerals and the vitrification of volcanic ash. Eolian processes can produce a large amount of quartz-rich dust from coastal deserts [</w:t>
      </w:r>
      <w:r w:rsidR="00CC4A0F" w:rsidRPr="00C5555B">
        <w:rPr>
          <w:color w:val="auto"/>
        </w:rPr>
        <w:t>81</w:t>
      </w:r>
      <w:proofErr w:type="gramStart"/>
      <w:r w:rsidR="00CC4A0F" w:rsidRPr="00C5555B">
        <w:rPr>
          <w:color w:val="auto"/>
        </w:rPr>
        <w:t>,82</w:t>
      </w:r>
      <w:proofErr w:type="gramEnd"/>
      <w:r w:rsidRPr="00A17DB7">
        <w:rPr>
          <w:color w:val="auto"/>
        </w:rPr>
        <w:t>].</w:t>
      </w:r>
    </w:p>
    <w:p w14:paraId="23DF8AEC" w14:textId="08A26DBA" w:rsidR="00C87E95" w:rsidRPr="00A17DB7" w:rsidRDefault="00C87E95" w:rsidP="00C87E95">
      <w:pPr>
        <w:pStyle w:val="MDPI22heading2"/>
        <w:spacing w:before="240"/>
        <w:rPr>
          <w:color w:val="auto"/>
        </w:rPr>
      </w:pPr>
      <w:r w:rsidRPr="00A17DB7">
        <w:rPr>
          <w:color w:val="auto"/>
        </w:rPr>
        <w:t xml:space="preserve">5.4. Stratigraphy and </w:t>
      </w:r>
      <w:r w:rsidR="00E509E1" w:rsidRPr="00A17DB7">
        <w:rPr>
          <w:color w:val="auto"/>
        </w:rPr>
        <w:t>H</w:t>
      </w:r>
      <w:r w:rsidRPr="00A17DB7">
        <w:rPr>
          <w:color w:val="auto"/>
        </w:rPr>
        <w:t xml:space="preserve">ydrocarbon </w:t>
      </w:r>
      <w:r w:rsidR="00E509E1" w:rsidRPr="00A17DB7">
        <w:rPr>
          <w:color w:val="auto"/>
        </w:rPr>
        <w:t>P</w:t>
      </w:r>
      <w:r w:rsidRPr="00A17DB7">
        <w:rPr>
          <w:color w:val="auto"/>
        </w:rPr>
        <w:t>otential</w:t>
      </w:r>
    </w:p>
    <w:p w14:paraId="51E14A5D" w14:textId="77777777" w:rsidR="00C87E95" w:rsidRPr="00A17DB7" w:rsidRDefault="00C87E95" w:rsidP="00C87E95">
      <w:pPr>
        <w:pStyle w:val="MDPI31text"/>
      </w:pPr>
      <w:r w:rsidRPr="00A17DB7">
        <w:t>In the Bazh</w:t>
      </w:r>
      <w:r w:rsidR="001B234A" w:rsidRPr="00A17DB7">
        <w:t>enov Formation, the luminescent</w:t>
      </w:r>
      <w:r w:rsidRPr="00A17DB7">
        <w:t xml:space="preserve"> alginite-rich layers occur beside with lu</w:t>
      </w:r>
      <w:r w:rsidR="001B234A" w:rsidRPr="00A17DB7">
        <w:t>minescent</w:t>
      </w:r>
      <w:r w:rsidRPr="00A17DB7">
        <w:t xml:space="preserve"> tuffs in unit 4 (Figure 11). They have different nature of luminescence and can be distinguished by the listed above criteria. The widespread distribution over the entire area of the central part of Western Siberia makes both the alginite-rich layers and tuffs useful for correlating the Bazhenov sequence.</w:t>
      </w:r>
    </w:p>
    <w:p w14:paraId="4AEEA854" w14:textId="77777777" w:rsidR="00C87E95" w:rsidRPr="00A17DB7" w:rsidRDefault="00C87E95" w:rsidP="004A1561">
      <w:pPr>
        <w:pStyle w:val="MDPI52figure"/>
        <w:ind w:left="2608"/>
        <w:jc w:val="left"/>
      </w:pPr>
      <w:r w:rsidRPr="00A17DB7">
        <w:rPr>
          <w:noProof/>
          <w:snapToGrid/>
          <w:lang w:val="ru-RU" w:eastAsia="ru-RU" w:bidi="ar-SA"/>
        </w:rPr>
        <w:drawing>
          <wp:inline distT="0" distB="0" distL="0" distR="0" wp14:anchorId="0DEC3DC0" wp14:editId="06156CC5">
            <wp:extent cx="4918099" cy="2927084"/>
            <wp:effectExtent l="0" t="0" r="0"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Корреляция.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35745" cy="2937586"/>
                    </a:xfrm>
                    <a:prstGeom prst="rect">
                      <a:avLst/>
                    </a:prstGeom>
                  </pic:spPr>
                </pic:pic>
              </a:graphicData>
            </a:graphic>
          </wp:inline>
        </w:drawing>
      </w:r>
    </w:p>
    <w:p w14:paraId="40BC707D" w14:textId="6A5F97C1" w:rsidR="00C87E95" w:rsidRPr="00A17DB7" w:rsidRDefault="004A1561" w:rsidP="004A1561">
      <w:pPr>
        <w:pStyle w:val="MDPI51figurecaption"/>
      </w:pPr>
      <w:r w:rsidRPr="00A17DB7">
        <w:rPr>
          <w:b/>
        </w:rPr>
        <w:t xml:space="preserve">Figure 11. </w:t>
      </w:r>
      <w:r w:rsidR="00C87E95" w:rsidRPr="00A17DB7">
        <w:t xml:space="preserve">Stratigraphic cross-section showing the position of the alginite-rich layers (marked in red) and tuffs (marked in light green) through the Bazhenov sequence. Location of the well and </w:t>
      </w:r>
      <w:r w:rsidR="00C87E95" w:rsidRPr="00A17DB7">
        <w:lastRenderedPageBreak/>
        <w:t>correlation line are in the map. The legends of lithology are the same with those in Figure 2.</w:t>
      </w:r>
      <w:r w:rsidR="00BC16AD" w:rsidRPr="00A17DB7">
        <w:t xml:space="preserve"> GR</w:t>
      </w:r>
      <w:r w:rsidR="006F110C" w:rsidRPr="00A17DB7">
        <w:t xml:space="preserve"> – </w:t>
      </w:r>
      <w:r w:rsidR="00534578" w:rsidRPr="00A17DB7">
        <w:t>gamma-</w:t>
      </w:r>
      <w:r w:rsidR="00BC16AD" w:rsidRPr="00A17DB7">
        <w:t>ray log</w:t>
      </w:r>
      <w:r w:rsidR="000603CD" w:rsidRPr="00A17DB7">
        <w:t>.</w:t>
      </w:r>
    </w:p>
    <w:p w14:paraId="18343A50" w14:textId="362F1915" w:rsidR="009F58AB" w:rsidRPr="00A17DB7" w:rsidRDefault="009F58AB" w:rsidP="009F58AB">
      <w:pPr>
        <w:pStyle w:val="MDPI31text"/>
      </w:pPr>
      <w:r w:rsidRPr="00A17DB7">
        <w:t>Luminescence of the alginite-rich layers</w:t>
      </w:r>
      <w:r w:rsidR="000603CD" w:rsidRPr="00A17DB7">
        <w:t xml:space="preserve"> is</w:t>
      </w:r>
      <w:r w:rsidRPr="00A17DB7">
        <w:t xml:space="preserve"> associated with si</w:t>
      </w:r>
      <w:r w:rsidR="00943C7C" w:rsidRPr="00A17DB7">
        <w:t>gnificant amount of luminescent</w:t>
      </w:r>
      <w:r w:rsidRPr="00A17DB7">
        <w:t xml:space="preserve"> alginite in theirs composition. During the study, we have not found any luminescent alginite-rich layers in wells with the degree of OM maturity after the middle of the oil window. </w:t>
      </w:r>
      <w:r w:rsidRPr="00A17DB7">
        <w:rPr>
          <w:color w:val="auto"/>
        </w:rPr>
        <w:t xml:space="preserve">This observation allows us to suggest that at a certain thermal maturity degree during realization of the generation potential </w:t>
      </w:r>
      <w:r w:rsidR="001B234A" w:rsidRPr="00A17DB7">
        <w:rPr>
          <w:color w:val="auto"/>
        </w:rPr>
        <w:t>of OM</w:t>
      </w:r>
      <w:r w:rsidR="000603CD" w:rsidRPr="00A17DB7">
        <w:rPr>
          <w:color w:val="auto"/>
        </w:rPr>
        <w:t>,</w:t>
      </w:r>
      <w:r w:rsidR="001B234A" w:rsidRPr="00A17DB7">
        <w:rPr>
          <w:color w:val="auto"/>
        </w:rPr>
        <w:t xml:space="preserve"> the </w:t>
      </w:r>
      <w:r w:rsidR="00943C7C" w:rsidRPr="00A17DB7">
        <w:rPr>
          <w:color w:val="auto"/>
        </w:rPr>
        <w:t>luminescent</w:t>
      </w:r>
      <w:r w:rsidR="001B234A" w:rsidRPr="00A17DB7">
        <w:rPr>
          <w:color w:val="auto"/>
        </w:rPr>
        <w:t xml:space="preserve"> </w:t>
      </w:r>
      <w:r w:rsidRPr="00A17DB7">
        <w:rPr>
          <w:color w:val="auto"/>
        </w:rPr>
        <w:t xml:space="preserve">alginite-rich layers lose their luminescence. </w:t>
      </w:r>
      <w:r w:rsidRPr="00A17DB7">
        <w:t xml:space="preserve">Speight and Huc have described samples of type I kerogen containing algobacterial material that luminescent under UV light at low </w:t>
      </w:r>
      <w:r w:rsidRPr="00A17DB7">
        <w:rPr>
          <w:color w:val="auto"/>
        </w:rPr>
        <w:t>maturity stages, and the intensity of luminescence gradually decreases and disappears with maturation [</w:t>
      </w:r>
      <w:r w:rsidR="00CC4A0F" w:rsidRPr="00C5555B">
        <w:rPr>
          <w:color w:val="auto"/>
        </w:rPr>
        <w:t>83</w:t>
      </w:r>
      <w:proofErr w:type="gramStart"/>
      <w:r w:rsidR="00CC4A0F" w:rsidRPr="00C5555B">
        <w:rPr>
          <w:color w:val="auto"/>
        </w:rPr>
        <w:t>,84</w:t>
      </w:r>
      <w:proofErr w:type="gramEnd"/>
      <w:r w:rsidRPr="00A17DB7">
        <w:rPr>
          <w:color w:val="auto"/>
        </w:rPr>
        <w:t xml:space="preserve">]. </w:t>
      </w:r>
      <w:r w:rsidRPr="00A17DB7">
        <w:t>Therefore, since OM reaches the middle of the oil window the luminescence of the alginite-rich layers extinguished and they can be distinguished by geochemical data.</w:t>
      </w:r>
    </w:p>
    <w:p w14:paraId="26ADCCCE" w14:textId="3587DB52" w:rsidR="00C87E95" w:rsidRPr="00A17DB7" w:rsidRDefault="00C87E95" w:rsidP="00C87E95">
      <w:pPr>
        <w:pStyle w:val="MDPI31text"/>
      </w:pPr>
      <w:r w:rsidRPr="00A17DB7">
        <w:t xml:space="preserve">Luminescence of the alginite-rich layers can be used to confirm the thermal maturity parameters of Rock-Eval pyrolysis or biomarker analysis of Bazhenov deposits from immature conditions (PC3) up to the early to middle oil window (MC1-2). Generally, luminescence colors of the alginite-rich layers change from greenish-yellow to bright yellow to </w:t>
      </w:r>
      <w:r w:rsidRPr="00A17DB7">
        <w:rPr>
          <w:color w:val="auto"/>
        </w:rPr>
        <w:t>orange under UV light before luminescence is mostly extinguished at the middle oil window (Figure 12). Decreasing of alginite luminescence of high maturity level is due to decreasing of the ratios of both hydrogen and oxygen to carbon and increased molecular aromatization [</w:t>
      </w:r>
      <w:r w:rsidR="00CC4A0F" w:rsidRPr="00C5555B">
        <w:rPr>
          <w:color w:val="auto"/>
        </w:rPr>
        <w:t>85-88</w:t>
      </w:r>
      <w:r w:rsidRPr="00A17DB7">
        <w:t>].</w:t>
      </w:r>
    </w:p>
    <w:p w14:paraId="7496C816" w14:textId="6F653D18" w:rsidR="00C87E95" w:rsidRPr="00A17DB7" w:rsidRDefault="00950410" w:rsidP="004A1561">
      <w:pPr>
        <w:pStyle w:val="MDPI52figure"/>
        <w:ind w:left="2608"/>
        <w:jc w:val="left"/>
      </w:pPr>
      <w:r w:rsidRPr="00A17DB7">
        <w:rPr>
          <w:noProof/>
          <w:snapToGrid/>
          <w:lang w:val="ru-RU" w:eastAsia="ru-RU" w:bidi="ar-SA"/>
        </w:rPr>
        <w:drawing>
          <wp:inline distT="0" distB="0" distL="0" distR="0" wp14:anchorId="19E5C525" wp14:editId="5836977C">
            <wp:extent cx="4046292" cy="360983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e 1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54437" cy="3617099"/>
                    </a:xfrm>
                    <a:prstGeom prst="rect">
                      <a:avLst/>
                    </a:prstGeom>
                  </pic:spPr>
                </pic:pic>
              </a:graphicData>
            </a:graphic>
          </wp:inline>
        </w:drawing>
      </w:r>
    </w:p>
    <w:p w14:paraId="5786D83F" w14:textId="1D6B5D1A" w:rsidR="00C87E95" w:rsidRPr="00C5555B" w:rsidRDefault="004A1561" w:rsidP="004A1561">
      <w:pPr>
        <w:pStyle w:val="MDPI51figurecaption"/>
      </w:pPr>
      <w:r w:rsidRPr="00A17DB7">
        <w:rPr>
          <w:b/>
        </w:rPr>
        <w:t xml:space="preserve">Figure 12. </w:t>
      </w:r>
      <w:r w:rsidR="001B234A" w:rsidRPr="00A17DB7">
        <w:t>Color of the luminescent</w:t>
      </w:r>
      <w:r w:rsidR="00C87E95" w:rsidRPr="00A17DB7">
        <w:t xml:space="preserve"> alginite-rich layers in the Bazhenov deposits of different maturity.</w:t>
      </w:r>
    </w:p>
    <w:p w14:paraId="6B22C439" w14:textId="792D3490" w:rsidR="00C87E95" w:rsidRPr="00A17DB7" w:rsidRDefault="00C87E95" w:rsidP="00C87E95">
      <w:pPr>
        <w:pStyle w:val="MDPI31text"/>
        <w:rPr>
          <w:color w:val="auto"/>
        </w:rPr>
      </w:pPr>
      <w:r w:rsidRPr="00A17DB7">
        <w:t xml:space="preserve">Hydrocarbon generation potential of the alginite-rich layers significantly higher than in the host rocks enriched in type II kerogen. Value of S2 for the alginite-rich layers is 2–2.5 times higher than in the host rocks and reaches 250 mg HC/g rocks. The prevalence of aliphatic compounds in generated </w:t>
      </w:r>
      <w:r w:rsidR="00DE36A4">
        <w:t>hydrocarbons</w:t>
      </w:r>
      <w:r w:rsidRPr="00A17DB7">
        <w:t xml:space="preserve"> by type I kerogen propose the high quality of the produced crude oils. Therefore, the alginite-rich layers improve the petroleum generation potential of the Bazhenov Formation and suggested to be a significant contributor to </w:t>
      </w:r>
      <w:r w:rsidR="00DE36A4">
        <w:t>hydrocarbon</w:t>
      </w:r>
      <w:r w:rsidR="00DE36A4" w:rsidRPr="00DE36A4">
        <w:t xml:space="preserve"> </w:t>
      </w:r>
      <w:r w:rsidRPr="00A17DB7">
        <w:t xml:space="preserve">formation. Since type II kerogen exhausted its petroleum generation </w:t>
      </w:r>
      <w:r w:rsidRPr="00A17DB7">
        <w:lastRenderedPageBreak/>
        <w:t xml:space="preserve">potential at high maturity level of the Bazhenov Formation, type I kerogen of the alginite-rich layers still holds its high </w:t>
      </w:r>
      <w:r w:rsidR="00DE36A4">
        <w:t>hydrocarbon</w:t>
      </w:r>
      <w:r w:rsidR="00DE36A4" w:rsidRPr="00DE36A4">
        <w:t xml:space="preserve"> </w:t>
      </w:r>
      <w:r w:rsidRPr="00A17DB7">
        <w:t xml:space="preserve">potential and are capable of producing light oils. In the oil fields within Western Siberian basin with a high OM maturity (Verkhnesalymskoye, Krasnoleninskoye, Sredne-Nazymskoye) type I kerogen is possibly the major source of petroleum derived from the Bazhenov </w:t>
      </w:r>
      <w:r w:rsidRPr="00A17DB7">
        <w:rPr>
          <w:color w:val="auto"/>
        </w:rPr>
        <w:t>strata.</w:t>
      </w:r>
    </w:p>
    <w:p w14:paraId="2FCEA8A8" w14:textId="5D77ADA4" w:rsidR="00C87E95" w:rsidRPr="00A17DB7" w:rsidRDefault="00C87E95" w:rsidP="00C87E95">
      <w:pPr>
        <w:pStyle w:val="MDPI31text"/>
      </w:pPr>
      <w:r w:rsidRPr="00A17DB7">
        <w:rPr>
          <w:color w:val="auto"/>
        </w:rPr>
        <w:t>High content of type I keroge</w:t>
      </w:r>
      <w:r w:rsidR="001B234A" w:rsidRPr="00A17DB7">
        <w:rPr>
          <w:color w:val="auto"/>
        </w:rPr>
        <w:t>n is concentrated in luminescent</w:t>
      </w:r>
      <w:r w:rsidRPr="00A17DB7">
        <w:rPr>
          <w:color w:val="auto"/>
        </w:rPr>
        <w:t xml:space="preserve"> Stellarites of Late Carboniferous within the Stellarton basin in Canada [</w:t>
      </w:r>
      <w:r w:rsidR="00CC4A0F" w:rsidRPr="00C5555B">
        <w:rPr>
          <w:color w:val="auto"/>
        </w:rPr>
        <w:t>89</w:t>
      </w:r>
      <w:proofErr w:type="gramStart"/>
      <w:r w:rsidR="00CC4A0F" w:rsidRPr="00C5555B">
        <w:rPr>
          <w:color w:val="auto"/>
        </w:rPr>
        <w:t>,90</w:t>
      </w:r>
      <w:proofErr w:type="gramEnd"/>
      <w:r w:rsidRPr="00A17DB7">
        <w:rPr>
          <w:color w:val="auto"/>
        </w:rPr>
        <w:t>]. OM-rich sediments of the Late Jurassic-Early Cretaceous age were found in the southern part of the Barents Sea [</w:t>
      </w:r>
      <w:r w:rsidR="00CC4A0F" w:rsidRPr="00C5555B">
        <w:rPr>
          <w:color w:val="auto"/>
        </w:rPr>
        <w:t>91</w:t>
      </w:r>
      <w:proofErr w:type="gramStart"/>
      <w:r w:rsidR="00CC4A0F" w:rsidRPr="00C5555B">
        <w:rPr>
          <w:color w:val="auto"/>
        </w:rPr>
        <w:t>,92</w:t>
      </w:r>
      <w:proofErr w:type="gramEnd"/>
      <w:r w:rsidRPr="00A17DB7">
        <w:rPr>
          <w:color w:val="auto"/>
        </w:rPr>
        <w:t>]. The Blackstone layer of the Late Jurassic Kimmeridge Formation consist primarily of algal origin OM [</w:t>
      </w:r>
      <w:r w:rsidR="00CC4A0F" w:rsidRPr="00C5555B">
        <w:rPr>
          <w:color w:val="auto"/>
        </w:rPr>
        <w:t>93</w:t>
      </w:r>
      <w:proofErr w:type="gramStart"/>
      <w:r w:rsidR="00CC4A0F" w:rsidRPr="00C5555B">
        <w:rPr>
          <w:color w:val="auto"/>
        </w:rPr>
        <w:t>,94</w:t>
      </w:r>
      <w:proofErr w:type="gramEnd"/>
      <w:r w:rsidRPr="00A17DB7">
        <w:rPr>
          <w:color w:val="auto"/>
        </w:rPr>
        <w:t xml:space="preserve">]. The other records of abundant algae confirm that they can be important contributors of OM to </w:t>
      </w:r>
      <w:r w:rsidRPr="00A17DB7">
        <w:t>source rock deposits.</w:t>
      </w:r>
    </w:p>
    <w:p w14:paraId="262908E1" w14:textId="77777777" w:rsidR="00C87E95" w:rsidRPr="00A17DB7" w:rsidRDefault="00C87E95" w:rsidP="00C87E95">
      <w:pPr>
        <w:pStyle w:val="MDPI21heading1"/>
      </w:pPr>
      <w:r w:rsidRPr="00A17DB7">
        <w:t>6. Conclusions</w:t>
      </w:r>
    </w:p>
    <w:p w14:paraId="0F465D08" w14:textId="4BA4E9A1" w:rsidR="00C87E95" w:rsidRPr="00A17DB7" w:rsidRDefault="00C354B0" w:rsidP="00C87E95">
      <w:pPr>
        <w:pStyle w:val="MDPI31text"/>
      </w:pPr>
      <w:r w:rsidRPr="00A17DB7">
        <w:t>The l</w:t>
      </w:r>
      <w:r w:rsidR="00C87E95" w:rsidRPr="00A17DB7">
        <w:t xml:space="preserve">uminescent alginite-rich layers </w:t>
      </w:r>
      <w:r w:rsidRPr="00A17DB7">
        <w:t xml:space="preserve">were </w:t>
      </w:r>
      <w:r w:rsidR="00C87E95" w:rsidRPr="00A17DB7">
        <w:t xml:space="preserve">discovered in </w:t>
      </w:r>
      <w:r w:rsidR="00CF7CCF" w:rsidRPr="00A17DB7">
        <w:t xml:space="preserve">many </w:t>
      </w:r>
      <w:r w:rsidR="00C87E95" w:rsidRPr="00A17DB7">
        <w:t>wells of the Western Siberia petroleum basin</w:t>
      </w:r>
      <w:r w:rsidRPr="00A17DB7">
        <w:t>, distributed over</w:t>
      </w:r>
      <w:r w:rsidR="00C87E95" w:rsidRPr="00A17DB7">
        <w:t xml:space="preserve"> </w:t>
      </w:r>
      <w:r w:rsidRPr="00A17DB7">
        <w:t>the</w:t>
      </w:r>
      <w:r w:rsidR="00C87E95" w:rsidRPr="00A17DB7">
        <w:t xml:space="preserve"> area of 0.5 million km</w:t>
      </w:r>
      <w:r w:rsidR="00C87E95" w:rsidRPr="00A17DB7">
        <w:rPr>
          <w:vertAlign w:val="superscript"/>
        </w:rPr>
        <w:t>2</w:t>
      </w:r>
      <w:r w:rsidR="00C87E95" w:rsidRPr="00A17DB7">
        <w:t xml:space="preserve">. </w:t>
      </w:r>
      <w:r w:rsidRPr="00A17DB7">
        <w:t>The</w:t>
      </w:r>
      <w:r w:rsidR="0099113E" w:rsidRPr="00A17DB7">
        <w:t>y</w:t>
      </w:r>
      <w:r w:rsidRPr="00A17DB7">
        <w:t xml:space="preserve"> </w:t>
      </w:r>
      <w:r w:rsidR="00C87E95" w:rsidRPr="00A17DB7">
        <w:t>situate</w:t>
      </w:r>
      <w:r w:rsidR="0099113E" w:rsidRPr="00A17DB7">
        <w:t>d</w:t>
      </w:r>
      <w:r w:rsidR="00C87E95" w:rsidRPr="00A17DB7">
        <w:t xml:space="preserve"> stratigraphically</w:t>
      </w:r>
      <w:r w:rsidR="009E325D" w:rsidRPr="00A17DB7">
        <w:t xml:space="preserve"> in the U</w:t>
      </w:r>
      <w:r w:rsidR="00C87E95" w:rsidRPr="00A17DB7">
        <w:t xml:space="preserve">pper part of the Bazhenov Formation. Individual </w:t>
      </w:r>
      <w:r w:rsidRPr="00A17DB7">
        <w:t>laminas</w:t>
      </w:r>
      <w:r w:rsidR="00C87E95" w:rsidRPr="00A17DB7">
        <w:t xml:space="preserve"> have </w:t>
      </w:r>
      <w:r w:rsidRPr="00A17DB7">
        <w:t xml:space="preserve">the </w:t>
      </w:r>
      <w:r w:rsidR="00C87E95" w:rsidRPr="00A17DB7">
        <w:t>thickness from 1 to 50 mm, total thickness</w:t>
      </w:r>
      <w:r w:rsidRPr="00A17DB7">
        <w:t xml:space="preserve"> of the layers in one cross-section reaches</w:t>
      </w:r>
      <w:r w:rsidR="00C87E95" w:rsidRPr="00A17DB7">
        <w:t xml:space="preserve"> 1 m.</w:t>
      </w:r>
    </w:p>
    <w:p w14:paraId="737458EB" w14:textId="3B6690E0" w:rsidR="00ED6544" w:rsidRPr="00A17DB7" w:rsidRDefault="00C354B0" w:rsidP="00C87E95">
      <w:pPr>
        <w:pStyle w:val="MDPI31text"/>
      </w:pPr>
      <w:r w:rsidRPr="00A17DB7">
        <w:t xml:space="preserve">We have determined the key characteristics during </w:t>
      </w:r>
      <w:r w:rsidR="003714FB" w:rsidRPr="00A17DB7">
        <w:t xml:space="preserve">the </w:t>
      </w:r>
      <w:r w:rsidRPr="00A17DB7">
        <w:t xml:space="preserve">comparative </w:t>
      </w:r>
      <w:r w:rsidR="00C87E95" w:rsidRPr="00A17DB7">
        <w:t xml:space="preserve">analysis of the alginite-rich layers with host rocks and luminescent tuffs. </w:t>
      </w:r>
      <w:r w:rsidR="009B5E43" w:rsidRPr="00A17DB7">
        <w:t>For the alginite-rich layers, luminescence under UV light associated with algal OM. Obtained for the alginite-rich layers a</w:t>
      </w:r>
      <w:r w:rsidR="00C87E95" w:rsidRPr="00A17DB7">
        <w:t>bnormal</w:t>
      </w:r>
      <w:r w:rsidR="00951A3F" w:rsidRPr="00A17DB7">
        <w:t>ly</w:t>
      </w:r>
      <w:r w:rsidR="00C87E95" w:rsidRPr="00A17DB7">
        <w:t xml:space="preserve"> high HI values</w:t>
      </w:r>
      <w:r w:rsidR="00951A3F" w:rsidRPr="00A17DB7">
        <w:t>,</w:t>
      </w:r>
      <w:r w:rsidR="00712942">
        <w:t xml:space="preserve"> high atomic H/C</w:t>
      </w:r>
      <w:r w:rsidR="00951A3F" w:rsidRPr="00A17DB7">
        <w:t xml:space="preserve"> </w:t>
      </w:r>
      <w:r w:rsidR="009B5E43" w:rsidRPr="00A17DB7">
        <w:t xml:space="preserve">and </w:t>
      </w:r>
      <w:r w:rsidR="00951A3F" w:rsidRPr="00A17DB7">
        <w:t xml:space="preserve">the single </w:t>
      </w:r>
      <w:r w:rsidR="00C87E95" w:rsidRPr="00A17DB7">
        <w:t>activation energy</w:t>
      </w:r>
      <w:r w:rsidR="00951A3F" w:rsidRPr="00A17DB7">
        <w:t xml:space="preserve"> of thermal decomposition</w:t>
      </w:r>
      <w:r w:rsidR="00C87E95" w:rsidRPr="00A17DB7">
        <w:t xml:space="preserve"> </w:t>
      </w:r>
      <w:r w:rsidR="009B5E43" w:rsidRPr="00A17DB7">
        <w:t xml:space="preserve">are </w:t>
      </w:r>
      <w:r w:rsidR="006E404E">
        <w:t>typical for type I kerogen.</w:t>
      </w:r>
      <w:r w:rsidR="00ED6544" w:rsidRPr="00A17DB7">
        <w:t xml:space="preserve"> </w:t>
      </w:r>
      <w:r w:rsidR="0087562C" w:rsidRPr="00A17DB7">
        <w:t>The s</w:t>
      </w:r>
      <w:r w:rsidR="003714FB" w:rsidRPr="00A17DB7">
        <w:t xml:space="preserve">table isotope composition of carbon </w:t>
      </w:r>
      <w:r w:rsidR="0087562C" w:rsidRPr="00A17DB7">
        <w:t>has</w:t>
      </w:r>
      <w:r w:rsidR="003714FB" w:rsidRPr="00A17DB7">
        <w:t xml:space="preserve"> close values for the alginite-rich layers and host rocks, whereas </w:t>
      </w:r>
      <w:r w:rsidR="0087562C" w:rsidRPr="00A17DB7">
        <w:t>tuffs have higher and more positive values. More significant differences were found in the elemental and isotope composition of nitrogen and sulfur compared to host rocks and tuffs.</w:t>
      </w:r>
    </w:p>
    <w:p w14:paraId="568CADBC" w14:textId="7BB15B90" w:rsidR="00C87E95" w:rsidRPr="00A17DB7" w:rsidRDefault="00C87E95" w:rsidP="00C87E95">
      <w:pPr>
        <w:pStyle w:val="MDPI31text"/>
      </w:pPr>
      <w:r w:rsidRPr="00A17DB7">
        <w:t xml:space="preserve">The obtained results show extensive environmental changes during short-term in the geological timescale period </w:t>
      </w:r>
      <w:r w:rsidR="00951A3F" w:rsidRPr="00A17DB7">
        <w:t xml:space="preserve">occurred during </w:t>
      </w:r>
      <w:r w:rsidRPr="00A17DB7">
        <w:t xml:space="preserve">sedimentation in paleobasin on the territory of modern Western Siberia. Due to these changes, considerable amount of </w:t>
      </w:r>
      <w:r w:rsidR="00EA4DE1">
        <w:t>algal-rich OM</w:t>
      </w:r>
      <w:r w:rsidRPr="00A17DB7">
        <w:t xml:space="preserve"> </w:t>
      </w:r>
      <w:r w:rsidR="00951A3F" w:rsidRPr="00A17DB7">
        <w:t xml:space="preserve">had </w:t>
      </w:r>
      <w:r w:rsidRPr="00A17DB7">
        <w:t>been accumulated in most parts of the paleosea, most probably as a result of algal blooms.</w:t>
      </w:r>
    </w:p>
    <w:p w14:paraId="6DF1DE3C" w14:textId="3AB04D13" w:rsidR="00FE004C" w:rsidRPr="00A17DB7" w:rsidRDefault="00C87E95" w:rsidP="00C87E95">
      <w:pPr>
        <w:pStyle w:val="MDPI31text"/>
      </w:pPr>
      <w:r w:rsidRPr="00A17DB7">
        <w:t>For practical purposes, the described alginite-rich layers can be</w:t>
      </w:r>
      <w:r w:rsidR="00951A3F" w:rsidRPr="00A17DB7">
        <w:t>come a</w:t>
      </w:r>
      <w:r w:rsidRPr="00A17DB7">
        <w:t xml:space="preserve"> tool for correlation of the Bazhenov sequence. An exceptionally high generation potential of the alginite-rich layers organic matter and the composition of thermal destruction products are to be taken into consideration during basin modeling of the Western Siberian petroleum basin.</w:t>
      </w:r>
    </w:p>
    <w:p w14:paraId="72E794F0" w14:textId="77777777" w:rsidR="00C87E95" w:rsidRPr="00A17DB7" w:rsidRDefault="00C87E95" w:rsidP="00C87E95">
      <w:pPr>
        <w:pStyle w:val="MDPI31text"/>
      </w:pPr>
    </w:p>
    <w:p w14:paraId="39499FD1" w14:textId="7A3013C6" w:rsidR="00C87E95" w:rsidRPr="00A17DB7" w:rsidRDefault="00C87E95" w:rsidP="00C87E95">
      <w:pPr>
        <w:pStyle w:val="MDPI62BackMatter"/>
      </w:pPr>
      <w:r w:rsidRPr="00A17DB7">
        <w:rPr>
          <w:b/>
        </w:rPr>
        <w:t>Author Contributions:</w:t>
      </w:r>
      <w:r w:rsidRPr="00A17DB7">
        <w:t xml:space="preserve"> Conceptualization, methodology and manuscript preparation – T.B.</w:t>
      </w:r>
      <w:r w:rsidR="00C3227B" w:rsidRPr="00A17DB7">
        <w:t xml:space="preserve">; </w:t>
      </w:r>
      <w:r w:rsidRPr="00A17DB7">
        <w:t>E.K.</w:t>
      </w:r>
      <w:r w:rsidR="00C3227B" w:rsidRPr="00A17DB7">
        <w:t xml:space="preserve"> and E.L.;</w:t>
      </w:r>
      <w:r w:rsidRPr="00A17DB7">
        <w:t xml:space="preserve"> supervision – E.K. and M.S.; petrographic, XRD and XRF analy</w:t>
      </w:r>
      <w:r w:rsidR="00AF513F">
        <w:t xml:space="preserve">sis – T.B.; Rock-Eval pyrolysis, </w:t>
      </w:r>
      <w:r w:rsidRPr="00A17DB7">
        <w:t>bulk kinetics</w:t>
      </w:r>
      <w:r w:rsidR="00AF513F">
        <w:t xml:space="preserve"> and</w:t>
      </w:r>
      <w:r w:rsidR="00907472">
        <w:t xml:space="preserve"> elemental analysis</w:t>
      </w:r>
      <w:r w:rsidRPr="00A17DB7">
        <w:t xml:space="preserve"> – E.K. and T.B.; maceral analysis – N.P.; pyro-GC×GC-TOF MS/FID</w:t>
      </w:r>
      <w:r w:rsidR="00550773" w:rsidRPr="00A17DB7">
        <w:t xml:space="preserve"> – E.L</w:t>
      </w:r>
      <w:r w:rsidRPr="00A17DB7">
        <w:t>.; isotope analysis – A.V.; writing</w:t>
      </w:r>
      <w:r w:rsidR="000757B2" w:rsidRPr="00A17DB7">
        <w:t xml:space="preserve"> – </w:t>
      </w:r>
      <w:r w:rsidRPr="00A17DB7">
        <w:t xml:space="preserve">original draft preparation, T.B., E.K., </w:t>
      </w:r>
      <w:r w:rsidR="00550773" w:rsidRPr="00A17DB7">
        <w:t>E.L</w:t>
      </w:r>
      <w:r w:rsidRPr="00A17DB7">
        <w:t>. and M.S.; writing</w:t>
      </w:r>
      <w:r w:rsidR="000757B2" w:rsidRPr="00A17DB7">
        <w:t xml:space="preserve"> – </w:t>
      </w:r>
      <w:r w:rsidRPr="00A17DB7">
        <w:t>review and</w:t>
      </w:r>
      <w:r w:rsidR="00550773" w:rsidRPr="00A17DB7">
        <w:t xml:space="preserve"> editing – T.B., E.K., M.S., E.L</w:t>
      </w:r>
      <w:r w:rsidRPr="00A17DB7">
        <w:t xml:space="preserve">., </w:t>
      </w:r>
      <w:r w:rsidR="0099113E" w:rsidRPr="00A17DB7">
        <w:t>A.V., I.P., N.P. and N.M</w:t>
      </w:r>
      <w:r w:rsidRPr="00A17DB7">
        <w:t>. All authors have read and agreed to the published version of the manuscript.</w:t>
      </w:r>
    </w:p>
    <w:p w14:paraId="5884ECAA" w14:textId="73B4A8A4" w:rsidR="00C87E95" w:rsidRPr="00A17DB7" w:rsidRDefault="00C87E95" w:rsidP="00C87E95">
      <w:pPr>
        <w:pStyle w:val="MDPI62BackMatter"/>
      </w:pPr>
      <w:r w:rsidRPr="00A17DB7">
        <w:rPr>
          <w:b/>
        </w:rPr>
        <w:t>Funding:</w:t>
      </w:r>
      <w:r w:rsidRPr="00A17DB7">
        <w:t xml:space="preserve"> </w:t>
      </w:r>
      <w:r w:rsidR="00B758C5" w:rsidRPr="00A17DB7">
        <w:t>This work was supported by the Ministry of Science and Higher Education of the Russian Federation under agreement No. 075-10-2020-119 within the framework of the development program for a world-class Research Center.</w:t>
      </w:r>
      <w:bookmarkStart w:id="1" w:name="_GoBack"/>
      <w:bookmarkEnd w:id="1"/>
    </w:p>
    <w:p w14:paraId="7E782A7E" w14:textId="13EFF9FE" w:rsidR="00C87E95" w:rsidRPr="00A17DB7" w:rsidRDefault="00C87E95" w:rsidP="00ED6544">
      <w:pPr>
        <w:pStyle w:val="MDPI62BackMatter"/>
        <w:rPr>
          <w:color w:val="auto"/>
        </w:rPr>
      </w:pPr>
      <w:r w:rsidRPr="00A17DB7">
        <w:rPr>
          <w:b/>
          <w:color w:val="auto"/>
        </w:rPr>
        <w:t>Acknowledgments:</w:t>
      </w:r>
      <w:r w:rsidRPr="00A17DB7">
        <w:rPr>
          <w:color w:val="auto"/>
        </w:rPr>
        <w:t xml:space="preserve"> The authors would like to thank the Center for Hydrocarbon Recovery Laboratory members for technical support.</w:t>
      </w:r>
      <w:r w:rsidR="00ED6544" w:rsidRPr="00A17DB7">
        <w:rPr>
          <w:color w:val="auto"/>
        </w:rPr>
        <w:t xml:space="preserve"> The authors thank anonymous reviewers</w:t>
      </w:r>
      <w:r w:rsidR="004164F5">
        <w:rPr>
          <w:color w:val="auto"/>
        </w:rPr>
        <w:t>,</w:t>
      </w:r>
      <w:r w:rsidR="00ED6544" w:rsidRPr="00A17DB7">
        <w:rPr>
          <w:color w:val="auto"/>
        </w:rPr>
        <w:t xml:space="preserve"> </w:t>
      </w:r>
      <w:r w:rsidR="004164F5">
        <w:rPr>
          <w:color w:val="auto"/>
        </w:rPr>
        <w:t>whose con</w:t>
      </w:r>
      <w:r w:rsidR="004164F5" w:rsidRPr="004164F5">
        <w:rPr>
          <w:color w:val="auto"/>
        </w:rPr>
        <w:t>structive comments and suggestions greatly improved this manuscript</w:t>
      </w:r>
      <w:r w:rsidR="004164F5">
        <w:rPr>
          <w:color w:val="auto"/>
        </w:rPr>
        <w:t>.</w:t>
      </w:r>
    </w:p>
    <w:p w14:paraId="630323D3" w14:textId="77777777" w:rsidR="00C87E95" w:rsidRPr="00A17DB7" w:rsidRDefault="00C87E95" w:rsidP="00C87E95">
      <w:pPr>
        <w:pStyle w:val="MDPI62BackMatter"/>
      </w:pPr>
      <w:r w:rsidRPr="00A17DB7">
        <w:rPr>
          <w:b/>
        </w:rPr>
        <w:t>Conflicts of Interest:</w:t>
      </w:r>
      <w:r w:rsidRPr="00A17DB7">
        <w:t xml:space="preserve"> The authors declare no conflict of interest.</w:t>
      </w:r>
    </w:p>
    <w:p w14:paraId="0A823FD4" w14:textId="77777777" w:rsidR="006B19FC" w:rsidRPr="00A17DB7" w:rsidRDefault="006B19FC" w:rsidP="00B82A32">
      <w:pPr>
        <w:pStyle w:val="MDPI21heading1"/>
        <w:ind w:left="0"/>
      </w:pPr>
      <w:r w:rsidRPr="00A17DB7">
        <w:t>References</w:t>
      </w:r>
    </w:p>
    <w:p w14:paraId="55B4C3F4" w14:textId="77777777" w:rsidR="00FC118D" w:rsidRPr="00A17DB7" w:rsidRDefault="00FC118D" w:rsidP="00FC118D">
      <w:pPr>
        <w:pStyle w:val="MDPI71References"/>
      </w:pPr>
      <w:r w:rsidRPr="00A17DB7">
        <w:t xml:space="preserve">Kontorovich, A.E.; Ponomareva, E.V.; Burshtein, L.M.; Glinskikh, V.N.; Kim, N.S.; Kostyreva, E.A.; Pavlova, M.A.; Rodchenko, A.P.; Yan, P.A. Distribution of organic matter in rocks of the Bazhenov horizon (West Siberia). </w:t>
      </w:r>
      <w:r w:rsidRPr="00A17DB7">
        <w:rPr>
          <w:i/>
        </w:rPr>
        <w:t>Russian Geology and Geophysics</w:t>
      </w:r>
      <w:r w:rsidRPr="00A17DB7">
        <w:t xml:space="preserve"> </w:t>
      </w:r>
      <w:r w:rsidRPr="00A17DB7">
        <w:rPr>
          <w:b/>
        </w:rPr>
        <w:t>2018</w:t>
      </w:r>
      <w:r w:rsidRPr="00A17DB7">
        <w:t xml:space="preserve">, </w:t>
      </w:r>
      <w:r w:rsidRPr="00A17DB7">
        <w:rPr>
          <w:i/>
        </w:rPr>
        <w:t>59</w:t>
      </w:r>
      <w:r w:rsidRPr="00A17DB7">
        <w:t>, 285–298. DOI:10.1016/j.rgg.2018.03.007.</w:t>
      </w:r>
    </w:p>
    <w:p w14:paraId="12CE5976" w14:textId="77777777" w:rsidR="00FC118D" w:rsidRPr="00A17DB7" w:rsidRDefault="00FC118D" w:rsidP="00FC118D">
      <w:pPr>
        <w:pStyle w:val="MDPI71References"/>
      </w:pPr>
      <w:r w:rsidRPr="00A17DB7">
        <w:lastRenderedPageBreak/>
        <w:t xml:space="preserve">Krasnova, E.A.; Yurchenko, A.Yu.; Kalmykov, A.G.; Fomina, M.M. Isotopic-geochemical peculiarities of the distribution of gas hydrocarbons in the Bazhenov formation section (South part of the Western Siberia). </w:t>
      </w:r>
      <w:r w:rsidRPr="00A17DB7">
        <w:rPr>
          <w:i/>
        </w:rPr>
        <w:t>Georesources</w:t>
      </w:r>
      <w:r w:rsidRPr="00A17DB7">
        <w:t xml:space="preserve"> </w:t>
      </w:r>
      <w:r w:rsidRPr="00A17DB7">
        <w:rPr>
          <w:b/>
        </w:rPr>
        <w:t>2019</w:t>
      </w:r>
      <w:r w:rsidRPr="00A17DB7">
        <w:t xml:space="preserve">, </w:t>
      </w:r>
      <w:r w:rsidRPr="00A17DB7">
        <w:rPr>
          <w:i/>
        </w:rPr>
        <w:t>21(2)</w:t>
      </w:r>
      <w:r w:rsidRPr="00A17DB7">
        <w:t>, 153–158. (In Russian). DOI:10.18599/grs.2019.2.153-158</w:t>
      </w:r>
    </w:p>
    <w:p w14:paraId="114AB3F9" w14:textId="77777777" w:rsidR="00FC118D" w:rsidRPr="00A17DB7" w:rsidRDefault="00FC118D" w:rsidP="00FC118D">
      <w:pPr>
        <w:pStyle w:val="MDPI71References"/>
      </w:pPr>
      <w:r w:rsidRPr="00A17DB7">
        <w:t xml:space="preserve">Goncharov, I.V.; Samoilenko, V.V.; Veklich, M.A.; Zherdeva, A.V.; Shadrina, E.S. 2019. Carbon Isotopic Composition of Extracts from the Rocks of the Bazhenov Formation of Various Catagenesis. In Proceedings of the 29th International Meeting on Organic Geochemistry, Gothenburg, Sweden, 1–6 September 2019. DOI:10.3997/2214-4609.201902916. </w:t>
      </w:r>
    </w:p>
    <w:p w14:paraId="79E72275" w14:textId="77777777" w:rsidR="00FC118D" w:rsidRPr="00A17DB7" w:rsidRDefault="00FC118D" w:rsidP="00FC118D">
      <w:pPr>
        <w:pStyle w:val="MDPI71References"/>
      </w:pPr>
      <w:r w:rsidRPr="00A17DB7">
        <w:t xml:space="preserve">Goncharov, I.V.; Samoilenko, V.V.; Graas, G.W., </w:t>
      </w:r>
      <w:proofErr w:type="spellStart"/>
      <w:r w:rsidRPr="00A17DB7">
        <w:t>Trushkov</w:t>
      </w:r>
      <w:proofErr w:type="spellEnd"/>
      <w:r w:rsidRPr="00A17DB7">
        <w:t xml:space="preserve">, P.V.; Oblasov, N.V.; Fadeeva, S.V.; Veklich, M.A.; Kashapov, R.S.; Sidorov, D.A. Petroleum generation and migration in the southern Tyumen region, Western Siberia Basin, Russia. </w:t>
      </w:r>
      <w:r w:rsidRPr="00A17DB7">
        <w:rPr>
          <w:i/>
        </w:rPr>
        <w:t>Org. Geochem.</w:t>
      </w:r>
      <w:r w:rsidRPr="00A17DB7">
        <w:t xml:space="preserve"> </w:t>
      </w:r>
      <w:r w:rsidRPr="00A17DB7">
        <w:rPr>
          <w:b/>
        </w:rPr>
        <w:t>2021</w:t>
      </w:r>
      <w:r w:rsidRPr="00A17DB7">
        <w:t xml:space="preserve">, </w:t>
      </w:r>
      <w:r w:rsidRPr="00A17DB7">
        <w:rPr>
          <w:i/>
        </w:rPr>
        <w:t>152</w:t>
      </w:r>
      <w:r w:rsidRPr="00A17DB7">
        <w:t>, 104178. DOI:10.1016/j.orggeochem.2020.104178.</w:t>
      </w:r>
    </w:p>
    <w:p w14:paraId="3321DBE4" w14:textId="77777777" w:rsidR="00FC118D" w:rsidRPr="00A17DB7" w:rsidRDefault="00FC118D" w:rsidP="00FC118D">
      <w:pPr>
        <w:pStyle w:val="MDPI71References"/>
      </w:pPr>
      <w:r w:rsidRPr="00A17DB7">
        <w:t xml:space="preserve">Kontorovich, A.E.; Fomin, A.N.; Krasavchikov, V.O.; Istomin, A.V. Catagenesis of organic matter at the top and base of the Jurassic complex in the West Siberian megabasin. </w:t>
      </w:r>
      <w:r w:rsidRPr="00A17DB7">
        <w:rPr>
          <w:i/>
        </w:rPr>
        <w:t xml:space="preserve">Russian Geology and Geophysics </w:t>
      </w:r>
      <w:r w:rsidRPr="00A17DB7">
        <w:rPr>
          <w:b/>
        </w:rPr>
        <w:t>2009</w:t>
      </w:r>
      <w:r w:rsidRPr="00A17DB7">
        <w:t xml:space="preserve">, </w:t>
      </w:r>
      <w:r w:rsidRPr="00A17DB7">
        <w:rPr>
          <w:i/>
        </w:rPr>
        <w:t>50(11)</w:t>
      </w:r>
      <w:r w:rsidRPr="00A17DB7">
        <w:t>, 917–929. DOI:10.1016/j.rgg.2009.10.001.</w:t>
      </w:r>
    </w:p>
    <w:p w14:paraId="34FD7732" w14:textId="77777777" w:rsidR="00FC118D" w:rsidRPr="00A17DB7" w:rsidRDefault="00FC118D" w:rsidP="00FC118D">
      <w:pPr>
        <w:pStyle w:val="MDPI71References"/>
      </w:pPr>
      <w:r w:rsidRPr="00A17DB7">
        <w:t xml:space="preserve">Kontorovich, A.E.; Yan, P.A.; Zamirailova, A.G.; Kostyreva, E.A.; Eder, V.G. Classification of rocks of the Bazhenov Formation. </w:t>
      </w:r>
      <w:r w:rsidRPr="00A17DB7">
        <w:rPr>
          <w:i/>
        </w:rPr>
        <w:t>Russian Geology and Geophysics</w:t>
      </w:r>
      <w:r w:rsidRPr="00A17DB7">
        <w:t xml:space="preserve"> </w:t>
      </w:r>
      <w:r w:rsidRPr="00A17DB7">
        <w:rPr>
          <w:b/>
        </w:rPr>
        <w:t>2016</w:t>
      </w:r>
      <w:r w:rsidRPr="00A17DB7">
        <w:t xml:space="preserve">, </w:t>
      </w:r>
      <w:r w:rsidRPr="00A17DB7">
        <w:rPr>
          <w:i/>
        </w:rPr>
        <w:t>57</w:t>
      </w:r>
      <w:r w:rsidRPr="00A17DB7">
        <w:t xml:space="preserve">, 1606–1612. DOI:10.1016/j.rgg.2016.10.006. </w:t>
      </w:r>
    </w:p>
    <w:p w14:paraId="7AD289EF" w14:textId="77777777" w:rsidR="00FC118D" w:rsidRPr="00A17DB7" w:rsidRDefault="00FC118D" w:rsidP="00FC118D">
      <w:pPr>
        <w:pStyle w:val="MDPI71References"/>
      </w:pPr>
      <w:r w:rsidRPr="00A17DB7">
        <w:t xml:space="preserve">Eder, V.G. Pyritization of rocks in black shale/host rock transition zones: Evidence from the Bazhenov Formation, Western Siberia. </w:t>
      </w:r>
      <w:r w:rsidRPr="00A17DB7">
        <w:rPr>
          <w:i/>
        </w:rPr>
        <w:t>Lithology and Mineral Resources</w:t>
      </w:r>
      <w:r w:rsidRPr="00A17DB7">
        <w:t xml:space="preserve"> </w:t>
      </w:r>
      <w:r w:rsidRPr="00A17DB7">
        <w:rPr>
          <w:b/>
        </w:rPr>
        <w:t>2020</w:t>
      </w:r>
      <w:r w:rsidRPr="00A17DB7">
        <w:t xml:space="preserve">, </w:t>
      </w:r>
      <w:r w:rsidRPr="00A17DB7">
        <w:rPr>
          <w:i/>
        </w:rPr>
        <w:t>55(3)</w:t>
      </w:r>
      <w:r w:rsidRPr="00A17DB7">
        <w:t>, 218–230. DOI</w:t>
      </w:r>
      <w:proofErr w:type="gramStart"/>
      <w:r w:rsidRPr="00A17DB7">
        <w:t>:10.1134</w:t>
      </w:r>
      <w:proofErr w:type="gramEnd"/>
      <w:r w:rsidRPr="00A17DB7">
        <w:t>/S0024490220030025.</w:t>
      </w:r>
    </w:p>
    <w:p w14:paraId="7A028EAE" w14:textId="77777777" w:rsidR="00FC118D" w:rsidRPr="00A17DB7" w:rsidRDefault="00FC118D" w:rsidP="00FC118D">
      <w:pPr>
        <w:pStyle w:val="MDPI71References"/>
      </w:pPr>
      <w:r w:rsidRPr="00A17DB7">
        <w:t>Bulatov, T.D.; Kozlova, E.V.; Leushina, E.A.; Pronina, N.V.; Panchenko, I.V.; Kostina, Y.V.; Spasennykh, M.Yu. Specific layers containing highly oil-prone organic matter in the Bazhenov Formation. In Proceedings of the 29th International Meeting on Organic Geochemistry, Gothenburg, Sweden, 1–6 September 2019. DOI:10.3997/2214-4609.201902828.</w:t>
      </w:r>
    </w:p>
    <w:p w14:paraId="4F28A8F7" w14:textId="77777777" w:rsidR="00FC118D" w:rsidRPr="00A17DB7" w:rsidRDefault="00FC118D" w:rsidP="00FC118D">
      <w:pPr>
        <w:pStyle w:val="MDPI71References"/>
      </w:pPr>
      <w:r w:rsidRPr="00A17DB7">
        <w:t xml:space="preserve">Bulatov, T.D.; Oksenoyd, E.E.; Semechkova, L.V.; Vtorushina, E.A.; Vtorushin, M.N.; </w:t>
      </w:r>
      <w:proofErr w:type="spellStart"/>
      <w:r w:rsidRPr="00A17DB7">
        <w:t>Bashirov</w:t>
      </w:r>
      <w:proofErr w:type="spellEnd"/>
      <w:r w:rsidRPr="00A17DB7">
        <w:t xml:space="preserve">, R.I.; Nesterova, L.L. Tuffaceous interlayers in the sediments of the Bazhenov Formation in the central part of West Siberia. In Proceedings of the XXI Scientific conference “Ways of realizing the petroleum and mineral potential of the </w:t>
      </w:r>
      <w:proofErr w:type="spellStart"/>
      <w:r w:rsidRPr="00A17DB7">
        <w:t>KhMAO</w:t>
      </w:r>
      <w:proofErr w:type="spellEnd"/>
      <w:r w:rsidRPr="00A17DB7">
        <w:t>-Yugra”, Khanty-Mansiysk, Russia, 13–17 November 2017. (In Russian)</w:t>
      </w:r>
    </w:p>
    <w:p w14:paraId="65E6DA07" w14:textId="77777777" w:rsidR="00FC118D" w:rsidRPr="00A17DB7" w:rsidRDefault="00FC118D" w:rsidP="00FC118D">
      <w:pPr>
        <w:pStyle w:val="MDPI71References"/>
      </w:pPr>
      <w:r w:rsidRPr="00A17DB7">
        <w:t xml:space="preserve">Shaldybin, M.V.; Wilson, M.J.; Wilson, L.; Lopushnyak, Yu.M.; Brydson, R.; Krupskaya, V.V.; Kondrashova(Deeva), E.S.; </w:t>
      </w:r>
      <w:proofErr w:type="spellStart"/>
      <w:r w:rsidRPr="00A17DB7">
        <w:t>Glotov</w:t>
      </w:r>
      <w:proofErr w:type="spellEnd"/>
      <w:r w:rsidRPr="00A17DB7">
        <w:t xml:space="preserve">, A.V.; Goncharov, I.V.; Samoilenko, V.V.; et al. The nature, origin and significance of luminescent layers in the Bazhenov Shale Formation of West Siberia, Russia. </w:t>
      </w:r>
      <w:r w:rsidRPr="00A17DB7">
        <w:rPr>
          <w:i/>
        </w:rPr>
        <w:t xml:space="preserve">Marine and Petroleum Geology </w:t>
      </w:r>
      <w:r w:rsidRPr="00A17DB7">
        <w:rPr>
          <w:b/>
        </w:rPr>
        <w:t>2019</w:t>
      </w:r>
      <w:r w:rsidRPr="00A17DB7">
        <w:t xml:space="preserve">, </w:t>
      </w:r>
      <w:r w:rsidRPr="00A17DB7">
        <w:rPr>
          <w:i/>
        </w:rPr>
        <w:t>100</w:t>
      </w:r>
      <w:r w:rsidRPr="00A17DB7">
        <w:t>, 358–375. DOI:10.1016/j.marpetgeo.2018.11.022.</w:t>
      </w:r>
    </w:p>
    <w:p w14:paraId="644737A0" w14:textId="77777777" w:rsidR="00FC118D" w:rsidRPr="00A17DB7" w:rsidRDefault="00FC118D" w:rsidP="00FC118D">
      <w:pPr>
        <w:pStyle w:val="MDPI71References"/>
      </w:pPr>
      <w:r w:rsidRPr="00A17DB7">
        <w:t xml:space="preserve">Panchenko, I. V.; </w:t>
      </w:r>
      <w:proofErr w:type="spellStart"/>
      <w:r w:rsidRPr="00A17DB7">
        <w:t>Sobolev</w:t>
      </w:r>
      <w:proofErr w:type="spellEnd"/>
      <w:r w:rsidRPr="00A17DB7">
        <w:t xml:space="preserve">, I. D.; </w:t>
      </w:r>
      <w:proofErr w:type="spellStart"/>
      <w:r w:rsidRPr="00A17DB7">
        <w:t>Rogov</w:t>
      </w:r>
      <w:proofErr w:type="spellEnd"/>
      <w:r w:rsidRPr="00A17DB7">
        <w:t xml:space="preserve">, M. A.; </w:t>
      </w:r>
      <w:proofErr w:type="spellStart"/>
      <w:r w:rsidRPr="00A17DB7">
        <w:t>Latyshev</w:t>
      </w:r>
      <w:proofErr w:type="spellEnd"/>
      <w:r w:rsidRPr="00A17DB7">
        <w:t xml:space="preserve">, A. V. Volcanic tuffs and </w:t>
      </w:r>
      <w:proofErr w:type="spellStart"/>
      <w:r w:rsidRPr="00A17DB7">
        <w:t>tuffites</w:t>
      </w:r>
      <w:proofErr w:type="spellEnd"/>
      <w:r w:rsidRPr="00A17DB7">
        <w:t xml:space="preserve"> at the Jurassic-Cretaceous boundary beds (Volgian–</w:t>
      </w:r>
      <w:proofErr w:type="spellStart"/>
      <w:r w:rsidRPr="00A17DB7">
        <w:t>Ryazanian</w:t>
      </w:r>
      <w:proofErr w:type="spellEnd"/>
      <w:r w:rsidRPr="00A17DB7">
        <w:t xml:space="preserve"> stages) of Western Siberia. </w:t>
      </w:r>
      <w:r w:rsidRPr="00A17DB7">
        <w:rPr>
          <w:i/>
        </w:rPr>
        <w:t xml:space="preserve">Lithology and Mineral Resources </w:t>
      </w:r>
      <w:r w:rsidRPr="00A17DB7">
        <w:rPr>
          <w:b/>
        </w:rPr>
        <w:t>2021</w:t>
      </w:r>
      <w:r w:rsidRPr="00A17DB7">
        <w:t xml:space="preserve">, </w:t>
      </w:r>
      <w:r w:rsidRPr="00A17DB7">
        <w:rPr>
          <w:i/>
        </w:rPr>
        <w:t>2</w:t>
      </w:r>
      <w:r w:rsidRPr="00A17DB7">
        <w:t>, 144–183. (In Russian). DOI</w:t>
      </w:r>
      <w:proofErr w:type="gramStart"/>
      <w:r w:rsidRPr="00A17DB7">
        <w:t>:10.31857</w:t>
      </w:r>
      <w:proofErr w:type="gramEnd"/>
      <w:r w:rsidRPr="00A17DB7">
        <w:t>/S0024497X21020051.</w:t>
      </w:r>
    </w:p>
    <w:p w14:paraId="1B2DE359" w14:textId="77777777" w:rsidR="00FC118D" w:rsidRPr="00A17DB7" w:rsidRDefault="00FC118D" w:rsidP="00FC118D">
      <w:pPr>
        <w:pStyle w:val="MDPI71References"/>
      </w:pPr>
      <w:r w:rsidRPr="00A17DB7">
        <w:t xml:space="preserve">Amon, E.O.; Alekseev, V.P.; </w:t>
      </w:r>
      <w:proofErr w:type="spellStart"/>
      <w:r w:rsidRPr="00A17DB7">
        <w:t>Glebov</w:t>
      </w:r>
      <w:proofErr w:type="spellEnd"/>
      <w:r w:rsidRPr="00A17DB7">
        <w:t xml:space="preserve">, A.F.; </w:t>
      </w:r>
      <w:proofErr w:type="spellStart"/>
      <w:r w:rsidRPr="00A17DB7">
        <w:t>Savenko</w:t>
      </w:r>
      <w:proofErr w:type="spellEnd"/>
      <w:r w:rsidRPr="00A17DB7">
        <w:t xml:space="preserve">, V.A.; </w:t>
      </w:r>
      <w:proofErr w:type="spellStart"/>
      <w:r w:rsidRPr="00A17DB7">
        <w:t>Fedorov</w:t>
      </w:r>
      <w:proofErr w:type="spellEnd"/>
      <w:r w:rsidRPr="00A17DB7">
        <w:t xml:space="preserve">, Y.N. </w:t>
      </w:r>
      <w:r w:rsidRPr="00A17DB7">
        <w:rPr>
          <w:i/>
        </w:rPr>
        <w:t xml:space="preserve">Stratigraphy and paleogeography of the Mesozoic-Cenozoic sedimentary basin of the </w:t>
      </w:r>
      <w:proofErr w:type="spellStart"/>
      <w:r w:rsidRPr="00A17DB7">
        <w:rPr>
          <w:i/>
        </w:rPr>
        <w:t>Shaim</w:t>
      </w:r>
      <w:proofErr w:type="spellEnd"/>
      <w:r w:rsidRPr="00A17DB7">
        <w:rPr>
          <w:i/>
        </w:rPr>
        <w:t xml:space="preserve"> petroleum region (Western Siberia);</w:t>
      </w:r>
      <w:r w:rsidRPr="00A17DB7">
        <w:t xml:space="preserve"> </w:t>
      </w:r>
      <w:proofErr w:type="spellStart"/>
      <w:r w:rsidRPr="00A17DB7">
        <w:t>Izd</w:t>
      </w:r>
      <w:proofErr w:type="spellEnd"/>
      <w:r w:rsidRPr="00A17DB7">
        <w:t>. UGGU: Yekaterinburg, Russia, 2010; p. 257. (In Russian)</w:t>
      </w:r>
    </w:p>
    <w:p w14:paraId="4A77883A" w14:textId="77777777" w:rsidR="00FC118D" w:rsidRPr="00A17DB7" w:rsidRDefault="00FC118D" w:rsidP="00FC118D">
      <w:pPr>
        <w:pStyle w:val="MDPI71References"/>
      </w:pPr>
      <w:r w:rsidRPr="00A17DB7">
        <w:t xml:space="preserve">Bulynnikova, S.P.; Golbert, A.V.; </w:t>
      </w:r>
      <w:proofErr w:type="spellStart"/>
      <w:r w:rsidRPr="00A17DB7">
        <w:t>Klimova</w:t>
      </w:r>
      <w:proofErr w:type="spellEnd"/>
      <w:r w:rsidRPr="00A17DB7">
        <w:t xml:space="preserve">, I.G.; et al. </w:t>
      </w:r>
      <w:proofErr w:type="spellStart"/>
      <w:r w:rsidRPr="00A17DB7">
        <w:rPr>
          <w:i/>
        </w:rPr>
        <w:t>Paleobiofacies</w:t>
      </w:r>
      <w:proofErr w:type="spellEnd"/>
      <w:r w:rsidRPr="00A17DB7">
        <w:rPr>
          <w:i/>
        </w:rPr>
        <w:t xml:space="preserve"> of Volgian and Neocomian oil and gas deposits of the West Siberian plate</w:t>
      </w:r>
      <w:r w:rsidRPr="00A17DB7">
        <w:t>; Nedra: Moscow, USSR, 1978; p. 87. (In Russian)</w:t>
      </w:r>
    </w:p>
    <w:p w14:paraId="66B1EA11" w14:textId="77777777" w:rsidR="00FC118D" w:rsidRPr="00A17DB7" w:rsidRDefault="00FC118D" w:rsidP="00FC118D">
      <w:pPr>
        <w:pStyle w:val="MDPI71References"/>
      </w:pPr>
      <w:r w:rsidRPr="00A17DB7">
        <w:t xml:space="preserve">Braduchan </w:t>
      </w:r>
      <w:proofErr w:type="spellStart"/>
      <w:r w:rsidRPr="00A17DB7">
        <w:t>Yu.V</w:t>
      </w:r>
      <w:proofErr w:type="spellEnd"/>
      <w:r w:rsidRPr="00A17DB7">
        <w:t xml:space="preserve">.; Gurari F.G.; </w:t>
      </w:r>
      <w:proofErr w:type="spellStart"/>
      <w:r w:rsidRPr="00A17DB7">
        <w:t>Zakharov</w:t>
      </w:r>
      <w:proofErr w:type="spellEnd"/>
      <w:r w:rsidRPr="00A17DB7">
        <w:t xml:space="preserve"> V.A.; et al.</w:t>
      </w:r>
      <w:r w:rsidRPr="00A17DB7">
        <w:rPr>
          <w:i/>
        </w:rPr>
        <w:t xml:space="preserve"> Bazhenov horizon of Western Siberia (stratigraphy, paleogeography, ecosystem, petroleum system)</w:t>
      </w:r>
      <w:r w:rsidRPr="00A17DB7">
        <w:t>; Nauka: Novosibirsk, USSR, 1986; p. 217. (In Russian)</w:t>
      </w:r>
    </w:p>
    <w:p w14:paraId="526D7593" w14:textId="77777777" w:rsidR="00FC118D" w:rsidRPr="00A17DB7" w:rsidRDefault="00FC118D" w:rsidP="00FC118D">
      <w:pPr>
        <w:pStyle w:val="MDPI71References"/>
      </w:pPr>
      <w:r w:rsidRPr="00A17DB7">
        <w:t xml:space="preserve">Golbert, A.V.; Markova, L.G.; </w:t>
      </w:r>
      <w:proofErr w:type="spellStart"/>
      <w:r w:rsidRPr="00A17DB7">
        <w:t>Polyakova</w:t>
      </w:r>
      <w:proofErr w:type="spellEnd"/>
      <w:r w:rsidRPr="00A17DB7">
        <w:t xml:space="preserve">, I.D.; Sachs, V.N.; </w:t>
      </w:r>
      <w:proofErr w:type="spellStart"/>
      <w:r w:rsidRPr="00A17DB7">
        <w:t>Teslenko</w:t>
      </w:r>
      <w:proofErr w:type="spellEnd"/>
      <w:r w:rsidRPr="00A17DB7">
        <w:t xml:space="preserve">, </w:t>
      </w:r>
      <w:proofErr w:type="spellStart"/>
      <w:r w:rsidRPr="00A17DB7">
        <w:t>Yu.V</w:t>
      </w:r>
      <w:proofErr w:type="spellEnd"/>
      <w:r w:rsidRPr="00A17DB7">
        <w:t xml:space="preserve">. </w:t>
      </w:r>
      <w:r w:rsidRPr="00A17DB7">
        <w:rPr>
          <w:i/>
        </w:rPr>
        <w:t>Paleolandscapes of West Siberia in Jurassic, Cretaceous, and Paleogene</w:t>
      </w:r>
      <w:r w:rsidRPr="00A17DB7">
        <w:t>; Nauka: Moscow, USSR, 1968; p. 152. (In Russian)</w:t>
      </w:r>
    </w:p>
    <w:p w14:paraId="4C447BB7" w14:textId="77777777" w:rsidR="00FC118D" w:rsidRPr="00A17DB7" w:rsidRDefault="00FC118D" w:rsidP="00FC118D">
      <w:pPr>
        <w:pStyle w:val="MDPI71References"/>
      </w:pPr>
      <w:r w:rsidRPr="00A17DB7">
        <w:t xml:space="preserve">Rovnina, L.V.; </w:t>
      </w:r>
      <w:proofErr w:type="spellStart"/>
      <w:r w:rsidRPr="00A17DB7">
        <w:t>Rodionova</w:t>
      </w:r>
      <w:proofErr w:type="spellEnd"/>
      <w:r w:rsidRPr="00A17DB7">
        <w:t xml:space="preserve">, M.K.; </w:t>
      </w:r>
      <w:proofErr w:type="spellStart"/>
      <w:r w:rsidRPr="00A17DB7">
        <w:t>Sadovnikova</w:t>
      </w:r>
      <w:proofErr w:type="spellEnd"/>
      <w:r w:rsidRPr="00A17DB7">
        <w:t xml:space="preserve">, V.M.; Mazur, V.M.; </w:t>
      </w:r>
      <w:proofErr w:type="spellStart"/>
      <w:r w:rsidRPr="00A17DB7">
        <w:t>Zhiltsova</w:t>
      </w:r>
      <w:proofErr w:type="spellEnd"/>
      <w:r w:rsidRPr="00A17DB7">
        <w:t xml:space="preserve">, N.N. </w:t>
      </w:r>
      <w:r w:rsidRPr="00A17DB7">
        <w:rPr>
          <w:i/>
        </w:rPr>
        <w:t>Comprehensive studies of the Jurassic and Lower Cretaceous stratigraphy in Western Siberia</w:t>
      </w:r>
      <w:r w:rsidRPr="00A17DB7">
        <w:t>; Nauka: Moscow, USSR, 1978; p. 140. (In Russian)</w:t>
      </w:r>
    </w:p>
    <w:p w14:paraId="7A4B0A39" w14:textId="77777777" w:rsidR="00FC118D" w:rsidRPr="00A17DB7" w:rsidRDefault="00FC118D" w:rsidP="00FC118D">
      <w:pPr>
        <w:pStyle w:val="MDPI71References"/>
      </w:pPr>
      <w:r w:rsidRPr="00A17DB7">
        <w:t xml:space="preserve">Filina S.I., </w:t>
      </w:r>
      <w:proofErr w:type="spellStart"/>
      <w:r w:rsidRPr="00A17DB7">
        <w:t>Korzh</w:t>
      </w:r>
      <w:proofErr w:type="spellEnd"/>
      <w:r w:rsidRPr="00A17DB7">
        <w:t xml:space="preserve"> M.V., </w:t>
      </w:r>
      <w:proofErr w:type="spellStart"/>
      <w:r w:rsidRPr="00A17DB7">
        <w:t>Zonn</w:t>
      </w:r>
      <w:proofErr w:type="spellEnd"/>
      <w:r w:rsidRPr="00A17DB7">
        <w:t xml:space="preserve"> M.S. </w:t>
      </w:r>
      <w:r w:rsidRPr="00A17DB7">
        <w:rPr>
          <w:i/>
        </w:rPr>
        <w:t>Paleogeography and oil-bearing capacity of the Bazhenov formation in Western Siberia</w:t>
      </w:r>
      <w:r w:rsidRPr="00A17DB7">
        <w:t>; Nauka: Moscow, USSR, 1984; p. 36. (In Russian)</w:t>
      </w:r>
    </w:p>
    <w:p w14:paraId="2BD41861" w14:textId="77777777" w:rsidR="00FC118D" w:rsidRPr="00A17DB7" w:rsidRDefault="00FC118D" w:rsidP="00FC118D">
      <w:pPr>
        <w:pStyle w:val="MDPI71References"/>
      </w:pPr>
      <w:r w:rsidRPr="00A17DB7">
        <w:t xml:space="preserve">Amon, E.O. Radiolarians in the Bazhenov Formation (Volgian Stage) of the Latitudinal Ob region, Western Siberia. </w:t>
      </w:r>
      <w:r w:rsidRPr="00A17DB7">
        <w:rPr>
          <w:i/>
        </w:rPr>
        <w:t xml:space="preserve">Trudy IGG </w:t>
      </w:r>
      <w:proofErr w:type="spellStart"/>
      <w:r w:rsidRPr="00A17DB7">
        <w:rPr>
          <w:i/>
        </w:rPr>
        <w:t>UrO</w:t>
      </w:r>
      <w:proofErr w:type="spellEnd"/>
      <w:r w:rsidRPr="00A17DB7">
        <w:rPr>
          <w:i/>
        </w:rPr>
        <w:t xml:space="preserve"> RAN</w:t>
      </w:r>
      <w:r w:rsidRPr="00A17DB7">
        <w:t xml:space="preserve"> </w:t>
      </w:r>
      <w:r w:rsidRPr="00A17DB7">
        <w:rPr>
          <w:b/>
        </w:rPr>
        <w:t>2011</w:t>
      </w:r>
      <w:r w:rsidRPr="00A17DB7">
        <w:t xml:space="preserve">, </w:t>
      </w:r>
      <w:r w:rsidRPr="00A17DB7">
        <w:rPr>
          <w:i/>
        </w:rPr>
        <w:t>158</w:t>
      </w:r>
      <w:r w:rsidRPr="00A17DB7">
        <w:t>, 3–8. (In Russian)</w:t>
      </w:r>
    </w:p>
    <w:p w14:paraId="02B81BD5" w14:textId="77777777" w:rsidR="00FC118D" w:rsidRPr="00A17DB7" w:rsidRDefault="00FC118D" w:rsidP="00FC118D">
      <w:pPr>
        <w:pStyle w:val="MDPI71References"/>
      </w:pPr>
      <w:r w:rsidRPr="00A17DB7">
        <w:t xml:space="preserve">Baraboshkin, </w:t>
      </w:r>
      <w:proofErr w:type="spellStart"/>
      <w:r w:rsidRPr="00A17DB7">
        <w:t>E.Yu</w:t>
      </w:r>
      <w:proofErr w:type="spellEnd"/>
      <w:r w:rsidRPr="00A17DB7">
        <w:t xml:space="preserve">.; Panchenko, I.V.; Nemova, V.D.; </w:t>
      </w:r>
      <w:proofErr w:type="spellStart"/>
      <w:r w:rsidRPr="00A17DB7">
        <w:t>Shchepetova</w:t>
      </w:r>
      <w:proofErr w:type="spellEnd"/>
      <w:r w:rsidRPr="00A17DB7">
        <w:t xml:space="preserve">, E.V.; Smirnova, M.E.; </w:t>
      </w:r>
      <w:proofErr w:type="spellStart"/>
      <w:r w:rsidRPr="00A17DB7">
        <w:t>Zuikova</w:t>
      </w:r>
      <w:proofErr w:type="spellEnd"/>
      <w:r w:rsidRPr="00A17DB7">
        <w:t>, M.V. To the ichnology of Abalak and Bazhenov Formations (Western Siberia). In Proceedings of the 8th All-Russian lithological Symposium, Moscow, Russia, 27-30 October 2015, 60–63. (In Russian)</w:t>
      </w:r>
    </w:p>
    <w:p w14:paraId="6C105EA4" w14:textId="77777777" w:rsidR="00FC118D" w:rsidRPr="00A17DB7" w:rsidRDefault="00FC118D" w:rsidP="00FC118D">
      <w:pPr>
        <w:pStyle w:val="MDPI71References"/>
      </w:pPr>
      <w:r w:rsidRPr="00A17DB7">
        <w:t xml:space="preserve">Vishnevskaya, V.S.; </w:t>
      </w:r>
      <w:proofErr w:type="spellStart"/>
      <w:r w:rsidRPr="00A17DB7">
        <w:t>Ovechkinab</w:t>
      </w:r>
      <w:proofErr w:type="spellEnd"/>
      <w:r w:rsidRPr="00A17DB7">
        <w:t xml:space="preserve">, M.N.; </w:t>
      </w:r>
      <w:proofErr w:type="spellStart"/>
      <w:r w:rsidRPr="00A17DB7">
        <w:t>Ustinovaa</w:t>
      </w:r>
      <w:proofErr w:type="spellEnd"/>
      <w:r w:rsidRPr="00A17DB7">
        <w:t xml:space="preserve">, M.A. Biostratigraphy and paleogeography of the Bazhenovo Formation (Upper Jurassic and Lower Cretaceous) based on radiolarians, nannoplankton and calcareous dinocysts. </w:t>
      </w:r>
      <w:r w:rsidRPr="00A17DB7">
        <w:rPr>
          <w:i/>
        </w:rPr>
        <w:t>Paleontological Journal</w:t>
      </w:r>
      <w:r w:rsidRPr="00A17DB7">
        <w:t xml:space="preserve"> </w:t>
      </w:r>
      <w:r w:rsidRPr="00A17DB7">
        <w:rPr>
          <w:b/>
        </w:rPr>
        <w:t>2019</w:t>
      </w:r>
      <w:r w:rsidRPr="00A17DB7">
        <w:t xml:space="preserve">, </w:t>
      </w:r>
      <w:r w:rsidRPr="00A17DB7">
        <w:rPr>
          <w:i/>
        </w:rPr>
        <w:t>53(9)</w:t>
      </w:r>
      <w:r w:rsidRPr="00A17DB7">
        <w:t>, 916–921. DOI</w:t>
      </w:r>
      <w:proofErr w:type="gramStart"/>
      <w:r w:rsidRPr="00A17DB7">
        <w:t>:10.1134</w:t>
      </w:r>
      <w:proofErr w:type="gramEnd"/>
      <w:r w:rsidRPr="00A17DB7">
        <w:t>/S003103011909017X.</w:t>
      </w:r>
    </w:p>
    <w:p w14:paraId="4B0BB67C" w14:textId="77777777" w:rsidR="00FC118D" w:rsidRPr="00A17DB7" w:rsidRDefault="00FC118D" w:rsidP="00FC118D">
      <w:pPr>
        <w:pStyle w:val="MDPI71References"/>
      </w:pPr>
      <w:r w:rsidRPr="00A17DB7">
        <w:t xml:space="preserve">Yurchenko, A.Yu.; </w:t>
      </w:r>
      <w:proofErr w:type="spellStart"/>
      <w:r w:rsidRPr="00A17DB7">
        <w:t>Potapova</w:t>
      </w:r>
      <w:proofErr w:type="spellEnd"/>
      <w:r w:rsidRPr="00A17DB7">
        <w:t xml:space="preserve">, A.S.; </w:t>
      </w:r>
      <w:proofErr w:type="spellStart"/>
      <w:r w:rsidRPr="00A17DB7">
        <w:t>Bumagina</w:t>
      </w:r>
      <w:proofErr w:type="spellEnd"/>
      <w:r w:rsidRPr="00A17DB7">
        <w:t xml:space="preserve">, V.A.; </w:t>
      </w:r>
      <w:proofErr w:type="spellStart"/>
      <w:r w:rsidRPr="00A17DB7">
        <w:t>Vilesov</w:t>
      </w:r>
      <w:proofErr w:type="spellEnd"/>
      <w:r w:rsidRPr="00A17DB7">
        <w:t xml:space="preserve">, A.P.; </w:t>
      </w:r>
      <w:proofErr w:type="spellStart"/>
      <w:r w:rsidRPr="00A17DB7">
        <w:t>Cherina</w:t>
      </w:r>
      <w:proofErr w:type="spellEnd"/>
      <w:r w:rsidRPr="00A17DB7">
        <w:t xml:space="preserve">, K.N.; Balushkina, N.S.; Kalmykov, G.A.; Khotylev, O.V. Morphological and </w:t>
      </w:r>
      <w:proofErr w:type="spellStart"/>
      <w:r w:rsidRPr="00A17DB7">
        <w:t>Lithogenetic</w:t>
      </w:r>
      <w:proofErr w:type="spellEnd"/>
      <w:r w:rsidRPr="00A17DB7">
        <w:t xml:space="preserve"> Classification of the Carbonate Rocks of the Abalak-Bazhenov Complex. </w:t>
      </w:r>
      <w:r w:rsidRPr="00A17DB7">
        <w:rPr>
          <w:i/>
        </w:rPr>
        <w:t>Moscow University Geology Bulletin</w:t>
      </w:r>
      <w:r w:rsidRPr="00A17DB7">
        <w:t xml:space="preserve"> </w:t>
      </w:r>
      <w:r w:rsidRPr="00A17DB7">
        <w:rPr>
          <w:b/>
        </w:rPr>
        <w:t>2019</w:t>
      </w:r>
      <w:r w:rsidRPr="00A17DB7">
        <w:t xml:space="preserve">, </w:t>
      </w:r>
      <w:r w:rsidRPr="00A17DB7">
        <w:rPr>
          <w:i/>
        </w:rPr>
        <w:t>3</w:t>
      </w:r>
      <w:r w:rsidRPr="00A17DB7">
        <w:t>, 44–50. DOI</w:t>
      </w:r>
      <w:proofErr w:type="gramStart"/>
      <w:r w:rsidRPr="00A17DB7">
        <w:t>:10.3103</w:t>
      </w:r>
      <w:proofErr w:type="gramEnd"/>
      <w:r w:rsidRPr="00A17DB7">
        <w:t>/S0145875219040136.</w:t>
      </w:r>
    </w:p>
    <w:p w14:paraId="1B649C06" w14:textId="77777777" w:rsidR="00FC118D" w:rsidRPr="00A17DB7" w:rsidRDefault="00FC118D" w:rsidP="00FC118D">
      <w:pPr>
        <w:pStyle w:val="MDPI71References"/>
      </w:pPr>
      <w:r w:rsidRPr="00A17DB7">
        <w:t xml:space="preserve">Galimov, E.M. </w:t>
      </w:r>
      <w:r w:rsidRPr="00A17DB7">
        <w:rPr>
          <w:i/>
        </w:rPr>
        <w:t>Carbon isotopes in oil and gas geology;</w:t>
      </w:r>
      <w:r w:rsidRPr="00A17DB7">
        <w:t xml:space="preserve"> Nedra: Moscow, USSR, 1973; p. 384. (In Russian)</w:t>
      </w:r>
    </w:p>
    <w:p w14:paraId="7DC25802" w14:textId="77777777" w:rsidR="00FC118D" w:rsidRPr="00A17DB7" w:rsidRDefault="00FC118D" w:rsidP="00FC118D">
      <w:pPr>
        <w:pStyle w:val="MDPI71References"/>
      </w:pPr>
      <w:r w:rsidRPr="00A17DB7">
        <w:t xml:space="preserve">Kontorovich, A.E.; Nesterov, I.I.; </w:t>
      </w:r>
      <w:proofErr w:type="spellStart"/>
      <w:r w:rsidRPr="00A17DB7">
        <w:t>Salmanov</w:t>
      </w:r>
      <w:proofErr w:type="spellEnd"/>
      <w:r w:rsidRPr="00A17DB7">
        <w:t xml:space="preserve">, F.K; et al. </w:t>
      </w:r>
      <w:r w:rsidRPr="00A17DB7">
        <w:rPr>
          <w:i/>
        </w:rPr>
        <w:t>Oil and gas geology of Western Siberia;</w:t>
      </w:r>
      <w:r w:rsidRPr="00A17DB7">
        <w:t xml:space="preserve"> Nedra: Moscow, USSR, 1975; p. 680 (In Russian)</w:t>
      </w:r>
    </w:p>
    <w:p w14:paraId="23B75005" w14:textId="77777777" w:rsidR="00FC118D" w:rsidRPr="00A17DB7" w:rsidRDefault="00FC118D" w:rsidP="00FC118D">
      <w:pPr>
        <w:pStyle w:val="MDPI71References"/>
      </w:pPr>
      <w:r w:rsidRPr="00A17DB7">
        <w:t xml:space="preserve">Neruchev, S.G. </w:t>
      </w:r>
      <w:r w:rsidRPr="00A17DB7">
        <w:rPr>
          <w:i/>
        </w:rPr>
        <w:t>Uranium and life in the Earth history;</w:t>
      </w:r>
      <w:r w:rsidRPr="00A17DB7">
        <w:t xml:space="preserve"> Nedra: Leningrad, USSR, 1982; p. 208. (In Russian)</w:t>
      </w:r>
    </w:p>
    <w:p w14:paraId="4A859D11" w14:textId="77777777" w:rsidR="00FC118D" w:rsidRPr="00A17DB7" w:rsidRDefault="00FC118D" w:rsidP="00FC118D">
      <w:pPr>
        <w:pStyle w:val="MDPI71References"/>
      </w:pPr>
      <w:r w:rsidRPr="00A17DB7">
        <w:t xml:space="preserve">Dorofeeva, T.V.; </w:t>
      </w:r>
      <w:proofErr w:type="spellStart"/>
      <w:r w:rsidRPr="00A17DB7">
        <w:t>Krasnov</w:t>
      </w:r>
      <w:proofErr w:type="spellEnd"/>
      <w:r w:rsidRPr="00A17DB7">
        <w:t xml:space="preserve">, S.G.; </w:t>
      </w:r>
      <w:proofErr w:type="spellStart"/>
      <w:r w:rsidRPr="00A17DB7">
        <w:t>Lebedev</w:t>
      </w:r>
      <w:proofErr w:type="spellEnd"/>
      <w:r w:rsidRPr="00A17DB7">
        <w:t xml:space="preserve">, B.A.; </w:t>
      </w:r>
      <w:proofErr w:type="spellStart"/>
      <w:r w:rsidRPr="00A17DB7">
        <w:t>Petrova</w:t>
      </w:r>
      <w:proofErr w:type="spellEnd"/>
      <w:r w:rsidRPr="00A17DB7">
        <w:t xml:space="preserve">, G.V.; </w:t>
      </w:r>
      <w:proofErr w:type="spellStart"/>
      <w:r w:rsidRPr="00A17DB7">
        <w:t>Pozinenko</w:t>
      </w:r>
      <w:proofErr w:type="spellEnd"/>
      <w:r w:rsidRPr="00A17DB7">
        <w:t xml:space="preserve">, B.V. </w:t>
      </w:r>
      <w:r w:rsidRPr="00A17DB7">
        <w:rPr>
          <w:i/>
        </w:rPr>
        <w:t>Oil reservoirs of the Bazhenov Formation in Western Siberia;</w:t>
      </w:r>
      <w:r w:rsidRPr="00A17DB7">
        <w:t xml:space="preserve"> Nedra: Leningrad, USSR, 1983; p. 131. (In Russian)</w:t>
      </w:r>
    </w:p>
    <w:p w14:paraId="02E7796F" w14:textId="77777777" w:rsidR="00FC118D" w:rsidRPr="00A17DB7" w:rsidRDefault="00FC118D" w:rsidP="00FC118D">
      <w:pPr>
        <w:pStyle w:val="MDPI71References"/>
      </w:pPr>
      <w:r w:rsidRPr="00A17DB7">
        <w:t xml:space="preserve">Goncharov, I.V. </w:t>
      </w:r>
      <w:r w:rsidRPr="00A17DB7">
        <w:rPr>
          <w:i/>
        </w:rPr>
        <w:t>Geochemistry of Oil in Western Siberia;</w:t>
      </w:r>
      <w:r w:rsidRPr="00A17DB7">
        <w:t xml:space="preserve"> Nedra Pub. House: Moscow, USSR, 1987; p. 181. (In Russian)</w:t>
      </w:r>
    </w:p>
    <w:p w14:paraId="052A4C27" w14:textId="77777777" w:rsidR="00FC118D" w:rsidRPr="00A17DB7" w:rsidRDefault="00FC118D" w:rsidP="00FC118D">
      <w:pPr>
        <w:pStyle w:val="MDPI71References"/>
      </w:pPr>
      <w:r w:rsidRPr="00A17DB7">
        <w:t xml:space="preserve">Lopatin, N.V.; Emets, T.P. </w:t>
      </w:r>
      <w:r w:rsidRPr="00A17DB7">
        <w:rPr>
          <w:i/>
        </w:rPr>
        <w:t>Pyrolysis in oil and gas geology;</w:t>
      </w:r>
      <w:r w:rsidRPr="00A17DB7">
        <w:t xml:space="preserve"> Nauka: Moscow, USSR, 1987; p. 143. (In Russian)</w:t>
      </w:r>
    </w:p>
    <w:p w14:paraId="42B829D2" w14:textId="77777777" w:rsidR="00FC118D" w:rsidRPr="00A17DB7" w:rsidRDefault="00FC118D" w:rsidP="00FC118D">
      <w:pPr>
        <w:pStyle w:val="MDPI71References"/>
      </w:pPr>
      <w:r w:rsidRPr="00A17DB7">
        <w:lastRenderedPageBreak/>
        <w:t xml:space="preserve">Gurari, F.G.; </w:t>
      </w:r>
      <w:proofErr w:type="spellStart"/>
      <w:r w:rsidRPr="00A17DB7">
        <w:t>Weitz</w:t>
      </w:r>
      <w:proofErr w:type="spellEnd"/>
      <w:r w:rsidRPr="00A17DB7">
        <w:t xml:space="preserve">, </w:t>
      </w:r>
      <w:proofErr w:type="spellStart"/>
      <w:r w:rsidRPr="00A17DB7">
        <w:t>E.Ya</w:t>
      </w:r>
      <w:proofErr w:type="spellEnd"/>
      <w:r w:rsidRPr="00A17DB7">
        <w:t xml:space="preserve">.; Melenevsky, V.N.; </w:t>
      </w:r>
      <w:proofErr w:type="spellStart"/>
      <w:r w:rsidRPr="00A17DB7">
        <w:t>Moskvin</w:t>
      </w:r>
      <w:proofErr w:type="spellEnd"/>
      <w:r w:rsidRPr="00A17DB7">
        <w:t xml:space="preserve">, V.I.; </w:t>
      </w:r>
      <w:proofErr w:type="spellStart"/>
      <w:r w:rsidRPr="00A17DB7">
        <w:t>Perosio</w:t>
      </w:r>
      <w:proofErr w:type="spellEnd"/>
      <w:r w:rsidRPr="00A17DB7">
        <w:t xml:space="preserve">, G.N.; Predtechinskaya, E.A.; et al. </w:t>
      </w:r>
      <w:r w:rsidRPr="00A17DB7">
        <w:rPr>
          <w:i/>
        </w:rPr>
        <w:t>Formation conditions and methods of searching for oil deposits in mudstones of the Bazhenov Formation;</w:t>
      </w:r>
      <w:r w:rsidRPr="00A17DB7">
        <w:t xml:space="preserve"> Nedra: Moscow, USSR, 1988; p. 199. (In Russian)</w:t>
      </w:r>
    </w:p>
    <w:p w14:paraId="2E2929DC" w14:textId="77777777" w:rsidR="00FC118D" w:rsidRPr="00A17DB7" w:rsidRDefault="00FC118D" w:rsidP="00FC118D">
      <w:pPr>
        <w:pStyle w:val="MDPI71References"/>
      </w:pPr>
      <w:r w:rsidRPr="00A17DB7">
        <w:t xml:space="preserve">Zubkov, </w:t>
      </w:r>
      <w:proofErr w:type="gramStart"/>
      <w:r w:rsidRPr="00A17DB7">
        <w:t>M.Yu.;</w:t>
      </w:r>
      <w:proofErr w:type="gramEnd"/>
      <w:r w:rsidRPr="00A17DB7">
        <w:t xml:space="preserve"> </w:t>
      </w:r>
      <w:proofErr w:type="spellStart"/>
      <w:r w:rsidRPr="00A17DB7">
        <w:t>Zubareva</w:t>
      </w:r>
      <w:proofErr w:type="spellEnd"/>
      <w:r w:rsidRPr="00A17DB7">
        <w:t xml:space="preserve">, N.M.; </w:t>
      </w:r>
      <w:proofErr w:type="spellStart"/>
      <w:r w:rsidRPr="00A17DB7">
        <w:t>Sayfullina</w:t>
      </w:r>
      <w:proofErr w:type="spellEnd"/>
      <w:r w:rsidRPr="00A17DB7">
        <w:t xml:space="preserve">, </w:t>
      </w:r>
      <w:proofErr w:type="spellStart"/>
      <w:r w:rsidRPr="00A17DB7">
        <w:t>A.Kh</w:t>
      </w:r>
      <w:proofErr w:type="spellEnd"/>
      <w:r w:rsidRPr="00A17DB7">
        <w:t xml:space="preserve">. The Bazhenov Formation organic matter of the Salym field. </w:t>
      </w:r>
      <w:r w:rsidRPr="00A17DB7">
        <w:rPr>
          <w:i/>
        </w:rPr>
        <w:t>Oil and Gas Geology</w:t>
      </w:r>
      <w:r w:rsidRPr="00A17DB7">
        <w:t xml:space="preserve"> </w:t>
      </w:r>
      <w:r w:rsidRPr="00A17DB7">
        <w:rPr>
          <w:b/>
        </w:rPr>
        <w:t>1988</w:t>
      </w:r>
      <w:r w:rsidRPr="00A17DB7">
        <w:t xml:space="preserve">, </w:t>
      </w:r>
      <w:r w:rsidRPr="00A17DB7">
        <w:rPr>
          <w:i/>
        </w:rPr>
        <w:t>5</w:t>
      </w:r>
      <w:r w:rsidRPr="00A17DB7">
        <w:t>, 19–25. (In Russian)</w:t>
      </w:r>
    </w:p>
    <w:p w14:paraId="7C379989" w14:textId="77777777" w:rsidR="00FC118D" w:rsidRPr="00A17DB7" w:rsidRDefault="00FC118D" w:rsidP="00FC118D">
      <w:pPr>
        <w:pStyle w:val="MDPI71References"/>
      </w:pPr>
      <w:r w:rsidRPr="00A17DB7">
        <w:t xml:space="preserve">Panchenko, I.V.; Nemova, V.D.; Smirnova, M.E.; </w:t>
      </w:r>
      <w:proofErr w:type="spellStart"/>
      <w:r w:rsidRPr="00A17DB7">
        <w:t>Ilyina</w:t>
      </w:r>
      <w:proofErr w:type="spellEnd"/>
      <w:r w:rsidRPr="00A17DB7">
        <w:t xml:space="preserve">, M.V.; Baraboshkin, </w:t>
      </w:r>
      <w:proofErr w:type="spellStart"/>
      <w:r w:rsidRPr="00A17DB7">
        <w:t>E.Yu</w:t>
      </w:r>
      <w:proofErr w:type="spellEnd"/>
      <w:r w:rsidRPr="00A17DB7">
        <w:t xml:space="preserve">.; </w:t>
      </w:r>
      <w:proofErr w:type="spellStart"/>
      <w:r w:rsidRPr="00A17DB7">
        <w:t>Ilyin</w:t>
      </w:r>
      <w:proofErr w:type="spellEnd"/>
      <w:r w:rsidRPr="00A17DB7">
        <w:t xml:space="preserve">, V.S. Stratification and detailed correlation of Bazhenov horizon in the central part of the Western Siberia according to lithological and paleontological core analysis and well logging, </w:t>
      </w:r>
      <w:r w:rsidRPr="00A17DB7">
        <w:rPr>
          <w:i/>
        </w:rPr>
        <w:t>Oil and Gas Geology</w:t>
      </w:r>
      <w:r w:rsidRPr="00A17DB7">
        <w:t xml:space="preserve"> </w:t>
      </w:r>
      <w:r w:rsidRPr="00A17DB7">
        <w:rPr>
          <w:b/>
        </w:rPr>
        <w:t>2016</w:t>
      </w:r>
      <w:r w:rsidRPr="00A17DB7">
        <w:t xml:space="preserve">, </w:t>
      </w:r>
      <w:r w:rsidRPr="00A17DB7">
        <w:rPr>
          <w:i/>
        </w:rPr>
        <w:t>6</w:t>
      </w:r>
      <w:r w:rsidRPr="00A17DB7">
        <w:t>, 22–34. (In Russian)</w:t>
      </w:r>
    </w:p>
    <w:p w14:paraId="7C0A1AF2" w14:textId="77777777" w:rsidR="00FC118D" w:rsidRPr="00A17DB7" w:rsidRDefault="00FC118D" w:rsidP="00FC118D">
      <w:pPr>
        <w:pStyle w:val="MDPI71References"/>
      </w:pPr>
      <w:r w:rsidRPr="00A17DB7">
        <w:t xml:space="preserve">Zanin, </w:t>
      </w:r>
      <w:proofErr w:type="gramStart"/>
      <w:r w:rsidRPr="00A17DB7">
        <w:t>Yu.N.;</w:t>
      </w:r>
      <w:proofErr w:type="gramEnd"/>
      <w:r w:rsidRPr="00A17DB7">
        <w:t xml:space="preserve"> Zamirailova, A.G.; Eder, V.G. Nickel, molybdenum, and cobalt in the black shales of the Bazhenov Formation of the West Siberian basin. </w:t>
      </w:r>
      <w:r w:rsidRPr="00A17DB7">
        <w:rPr>
          <w:i/>
        </w:rPr>
        <w:t>Geochem. Int.</w:t>
      </w:r>
      <w:r w:rsidRPr="00A17DB7">
        <w:t xml:space="preserve"> </w:t>
      </w:r>
      <w:r w:rsidRPr="00A17DB7">
        <w:rPr>
          <w:b/>
        </w:rPr>
        <w:t>2017</w:t>
      </w:r>
      <w:r w:rsidRPr="00A17DB7">
        <w:t xml:space="preserve">, </w:t>
      </w:r>
      <w:r w:rsidRPr="00A17DB7">
        <w:rPr>
          <w:i/>
        </w:rPr>
        <w:t>55(2)</w:t>
      </w:r>
      <w:r w:rsidRPr="00A17DB7">
        <w:t>, 195–204. DOI</w:t>
      </w:r>
      <w:proofErr w:type="gramStart"/>
      <w:r w:rsidRPr="00A17DB7">
        <w:t>:10.1134</w:t>
      </w:r>
      <w:proofErr w:type="gramEnd"/>
      <w:r w:rsidRPr="00A17DB7">
        <w:t>/S0016702917010116.</w:t>
      </w:r>
    </w:p>
    <w:p w14:paraId="2AB8B19F" w14:textId="77777777" w:rsidR="00FC118D" w:rsidRPr="00A17DB7" w:rsidRDefault="00FC118D" w:rsidP="00FC118D">
      <w:pPr>
        <w:pStyle w:val="MDPI71References"/>
      </w:pPr>
      <w:r w:rsidRPr="00A17DB7">
        <w:t xml:space="preserve">Nesterov, I.I. Oil and gas content of bituminous clays of the Bazhenov Formation in Western Siberia. </w:t>
      </w:r>
      <w:r w:rsidRPr="00A17DB7">
        <w:rPr>
          <w:i/>
        </w:rPr>
        <w:t>Soviet geology</w:t>
      </w:r>
      <w:r w:rsidRPr="00A17DB7">
        <w:t xml:space="preserve"> </w:t>
      </w:r>
      <w:r w:rsidRPr="00A17DB7">
        <w:rPr>
          <w:b/>
        </w:rPr>
        <w:t>1980</w:t>
      </w:r>
      <w:r w:rsidRPr="00A17DB7">
        <w:t xml:space="preserve">, </w:t>
      </w:r>
      <w:r w:rsidRPr="00A17DB7">
        <w:rPr>
          <w:i/>
        </w:rPr>
        <w:t>11</w:t>
      </w:r>
      <w:r w:rsidRPr="00A17DB7">
        <w:t>, 3-10. (In Russian)</w:t>
      </w:r>
    </w:p>
    <w:p w14:paraId="0A82F669" w14:textId="77777777" w:rsidR="00FC118D" w:rsidRPr="00A17DB7" w:rsidRDefault="00FC118D" w:rsidP="00FC118D">
      <w:pPr>
        <w:pStyle w:val="MDPI71References"/>
      </w:pPr>
      <w:r w:rsidRPr="00A17DB7">
        <w:t xml:space="preserve">Melenevsky, V.N. Genesis of the organic matter of the Bazhenov Formation. </w:t>
      </w:r>
      <w:r w:rsidRPr="00A17DB7">
        <w:rPr>
          <w:i/>
        </w:rPr>
        <w:t>Geology and Geophysics</w:t>
      </w:r>
      <w:r w:rsidRPr="00A17DB7">
        <w:t xml:space="preserve"> </w:t>
      </w:r>
      <w:r w:rsidRPr="00A17DB7">
        <w:rPr>
          <w:b/>
        </w:rPr>
        <w:t>2000</w:t>
      </w:r>
      <w:r w:rsidRPr="00A17DB7">
        <w:t xml:space="preserve">, </w:t>
      </w:r>
      <w:r w:rsidRPr="00A17DB7">
        <w:rPr>
          <w:i/>
        </w:rPr>
        <w:t>41(1)</w:t>
      </w:r>
      <w:r w:rsidRPr="00A17DB7">
        <w:t>, 71–79. (In Russian)</w:t>
      </w:r>
    </w:p>
    <w:p w14:paraId="5D33BEDC" w14:textId="77777777" w:rsidR="00FC118D" w:rsidRPr="00A17DB7" w:rsidRDefault="00FC118D" w:rsidP="00FC118D">
      <w:pPr>
        <w:pStyle w:val="MDPI71References"/>
      </w:pPr>
      <w:r w:rsidRPr="00A17DB7">
        <w:t>Goncharov, I.V.; Samoilenko, V.V.; Oblasov, N.V. 2014. Prospects of Shale Oil Bazhenov Formation in the South-East of Western Siberia. In Proceedings of the SPE Russian Oil and Gas Exploration &amp; Production Technical Conference and Exhibition, Moscow, Russia, 14-16 October 2014. DOI</w:t>
      </w:r>
      <w:proofErr w:type="gramStart"/>
      <w:r w:rsidRPr="00A17DB7">
        <w:t>:10.2118</w:t>
      </w:r>
      <w:proofErr w:type="gramEnd"/>
      <w:r w:rsidRPr="00A17DB7">
        <w:t>/171170-MS.</w:t>
      </w:r>
    </w:p>
    <w:p w14:paraId="252DD7EA" w14:textId="77777777" w:rsidR="00FC118D" w:rsidRPr="00A17DB7" w:rsidRDefault="00FC118D" w:rsidP="00FC118D">
      <w:pPr>
        <w:pStyle w:val="MDPI71References"/>
      </w:pPr>
      <w:r w:rsidRPr="00A17DB7">
        <w:t xml:space="preserve">Dakhnova, M.V.; Mozhegova, S.V.; Nazarova, E.S.; Paizanskaya, I.L. Evaluation of reserves of shale oil using geochemical parameters. </w:t>
      </w:r>
      <w:r w:rsidRPr="00A17DB7">
        <w:rPr>
          <w:i/>
        </w:rPr>
        <w:t>Oil and Gas Geology</w:t>
      </w:r>
      <w:r w:rsidRPr="00A17DB7">
        <w:t xml:space="preserve"> </w:t>
      </w:r>
      <w:r w:rsidRPr="00A17DB7">
        <w:rPr>
          <w:b/>
        </w:rPr>
        <w:t>2015</w:t>
      </w:r>
      <w:r w:rsidRPr="00A17DB7">
        <w:t xml:space="preserve">, </w:t>
      </w:r>
      <w:r w:rsidRPr="00A17DB7">
        <w:rPr>
          <w:i/>
        </w:rPr>
        <w:t>4</w:t>
      </w:r>
      <w:r w:rsidRPr="00A17DB7">
        <w:t>, 55–61. (In Russian)</w:t>
      </w:r>
    </w:p>
    <w:p w14:paraId="6AC0E540" w14:textId="77777777" w:rsidR="00FC118D" w:rsidRPr="00A17DB7" w:rsidRDefault="00FC118D" w:rsidP="00FC118D">
      <w:pPr>
        <w:pStyle w:val="MDPI71References"/>
      </w:pPr>
      <w:r w:rsidRPr="00A17DB7">
        <w:t xml:space="preserve">Kozlova, E.V.; Fadeeva, N.P.; Kalmykov, G.A.; Balushkina, N.S.; Pronina, N.V.; Poludetkina, E.N.; Kostenko, O.V.; et al. Geochemical technique of organic matter research in deposits enrich in kerogen (the Bazhenov Formation, West Siberia). </w:t>
      </w:r>
      <w:r w:rsidRPr="00A17DB7">
        <w:rPr>
          <w:i/>
        </w:rPr>
        <w:t xml:space="preserve">Moscow University Geology Bulletin </w:t>
      </w:r>
      <w:r w:rsidRPr="00A17DB7">
        <w:rPr>
          <w:b/>
        </w:rPr>
        <w:t>2015</w:t>
      </w:r>
      <w:r w:rsidRPr="00A17DB7">
        <w:t xml:space="preserve">, </w:t>
      </w:r>
      <w:r w:rsidRPr="00A17DB7">
        <w:rPr>
          <w:i/>
        </w:rPr>
        <w:t>70(6)</w:t>
      </w:r>
      <w:r w:rsidRPr="00A17DB7">
        <w:t>, 409–418. DOI</w:t>
      </w:r>
      <w:proofErr w:type="gramStart"/>
      <w:r w:rsidRPr="00A17DB7">
        <w:t>:10.3103</w:t>
      </w:r>
      <w:proofErr w:type="gramEnd"/>
      <w:r w:rsidRPr="00A17DB7">
        <w:t>/S0145875215050075.</w:t>
      </w:r>
    </w:p>
    <w:p w14:paraId="0527BFC4" w14:textId="77777777" w:rsidR="00FC118D" w:rsidRPr="00A17DB7" w:rsidRDefault="00FC118D" w:rsidP="00FC118D">
      <w:pPr>
        <w:pStyle w:val="MDPI71References"/>
      </w:pPr>
      <w:r w:rsidRPr="00A17DB7">
        <w:t xml:space="preserve">Kalmykov, G.A.; Balushkina, N.S. </w:t>
      </w:r>
      <w:r w:rsidRPr="00A17DB7">
        <w:rPr>
          <w:i/>
        </w:rPr>
        <w:t>Model of oil saturation of the pore space of the Bazhenov Formation rocks within Western Siberia and its use for assessing the resource potential;</w:t>
      </w:r>
      <w:r w:rsidRPr="00A17DB7">
        <w:t xml:space="preserve"> Geos Publ.: Moscow, Russia, 2017; p. 247. (In Russian)</w:t>
      </w:r>
    </w:p>
    <w:p w14:paraId="60F46AD0" w14:textId="77777777" w:rsidR="00FC118D" w:rsidRPr="00A17DB7" w:rsidRDefault="00FC118D" w:rsidP="00FC118D">
      <w:pPr>
        <w:pStyle w:val="MDPI71References"/>
      </w:pPr>
      <w:r w:rsidRPr="00A17DB7">
        <w:t xml:space="preserve">Volkov, V.A.; </w:t>
      </w:r>
      <w:proofErr w:type="spellStart"/>
      <w:r w:rsidRPr="00A17DB7">
        <w:t>Oleinik</w:t>
      </w:r>
      <w:proofErr w:type="spellEnd"/>
      <w:r w:rsidRPr="00A17DB7">
        <w:t xml:space="preserve">, E.V.; </w:t>
      </w:r>
      <w:proofErr w:type="spellStart"/>
      <w:r w:rsidRPr="00A17DB7">
        <w:t>Oksenoid</w:t>
      </w:r>
      <w:proofErr w:type="spellEnd"/>
      <w:r w:rsidRPr="00A17DB7">
        <w:t xml:space="preserve">, E.E.; </w:t>
      </w:r>
      <w:proofErr w:type="spellStart"/>
      <w:r w:rsidRPr="00A17DB7">
        <w:t>Solopakhina</w:t>
      </w:r>
      <w:proofErr w:type="spellEnd"/>
      <w:r w:rsidRPr="00A17DB7">
        <w:t xml:space="preserve">, L.A. On the type of organic matter in the rocks of the Bazhenov Formation. </w:t>
      </w:r>
      <w:r w:rsidRPr="00A17DB7">
        <w:rPr>
          <w:i/>
        </w:rPr>
        <w:t>Subsoil User Bulletin</w:t>
      </w:r>
      <w:r w:rsidRPr="00A17DB7">
        <w:t xml:space="preserve"> </w:t>
      </w:r>
      <w:r w:rsidRPr="00A17DB7">
        <w:rPr>
          <w:b/>
        </w:rPr>
        <w:t>2016</w:t>
      </w:r>
      <w:r w:rsidRPr="00A17DB7">
        <w:t xml:space="preserve">, </w:t>
      </w:r>
      <w:r w:rsidRPr="00A17DB7">
        <w:rPr>
          <w:i/>
        </w:rPr>
        <w:t>28</w:t>
      </w:r>
      <w:r w:rsidRPr="00A17DB7">
        <w:t>. (In Russian)</w:t>
      </w:r>
    </w:p>
    <w:p w14:paraId="1BB298A3" w14:textId="77777777" w:rsidR="00FC118D" w:rsidRPr="00A17DB7" w:rsidRDefault="00FC118D" w:rsidP="00FC118D">
      <w:pPr>
        <w:pStyle w:val="MDPI71References"/>
      </w:pPr>
      <w:r w:rsidRPr="00A17DB7">
        <w:t xml:space="preserve">Goncharov, I.V.; Samoilenko, V.V.; Oblasov, N.V.; Fadeeva, S.V.; Veklich, M.A.; Kashapov, R.S.; </w:t>
      </w:r>
      <w:proofErr w:type="spellStart"/>
      <w:r w:rsidRPr="00A17DB7">
        <w:t>Trushkov</w:t>
      </w:r>
      <w:proofErr w:type="spellEnd"/>
      <w:r w:rsidRPr="00A17DB7">
        <w:t xml:space="preserve">, P.V.; </w:t>
      </w:r>
      <w:proofErr w:type="spellStart"/>
      <w:r w:rsidRPr="00A17DB7">
        <w:t>Bahtina</w:t>
      </w:r>
      <w:proofErr w:type="spellEnd"/>
      <w:r w:rsidRPr="00A17DB7">
        <w:t xml:space="preserve">, E.S. Types of organic matter and catagenesis of the Bazhenov formation and its same-aged analogues. </w:t>
      </w:r>
      <w:r w:rsidRPr="00A17DB7">
        <w:rPr>
          <w:i/>
        </w:rPr>
        <w:t>Oil Industry</w:t>
      </w:r>
      <w:r w:rsidRPr="00A17DB7">
        <w:t xml:space="preserve"> </w:t>
      </w:r>
      <w:r w:rsidRPr="00A17DB7">
        <w:rPr>
          <w:b/>
        </w:rPr>
        <w:t>2016</w:t>
      </w:r>
      <w:r w:rsidRPr="00A17DB7">
        <w:t xml:space="preserve">, </w:t>
      </w:r>
      <w:r w:rsidRPr="00A17DB7">
        <w:rPr>
          <w:i/>
        </w:rPr>
        <w:t>10</w:t>
      </w:r>
      <w:r w:rsidRPr="00A17DB7">
        <w:t>, 20–25. (In Russian)</w:t>
      </w:r>
    </w:p>
    <w:p w14:paraId="2D966E59" w14:textId="77777777" w:rsidR="00FC118D" w:rsidRPr="00A17DB7" w:rsidRDefault="00FC118D" w:rsidP="00FC118D">
      <w:pPr>
        <w:pStyle w:val="MDPI71References"/>
      </w:pPr>
      <w:r w:rsidRPr="00A17DB7">
        <w:t xml:space="preserve">Kozlova, E.V.; Spasennykh, M.Yu.; Kalmykov, G.A.; Gutman, I.S.; Potemkin, G.N.; Alekseev, A.D. Balance of the petroleum hydrocarbon compounds in pyrolyzed organic matter of the Bazhenov Formation. </w:t>
      </w:r>
      <w:r w:rsidRPr="00A17DB7">
        <w:rPr>
          <w:i/>
        </w:rPr>
        <w:t>Oil industry</w:t>
      </w:r>
      <w:r w:rsidRPr="00A17DB7">
        <w:t xml:space="preserve"> </w:t>
      </w:r>
      <w:r w:rsidRPr="00A17DB7">
        <w:rPr>
          <w:b/>
        </w:rPr>
        <w:t>2017</w:t>
      </w:r>
      <w:r w:rsidRPr="00A17DB7">
        <w:t xml:space="preserve">, </w:t>
      </w:r>
      <w:r w:rsidRPr="00A17DB7">
        <w:rPr>
          <w:i/>
        </w:rPr>
        <w:t>3</w:t>
      </w:r>
      <w:r w:rsidRPr="00A17DB7">
        <w:t>, 18–21. (In Russian)</w:t>
      </w:r>
    </w:p>
    <w:p w14:paraId="7F140A98" w14:textId="77777777" w:rsidR="00FC118D" w:rsidRPr="00A17DB7" w:rsidRDefault="00FC118D" w:rsidP="00FC118D">
      <w:pPr>
        <w:pStyle w:val="MDPI71References"/>
      </w:pPr>
      <w:r w:rsidRPr="00A17DB7">
        <w:t>Fomin, A.N</w:t>
      </w:r>
      <w:r w:rsidRPr="00A17DB7">
        <w:rPr>
          <w:i/>
        </w:rPr>
        <w:t>. Catagenesis of organic matter and petroleum potential of Mesozoic and Paleozoic deposits of the West Siberian megabasin;</w:t>
      </w:r>
      <w:r w:rsidRPr="00A17DB7">
        <w:t xml:space="preserve"> IPGG SB RAS: Novosibirsk, Russia, 2011; p. 331. (In Russian)</w:t>
      </w:r>
    </w:p>
    <w:p w14:paraId="3EE76740" w14:textId="77777777" w:rsidR="00FC118D" w:rsidRPr="00A17DB7" w:rsidRDefault="00FC118D" w:rsidP="00FC118D">
      <w:pPr>
        <w:pStyle w:val="MDPI71References"/>
      </w:pPr>
      <w:r w:rsidRPr="00A17DB7">
        <w:t xml:space="preserve">Kalmykov, A.G.; Karpov, Yu.A.; Topchiy, M.S.; Fomina, M.M.; </w:t>
      </w:r>
      <w:proofErr w:type="spellStart"/>
      <w:r w:rsidRPr="00A17DB7">
        <w:t>Manuilova</w:t>
      </w:r>
      <w:proofErr w:type="spellEnd"/>
      <w:r w:rsidRPr="00A17DB7">
        <w:t xml:space="preserve">, E.A.; </w:t>
      </w:r>
      <w:proofErr w:type="spellStart"/>
      <w:r w:rsidRPr="00A17DB7">
        <w:t>Sheremeteva</w:t>
      </w:r>
      <w:proofErr w:type="spellEnd"/>
      <w:r w:rsidRPr="00A17DB7">
        <w:t xml:space="preserve">, E.V.; et al. The effect of catagenetic maturity on the formation of reservoirs with organic porosity in the Bazhenov formation and peculiarities of their extension. </w:t>
      </w:r>
      <w:r w:rsidRPr="00A17DB7">
        <w:rPr>
          <w:i/>
        </w:rPr>
        <w:t xml:space="preserve">Georesources </w:t>
      </w:r>
      <w:r w:rsidRPr="00A17DB7">
        <w:rPr>
          <w:b/>
        </w:rPr>
        <w:t>2019</w:t>
      </w:r>
      <w:r w:rsidRPr="00A17DB7">
        <w:t xml:space="preserve">, </w:t>
      </w:r>
      <w:r w:rsidRPr="00A17DB7">
        <w:rPr>
          <w:i/>
        </w:rPr>
        <w:t>21(2)</w:t>
      </w:r>
      <w:r w:rsidRPr="00A17DB7">
        <w:t>, 159–171. (In Russian</w:t>
      </w:r>
      <w:r w:rsidRPr="00A17DB7">
        <w:rPr>
          <w:color w:val="auto"/>
        </w:rPr>
        <w:t xml:space="preserve">). </w:t>
      </w:r>
      <w:hyperlink r:id="rId21" w:history="1">
        <w:r w:rsidRPr="00A17DB7">
          <w:rPr>
            <w:rStyle w:val="Hyperlink"/>
            <w:color w:val="auto"/>
            <w:u w:val="none"/>
          </w:rPr>
          <w:t>DOI:10.18599/grs.2019.2.159-171</w:t>
        </w:r>
      </w:hyperlink>
      <w:r w:rsidRPr="00A17DB7">
        <w:rPr>
          <w:color w:val="auto"/>
        </w:rPr>
        <w:t>.</w:t>
      </w:r>
    </w:p>
    <w:p w14:paraId="4E70C9CE" w14:textId="77777777" w:rsidR="00FC118D" w:rsidRPr="00A17DB7" w:rsidRDefault="00FC118D" w:rsidP="00FC118D">
      <w:pPr>
        <w:pStyle w:val="MDPI71References"/>
      </w:pPr>
      <w:r w:rsidRPr="00A17DB7">
        <w:t xml:space="preserve">Vassoevich, N.B. </w:t>
      </w:r>
      <w:r w:rsidRPr="00A17DB7">
        <w:rPr>
          <w:i/>
        </w:rPr>
        <w:t>Geochemistry of organic matter and origin of petroleum;</w:t>
      </w:r>
      <w:r w:rsidRPr="00A17DB7">
        <w:t xml:space="preserve"> Nauka: Moscow, USSR, 1986; p. 368. (In Russian).</w:t>
      </w:r>
    </w:p>
    <w:p w14:paraId="57FACF95" w14:textId="77777777" w:rsidR="00FC118D" w:rsidRPr="00A17DB7" w:rsidRDefault="00FC118D" w:rsidP="00FC118D">
      <w:pPr>
        <w:pStyle w:val="MDPI71References"/>
      </w:pPr>
      <w:r w:rsidRPr="00A17DB7">
        <w:t xml:space="preserve">Shpilman, V.I.; </w:t>
      </w:r>
      <w:proofErr w:type="spellStart"/>
      <w:r w:rsidRPr="00A17DB7">
        <w:t>Solopahia</w:t>
      </w:r>
      <w:proofErr w:type="spellEnd"/>
      <w:r w:rsidRPr="00A17DB7">
        <w:t xml:space="preserve">, L.A.; </w:t>
      </w:r>
      <w:proofErr w:type="spellStart"/>
      <w:r w:rsidRPr="00A17DB7">
        <w:t>Pyatkov</w:t>
      </w:r>
      <w:proofErr w:type="spellEnd"/>
      <w:r w:rsidRPr="00A17DB7">
        <w:t xml:space="preserve">, V.I. </w:t>
      </w:r>
      <w:r w:rsidRPr="00A17DB7">
        <w:rPr>
          <w:i/>
        </w:rPr>
        <w:t>New tectonic map of the central regions of Western Siberia</w:t>
      </w:r>
      <w:r w:rsidRPr="00A17DB7">
        <w:t>; Putived Publ.: Khanty-Mansiysk, Russia, 1999. (In Russian)</w:t>
      </w:r>
    </w:p>
    <w:p w14:paraId="4BFA689C" w14:textId="77777777" w:rsidR="00FC118D" w:rsidRPr="00A17DB7" w:rsidRDefault="00FC118D" w:rsidP="00FC118D">
      <w:pPr>
        <w:pStyle w:val="MDPI71References"/>
      </w:pPr>
      <w:r w:rsidRPr="00A17DB7">
        <w:t xml:space="preserve">Skvortsov, M.B.; Dakhnova, M.V.; Mozhegova, S.V.;  </w:t>
      </w:r>
      <w:proofErr w:type="spellStart"/>
      <w:r w:rsidRPr="00A17DB7">
        <w:t>Kirsanov</w:t>
      </w:r>
      <w:proofErr w:type="spellEnd"/>
      <w:r w:rsidRPr="00A17DB7">
        <w:t xml:space="preserve">, A.M.;  </w:t>
      </w:r>
      <w:proofErr w:type="spellStart"/>
      <w:r w:rsidRPr="00A17DB7">
        <w:t>Komkov</w:t>
      </w:r>
      <w:proofErr w:type="spellEnd"/>
      <w:r w:rsidRPr="00A17DB7">
        <w:t xml:space="preserve">, I.K.;  Paizanskaya, I.L. Geochemical methods for prediction and assessment of shale oil resources (case study of Bazhenov Formation). </w:t>
      </w:r>
      <w:r w:rsidRPr="00A17DB7">
        <w:rPr>
          <w:i/>
        </w:rPr>
        <w:t>Geology and Geophysics</w:t>
      </w:r>
      <w:r w:rsidRPr="00A17DB7">
        <w:t xml:space="preserve"> </w:t>
      </w:r>
      <w:r w:rsidRPr="00A17DB7">
        <w:rPr>
          <w:b/>
        </w:rPr>
        <w:t>2017</w:t>
      </w:r>
      <w:r w:rsidRPr="00A17DB7">
        <w:t xml:space="preserve">, </w:t>
      </w:r>
      <w:r w:rsidRPr="00A17DB7">
        <w:rPr>
          <w:i/>
        </w:rPr>
        <w:t>58(3-4)</w:t>
      </w:r>
      <w:r w:rsidRPr="00A17DB7">
        <w:t>, 495–503. (In Russian). DOI</w:t>
      </w:r>
      <w:proofErr w:type="gramStart"/>
      <w:r w:rsidRPr="00A17DB7">
        <w:t>:10.15372</w:t>
      </w:r>
      <w:proofErr w:type="gramEnd"/>
      <w:r w:rsidRPr="00A17DB7">
        <w:t>/GiG20170312.</w:t>
      </w:r>
    </w:p>
    <w:p w14:paraId="608C0E93" w14:textId="77777777" w:rsidR="00FC118D" w:rsidRPr="00A17DB7" w:rsidRDefault="00FC118D" w:rsidP="00FC118D">
      <w:pPr>
        <w:pStyle w:val="MDPI71References"/>
      </w:pPr>
      <w:r w:rsidRPr="00A17DB7">
        <w:t>Maglevannaia, P.S.; Kozlova1, E.V.; Spasennykh, M.Yu. Analysis of geochemical trends for the Bazhenov oil shale formation based on pyrolysis data. In Proceedings of the 29th International Meeting on Organic Geochemistry, Gothenburg, Sweden, 1–6 September 2019. DOI:10.3997/2214-4609.201902830.</w:t>
      </w:r>
    </w:p>
    <w:p w14:paraId="7817F870" w14:textId="77777777" w:rsidR="00FC118D" w:rsidRPr="00A17DB7" w:rsidRDefault="00FC118D" w:rsidP="00FC118D">
      <w:pPr>
        <w:pStyle w:val="MDPI71References"/>
      </w:pPr>
      <w:r w:rsidRPr="00A17DB7">
        <w:t>Gusev, I.M.; Panchenko, I.V.; Smirnova, M.E.; Taldykin, Y.B.; Kulikov, P.Yu. Approaches to assessing the maturity of organic matter in the Bazhenovo formation according to a comparison of pyrolytic parameters, lithology and stratigraphy of sections. In Proceedings of the 8th All-Russian Meeting with international participation, Syktyvkar, Russia, 7–10 September 2020, 54–58. (In Russian)</w:t>
      </w:r>
    </w:p>
    <w:p w14:paraId="4AA2D520" w14:textId="77777777" w:rsidR="00FC118D" w:rsidRPr="00A17DB7" w:rsidRDefault="00FC118D" w:rsidP="00FC118D">
      <w:pPr>
        <w:pStyle w:val="MDPI71References"/>
      </w:pPr>
      <w:r w:rsidRPr="00A17DB7">
        <w:t>Leushina, E.; Kozlova, E.; Voropaev, A.; Yurchenko, A.; Bogdanovich, N.; Spasennykh, M. 2019. Characterization of the organic matter in the Bazhenov Formation deposits from Northern and Central parts of Western Siberia. In Proceedings of the 6th EAGE Shale Workshop, Bordeaux, France, April-May 28-01, 2019. DOI:10.3997/2214-4609.201900323.</w:t>
      </w:r>
    </w:p>
    <w:p w14:paraId="63D710F4" w14:textId="5B8DEC9F" w:rsidR="00FC118D" w:rsidRPr="00A17DB7" w:rsidRDefault="00FC118D" w:rsidP="00FC118D">
      <w:pPr>
        <w:pStyle w:val="MDPI71References"/>
      </w:pPr>
      <w:r w:rsidRPr="00A17DB7">
        <w:t>Spasennykh, M.; Voropaev, A.; Kozlova, E.; Leushina, E.; Polyakov, V.; Vasiliev, A.; Bogdanovich, N.; Popov, Y.; Maximov, A. Organic matter of Bazhenov Formation: Chemical and isotope composition, microstructure, thermal maturation, generation potential and the effect on rock properties. In Proceedings of the 6th EAGE Shale Workshop, Bordeaux, France, April-May 28-01, 2019. DOI:10.3997/2214-4609.201900331.</w:t>
      </w:r>
    </w:p>
    <w:p w14:paraId="62C9B099" w14:textId="77777777" w:rsidR="00FD365E" w:rsidRPr="00A17DB7" w:rsidRDefault="00FD365E" w:rsidP="00FD365E">
      <w:pPr>
        <w:pStyle w:val="MDPI71References"/>
      </w:pPr>
      <w:r w:rsidRPr="00A17DB7">
        <w:t>ISO 7404-3 2009: Methods for the Petrographic Analysis of Coals — Part 3: Method of Determining Maceral Group Composition. International Organization for Standardization, Geneva, Switzerland, 1–7.</w:t>
      </w:r>
    </w:p>
    <w:p w14:paraId="0F9AE8C5" w14:textId="09C5F6F8" w:rsidR="00FD365E" w:rsidRPr="00A17DB7" w:rsidRDefault="00FD365E" w:rsidP="00FD365E">
      <w:pPr>
        <w:pStyle w:val="MDPI71References"/>
      </w:pPr>
      <w:r w:rsidRPr="00A17DB7">
        <w:t xml:space="preserve">International Committee for Coal Petrology (ICCP). The new inertinite classification (ICCP System 1994). </w:t>
      </w:r>
      <w:r w:rsidRPr="00C5555B">
        <w:rPr>
          <w:i/>
        </w:rPr>
        <w:t>Fuel</w:t>
      </w:r>
      <w:r w:rsidRPr="00A17DB7">
        <w:t xml:space="preserve"> </w:t>
      </w:r>
      <w:r w:rsidRPr="00C5555B">
        <w:rPr>
          <w:b/>
        </w:rPr>
        <w:t>2001</w:t>
      </w:r>
      <w:r w:rsidRPr="00A17DB7">
        <w:t>, 80(4), 459–471. DOI</w:t>
      </w:r>
      <w:proofErr w:type="gramStart"/>
      <w:r w:rsidRPr="00A17DB7">
        <w:t>:10.1016</w:t>
      </w:r>
      <w:proofErr w:type="gramEnd"/>
      <w:r w:rsidRPr="00A17DB7">
        <w:t>/S0016-2361(00)00102-2.</w:t>
      </w:r>
    </w:p>
    <w:p w14:paraId="1EE2722D" w14:textId="7A22272C" w:rsidR="00FD365E" w:rsidRPr="00A17DB7" w:rsidRDefault="00FD365E" w:rsidP="00FD365E">
      <w:pPr>
        <w:pStyle w:val="MDPI71References"/>
      </w:pPr>
      <w:r w:rsidRPr="00A17DB7">
        <w:lastRenderedPageBreak/>
        <w:t xml:space="preserve">Sykorova I.; Pickel W.; Christanis K.; Wolf M.; Taylor G.H.; Flores, D. Classification of </w:t>
      </w:r>
      <w:proofErr w:type="spellStart"/>
      <w:r w:rsidRPr="00A17DB7">
        <w:t>huminite</w:t>
      </w:r>
      <w:proofErr w:type="spellEnd"/>
      <w:r w:rsidRPr="00A17DB7">
        <w:t xml:space="preserve">-ICCP System 1994. </w:t>
      </w:r>
      <w:r w:rsidRPr="00C5555B">
        <w:rPr>
          <w:i/>
        </w:rPr>
        <w:t>Int. J. Coal Geol</w:t>
      </w:r>
      <w:r w:rsidRPr="00A17DB7">
        <w:t xml:space="preserve">. </w:t>
      </w:r>
      <w:r w:rsidRPr="00C5555B">
        <w:rPr>
          <w:b/>
        </w:rPr>
        <w:t>2005</w:t>
      </w:r>
      <w:r w:rsidRPr="00A17DB7">
        <w:t>, 62(1-2), 85–106. DOI:10.1016/j.coal.2004.06.006.</w:t>
      </w:r>
    </w:p>
    <w:p w14:paraId="1269A48C" w14:textId="77777777" w:rsidR="00FD365E" w:rsidRPr="00A17DB7" w:rsidRDefault="00FD365E" w:rsidP="00FD365E">
      <w:pPr>
        <w:pStyle w:val="MDPI71References"/>
      </w:pPr>
      <w:r w:rsidRPr="00A17DB7">
        <w:t xml:space="preserve">Pickel W.; Kus J.; Flores D.; Kalaitzidis S.; Christanis K.; </w:t>
      </w:r>
      <w:proofErr w:type="spellStart"/>
      <w:r w:rsidRPr="00A17DB7">
        <w:t>Cardott</w:t>
      </w:r>
      <w:proofErr w:type="spellEnd"/>
      <w:r w:rsidRPr="00A17DB7">
        <w:t xml:space="preserve"> B.J.; </w:t>
      </w:r>
      <w:proofErr w:type="spellStart"/>
      <w:r w:rsidRPr="0066436F">
        <w:rPr>
          <w:color w:val="auto"/>
        </w:rPr>
        <w:t>Misz</w:t>
      </w:r>
      <w:proofErr w:type="spellEnd"/>
      <w:r w:rsidRPr="0066436F">
        <w:rPr>
          <w:color w:val="auto"/>
        </w:rPr>
        <w:t>-</w:t>
      </w:r>
      <w:r w:rsidRPr="00A17DB7">
        <w:t xml:space="preserve">Kennan M.; Rodrigues S.; Hentschel A.; </w:t>
      </w:r>
      <w:proofErr w:type="spellStart"/>
      <w:r w:rsidRPr="00A17DB7">
        <w:t>Hamor-Vido</w:t>
      </w:r>
      <w:proofErr w:type="spellEnd"/>
      <w:r w:rsidRPr="00A17DB7">
        <w:t xml:space="preserve"> M.; Crosdale P.; Wagner N. Classification of liptinite — ICCP System 1994. </w:t>
      </w:r>
      <w:r w:rsidRPr="00C5555B">
        <w:rPr>
          <w:i/>
        </w:rPr>
        <w:t>Int. J. Coal Geol</w:t>
      </w:r>
      <w:r w:rsidRPr="00A17DB7">
        <w:t xml:space="preserve">. </w:t>
      </w:r>
      <w:r w:rsidRPr="00C5555B">
        <w:rPr>
          <w:b/>
        </w:rPr>
        <w:t>2017</w:t>
      </w:r>
      <w:r w:rsidRPr="00A17DB7">
        <w:t>, 169, 40–61. DOI:10.1016/j.coal.2016.11.004</w:t>
      </w:r>
      <w:r w:rsidRPr="00A17DB7">
        <w:rPr>
          <w:lang w:val="ru-RU"/>
        </w:rPr>
        <w:t>.</w:t>
      </w:r>
    </w:p>
    <w:p w14:paraId="4CB242CC" w14:textId="78F30A63" w:rsidR="00FC118D" w:rsidRPr="00A17DB7" w:rsidRDefault="00FC118D" w:rsidP="00FD365E">
      <w:pPr>
        <w:pStyle w:val="MDPI71References"/>
      </w:pPr>
      <w:r w:rsidRPr="00A17DB7">
        <w:t xml:space="preserve">Espitalie, J.; </w:t>
      </w:r>
      <w:proofErr w:type="spellStart"/>
      <w:r w:rsidRPr="00A17DB7">
        <w:t>Laporte</w:t>
      </w:r>
      <w:proofErr w:type="spellEnd"/>
      <w:r w:rsidRPr="00A17DB7">
        <w:t xml:space="preserve">, J.L.; </w:t>
      </w:r>
      <w:proofErr w:type="spellStart"/>
      <w:r w:rsidRPr="00A17DB7">
        <w:t>Madec</w:t>
      </w:r>
      <w:proofErr w:type="spellEnd"/>
      <w:r w:rsidRPr="00A17DB7">
        <w:t xml:space="preserve">, M.; Marquis, F.; </w:t>
      </w:r>
      <w:proofErr w:type="spellStart"/>
      <w:r w:rsidRPr="00A17DB7">
        <w:t>Leplat</w:t>
      </w:r>
      <w:proofErr w:type="spellEnd"/>
      <w:r w:rsidRPr="00A17DB7">
        <w:t xml:space="preserve">, P.; Paulet, J.; </w:t>
      </w:r>
      <w:proofErr w:type="spellStart"/>
      <w:r w:rsidRPr="00A17DB7">
        <w:t>Boutefeu</w:t>
      </w:r>
      <w:proofErr w:type="spellEnd"/>
      <w:r w:rsidRPr="00A17DB7">
        <w:t>, A. Source rock characterization method for petroleum exploration. In Proceedings of the 9th Annual Offshore Technology Conf., Houston, USA, May 1977. DOI</w:t>
      </w:r>
      <w:proofErr w:type="gramStart"/>
      <w:r w:rsidRPr="00A17DB7">
        <w:t>:10.4043</w:t>
      </w:r>
      <w:proofErr w:type="gramEnd"/>
      <w:r w:rsidRPr="00A17DB7">
        <w:t xml:space="preserve">/2935-MS. </w:t>
      </w:r>
    </w:p>
    <w:p w14:paraId="6DB963FF" w14:textId="77777777" w:rsidR="00FC118D" w:rsidRPr="00A17DB7" w:rsidRDefault="00FC118D" w:rsidP="00FC118D">
      <w:pPr>
        <w:pStyle w:val="MDPI71References"/>
      </w:pPr>
      <w:r w:rsidRPr="00A17DB7">
        <w:t xml:space="preserve">Peters, K.E. Guidelines for evaluating petroleum source rock using programmed pyrolysis. </w:t>
      </w:r>
      <w:r w:rsidRPr="00A17DB7">
        <w:rPr>
          <w:i/>
        </w:rPr>
        <w:t xml:space="preserve">AAPG Bulletin </w:t>
      </w:r>
      <w:r w:rsidRPr="00A17DB7">
        <w:rPr>
          <w:b/>
        </w:rPr>
        <w:t>1986</w:t>
      </w:r>
      <w:r w:rsidRPr="00A17DB7">
        <w:rPr>
          <w:i/>
        </w:rPr>
        <w:t xml:space="preserve">, 70(3), </w:t>
      </w:r>
      <w:r w:rsidRPr="00A17DB7">
        <w:t>318–329. DOI</w:t>
      </w:r>
      <w:proofErr w:type="gramStart"/>
      <w:r w:rsidRPr="00A17DB7">
        <w:t>:10.1306</w:t>
      </w:r>
      <w:proofErr w:type="gramEnd"/>
      <w:r w:rsidRPr="00A17DB7">
        <w:t xml:space="preserve">/94885688-1704-11D7-8645000102C1865D. </w:t>
      </w:r>
    </w:p>
    <w:p w14:paraId="7C3E304F" w14:textId="77777777" w:rsidR="00FC118D" w:rsidRPr="00A17DB7" w:rsidRDefault="00FC118D" w:rsidP="00FC118D">
      <w:pPr>
        <w:pStyle w:val="MDPI71References"/>
      </w:pPr>
      <w:r w:rsidRPr="00A17DB7">
        <w:t xml:space="preserve">Tissot, B.P.; </w:t>
      </w:r>
      <w:proofErr w:type="spellStart"/>
      <w:r w:rsidRPr="00A17DB7">
        <w:t>Pelet</w:t>
      </w:r>
      <w:proofErr w:type="spellEnd"/>
      <w:r w:rsidRPr="00A17DB7">
        <w:t xml:space="preserve">, R.; </w:t>
      </w:r>
      <w:proofErr w:type="spellStart"/>
      <w:r w:rsidRPr="00A17DB7">
        <w:t>Ungerer</w:t>
      </w:r>
      <w:proofErr w:type="spellEnd"/>
      <w:r w:rsidRPr="00A17DB7">
        <w:t xml:space="preserve">, P.H. Thermal history of sedimentary basins, maturation indices, and kinetics of oil and gas generation. </w:t>
      </w:r>
      <w:r w:rsidRPr="00A17DB7">
        <w:rPr>
          <w:i/>
        </w:rPr>
        <w:t>AAPG Bulletin</w:t>
      </w:r>
      <w:r w:rsidRPr="00A17DB7">
        <w:t xml:space="preserve"> </w:t>
      </w:r>
      <w:r w:rsidRPr="00A17DB7">
        <w:rPr>
          <w:b/>
        </w:rPr>
        <w:t>1987</w:t>
      </w:r>
      <w:r w:rsidRPr="00A17DB7">
        <w:t xml:space="preserve">, </w:t>
      </w:r>
      <w:r w:rsidRPr="00A17DB7">
        <w:rPr>
          <w:i/>
        </w:rPr>
        <w:t>71(12)</w:t>
      </w:r>
      <w:r w:rsidRPr="00A17DB7">
        <w:t>, 1445-1466. DOI</w:t>
      </w:r>
      <w:proofErr w:type="gramStart"/>
      <w:r w:rsidRPr="00A17DB7">
        <w:t>:10.1306</w:t>
      </w:r>
      <w:proofErr w:type="gramEnd"/>
      <w:r w:rsidRPr="00A17DB7">
        <w:t>/703C80E7-1707-11D7-8645000102C1865D.</w:t>
      </w:r>
    </w:p>
    <w:p w14:paraId="78D03E82" w14:textId="77777777" w:rsidR="00FC118D" w:rsidRPr="00A17DB7" w:rsidRDefault="00FC118D" w:rsidP="00FC118D">
      <w:pPr>
        <w:pStyle w:val="MDPI71References"/>
      </w:pPr>
      <w:r w:rsidRPr="00A17DB7">
        <w:t xml:space="preserve">Tissot, B.P.; Welte, D.H. </w:t>
      </w:r>
      <w:r w:rsidRPr="00A17DB7">
        <w:rPr>
          <w:i/>
        </w:rPr>
        <w:t>Petroleum formation and occurrence, second edition;</w:t>
      </w:r>
      <w:r w:rsidRPr="00A17DB7">
        <w:t xml:space="preserve"> Springer-</w:t>
      </w:r>
      <w:proofErr w:type="spellStart"/>
      <w:r w:rsidRPr="00A17DB7">
        <w:t>Verlag</w:t>
      </w:r>
      <w:proofErr w:type="spellEnd"/>
      <w:r w:rsidRPr="00A17DB7">
        <w:t>., Berlin, Germany, 1984; p. 699.</w:t>
      </w:r>
    </w:p>
    <w:p w14:paraId="67FAEC26" w14:textId="77777777" w:rsidR="00FC118D" w:rsidRPr="00A17DB7" w:rsidRDefault="00FC118D" w:rsidP="00FC118D">
      <w:pPr>
        <w:pStyle w:val="MDPI71References"/>
      </w:pPr>
      <w:r w:rsidRPr="00A17DB7">
        <w:t xml:space="preserve">Pepper, A.S.; Corvi, P.J. Simple kinetic models of petroleum formation. Part I: oil and gas generation from kerogen. </w:t>
      </w:r>
      <w:r w:rsidRPr="00A17DB7">
        <w:rPr>
          <w:i/>
        </w:rPr>
        <w:t>Marine and Petroleum Geology</w:t>
      </w:r>
      <w:r w:rsidRPr="00A17DB7">
        <w:t xml:space="preserve"> </w:t>
      </w:r>
      <w:r w:rsidRPr="00A17DB7">
        <w:rPr>
          <w:b/>
        </w:rPr>
        <w:t>1995</w:t>
      </w:r>
      <w:r w:rsidRPr="00A17DB7">
        <w:t xml:space="preserve">, </w:t>
      </w:r>
      <w:r w:rsidRPr="00A17DB7">
        <w:rPr>
          <w:i/>
        </w:rPr>
        <w:t>12(3)</w:t>
      </w:r>
      <w:r w:rsidRPr="00A17DB7">
        <w:t>, 291–319. DOI</w:t>
      </w:r>
      <w:proofErr w:type="gramStart"/>
      <w:r w:rsidRPr="00A17DB7">
        <w:t>:10.1016</w:t>
      </w:r>
      <w:proofErr w:type="gramEnd"/>
      <w:r w:rsidRPr="00A17DB7">
        <w:t>/0264-8172(95)98381-E.</w:t>
      </w:r>
    </w:p>
    <w:p w14:paraId="20424F70" w14:textId="77777777" w:rsidR="00FC118D" w:rsidRPr="00A17DB7" w:rsidRDefault="00FC118D" w:rsidP="00FC118D">
      <w:pPr>
        <w:pStyle w:val="MDPI71References"/>
      </w:pPr>
      <w:r w:rsidRPr="00A17DB7">
        <w:t xml:space="preserve">Horshfield, B. Practical criteria for classifying kerogens: Some observations from pyrolysis-gas chromatography. </w:t>
      </w:r>
      <w:r w:rsidRPr="00A17DB7">
        <w:rPr>
          <w:i/>
        </w:rPr>
        <w:t xml:space="preserve">Geochimica </w:t>
      </w:r>
      <w:proofErr w:type="gramStart"/>
      <w:r w:rsidRPr="00A17DB7">
        <w:rPr>
          <w:i/>
        </w:rPr>
        <w:t>et</w:t>
      </w:r>
      <w:proofErr w:type="gramEnd"/>
      <w:r w:rsidRPr="00A17DB7">
        <w:rPr>
          <w:i/>
        </w:rPr>
        <w:t xml:space="preserve"> Cosmochimica Acta </w:t>
      </w:r>
      <w:r w:rsidRPr="00A17DB7">
        <w:rPr>
          <w:b/>
        </w:rPr>
        <w:t>1989</w:t>
      </w:r>
      <w:r w:rsidRPr="00A17DB7">
        <w:rPr>
          <w:i/>
        </w:rPr>
        <w:t>, 53</w:t>
      </w:r>
      <w:r w:rsidRPr="00A17DB7">
        <w:t>, 891–901. DOI</w:t>
      </w:r>
      <w:proofErr w:type="gramStart"/>
      <w:r w:rsidRPr="00A17DB7">
        <w:t>:10.1016</w:t>
      </w:r>
      <w:proofErr w:type="gramEnd"/>
      <w:r w:rsidRPr="00A17DB7">
        <w:t>/0016-7037(89)90033-1.</w:t>
      </w:r>
    </w:p>
    <w:p w14:paraId="2AEE492A" w14:textId="77777777" w:rsidR="00FC118D" w:rsidRPr="00A17DB7" w:rsidRDefault="00FC118D" w:rsidP="00FC118D">
      <w:pPr>
        <w:pStyle w:val="MDPI71References"/>
      </w:pPr>
      <w:r w:rsidRPr="00A17DB7">
        <w:t xml:space="preserve">Giraud, A. Application of pyrolysis and gas chromatography to geochemical characterization of kerogen in sedimentary rocks. </w:t>
      </w:r>
      <w:r w:rsidRPr="00A17DB7">
        <w:rPr>
          <w:i/>
        </w:rPr>
        <w:t xml:space="preserve">AAPG Bulletin </w:t>
      </w:r>
      <w:r w:rsidRPr="00A17DB7">
        <w:rPr>
          <w:b/>
        </w:rPr>
        <w:t>1970</w:t>
      </w:r>
      <w:r w:rsidRPr="00A17DB7">
        <w:t xml:space="preserve">, </w:t>
      </w:r>
      <w:r w:rsidRPr="00A17DB7">
        <w:rPr>
          <w:i/>
        </w:rPr>
        <w:t>54(3)</w:t>
      </w:r>
      <w:r w:rsidRPr="00A17DB7">
        <w:t>, 439–451. DOI</w:t>
      </w:r>
      <w:proofErr w:type="gramStart"/>
      <w:r w:rsidRPr="00A17DB7">
        <w:t>:10.1306</w:t>
      </w:r>
      <w:proofErr w:type="gramEnd"/>
      <w:r w:rsidRPr="00A17DB7">
        <w:t>/5D25C9AD-16C1-11D7-8645000102C1865D.</w:t>
      </w:r>
    </w:p>
    <w:p w14:paraId="1279A30F" w14:textId="77777777" w:rsidR="00FC118D" w:rsidRPr="00A17DB7" w:rsidRDefault="00FC118D" w:rsidP="00FC118D">
      <w:pPr>
        <w:pStyle w:val="MDPI71References"/>
      </w:pPr>
      <w:r w:rsidRPr="00A17DB7">
        <w:t xml:space="preserve">Dembicki, Jr.H. Three common source rock evaluation errors made by geologists during prospect or play appraisals. </w:t>
      </w:r>
      <w:r w:rsidRPr="00A17DB7">
        <w:rPr>
          <w:i/>
        </w:rPr>
        <w:t xml:space="preserve">AAPG Bulletin </w:t>
      </w:r>
      <w:r w:rsidRPr="00A17DB7">
        <w:rPr>
          <w:b/>
        </w:rPr>
        <w:t>2009</w:t>
      </w:r>
      <w:r w:rsidRPr="00A17DB7">
        <w:t xml:space="preserve">, </w:t>
      </w:r>
      <w:r w:rsidRPr="00A17DB7">
        <w:rPr>
          <w:i/>
        </w:rPr>
        <w:t>93(3)</w:t>
      </w:r>
      <w:r w:rsidRPr="00A17DB7">
        <w:t>, 341–356. DOI</w:t>
      </w:r>
      <w:proofErr w:type="gramStart"/>
      <w:r w:rsidRPr="00A17DB7">
        <w:t>:10.1306</w:t>
      </w:r>
      <w:proofErr w:type="gramEnd"/>
      <w:r w:rsidRPr="00A17DB7">
        <w:t>/10230808076.</w:t>
      </w:r>
    </w:p>
    <w:p w14:paraId="5F711EE9" w14:textId="77777777" w:rsidR="00FC118D" w:rsidRPr="00A17DB7" w:rsidRDefault="00FC118D" w:rsidP="00FC118D">
      <w:pPr>
        <w:pStyle w:val="MDPI71References"/>
      </w:pPr>
      <w:r w:rsidRPr="00A17DB7">
        <w:t xml:space="preserve">Kontorovich, A.E.; Bogorodskaya, L.I.; </w:t>
      </w:r>
      <w:proofErr w:type="spellStart"/>
      <w:r w:rsidRPr="00A17DB7">
        <w:t>Borisova</w:t>
      </w:r>
      <w:proofErr w:type="spellEnd"/>
      <w:r w:rsidRPr="00A17DB7">
        <w:t xml:space="preserve">, L.S.; Burshtein, L.M.; </w:t>
      </w:r>
      <w:proofErr w:type="spellStart"/>
      <w:r w:rsidRPr="00A17DB7">
        <w:t>Ismagilov</w:t>
      </w:r>
      <w:proofErr w:type="spellEnd"/>
      <w:r w:rsidRPr="00A17DB7">
        <w:t xml:space="preserve">, Z.R.; et al. Geochemistry and catagenetic transformation of kerogen from the Bazhenov Horizon. </w:t>
      </w:r>
      <w:r w:rsidRPr="00A17DB7">
        <w:rPr>
          <w:i/>
        </w:rPr>
        <w:t xml:space="preserve">Geochemistry International </w:t>
      </w:r>
      <w:r w:rsidRPr="00A17DB7">
        <w:rPr>
          <w:b/>
        </w:rPr>
        <w:t>2019</w:t>
      </w:r>
      <w:r w:rsidRPr="00A17DB7">
        <w:rPr>
          <w:i/>
        </w:rPr>
        <w:t>, 57 (6)</w:t>
      </w:r>
      <w:r w:rsidRPr="00A17DB7">
        <w:t>, 621–634. DOI: 10.1134/S0016702919060028.</w:t>
      </w:r>
    </w:p>
    <w:p w14:paraId="11BBADC9" w14:textId="77777777" w:rsidR="00FC118D" w:rsidRPr="00A17DB7" w:rsidRDefault="00FC118D" w:rsidP="00FC118D">
      <w:pPr>
        <w:pStyle w:val="MDPI71References"/>
      </w:pPr>
      <w:r w:rsidRPr="00A17DB7">
        <w:t xml:space="preserve">Dakhnova, M.V.; </w:t>
      </w:r>
      <w:proofErr w:type="spellStart"/>
      <w:r w:rsidRPr="00A17DB7">
        <w:t>Pankina</w:t>
      </w:r>
      <w:proofErr w:type="spellEnd"/>
      <w:r w:rsidRPr="00A17DB7">
        <w:t xml:space="preserve">, R.G.; </w:t>
      </w:r>
      <w:proofErr w:type="spellStart"/>
      <w:r w:rsidRPr="00A17DB7">
        <w:t>Korab</w:t>
      </w:r>
      <w:proofErr w:type="spellEnd"/>
      <w:r w:rsidRPr="00A17DB7">
        <w:t xml:space="preserve">, Z.; </w:t>
      </w:r>
      <w:proofErr w:type="spellStart"/>
      <w:r w:rsidRPr="00A17DB7">
        <w:t>Glogochyevski</w:t>
      </w:r>
      <w:proofErr w:type="spellEnd"/>
      <w:r w:rsidRPr="00A17DB7">
        <w:t xml:space="preserve">, </w:t>
      </w:r>
      <w:proofErr w:type="spellStart"/>
      <w:proofErr w:type="gramStart"/>
      <w:r w:rsidRPr="00A17DB7">
        <w:t>Ya.Ya</w:t>
      </w:r>
      <w:proofErr w:type="spellEnd"/>
      <w:r w:rsidRPr="00A17DB7">
        <w:t>.;</w:t>
      </w:r>
      <w:proofErr w:type="gramEnd"/>
      <w:r w:rsidRPr="00A17DB7">
        <w:t xml:space="preserve"> </w:t>
      </w:r>
      <w:proofErr w:type="spellStart"/>
      <w:r w:rsidRPr="00A17DB7">
        <w:t>Stshetatski</w:t>
      </w:r>
      <w:proofErr w:type="spellEnd"/>
      <w:r w:rsidRPr="00A17DB7">
        <w:t xml:space="preserve">, </w:t>
      </w:r>
      <w:proofErr w:type="spellStart"/>
      <w:r w:rsidRPr="00A17DB7">
        <w:t>Ya.S</w:t>
      </w:r>
      <w:proofErr w:type="spellEnd"/>
      <w:r w:rsidRPr="00A17DB7">
        <w:t xml:space="preserve">. Identification of hydrocarbon generation zones in Zechstein Main Dolomite of Permian region in Poland. </w:t>
      </w:r>
      <w:r w:rsidRPr="00A17DB7">
        <w:rPr>
          <w:i/>
        </w:rPr>
        <w:t>Oil and Gas Geology</w:t>
      </w:r>
      <w:r w:rsidRPr="00A17DB7">
        <w:t xml:space="preserve"> </w:t>
      </w:r>
      <w:r w:rsidRPr="00A17DB7">
        <w:rPr>
          <w:b/>
        </w:rPr>
        <w:t>1981</w:t>
      </w:r>
      <w:r w:rsidRPr="00A17DB7">
        <w:t xml:space="preserve">, </w:t>
      </w:r>
      <w:r w:rsidRPr="00A17DB7">
        <w:rPr>
          <w:i/>
        </w:rPr>
        <w:t>4</w:t>
      </w:r>
      <w:r w:rsidRPr="00A17DB7">
        <w:t>, 49–55. (In Russian)</w:t>
      </w:r>
    </w:p>
    <w:p w14:paraId="6806A307" w14:textId="77777777" w:rsidR="00FC118D" w:rsidRPr="00A17DB7" w:rsidRDefault="00FC118D" w:rsidP="00FC118D">
      <w:pPr>
        <w:pStyle w:val="MDPI71References"/>
      </w:pPr>
      <w:r w:rsidRPr="00A17DB7">
        <w:t xml:space="preserve">Kusakabe, M.; Mizutani, Y.; Kometani, M. A preliminary stable isotope study of volcanic ashes discharged by the 1979 eruption of on take Volcano, </w:t>
      </w:r>
      <w:r w:rsidRPr="00A17DB7">
        <w:rPr>
          <w:i/>
        </w:rPr>
        <w:t>Nagano, Japan. Bull. Volcanol.</w:t>
      </w:r>
      <w:r w:rsidRPr="00A17DB7">
        <w:t xml:space="preserve"> </w:t>
      </w:r>
      <w:r w:rsidRPr="00A17DB7">
        <w:rPr>
          <w:b/>
        </w:rPr>
        <w:t>1982</w:t>
      </w:r>
      <w:r w:rsidRPr="00A17DB7">
        <w:t xml:space="preserve">, </w:t>
      </w:r>
      <w:r w:rsidRPr="00A17DB7">
        <w:rPr>
          <w:i/>
        </w:rPr>
        <w:t>45(3)</w:t>
      </w:r>
      <w:r w:rsidRPr="00A17DB7">
        <w:t>, 203–209. DOI</w:t>
      </w:r>
      <w:proofErr w:type="gramStart"/>
      <w:r w:rsidRPr="00A17DB7">
        <w:t>:10.1007</w:t>
      </w:r>
      <w:proofErr w:type="gramEnd"/>
      <w:r w:rsidRPr="00A17DB7">
        <w:t>/BF02597731.</w:t>
      </w:r>
    </w:p>
    <w:p w14:paraId="61A9276C" w14:textId="77777777" w:rsidR="00FC118D" w:rsidRPr="00A17DB7" w:rsidRDefault="00FC118D" w:rsidP="00FC118D">
      <w:pPr>
        <w:pStyle w:val="MDPI71References"/>
      </w:pPr>
      <w:r w:rsidRPr="00A17DB7">
        <w:t xml:space="preserve">Ikehata, K.; </w:t>
      </w:r>
      <w:proofErr w:type="spellStart"/>
      <w:r w:rsidRPr="00A17DB7">
        <w:t>Maruoka</w:t>
      </w:r>
      <w:proofErr w:type="spellEnd"/>
      <w:r w:rsidRPr="00A17DB7">
        <w:t xml:space="preserve">, T. Sulfur isotopic characteristics of volcanic products from the September 2014 Mount </w:t>
      </w:r>
      <w:proofErr w:type="spellStart"/>
      <w:r w:rsidRPr="00A17DB7">
        <w:t>Ontake</w:t>
      </w:r>
      <w:proofErr w:type="spellEnd"/>
      <w:r w:rsidRPr="00A17DB7">
        <w:t xml:space="preserve"> eruption, Japan. </w:t>
      </w:r>
      <w:r w:rsidRPr="00A17DB7">
        <w:rPr>
          <w:i/>
        </w:rPr>
        <w:t xml:space="preserve">Earth Planet </w:t>
      </w:r>
      <w:proofErr w:type="spellStart"/>
      <w:r w:rsidRPr="00A17DB7">
        <w:rPr>
          <w:i/>
        </w:rPr>
        <w:t>Sp</w:t>
      </w:r>
      <w:proofErr w:type="spellEnd"/>
      <w:r w:rsidRPr="00A17DB7">
        <w:t xml:space="preserve"> </w:t>
      </w:r>
      <w:r w:rsidRPr="00A17DB7">
        <w:rPr>
          <w:b/>
        </w:rPr>
        <w:t>2016</w:t>
      </w:r>
      <w:r w:rsidRPr="00A17DB7">
        <w:t xml:space="preserve">, </w:t>
      </w:r>
      <w:r w:rsidRPr="00A17DB7">
        <w:rPr>
          <w:i/>
        </w:rPr>
        <w:t>68:116</w:t>
      </w:r>
      <w:r w:rsidRPr="00A17DB7">
        <w:t>. DOI</w:t>
      </w:r>
      <w:proofErr w:type="gramStart"/>
      <w:r w:rsidRPr="00A17DB7">
        <w:t>:10.1186</w:t>
      </w:r>
      <w:proofErr w:type="gramEnd"/>
      <w:r w:rsidRPr="00A17DB7">
        <w:t>/s40623-016-0496-z.</w:t>
      </w:r>
    </w:p>
    <w:p w14:paraId="315A38F2" w14:textId="77777777" w:rsidR="00FC118D" w:rsidRPr="00A17DB7" w:rsidRDefault="00FC118D" w:rsidP="00FC118D">
      <w:pPr>
        <w:pStyle w:val="MDPI71References"/>
      </w:pPr>
      <w:r w:rsidRPr="00A17DB7">
        <w:t xml:space="preserve">Meyers P.A.; </w:t>
      </w:r>
      <w:proofErr w:type="spellStart"/>
      <w:r w:rsidRPr="00A17DB7">
        <w:t>Leenheer</w:t>
      </w:r>
      <w:proofErr w:type="spellEnd"/>
      <w:r w:rsidRPr="00A17DB7">
        <w:t xml:space="preserve"> M.J.; </w:t>
      </w:r>
      <w:proofErr w:type="spellStart"/>
      <w:r w:rsidRPr="00A17DB7">
        <w:t>Kawka</w:t>
      </w:r>
      <w:proofErr w:type="spellEnd"/>
      <w:r w:rsidRPr="00A17DB7">
        <w:t xml:space="preserve"> O.E.; </w:t>
      </w:r>
      <w:proofErr w:type="spellStart"/>
      <w:r w:rsidRPr="00A17DB7">
        <w:t>Trull</w:t>
      </w:r>
      <w:proofErr w:type="spellEnd"/>
      <w:r w:rsidRPr="00A17DB7">
        <w:t xml:space="preserve"> T.W. Enhanced preservation of marine-derived organic matter in Cenomanian black shales from the southern Angola Basin. </w:t>
      </w:r>
      <w:r w:rsidRPr="00A17DB7">
        <w:rPr>
          <w:i/>
        </w:rPr>
        <w:t>Nature</w:t>
      </w:r>
      <w:r w:rsidRPr="00A17DB7">
        <w:t xml:space="preserve"> </w:t>
      </w:r>
      <w:r w:rsidRPr="00A17DB7">
        <w:rPr>
          <w:b/>
        </w:rPr>
        <w:t>1984</w:t>
      </w:r>
      <w:r w:rsidRPr="00A17DB7">
        <w:t xml:space="preserve">, </w:t>
      </w:r>
      <w:r w:rsidRPr="00A17DB7">
        <w:rPr>
          <w:i/>
        </w:rPr>
        <w:t>312</w:t>
      </w:r>
      <w:r w:rsidRPr="00A17DB7">
        <w:t>, 356–359. DOI</w:t>
      </w:r>
      <w:proofErr w:type="gramStart"/>
      <w:r w:rsidRPr="00A17DB7">
        <w:t>:10.1038</w:t>
      </w:r>
      <w:proofErr w:type="gramEnd"/>
      <w:r w:rsidRPr="00A17DB7">
        <w:t>/312356a0.</w:t>
      </w:r>
    </w:p>
    <w:p w14:paraId="6D47662A" w14:textId="77777777" w:rsidR="00FC118D" w:rsidRPr="00A17DB7" w:rsidRDefault="00FC118D" w:rsidP="00FC118D">
      <w:pPr>
        <w:pStyle w:val="MDPI71References"/>
      </w:pPr>
      <w:r w:rsidRPr="00A17DB7">
        <w:t xml:space="preserve">Rau, G.H.; Arthur, M.A.; Dean, W.E. 15N/14N variations in Cretaceous Atlantic sedimentary sequences: implication for past changes in marine nitrogen biogeochemistry. </w:t>
      </w:r>
      <w:r w:rsidRPr="00A17DB7">
        <w:rPr>
          <w:i/>
        </w:rPr>
        <w:t>Earth Planet. Sci. Lett.</w:t>
      </w:r>
      <w:r w:rsidRPr="00A17DB7">
        <w:t xml:space="preserve"> </w:t>
      </w:r>
      <w:r w:rsidRPr="00A17DB7">
        <w:rPr>
          <w:b/>
        </w:rPr>
        <w:t>1987</w:t>
      </w:r>
      <w:r w:rsidRPr="00A17DB7">
        <w:t xml:space="preserve">, </w:t>
      </w:r>
      <w:r w:rsidRPr="00A17DB7">
        <w:rPr>
          <w:i/>
        </w:rPr>
        <w:t>82(3-4)</w:t>
      </w:r>
      <w:r w:rsidRPr="00A17DB7">
        <w:t>, 269–279. DOI</w:t>
      </w:r>
      <w:proofErr w:type="gramStart"/>
      <w:r w:rsidRPr="00A17DB7">
        <w:t>:10.1016</w:t>
      </w:r>
      <w:proofErr w:type="gramEnd"/>
      <w:r w:rsidRPr="00A17DB7">
        <w:t>/0012-821X(87)90201-9.</w:t>
      </w:r>
    </w:p>
    <w:p w14:paraId="672759AF" w14:textId="77777777" w:rsidR="00FC118D" w:rsidRPr="00A17DB7" w:rsidRDefault="00FC118D" w:rsidP="00FC118D">
      <w:pPr>
        <w:pStyle w:val="MDPI71References"/>
      </w:pPr>
      <w:r w:rsidRPr="00A17DB7">
        <w:t xml:space="preserve">Ohkouchi, N.; Kuroda, J.; Okada, M.; Tokuyama, H. Why Cretaceous black shales have high C/N ratios? Implications from SEM-EDX observations for </w:t>
      </w:r>
      <w:proofErr w:type="spellStart"/>
      <w:r w:rsidRPr="00A17DB7">
        <w:t>Livello</w:t>
      </w:r>
      <w:proofErr w:type="spellEnd"/>
      <w:r w:rsidRPr="00A17DB7">
        <w:t xml:space="preserve"> </w:t>
      </w:r>
      <w:proofErr w:type="spellStart"/>
      <w:r w:rsidRPr="00A17DB7">
        <w:t>Bonarelli</w:t>
      </w:r>
      <w:proofErr w:type="spellEnd"/>
      <w:r w:rsidRPr="00A17DB7">
        <w:t xml:space="preserve"> black shales at the Cenomanian-Turonian boundary. </w:t>
      </w:r>
      <w:r w:rsidRPr="00A17DB7">
        <w:rPr>
          <w:i/>
        </w:rPr>
        <w:t xml:space="preserve">Front. Res. Earth </w:t>
      </w:r>
      <w:proofErr w:type="spellStart"/>
      <w:r w:rsidRPr="00A17DB7">
        <w:rPr>
          <w:i/>
        </w:rPr>
        <w:t>Evol</w:t>
      </w:r>
      <w:proofErr w:type="spellEnd"/>
      <w:r w:rsidRPr="00A17DB7">
        <w:rPr>
          <w:i/>
        </w:rPr>
        <w:t>.</w:t>
      </w:r>
      <w:r w:rsidRPr="00A17DB7">
        <w:t xml:space="preserve"> </w:t>
      </w:r>
      <w:r w:rsidRPr="00A17DB7">
        <w:rPr>
          <w:b/>
        </w:rPr>
        <w:t>2003</w:t>
      </w:r>
      <w:r w:rsidRPr="00A17DB7">
        <w:t xml:space="preserve">, </w:t>
      </w:r>
      <w:r w:rsidRPr="00A17DB7">
        <w:rPr>
          <w:i/>
        </w:rPr>
        <w:t>1</w:t>
      </w:r>
      <w:r w:rsidRPr="00A17DB7">
        <w:t>, 239–241.</w:t>
      </w:r>
    </w:p>
    <w:p w14:paraId="6BA8754C" w14:textId="77777777" w:rsidR="00FC118D" w:rsidRPr="00A17DB7" w:rsidRDefault="00FC118D" w:rsidP="00FC118D">
      <w:pPr>
        <w:pStyle w:val="MDPI71References"/>
      </w:pPr>
      <w:r w:rsidRPr="00A17DB7">
        <w:t xml:space="preserve">Galimov, E.M. Isotope Organic Geochemistry. </w:t>
      </w:r>
      <w:r w:rsidRPr="00A17DB7">
        <w:rPr>
          <w:i/>
        </w:rPr>
        <w:t>Organic Geochemistry</w:t>
      </w:r>
      <w:r w:rsidRPr="00A17DB7">
        <w:t xml:space="preserve"> </w:t>
      </w:r>
      <w:r w:rsidRPr="00A17DB7">
        <w:rPr>
          <w:b/>
        </w:rPr>
        <w:t>2006</w:t>
      </w:r>
      <w:r w:rsidRPr="00A17DB7">
        <w:t xml:space="preserve">, </w:t>
      </w:r>
      <w:r w:rsidRPr="00A17DB7">
        <w:rPr>
          <w:i/>
        </w:rPr>
        <w:t>37</w:t>
      </w:r>
      <w:r w:rsidRPr="00A17DB7">
        <w:t>, 1200–1262. DOI:10.1016/j.orggeochem.2006.04.009.</w:t>
      </w:r>
    </w:p>
    <w:p w14:paraId="38A8E5F0" w14:textId="77777777" w:rsidR="00FC118D" w:rsidRPr="00A17DB7" w:rsidRDefault="00FC118D" w:rsidP="00FC118D">
      <w:pPr>
        <w:pStyle w:val="MDPI71References"/>
      </w:pPr>
      <w:r w:rsidRPr="00A17DB7">
        <w:t xml:space="preserve">Macko, S.A.; </w:t>
      </w:r>
      <w:proofErr w:type="spellStart"/>
      <w:r w:rsidRPr="00A17DB7">
        <w:t>Fogel</w:t>
      </w:r>
      <w:proofErr w:type="spellEnd"/>
      <w:r w:rsidRPr="00A17DB7">
        <w:t xml:space="preserve"> (Estep), M.L.; Hare, P.E.; </w:t>
      </w:r>
      <w:proofErr w:type="spellStart"/>
      <w:r w:rsidRPr="00A17DB7">
        <w:t>Hoering</w:t>
      </w:r>
      <w:proofErr w:type="spellEnd"/>
      <w:r w:rsidRPr="00A17DB7">
        <w:t xml:space="preserve">, T.C. Isotopic fractionation of nitrogen and carbon in the synthesis of amino acids by microorganisms. </w:t>
      </w:r>
      <w:r w:rsidRPr="00A17DB7">
        <w:rPr>
          <w:i/>
        </w:rPr>
        <w:t xml:space="preserve">Chemical Geology </w:t>
      </w:r>
      <w:r w:rsidRPr="00A17DB7">
        <w:rPr>
          <w:b/>
        </w:rPr>
        <w:t>1987</w:t>
      </w:r>
      <w:r w:rsidRPr="00A17DB7">
        <w:rPr>
          <w:i/>
        </w:rPr>
        <w:t>, 65(1)</w:t>
      </w:r>
      <w:r w:rsidRPr="00A17DB7">
        <w:t>, 79–92. DOI</w:t>
      </w:r>
      <w:proofErr w:type="gramStart"/>
      <w:r w:rsidRPr="00A17DB7">
        <w:t>:10.1016</w:t>
      </w:r>
      <w:proofErr w:type="gramEnd"/>
      <w:r w:rsidRPr="00A17DB7">
        <w:t>/0168-9622(87)90064-9.</w:t>
      </w:r>
    </w:p>
    <w:p w14:paraId="4289EF72" w14:textId="77777777" w:rsidR="00FC118D" w:rsidRPr="00A17DB7" w:rsidRDefault="00FC118D" w:rsidP="00FC118D">
      <w:pPr>
        <w:pStyle w:val="MDPI71References"/>
      </w:pPr>
      <w:r w:rsidRPr="00A17DB7">
        <w:t xml:space="preserve">Shaldybin, M.V.; Krupskaya, V.V.; </w:t>
      </w:r>
      <w:proofErr w:type="spellStart"/>
      <w:r w:rsidRPr="00A17DB7">
        <w:t>Glotov</w:t>
      </w:r>
      <w:proofErr w:type="spellEnd"/>
      <w:r w:rsidRPr="00A17DB7">
        <w:t xml:space="preserve">, A.V.; </w:t>
      </w:r>
      <w:proofErr w:type="spellStart"/>
      <w:r w:rsidRPr="00A17DB7">
        <w:t>Dorjieva</w:t>
      </w:r>
      <w:proofErr w:type="spellEnd"/>
      <w:r w:rsidRPr="00A17DB7">
        <w:t xml:space="preserve">, O.V.; Goncharov, I.V.; Samoilenko, V.V.; et al. Petrography and clay mineralogy of anomaly luminescent layers in Bazhenov suite of Western Siberia sedimentary basin. </w:t>
      </w:r>
      <w:r w:rsidRPr="00A17DB7">
        <w:rPr>
          <w:i/>
        </w:rPr>
        <w:t>Oil Industry</w:t>
      </w:r>
      <w:r w:rsidRPr="00A17DB7">
        <w:t xml:space="preserve"> </w:t>
      </w:r>
      <w:r w:rsidRPr="00A17DB7">
        <w:rPr>
          <w:b/>
        </w:rPr>
        <w:t>2018</w:t>
      </w:r>
      <w:r w:rsidRPr="00A17DB7">
        <w:t xml:space="preserve">, </w:t>
      </w:r>
      <w:r w:rsidRPr="00A17DB7">
        <w:rPr>
          <w:i/>
        </w:rPr>
        <w:t>2</w:t>
      </w:r>
      <w:r w:rsidRPr="00A17DB7">
        <w:t>, 36–40. (In Russian). DOI</w:t>
      </w:r>
      <w:proofErr w:type="gramStart"/>
      <w:r w:rsidRPr="00A17DB7">
        <w:t>:10.24887</w:t>
      </w:r>
      <w:proofErr w:type="gramEnd"/>
      <w:r w:rsidRPr="00A17DB7">
        <w:t>/0028-2448-2018-2-36-40.</w:t>
      </w:r>
    </w:p>
    <w:p w14:paraId="40B3B84A" w14:textId="77777777" w:rsidR="00FC118D" w:rsidRPr="00A17DB7" w:rsidRDefault="00FC118D" w:rsidP="00FC118D">
      <w:pPr>
        <w:pStyle w:val="MDPI71References"/>
      </w:pPr>
      <w:r w:rsidRPr="00A17DB7">
        <w:t xml:space="preserve">Taylor, T.; Longo, A. Valuing algal bloom in the Black Sea Coast of Bulgaria: A choice experiments approach. </w:t>
      </w:r>
      <w:r w:rsidRPr="00A17DB7">
        <w:rPr>
          <w:i/>
        </w:rPr>
        <w:t xml:space="preserve">Journal of Environmental Management </w:t>
      </w:r>
      <w:r w:rsidRPr="00A17DB7">
        <w:rPr>
          <w:b/>
        </w:rPr>
        <w:t>2010</w:t>
      </w:r>
      <w:r w:rsidRPr="00A17DB7">
        <w:rPr>
          <w:i/>
        </w:rPr>
        <w:t>, 91(10)</w:t>
      </w:r>
      <w:r w:rsidRPr="00A17DB7">
        <w:t>, 1963–1971. DOI:10.1016/j.jenvman.2010.04.007.</w:t>
      </w:r>
    </w:p>
    <w:p w14:paraId="49B1BA7C" w14:textId="77777777" w:rsidR="00FC118D" w:rsidRPr="00A17DB7" w:rsidRDefault="00FC118D" w:rsidP="00FC118D">
      <w:pPr>
        <w:pStyle w:val="MDPI71References"/>
      </w:pPr>
      <w:r w:rsidRPr="00A17DB7">
        <w:t xml:space="preserve">Ferrante, M.; Oliveri Conti, G.; Fiore, M.; Rapisarda, V.; Ledda, C. Harmful Algal Blooms in </w:t>
      </w:r>
      <w:proofErr w:type="gramStart"/>
      <w:r w:rsidRPr="00A17DB7">
        <w:t>The</w:t>
      </w:r>
      <w:proofErr w:type="gramEnd"/>
      <w:r w:rsidRPr="00A17DB7">
        <w:t xml:space="preserve"> Mediterranean Sea: Effects on Human Health. </w:t>
      </w:r>
      <w:r w:rsidRPr="00A17DB7">
        <w:rPr>
          <w:i/>
        </w:rPr>
        <w:t>Euromediterranean Biomedical Journal</w:t>
      </w:r>
      <w:r w:rsidRPr="00A17DB7">
        <w:t xml:space="preserve"> </w:t>
      </w:r>
      <w:r w:rsidRPr="00A17DB7">
        <w:rPr>
          <w:b/>
        </w:rPr>
        <w:t>2013</w:t>
      </w:r>
      <w:r w:rsidRPr="00A17DB7">
        <w:t xml:space="preserve">, </w:t>
      </w:r>
      <w:r w:rsidRPr="00A17DB7">
        <w:rPr>
          <w:i/>
        </w:rPr>
        <w:t>8</w:t>
      </w:r>
      <w:r w:rsidRPr="00A17DB7">
        <w:t>, 25–34. DOI:10.3269/1970-5492.2013.8.6.</w:t>
      </w:r>
    </w:p>
    <w:p w14:paraId="424C0B73" w14:textId="77777777" w:rsidR="00FC118D" w:rsidRPr="00A17DB7" w:rsidRDefault="00FC118D" w:rsidP="00FC118D">
      <w:pPr>
        <w:pStyle w:val="MDPI71References"/>
      </w:pPr>
      <w:r w:rsidRPr="00A17DB7">
        <w:t xml:space="preserve">Van, A.V.; Kazansky, </w:t>
      </w:r>
      <w:proofErr w:type="spellStart"/>
      <w:r w:rsidRPr="00A17DB7">
        <w:t>Yu.P</w:t>
      </w:r>
      <w:proofErr w:type="spellEnd"/>
      <w:r w:rsidRPr="00A17DB7">
        <w:t xml:space="preserve">. </w:t>
      </w:r>
      <w:r w:rsidRPr="00A17DB7">
        <w:rPr>
          <w:i/>
        </w:rPr>
        <w:t>Volcanoclastic material in sediments and sedimentary rocks;</w:t>
      </w:r>
      <w:r w:rsidRPr="00A17DB7">
        <w:t xml:space="preserve"> Nauka: Novosibirsk, USSR, 1985; p. 128. (In Russian)</w:t>
      </w:r>
    </w:p>
    <w:p w14:paraId="7A6023E6" w14:textId="77777777" w:rsidR="00FC118D" w:rsidRPr="00A17DB7" w:rsidRDefault="00FC118D" w:rsidP="00FC118D">
      <w:pPr>
        <w:pStyle w:val="MDPI71References"/>
      </w:pPr>
      <w:r w:rsidRPr="00A17DB7">
        <w:t xml:space="preserve">Fujimura, R.; Sato, Y.; </w:t>
      </w:r>
      <w:proofErr w:type="spellStart"/>
      <w:r w:rsidRPr="00A17DB7">
        <w:t>Nishizawa</w:t>
      </w:r>
      <w:proofErr w:type="spellEnd"/>
      <w:r w:rsidRPr="00A17DB7">
        <w:t xml:space="preserve">, T.; Nanba, K.; </w:t>
      </w:r>
      <w:proofErr w:type="spellStart"/>
      <w:r w:rsidRPr="00A17DB7">
        <w:t>Oshima</w:t>
      </w:r>
      <w:proofErr w:type="spellEnd"/>
      <w:r w:rsidRPr="00A17DB7">
        <w:t xml:space="preserve">, K.; Hattori, M.; </w:t>
      </w:r>
      <w:proofErr w:type="spellStart"/>
      <w:r w:rsidRPr="00A17DB7">
        <w:t>Kamijo</w:t>
      </w:r>
      <w:proofErr w:type="spellEnd"/>
      <w:r w:rsidRPr="00A17DB7">
        <w:t xml:space="preserve">, T.; </w:t>
      </w:r>
      <w:proofErr w:type="spellStart"/>
      <w:r w:rsidRPr="00A17DB7">
        <w:t>Ohta</w:t>
      </w:r>
      <w:proofErr w:type="spellEnd"/>
      <w:r w:rsidRPr="00A17DB7">
        <w:t>, H. Analysis of early bacterial communities on volcanic deposits on the Island of Miyake (</w:t>
      </w:r>
      <w:proofErr w:type="spellStart"/>
      <w:r w:rsidRPr="00A17DB7">
        <w:t>Miyakejima</w:t>
      </w:r>
      <w:proofErr w:type="spellEnd"/>
      <w:r w:rsidRPr="00A17DB7">
        <w:t xml:space="preserve">), Japan: a 6-year study at a fixed site. </w:t>
      </w:r>
      <w:r w:rsidRPr="00A17DB7">
        <w:rPr>
          <w:i/>
        </w:rPr>
        <w:t>Microbes Environ</w:t>
      </w:r>
      <w:r w:rsidRPr="00A17DB7">
        <w:t xml:space="preserve">. </w:t>
      </w:r>
      <w:r w:rsidRPr="00A17DB7">
        <w:rPr>
          <w:b/>
        </w:rPr>
        <w:t>2012</w:t>
      </w:r>
      <w:r w:rsidRPr="00A17DB7">
        <w:t xml:space="preserve">, </w:t>
      </w:r>
      <w:r w:rsidRPr="00A17DB7">
        <w:rPr>
          <w:i/>
        </w:rPr>
        <w:t>27</w:t>
      </w:r>
      <w:r w:rsidRPr="00A17DB7">
        <w:t>: 19–29. DOI:10.1264/jsme2.ME11207.</w:t>
      </w:r>
    </w:p>
    <w:p w14:paraId="554E28B0" w14:textId="77777777" w:rsidR="00FC118D" w:rsidRPr="00A17DB7" w:rsidRDefault="00FC118D" w:rsidP="00FC118D">
      <w:pPr>
        <w:pStyle w:val="MDPI71References"/>
      </w:pPr>
      <w:r w:rsidRPr="00A17DB7">
        <w:t xml:space="preserve">Zhang, R.; Jiang, T.; Tian, Y.; </w:t>
      </w:r>
      <w:proofErr w:type="spellStart"/>
      <w:r w:rsidRPr="00A17DB7">
        <w:t>Xie</w:t>
      </w:r>
      <w:proofErr w:type="spellEnd"/>
      <w:r w:rsidRPr="00A17DB7">
        <w:t xml:space="preserve">, S.; Zhou, L.; Li, Q.; Jiao, N. Volcanic ash stimulates growth of marine autotrophic and heterotrophic microorganisms. </w:t>
      </w:r>
      <w:r w:rsidRPr="00A17DB7">
        <w:rPr>
          <w:i/>
        </w:rPr>
        <w:t>Geology</w:t>
      </w:r>
      <w:r w:rsidRPr="00A17DB7">
        <w:t xml:space="preserve"> </w:t>
      </w:r>
      <w:r w:rsidRPr="00A17DB7">
        <w:rPr>
          <w:b/>
        </w:rPr>
        <w:t>2017</w:t>
      </w:r>
      <w:r w:rsidRPr="00A17DB7">
        <w:t xml:space="preserve">, </w:t>
      </w:r>
      <w:r w:rsidRPr="00A17DB7">
        <w:rPr>
          <w:i/>
        </w:rPr>
        <w:t>45(8)</w:t>
      </w:r>
      <w:r w:rsidRPr="00A17DB7">
        <w:t>, https://doi:10.1130/G38833.1.</w:t>
      </w:r>
    </w:p>
    <w:p w14:paraId="327BC4C6" w14:textId="77777777" w:rsidR="00FC118D" w:rsidRPr="00A17DB7" w:rsidRDefault="00FC118D" w:rsidP="00FC118D">
      <w:pPr>
        <w:pStyle w:val="MDPI71References"/>
      </w:pPr>
      <w:r w:rsidRPr="00A17DB7">
        <w:t xml:space="preserve">Predtechenskaya, E.A.; </w:t>
      </w:r>
      <w:proofErr w:type="spellStart"/>
      <w:r w:rsidRPr="00A17DB7">
        <w:t>Krol</w:t>
      </w:r>
      <w:proofErr w:type="spellEnd"/>
      <w:r w:rsidRPr="00A17DB7">
        <w:t xml:space="preserve">, L.A.; Gurari, F.G.; </w:t>
      </w:r>
      <w:proofErr w:type="spellStart"/>
      <w:r w:rsidRPr="00A17DB7">
        <w:t>Sapyanik</w:t>
      </w:r>
      <w:proofErr w:type="spellEnd"/>
      <w:r w:rsidRPr="00A17DB7">
        <w:t xml:space="preserve">, V.V.; </w:t>
      </w:r>
      <w:proofErr w:type="spellStart"/>
      <w:r w:rsidRPr="00A17DB7">
        <w:t>Perosio</w:t>
      </w:r>
      <w:proofErr w:type="spellEnd"/>
      <w:r w:rsidRPr="00A17DB7">
        <w:t xml:space="preserve">, G.N.; </w:t>
      </w:r>
      <w:proofErr w:type="spellStart"/>
      <w:r w:rsidRPr="00A17DB7">
        <w:t>Malyushko</w:t>
      </w:r>
      <w:proofErr w:type="spellEnd"/>
      <w:r w:rsidRPr="00A17DB7">
        <w:t xml:space="preserve">, L.D. On the genesis of carbonates in the Bazhenov Formation within the central and southeastern regions of the West Siberian plate. </w:t>
      </w:r>
      <w:r w:rsidRPr="00A17DB7">
        <w:rPr>
          <w:i/>
        </w:rPr>
        <w:t>Lithosphere</w:t>
      </w:r>
      <w:r w:rsidRPr="00A17DB7">
        <w:t xml:space="preserve"> </w:t>
      </w:r>
      <w:r w:rsidRPr="00A17DB7">
        <w:rPr>
          <w:b/>
        </w:rPr>
        <w:t>2006</w:t>
      </w:r>
      <w:r w:rsidRPr="00A17DB7">
        <w:t xml:space="preserve">, </w:t>
      </w:r>
      <w:r w:rsidRPr="00A17DB7">
        <w:rPr>
          <w:i/>
        </w:rPr>
        <w:t>4</w:t>
      </w:r>
      <w:r w:rsidRPr="00A17DB7">
        <w:t>, 131–148. (In Russian)</w:t>
      </w:r>
    </w:p>
    <w:p w14:paraId="5138BBCB" w14:textId="77777777" w:rsidR="00FC118D" w:rsidRPr="00A17DB7" w:rsidRDefault="00FC118D" w:rsidP="00FC118D">
      <w:pPr>
        <w:pStyle w:val="MDPI71References"/>
      </w:pPr>
      <w:r w:rsidRPr="00A17DB7">
        <w:t xml:space="preserve">Khotylev, O.V.; Balushkina, N.A.; Vishnevskaya, V.S.; Korobova, N.I.; Kalmykov, G.A.; </w:t>
      </w:r>
      <w:proofErr w:type="spellStart"/>
      <w:r w:rsidRPr="00A17DB7">
        <w:t>Roslyakova</w:t>
      </w:r>
      <w:proofErr w:type="spellEnd"/>
      <w:r w:rsidRPr="00A17DB7">
        <w:t xml:space="preserve">, A.S. A Model of the Accumulation of Radiolarite Layers in the Bazhenov Formation of West Siberia. </w:t>
      </w:r>
      <w:r w:rsidRPr="00A17DB7">
        <w:rPr>
          <w:i/>
        </w:rPr>
        <w:t>Moscow Univ. Geol. Bull.</w:t>
      </w:r>
      <w:r w:rsidRPr="00A17DB7">
        <w:t xml:space="preserve"> </w:t>
      </w:r>
      <w:r w:rsidRPr="00A17DB7">
        <w:rPr>
          <w:b/>
        </w:rPr>
        <w:t>2019</w:t>
      </w:r>
      <w:r w:rsidRPr="00A17DB7">
        <w:t xml:space="preserve">, </w:t>
      </w:r>
      <w:r w:rsidRPr="00A17DB7">
        <w:rPr>
          <w:i/>
        </w:rPr>
        <w:t>74</w:t>
      </w:r>
      <w:r w:rsidRPr="00A17DB7">
        <w:t>, 206–211. DOI</w:t>
      </w:r>
      <w:proofErr w:type="gramStart"/>
      <w:r w:rsidRPr="00A17DB7">
        <w:t>:10.3103</w:t>
      </w:r>
      <w:proofErr w:type="gramEnd"/>
      <w:r w:rsidRPr="00A17DB7">
        <w:t>/S0145875219020054.</w:t>
      </w:r>
    </w:p>
    <w:p w14:paraId="088928C0" w14:textId="77777777" w:rsidR="00FC118D" w:rsidRPr="00A17DB7" w:rsidRDefault="00FC118D" w:rsidP="00FC118D">
      <w:pPr>
        <w:pStyle w:val="MDPI71References"/>
      </w:pPr>
      <w:r w:rsidRPr="00A17DB7">
        <w:rPr>
          <w:lang w:val="de-DE"/>
        </w:rPr>
        <w:lastRenderedPageBreak/>
        <w:t xml:space="preserve">Tian, R., Lin, Q., Li., D., Zhang, W., Zhao, X., 2020. </w:t>
      </w:r>
      <w:r w:rsidRPr="00A17DB7">
        <w:t xml:space="preserve">Atmospheric transport of nutrients during a harmful algal bloom event. </w:t>
      </w:r>
      <w:r w:rsidRPr="00A17DB7">
        <w:rPr>
          <w:i/>
        </w:rPr>
        <w:t>Regional Studies in Marine Science</w:t>
      </w:r>
      <w:r w:rsidRPr="00A17DB7">
        <w:t xml:space="preserve"> </w:t>
      </w:r>
      <w:r w:rsidRPr="00A17DB7">
        <w:rPr>
          <w:b/>
        </w:rPr>
        <w:t>2020</w:t>
      </w:r>
      <w:r w:rsidRPr="00A17DB7">
        <w:t xml:space="preserve">, </w:t>
      </w:r>
      <w:r w:rsidRPr="00A17DB7">
        <w:rPr>
          <w:i/>
        </w:rPr>
        <w:t>34</w:t>
      </w:r>
      <w:r w:rsidRPr="00A17DB7">
        <w:t>, 101007. DOI:10.1016/j.rsma.2019.101007.</w:t>
      </w:r>
    </w:p>
    <w:p w14:paraId="10ED049A" w14:textId="77777777" w:rsidR="00FC118D" w:rsidRPr="00A17DB7" w:rsidRDefault="00FC118D" w:rsidP="00FC118D">
      <w:pPr>
        <w:pStyle w:val="MDPI71References"/>
      </w:pPr>
      <w:r w:rsidRPr="00A17DB7">
        <w:t xml:space="preserve">Hallegraeff, G.M.; Anderson, D.M.; </w:t>
      </w:r>
      <w:proofErr w:type="spellStart"/>
      <w:r w:rsidRPr="00A17DB7">
        <w:t>Cembella</w:t>
      </w:r>
      <w:proofErr w:type="spellEnd"/>
      <w:r w:rsidRPr="00A17DB7">
        <w:t xml:space="preserve">, A.D.; Enevoldsen, H.O. </w:t>
      </w:r>
      <w:r w:rsidRPr="00A17DB7">
        <w:rPr>
          <w:i/>
        </w:rPr>
        <w:t>Manual on Harmful Marine Microalgae</w:t>
      </w:r>
      <w:r w:rsidRPr="00A17DB7">
        <w:t>. 2nd ed.; UNESCO, Paris, France, 2004; p. 793.</w:t>
      </w:r>
    </w:p>
    <w:p w14:paraId="6FD639EB" w14:textId="77777777" w:rsidR="00FC118D" w:rsidRPr="00A17DB7" w:rsidRDefault="00FC118D" w:rsidP="00FC118D">
      <w:pPr>
        <w:pStyle w:val="MDPI71References"/>
      </w:pPr>
      <w:r w:rsidRPr="00A17DB7">
        <w:t xml:space="preserve">Golbert, A.V. Regional paleoclimatology of Siberia (Jurassic-Paleogene. Methods, results), </w:t>
      </w:r>
      <w:proofErr w:type="spellStart"/>
      <w:r w:rsidRPr="00A17DB7">
        <w:t>Doct</w:t>
      </w:r>
      <w:proofErr w:type="spellEnd"/>
      <w:r w:rsidRPr="00A17DB7">
        <w:t>. Diss.-</w:t>
      </w:r>
      <w:proofErr w:type="spellStart"/>
      <w:r w:rsidRPr="00A17DB7">
        <w:t>SNIIGGiMS</w:t>
      </w:r>
      <w:proofErr w:type="spellEnd"/>
      <w:r w:rsidRPr="00A17DB7">
        <w:t>, Novosibirsk, Russia, 1983. p. 396. (In Russian)</w:t>
      </w:r>
    </w:p>
    <w:p w14:paraId="0878F27F" w14:textId="77777777" w:rsidR="00FC118D" w:rsidRPr="00A17DB7" w:rsidRDefault="00FC118D" w:rsidP="00FC118D">
      <w:pPr>
        <w:pStyle w:val="MDPI71References"/>
      </w:pPr>
      <w:r w:rsidRPr="00A17DB7">
        <w:t xml:space="preserve">Surkov, A.V. Some features of detrital quartz grains from aeolian and marine beach sediments. </w:t>
      </w:r>
      <w:proofErr w:type="spellStart"/>
      <w:r w:rsidRPr="00A17DB7">
        <w:rPr>
          <w:i/>
        </w:rPr>
        <w:t>Izv</w:t>
      </w:r>
      <w:proofErr w:type="spellEnd"/>
      <w:r w:rsidRPr="00A17DB7">
        <w:rPr>
          <w:i/>
        </w:rPr>
        <w:t>. Universities. Geol. and development</w:t>
      </w:r>
      <w:r w:rsidRPr="00A17DB7">
        <w:t xml:space="preserve"> </w:t>
      </w:r>
      <w:r w:rsidRPr="00A17DB7">
        <w:rPr>
          <w:b/>
        </w:rPr>
        <w:t>1987</w:t>
      </w:r>
      <w:r w:rsidRPr="00A17DB7">
        <w:t xml:space="preserve">, </w:t>
      </w:r>
      <w:r w:rsidRPr="00A17DB7">
        <w:rPr>
          <w:i/>
        </w:rPr>
        <w:t>4</w:t>
      </w:r>
      <w:r w:rsidRPr="00A17DB7">
        <w:t>, 143–145. (In Russian)</w:t>
      </w:r>
    </w:p>
    <w:p w14:paraId="22FBAB02" w14:textId="77777777" w:rsidR="00FC118D" w:rsidRPr="00A17DB7" w:rsidRDefault="00FC118D" w:rsidP="00FC118D">
      <w:pPr>
        <w:pStyle w:val="MDPI71References"/>
      </w:pPr>
      <w:r w:rsidRPr="00A17DB7">
        <w:t xml:space="preserve">Huc, A. </w:t>
      </w:r>
      <w:r w:rsidRPr="00A17DB7">
        <w:rPr>
          <w:i/>
        </w:rPr>
        <w:t xml:space="preserve">Geochemistry of fossil fuels: from conventional to unconventional hydrocarbon systems; </w:t>
      </w:r>
      <w:r w:rsidRPr="00A17DB7">
        <w:t xml:space="preserve">Editions </w:t>
      </w:r>
      <w:proofErr w:type="spellStart"/>
      <w:r w:rsidRPr="00A17DB7">
        <w:t>Technip</w:t>
      </w:r>
      <w:proofErr w:type="spellEnd"/>
      <w:r w:rsidRPr="00A17DB7">
        <w:t>, Paris, France, 2013; p. 254.</w:t>
      </w:r>
    </w:p>
    <w:p w14:paraId="2BDC4066" w14:textId="77777777" w:rsidR="00FC118D" w:rsidRPr="00A17DB7" w:rsidRDefault="00FC118D" w:rsidP="00FC118D">
      <w:pPr>
        <w:pStyle w:val="MDPI71References"/>
      </w:pPr>
      <w:r w:rsidRPr="00A17DB7">
        <w:t xml:space="preserve">Speight, J.G. </w:t>
      </w:r>
      <w:r w:rsidRPr="00A17DB7">
        <w:rPr>
          <w:i/>
        </w:rPr>
        <w:t>Shale Oil and Gas Production Processes. Gulf Professional Publishing;</w:t>
      </w:r>
      <w:r w:rsidRPr="00A17DB7">
        <w:t xml:space="preserve"> Elsevier, Oxford, United Kingdom, 2020; p. 1046.</w:t>
      </w:r>
    </w:p>
    <w:p w14:paraId="3B9F4646" w14:textId="77777777" w:rsidR="00FC118D" w:rsidRPr="00A17DB7" w:rsidRDefault="00FC118D" w:rsidP="00FC118D">
      <w:pPr>
        <w:pStyle w:val="MDPI71References"/>
      </w:pPr>
      <w:r w:rsidRPr="00A17DB7">
        <w:t xml:space="preserve">Bertrand, P.; </w:t>
      </w:r>
      <w:proofErr w:type="spellStart"/>
      <w:r w:rsidRPr="00A17DB7">
        <w:t>Pittion</w:t>
      </w:r>
      <w:proofErr w:type="spellEnd"/>
      <w:r w:rsidRPr="00A17DB7">
        <w:t xml:space="preserve">, J.L.; </w:t>
      </w:r>
      <w:proofErr w:type="spellStart"/>
      <w:r w:rsidRPr="00A17DB7">
        <w:t>Bernaud</w:t>
      </w:r>
      <w:proofErr w:type="spellEnd"/>
      <w:r w:rsidRPr="00A17DB7">
        <w:t xml:space="preserve">, C. Fluorescence of organic matter in relation to its chemical composition. </w:t>
      </w:r>
      <w:r w:rsidRPr="00A17DB7">
        <w:rPr>
          <w:i/>
        </w:rPr>
        <w:t>Org. Geochem.</w:t>
      </w:r>
      <w:r w:rsidRPr="00A17DB7">
        <w:t xml:space="preserve"> </w:t>
      </w:r>
      <w:r w:rsidRPr="00A17DB7">
        <w:rPr>
          <w:b/>
        </w:rPr>
        <w:t>1986</w:t>
      </w:r>
      <w:r w:rsidRPr="00A17DB7">
        <w:t xml:space="preserve">, </w:t>
      </w:r>
      <w:r w:rsidRPr="00A17DB7">
        <w:rPr>
          <w:i/>
        </w:rPr>
        <w:t>10</w:t>
      </w:r>
      <w:r w:rsidRPr="00A17DB7">
        <w:t>, 641–647. DOI</w:t>
      </w:r>
      <w:proofErr w:type="gramStart"/>
      <w:r w:rsidRPr="00A17DB7">
        <w:t>:10.1016</w:t>
      </w:r>
      <w:proofErr w:type="gramEnd"/>
      <w:r w:rsidRPr="00A17DB7">
        <w:t>/0146-6380(86)90061-6.</w:t>
      </w:r>
    </w:p>
    <w:p w14:paraId="6857AE43" w14:textId="77777777" w:rsidR="00FC118D" w:rsidRPr="00A17DB7" w:rsidRDefault="00FC118D" w:rsidP="00FC118D">
      <w:pPr>
        <w:pStyle w:val="MDPI71References"/>
      </w:pPr>
      <w:r w:rsidRPr="00A17DB7">
        <w:t xml:space="preserve">Pradier, B.; Bertrand, P.; Martinez, L.; </w:t>
      </w:r>
      <w:proofErr w:type="spellStart"/>
      <w:r w:rsidRPr="00A17DB7">
        <w:t>Laggoun-DeFarge</w:t>
      </w:r>
      <w:proofErr w:type="spellEnd"/>
      <w:r w:rsidRPr="00A17DB7">
        <w:t xml:space="preserve">, F. Fluorescence of organic matter and thermal maturity assessment. </w:t>
      </w:r>
      <w:r w:rsidRPr="00A17DB7">
        <w:rPr>
          <w:i/>
        </w:rPr>
        <w:t xml:space="preserve">Org. Geochem. </w:t>
      </w:r>
      <w:r w:rsidRPr="00A17DB7">
        <w:rPr>
          <w:b/>
        </w:rPr>
        <w:t>1991</w:t>
      </w:r>
      <w:r w:rsidRPr="00A17DB7">
        <w:t xml:space="preserve">, </w:t>
      </w:r>
      <w:r w:rsidRPr="00A17DB7">
        <w:rPr>
          <w:i/>
        </w:rPr>
        <w:t>17</w:t>
      </w:r>
      <w:r w:rsidRPr="00A17DB7">
        <w:t>, 511–524. DOI</w:t>
      </w:r>
      <w:proofErr w:type="gramStart"/>
      <w:r w:rsidRPr="00A17DB7">
        <w:t>:10.1016</w:t>
      </w:r>
      <w:proofErr w:type="gramEnd"/>
      <w:r w:rsidRPr="00A17DB7">
        <w:t xml:space="preserve">/0146-6380(91)90115-Z. </w:t>
      </w:r>
    </w:p>
    <w:p w14:paraId="06C54172" w14:textId="77777777" w:rsidR="00FC118D" w:rsidRPr="00A17DB7" w:rsidRDefault="00FC118D" w:rsidP="00FC118D">
      <w:pPr>
        <w:pStyle w:val="MDPI71References"/>
      </w:pPr>
      <w:proofErr w:type="spellStart"/>
      <w:r w:rsidRPr="00A17DB7">
        <w:t>Hackley</w:t>
      </w:r>
      <w:proofErr w:type="spellEnd"/>
      <w:r w:rsidRPr="00A17DB7">
        <w:t xml:space="preserve">, P.C.; </w:t>
      </w:r>
      <w:proofErr w:type="spellStart"/>
      <w:r w:rsidRPr="00A17DB7">
        <w:t>Cardott</w:t>
      </w:r>
      <w:proofErr w:type="spellEnd"/>
      <w:r w:rsidRPr="00A17DB7">
        <w:t xml:space="preserve">, B.J. Application of organic petrography in North American shale petroleum systems: A review. </w:t>
      </w:r>
      <w:r w:rsidRPr="00A17DB7">
        <w:rPr>
          <w:i/>
        </w:rPr>
        <w:t>Int. J. Coal Geol.</w:t>
      </w:r>
      <w:r w:rsidRPr="00A17DB7">
        <w:t xml:space="preserve"> </w:t>
      </w:r>
      <w:r w:rsidRPr="00A17DB7">
        <w:rPr>
          <w:b/>
        </w:rPr>
        <w:t>2016</w:t>
      </w:r>
      <w:r w:rsidRPr="00A17DB7">
        <w:t xml:space="preserve">, </w:t>
      </w:r>
      <w:r w:rsidRPr="00A17DB7">
        <w:rPr>
          <w:i/>
        </w:rPr>
        <w:t>163</w:t>
      </w:r>
      <w:r w:rsidRPr="00A17DB7">
        <w:t xml:space="preserve">, 8–51. DOI:10.1016/j.coal.2016.06.010. </w:t>
      </w:r>
    </w:p>
    <w:p w14:paraId="586C649D" w14:textId="77777777" w:rsidR="00FC118D" w:rsidRPr="00A17DB7" w:rsidRDefault="00FC118D" w:rsidP="00FC118D">
      <w:pPr>
        <w:pStyle w:val="MDPI71References"/>
      </w:pPr>
      <w:r w:rsidRPr="00A17DB7">
        <w:t xml:space="preserve">Abarghani, A.; </w:t>
      </w:r>
      <w:proofErr w:type="spellStart"/>
      <w:r w:rsidRPr="00A17DB7">
        <w:t>Ostadhassan</w:t>
      </w:r>
      <w:proofErr w:type="spellEnd"/>
      <w:r w:rsidRPr="00A17DB7">
        <w:t xml:space="preserve">, M.; </w:t>
      </w:r>
      <w:proofErr w:type="spellStart"/>
      <w:r w:rsidRPr="00A17DB7">
        <w:t>Hackley</w:t>
      </w:r>
      <w:proofErr w:type="spellEnd"/>
      <w:r w:rsidRPr="00A17DB7">
        <w:t xml:space="preserve">, P.C.; </w:t>
      </w:r>
      <w:proofErr w:type="spellStart"/>
      <w:r w:rsidRPr="00A17DB7">
        <w:t>Pomerantz</w:t>
      </w:r>
      <w:proofErr w:type="spellEnd"/>
      <w:r w:rsidRPr="00A17DB7">
        <w:t xml:space="preserve">, A.E.; </w:t>
      </w:r>
      <w:proofErr w:type="spellStart"/>
      <w:r w:rsidRPr="00A17DB7">
        <w:t>Nejati</w:t>
      </w:r>
      <w:proofErr w:type="spellEnd"/>
      <w:r w:rsidRPr="00A17DB7">
        <w:t xml:space="preserve">, S. A chemo-mechanical snapshot of in-situ conversion of kerogen to petroleum. </w:t>
      </w:r>
      <w:r w:rsidRPr="00A17DB7">
        <w:rPr>
          <w:i/>
        </w:rPr>
        <w:t xml:space="preserve">Geochimica </w:t>
      </w:r>
      <w:proofErr w:type="gramStart"/>
      <w:r w:rsidRPr="00A17DB7">
        <w:rPr>
          <w:i/>
        </w:rPr>
        <w:t>et</w:t>
      </w:r>
      <w:proofErr w:type="gramEnd"/>
      <w:r w:rsidRPr="00A17DB7">
        <w:rPr>
          <w:i/>
        </w:rPr>
        <w:t xml:space="preserve"> Cosmochimica Acta</w:t>
      </w:r>
      <w:r w:rsidRPr="00A17DB7">
        <w:t xml:space="preserve"> </w:t>
      </w:r>
      <w:r w:rsidRPr="00A17DB7">
        <w:rPr>
          <w:b/>
        </w:rPr>
        <w:t>2020</w:t>
      </w:r>
      <w:r w:rsidRPr="00A17DB7">
        <w:t xml:space="preserve">, </w:t>
      </w:r>
      <w:r w:rsidRPr="00A17DB7">
        <w:rPr>
          <w:i/>
        </w:rPr>
        <w:t>273</w:t>
      </w:r>
      <w:r w:rsidRPr="00A17DB7">
        <w:t>, 37–50. DOI:10.1016/j.gca.2020.01.019.</w:t>
      </w:r>
    </w:p>
    <w:p w14:paraId="515CCFB3" w14:textId="77777777" w:rsidR="00FC118D" w:rsidRPr="00A17DB7" w:rsidRDefault="00FC118D" w:rsidP="00FC118D">
      <w:pPr>
        <w:pStyle w:val="MDPI71References"/>
      </w:pPr>
      <w:r w:rsidRPr="00A17DB7">
        <w:t xml:space="preserve">Kalkreuth, W.; Naylor, R.; Pratt, K.; Smith, W. Fluorescence properties of alginite-rich oil shales from the Stellarton Basin, </w:t>
      </w:r>
      <w:r w:rsidRPr="00A17DB7">
        <w:rPr>
          <w:i/>
        </w:rPr>
        <w:t>Canada. Fuel</w:t>
      </w:r>
      <w:r w:rsidRPr="00A17DB7">
        <w:t xml:space="preserve"> </w:t>
      </w:r>
      <w:r w:rsidRPr="00A17DB7">
        <w:rPr>
          <w:b/>
        </w:rPr>
        <w:t>1990</w:t>
      </w:r>
      <w:r w:rsidRPr="00A17DB7">
        <w:t xml:space="preserve">, </w:t>
      </w:r>
      <w:r w:rsidRPr="00A17DB7">
        <w:rPr>
          <w:i/>
        </w:rPr>
        <w:t>69(2)</w:t>
      </w:r>
      <w:r w:rsidRPr="00A17DB7">
        <w:t>, 139–144. DOI</w:t>
      </w:r>
      <w:proofErr w:type="gramStart"/>
      <w:r w:rsidRPr="00A17DB7">
        <w:t>:10.1016</w:t>
      </w:r>
      <w:proofErr w:type="gramEnd"/>
      <w:r w:rsidRPr="00A17DB7">
        <w:t xml:space="preserve">/0016-2361(90)90163-K. </w:t>
      </w:r>
    </w:p>
    <w:p w14:paraId="7098D8BF" w14:textId="77777777" w:rsidR="00FC118D" w:rsidRPr="00A17DB7" w:rsidRDefault="00FC118D" w:rsidP="00FC118D">
      <w:pPr>
        <w:pStyle w:val="MDPI71References"/>
      </w:pPr>
      <w:r w:rsidRPr="00A17DB7">
        <w:t xml:space="preserve">Smith, W.D.; Peter, C.J.St.; Naylor, R.D.; </w:t>
      </w:r>
      <w:proofErr w:type="spellStart"/>
      <w:r w:rsidRPr="00A17DB7">
        <w:t>Mukhopadhyay</w:t>
      </w:r>
      <w:proofErr w:type="spellEnd"/>
      <w:r w:rsidRPr="00A17DB7">
        <w:t xml:space="preserve">, P.K.; Kalkreuth, W.D.; Ball, F.D.; </w:t>
      </w:r>
      <w:proofErr w:type="spellStart"/>
      <w:r w:rsidRPr="00A17DB7">
        <w:t>Macauley</w:t>
      </w:r>
      <w:proofErr w:type="spellEnd"/>
      <w:r w:rsidRPr="00A17DB7">
        <w:t xml:space="preserve">, G. Composition and depositional environment of major eastern Canadian oil shales. </w:t>
      </w:r>
      <w:r w:rsidRPr="00A17DB7">
        <w:rPr>
          <w:i/>
        </w:rPr>
        <w:t xml:space="preserve">Int. J. Coal Geol. </w:t>
      </w:r>
      <w:r w:rsidRPr="00A17DB7">
        <w:rPr>
          <w:b/>
        </w:rPr>
        <w:t>1991</w:t>
      </w:r>
      <w:r w:rsidRPr="00A17DB7">
        <w:t xml:space="preserve">, </w:t>
      </w:r>
      <w:r w:rsidRPr="00A17DB7">
        <w:rPr>
          <w:i/>
        </w:rPr>
        <w:t>19(1-4)</w:t>
      </w:r>
      <w:r w:rsidRPr="00A17DB7">
        <w:t>, 385–438. DOI</w:t>
      </w:r>
      <w:proofErr w:type="gramStart"/>
      <w:r w:rsidRPr="00A17DB7">
        <w:t>:10.1016</w:t>
      </w:r>
      <w:proofErr w:type="gramEnd"/>
      <w:r w:rsidRPr="00A17DB7">
        <w:t xml:space="preserve">/0166-5162(91)90028-H. </w:t>
      </w:r>
    </w:p>
    <w:p w14:paraId="32C0059B" w14:textId="77777777" w:rsidR="00FC118D" w:rsidRPr="00A17DB7" w:rsidRDefault="00FC118D" w:rsidP="00FC118D">
      <w:pPr>
        <w:pStyle w:val="MDPI71References"/>
      </w:pPr>
      <w:r w:rsidRPr="00A17DB7">
        <w:t xml:space="preserve">Langrock, U.; Stein, R. Origin of marine petroleum source rocks from the Late Jurassic/Early Cretaceous Norwegian Greenland Seaway–Evidence for stagnation and upwelling. </w:t>
      </w:r>
      <w:r w:rsidRPr="00A17DB7">
        <w:rPr>
          <w:i/>
        </w:rPr>
        <w:t>Marine and Petroleum Geology</w:t>
      </w:r>
      <w:r w:rsidRPr="00A17DB7">
        <w:t xml:space="preserve"> </w:t>
      </w:r>
      <w:r w:rsidRPr="00A17DB7">
        <w:rPr>
          <w:b/>
        </w:rPr>
        <w:t>2004</w:t>
      </w:r>
      <w:r w:rsidRPr="00A17DB7">
        <w:t xml:space="preserve">, </w:t>
      </w:r>
      <w:r w:rsidRPr="00A17DB7">
        <w:rPr>
          <w:i/>
        </w:rPr>
        <w:t>21(2)</w:t>
      </w:r>
      <w:r w:rsidRPr="00A17DB7">
        <w:t>, 157–176. DOI:10.1016/j.marpetgeo.2003.11.011.</w:t>
      </w:r>
    </w:p>
    <w:p w14:paraId="0BA3ECA5" w14:textId="77777777" w:rsidR="00FC118D" w:rsidRPr="00A17DB7" w:rsidRDefault="00FC118D" w:rsidP="00FC118D">
      <w:pPr>
        <w:pStyle w:val="MDPI71References"/>
      </w:pPr>
      <w:r w:rsidRPr="00A17DB7">
        <w:t xml:space="preserve">Stein, R. The late Mesozoic‐Cenozoic Arctic Ocean climate and sea ice history: A challenge for past and future scientific ocean drilling. </w:t>
      </w:r>
      <w:r w:rsidRPr="00A17DB7">
        <w:rPr>
          <w:i/>
        </w:rPr>
        <w:t>Paleoceanography and Paleoclimatology</w:t>
      </w:r>
      <w:r w:rsidRPr="00A17DB7">
        <w:t xml:space="preserve"> </w:t>
      </w:r>
      <w:r w:rsidRPr="00A17DB7">
        <w:rPr>
          <w:b/>
        </w:rPr>
        <w:t>2019</w:t>
      </w:r>
      <w:r w:rsidRPr="00A17DB7">
        <w:t xml:space="preserve">, </w:t>
      </w:r>
      <w:r w:rsidRPr="00A17DB7">
        <w:rPr>
          <w:i/>
        </w:rPr>
        <w:t>34</w:t>
      </w:r>
      <w:r w:rsidRPr="00A17DB7">
        <w:t>, 1851–1894. DOI</w:t>
      </w:r>
      <w:proofErr w:type="gramStart"/>
      <w:r w:rsidRPr="00A17DB7">
        <w:t>:10.1029</w:t>
      </w:r>
      <w:proofErr w:type="gramEnd"/>
      <w:r w:rsidRPr="00A17DB7">
        <w:t>/2018PA003433.</w:t>
      </w:r>
    </w:p>
    <w:p w14:paraId="2ABA278C" w14:textId="3C01D510" w:rsidR="00FC118D" w:rsidRDefault="00FC118D" w:rsidP="00FC118D">
      <w:pPr>
        <w:pStyle w:val="MDPI71References"/>
      </w:pPr>
      <w:r w:rsidRPr="00A17DB7">
        <w:t xml:space="preserve">Ioannides, N.S.; </w:t>
      </w:r>
      <w:proofErr w:type="spellStart"/>
      <w:r w:rsidRPr="00A17DB7">
        <w:t>Stavrinos</w:t>
      </w:r>
      <w:proofErr w:type="spellEnd"/>
      <w:r w:rsidRPr="00A17DB7">
        <w:t xml:space="preserve">, G.N.; </w:t>
      </w:r>
      <w:proofErr w:type="spellStart"/>
      <w:r w:rsidRPr="00A17DB7">
        <w:t>Downie</w:t>
      </w:r>
      <w:proofErr w:type="spellEnd"/>
      <w:r w:rsidRPr="00A17DB7">
        <w:t xml:space="preserve">, C. Kimmeridgian </w:t>
      </w:r>
      <w:proofErr w:type="spellStart"/>
      <w:r w:rsidRPr="00A17DB7">
        <w:t>microplankton</w:t>
      </w:r>
      <w:proofErr w:type="spellEnd"/>
      <w:r w:rsidRPr="00A17DB7">
        <w:t xml:space="preserve"> from </w:t>
      </w:r>
      <w:proofErr w:type="spellStart"/>
      <w:r w:rsidRPr="00A17DB7">
        <w:t>Clavell's</w:t>
      </w:r>
      <w:proofErr w:type="spellEnd"/>
      <w:r w:rsidRPr="00A17DB7">
        <w:t xml:space="preserve"> Hard, Dorset, England. </w:t>
      </w:r>
      <w:r w:rsidRPr="00A17DB7">
        <w:rPr>
          <w:i/>
        </w:rPr>
        <w:t>Micropaleontology</w:t>
      </w:r>
      <w:r w:rsidRPr="00A17DB7">
        <w:t xml:space="preserve"> </w:t>
      </w:r>
      <w:r w:rsidRPr="00A17DB7">
        <w:rPr>
          <w:b/>
        </w:rPr>
        <w:t>1976</w:t>
      </w:r>
      <w:r w:rsidRPr="00A17DB7">
        <w:t xml:space="preserve">, </w:t>
      </w:r>
      <w:r w:rsidRPr="00A17DB7">
        <w:rPr>
          <w:i/>
        </w:rPr>
        <w:t>22(4)</w:t>
      </w:r>
      <w:r w:rsidRPr="00A17DB7">
        <w:t>, 443–478. DOI</w:t>
      </w:r>
      <w:proofErr w:type="gramStart"/>
      <w:r w:rsidRPr="00A17DB7">
        <w:t>:10.2307</w:t>
      </w:r>
      <w:proofErr w:type="gramEnd"/>
      <w:r w:rsidRPr="00A17DB7">
        <w:t>/1485174.</w:t>
      </w:r>
    </w:p>
    <w:p w14:paraId="224724F5" w14:textId="1D069210" w:rsidR="001D43AA" w:rsidRDefault="009A44A5" w:rsidP="009A44A5">
      <w:pPr>
        <w:pStyle w:val="MDPI71References"/>
      </w:pPr>
      <w:r w:rsidRPr="00A17DB7">
        <w:t xml:space="preserve">Morgans-Bell, H.S.; Coe, A.L.; </w:t>
      </w:r>
      <w:proofErr w:type="spellStart"/>
      <w:r w:rsidRPr="00A17DB7">
        <w:t>Hesselbo</w:t>
      </w:r>
      <w:proofErr w:type="spellEnd"/>
      <w:r w:rsidRPr="00A17DB7">
        <w:t xml:space="preserve">, S.P.; </w:t>
      </w:r>
      <w:proofErr w:type="spellStart"/>
      <w:r w:rsidRPr="00A17DB7">
        <w:t>Jenkyns</w:t>
      </w:r>
      <w:proofErr w:type="spellEnd"/>
      <w:r w:rsidRPr="00A17DB7">
        <w:t xml:space="preserve">, H.C.; </w:t>
      </w:r>
      <w:proofErr w:type="spellStart"/>
      <w:r w:rsidRPr="00A17DB7">
        <w:t>Weedon</w:t>
      </w:r>
      <w:proofErr w:type="spellEnd"/>
      <w:r w:rsidRPr="00A17DB7">
        <w:t xml:space="preserve">, G.P.; Marshall, J.A.; Tyson, R.V.; Williams, C.J. Integrated stratigraphy of the Kimmeridge Clay Formation (Upper Jurassic) based on exposures and boreholes in South Dorset, </w:t>
      </w:r>
      <w:r w:rsidRPr="00A17DB7">
        <w:rPr>
          <w:i/>
        </w:rPr>
        <w:t xml:space="preserve">UK. Geol. Mag. </w:t>
      </w:r>
      <w:r w:rsidRPr="00A17DB7">
        <w:rPr>
          <w:b/>
        </w:rPr>
        <w:t>2011</w:t>
      </w:r>
      <w:r w:rsidRPr="00A17DB7">
        <w:t xml:space="preserve">, </w:t>
      </w:r>
      <w:r w:rsidRPr="00A17DB7">
        <w:rPr>
          <w:i/>
        </w:rPr>
        <w:t>138(5)</w:t>
      </w:r>
      <w:r w:rsidRPr="00A17DB7">
        <w:t>, 511–539. DOI</w:t>
      </w:r>
      <w:proofErr w:type="gramStart"/>
      <w:r w:rsidRPr="00A17DB7">
        <w:t>:10.1017</w:t>
      </w:r>
      <w:proofErr w:type="gramEnd"/>
      <w:r w:rsidRPr="00A17DB7">
        <w:t>/S0016756801005738.</w:t>
      </w:r>
    </w:p>
    <w:sectPr w:rsidR="001D43AA" w:rsidSect="0071362A">
      <w:headerReference w:type="even" r:id="rId22"/>
      <w:headerReference w:type="default" r:id="rId23"/>
      <w:footerReference w:type="default" r:id="rId24"/>
      <w:headerReference w:type="first" r:id="rId25"/>
      <w:footerReference w:type="first" r:id="rId26"/>
      <w:type w:val="continuous"/>
      <w:pgSz w:w="11906" w:h="16838" w:code="9"/>
      <w:pgMar w:top="1417" w:right="720" w:bottom="1077" w:left="720" w:header="1020" w:footer="340" w:gutter="0"/>
      <w:lnNumType w:countBy="1" w:distance="255"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ED118" w14:textId="77777777" w:rsidR="004D5D27" w:rsidRDefault="004D5D27">
      <w:pPr>
        <w:spacing w:line="240" w:lineRule="auto"/>
      </w:pPr>
      <w:r>
        <w:separator/>
      </w:r>
    </w:p>
  </w:endnote>
  <w:endnote w:type="continuationSeparator" w:id="0">
    <w:p w14:paraId="47BB38BC" w14:textId="77777777" w:rsidR="004D5D27" w:rsidRDefault="004D5D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CC"/>
    <w:family w:val="roman"/>
    <w:pitch w:val="variable"/>
    <w:sig w:usb0="E0000287" w:usb1="40000013" w:usb2="00000000" w:usb3="00000000" w:csb0="0000019F" w:csb1="00000000"/>
  </w:font>
  <w:font w:name="Cordia New">
    <w:altName w:val="Microsoft Sans Serif"/>
    <w:panose1 w:val="020B0304020202020204"/>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DengXian">
    <w:altName w:val="SimSu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847E1" w14:textId="77777777" w:rsidR="00EB5AEE" w:rsidRPr="005A3DDA" w:rsidRDefault="00EB5AEE" w:rsidP="00EC0A49">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60164" w14:textId="77777777" w:rsidR="00EB5AEE" w:rsidRDefault="00EB5AEE" w:rsidP="00B91ADB">
    <w:pPr>
      <w:pBdr>
        <w:top w:val="single" w:sz="4" w:space="0" w:color="000000"/>
      </w:pBdr>
      <w:tabs>
        <w:tab w:val="right" w:pos="8844"/>
      </w:tabs>
      <w:adjustRightInd w:val="0"/>
      <w:snapToGrid w:val="0"/>
      <w:spacing w:before="480" w:line="100" w:lineRule="exact"/>
      <w:jc w:val="left"/>
      <w:rPr>
        <w:i/>
        <w:sz w:val="16"/>
        <w:szCs w:val="16"/>
      </w:rPr>
    </w:pPr>
  </w:p>
  <w:p w14:paraId="75C052C9" w14:textId="77777777" w:rsidR="00EB5AEE" w:rsidRPr="00372FCD" w:rsidRDefault="00EB5AEE" w:rsidP="00E47435">
    <w:pPr>
      <w:tabs>
        <w:tab w:val="right" w:pos="10466"/>
      </w:tabs>
      <w:adjustRightInd w:val="0"/>
      <w:snapToGrid w:val="0"/>
      <w:spacing w:line="240" w:lineRule="auto"/>
      <w:rPr>
        <w:sz w:val="16"/>
        <w:szCs w:val="16"/>
        <w:lang w:val="fr-CH"/>
      </w:rPr>
    </w:pPr>
    <w:r w:rsidRPr="000A2C53">
      <w:rPr>
        <w:i/>
        <w:sz w:val="16"/>
        <w:szCs w:val="16"/>
      </w:rPr>
      <w:t>Geosciences</w:t>
    </w:r>
    <w:r>
      <w:rPr>
        <w:i/>
        <w:sz w:val="16"/>
        <w:szCs w:val="16"/>
      </w:rPr>
      <w:t xml:space="preserve"> </w:t>
    </w:r>
    <w:r w:rsidRPr="00D31460">
      <w:rPr>
        <w:b/>
        <w:bCs/>
        <w:iCs/>
        <w:sz w:val="16"/>
        <w:szCs w:val="16"/>
      </w:rPr>
      <w:t>2021</w:t>
    </w:r>
    <w:r w:rsidRPr="00522BF7">
      <w:rPr>
        <w:bCs/>
        <w:iCs/>
        <w:sz w:val="16"/>
        <w:szCs w:val="16"/>
      </w:rPr>
      <w:t xml:space="preserve">, </w:t>
    </w:r>
    <w:r w:rsidRPr="00D31460">
      <w:rPr>
        <w:bCs/>
        <w:i/>
        <w:iCs/>
        <w:sz w:val="16"/>
        <w:szCs w:val="16"/>
      </w:rPr>
      <w:t>11</w:t>
    </w:r>
    <w:r w:rsidRPr="00522BF7">
      <w:rPr>
        <w:bCs/>
        <w:iCs/>
        <w:sz w:val="16"/>
        <w:szCs w:val="16"/>
      </w:rPr>
      <w:t xml:space="preserve">, </w:t>
    </w:r>
    <w:r>
      <w:rPr>
        <w:bCs/>
        <w:iCs/>
        <w:sz w:val="16"/>
        <w:szCs w:val="16"/>
      </w:rPr>
      <w:t>x. https://doi.org/10.3390/xxxxx</w:t>
    </w:r>
    <w:r w:rsidRPr="00372FCD">
      <w:rPr>
        <w:sz w:val="16"/>
        <w:szCs w:val="16"/>
        <w:lang w:val="fr-CH"/>
      </w:rPr>
      <w:tab/>
      <w:t>www.mdpi.com/journal/</w:t>
    </w:r>
    <w:r w:rsidRPr="000A2C53">
      <w:rPr>
        <w:sz w:val="16"/>
        <w:szCs w:val="16"/>
      </w:rPr>
      <w:t>geosciences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31109D" w14:textId="77777777" w:rsidR="004D5D27" w:rsidRDefault="004D5D27">
      <w:pPr>
        <w:spacing w:line="240" w:lineRule="auto"/>
      </w:pPr>
      <w:r>
        <w:separator/>
      </w:r>
    </w:p>
  </w:footnote>
  <w:footnote w:type="continuationSeparator" w:id="0">
    <w:p w14:paraId="5A950714" w14:textId="77777777" w:rsidR="004D5D27" w:rsidRDefault="004D5D2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95F6E" w14:textId="77777777" w:rsidR="00EB5AEE" w:rsidRDefault="00EB5AEE" w:rsidP="00EC0A49">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34DD8" w14:textId="4E0DFAFD" w:rsidR="00EB5AEE" w:rsidRDefault="00EB5AEE" w:rsidP="00E47435">
    <w:pPr>
      <w:tabs>
        <w:tab w:val="right" w:pos="10466"/>
      </w:tabs>
      <w:adjustRightInd w:val="0"/>
      <w:snapToGrid w:val="0"/>
      <w:spacing w:line="240" w:lineRule="auto"/>
      <w:rPr>
        <w:sz w:val="16"/>
      </w:rPr>
    </w:pPr>
    <w:r>
      <w:rPr>
        <w:i/>
        <w:sz w:val="16"/>
      </w:rPr>
      <w:t xml:space="preserve">Geosciences </w:t>
    </w:r>
    <w:r w:rsidRPr="00FC6E12">
      <w:rPr>
        <w:b/>
        <w:sz w:val="16"/>
      </w:rPr>
      <w:t>2021</w:t>
    </w:r>
    <w:r w:rsidRPr="00522BF7">
      <w:rPr>
        <w:sz w:val="16"/>
      </w:rPr>
      <w:t xml:space="preserve">, </w:t>
    </w:r>
    <w:r w:rsidRPr="00FC6E12">
      <w:rPr>
        <w:i/>
        <w:sz w:val="16"/>
      </w:rPr>
      <w:t>11</w:t>
    </w:r>
    <w:r>
      <w:rPr>
        <w:sz w:val="16"/>
      </w:rPr>
      <w:t>, x FOR PEER REVIEW</w:t>
    </w:r>
    <w:r>
      <w:rPr>
        <w:sz w:val="16"/>
      </w:rPr>
      <w:tab/>
    </w:r>
    <w:r>
      <w:rPr>
        <w:sz w:val="16"/>
      </w:rPr>
      <w:fldChar w:fldCharType="begin"/>
    </w:r>
    <w:r>
      <w:rPr>
        <w:sz w:val="16"/>
      </w:rPr>
      <w:instrText xml:space="preserve"> PAGE   \* MERGEFORMAT </w:instrText>
    </w:r>
    <w:r>
      <w:rPr>
        <w:sz w:val="16"/>
      </w:rPr>
      <w:fldChar w:fldCharType="separate"/>
    </w:r>
    <w:r w:rsidR="00E0750D">
      <w:rPr>
        <w:sz w:val="16"/>
      </w:rPr>
      <w:t>19</w:t>
    </w:r>
    <w:r>
      <w:rPr>
        <w:sz w:val="16"/>
      </w:rPr>
      <w:fldChar w:fldCharType="end"/>
    </w:r>
    <w:r>
      <w:rPr>
        <w:sz w:val="16"/>
      </w:rPr>
      <w:t xml:space="preserve"> of </w:t>
    </w:r>
    <w:r>
      <w:rPr>
        <w:sz w:val="16"/>
      </w:rPr>
      <w:fldChar w:fldCharType="begin"/>
    </w:r>
    <w:r>
      <w:rPr>
        <w:sz w:val="16"/>
      </w:rPr>
      <w:instrText xml:space="preserve"> NUMPAGES   \* MERGEFORMAT </w:instrText>
    </w:r>
    <w:r>
      <w:rPr>
        <w:sz w:val="16"/>
      </w:rPr>
      <w:fldChar w:fldCharType="separate"/>
    </w:r>
    <w:r w:rsidR="00E0750D">
      <w:rPr>
        <w:sz w:val="16"/>
      </w:rPr>
      <w:t>22</w:t>
    </w:r>
    <w:r>
      <w:rPr>
        <w:sz w:val="16"/>
      </w:rPr>
      <w:fldChar w:fldCharType="end"/>
    </w:r>
  </w:p>
  <w:p w14:paraId="63EE0FBD" w14:textId="77777777" w:rsidR="00EB5AEE" w:rsidRPr="003B3707" w:rsidRDefault="00EB5AEE" w:rsidP="00B91ADB">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87" w:type="dxa"/>
      <w:tblCellMar>
        <w:left w:w="0" w:type="dxa"/>
        <w:right w:w="0" w:type="dxa"/>
      </w:tblCellMar>
      <w:tblLook w:val="04A0" w:firstRow="1" w:lastRow="0" w:firstColumn="1" w:lastColumn="0" w:noHBand="0" w:noVBand="1"/>
    </w:tblPr>
    <w:tblGrid>
      <w:gridCol w:w="3679"/>
      <w:gridCol w:w="4535"/>
      <w:gridCol w:w="2273"/>
    </w:tblGrid>
    <w:tr w:rsidR="00EB5AEE" w:rsidRPr="00E47435" w14:paraId="6F096639" w14:textId="77777777" w:rsidTr="00E47435">
      <w:trPr>
        <w:trHeight w:val="686"/>
      </w:trPr>
      <w:tc>
        <w:tcPr>
          <w:tcW w:w="3679" w:type="dxa"/>
          <w:shd w:val="clear" w:color="auto" w:fill="auto"/>
          <w:vAlign w:val="center"/>
        </w:tcPr>
        <w:p w14:paraId="2B8873E3" w14:textId="77777777" w:rsidR="00EB5AEE" w:rsidRPr="00672E53" w:rsidRDefault="00EB5AEE" w:rsidP="00E47435">
          <w:pPr>
            <w:pStyle w:val="Header"/>
            <w:pBdr>
              <w:bottom w:val="none" w:sz="0" w:space="0" w:color="auto"/>
            </w:pBdr>
            <w:jc w:val="left"/>
            <w:rPr>
              <w:rFonts w:eastAsia="DengXian"/>
              <w:b/>
              <w:bCs/>
            </w:rPr>
          </w:pPr>
          <w:r w:rsidRPr="00672E53">
            <w:rPr>
              <w:rFonts w:eastAsia="DengXian"/>
              <w:b/>
              <w:bCs/>
              <w:lang w:val="ru-RU" w:eastAsia="ru-RU"/>
            </w:rPr>
            <w:drawing>
              <wp:inline distT="0" distB="0" distL="0" distR="0" wp14:anchorId="6B250914" wp14:editId="06DA4778">
                <wp:extent cx="1724025" cy="438150"/>
                <wp:effectExtent l="0" t="0" r="0" b="0"/>
                <wp:docPr id="5" name="Picture 3" descr="C:\Users\home\AppData\Local\Temp\HZ$D.082.3315\geosciences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AppData\Local\Temp\HZ$D.082.3315\geosciences_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4025" cy="438150"/>
                        </a:xfrm>
                        <a:prstGeom prst="rect">
                          <a:avLst/>
                        </a:prstGeom>
                        <a:noFill/>
                        <a:ln>
                          <a:noFill/>
                        </a:ln>
                      </pic:spPr>
                    </pic:pic>
                  </a:graphicData>
                </a:graphic>
              </wp:inline>
            </w:drawing>
          </w:r>
        </w:p>
      </w:tc>
      <w:tc>
        <w:tcPr>
          <w:tcW w:w="4535" w:type="dxa"/>
          <w:shd w:val="clear" w:color="auto" w:fill="auto"/>
          <w:vAlign w:val="center"/>
        </w:tcPr>
        <w:p w14:paraId="2CD28922" w14:textId="77777777" w:rsidR="00EB5AEE" w:rsidRPr="00672E53" w:rsidRDefault="00EB5AEE" w:rsidP="00E47435">
          <w:pPr>
            <w:pStyle w:val="Header"/>
            <w:pBdr>
              <w:bottom w:val="none" w:sz="0" w:space="0" w:color="auto"/>
            </w:pBdr>
            <w:rPr>
              <w:rFonts w:eastAsia="DengXian"/>
              <w:b/>
              <w:bCs/>
            </w:rPr>
          </w:pPr>
        </w:p>
      </w:tc>
      <w:tc>
        <w:tcPr>
          <w:tcW w:w="2273" w:type="dxa"/>
          <w:shd w:val="clear" w:color="auto" w:fill="auto"/>
          <w:vAlign w:val="center"/>
        </w:tcPr>
        <w:p w14:paraId="23E3A3A3" w14:textId="77777777" w:rsidR="00EB5AEE" w:rsidRPr="00672E53" w:rsidRDefault="00EB5AEE" w:rsidP="00E47435">
          <w:pPr>
            <w:pStyle w:val="Header"/>
            <w:pBdr>
              <w:bottom w:val="none" w:sz="0" w:space="0" w:color="auto"/>
            </w:pBdr>
            <w:jc w:val="right"/>
            <w:rPr>
              <w:rFonts w:eastAsia="DengXian"/>
              <w:b/>
              <w:bCs/>
            </w:rPr>
          </w:pPr>
          <w:r w:rsidRPr="00672E53">
            <w:rPr>
              <w:rFonts w:eastAsia="DengXian"/>
              <w:b/>
              <w:bCs/>
              <w:lang w:val="ru-RU" w:eastAsia="ru-RU"/>
            </w:rPr>
            <w:drawing>
              <wp:inline distT="0" distB="0" distL="0" distR="0" wp14:anchorId="7EF47C2A" wp14:editId="044C5298">
                <wp:extent cx="542925" cy="352425"/>
                <wp:effectExtent l="0" t="0" r="0" b="0"/>
                <wp:docPr id="6" name="Picture 6" descr="M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DP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2925" cy="352425"/>
                        </a:xfrm>
                        <a:prstGeom prst="rect">
                          <a:avLst/>
                        </a:prstGeom>
                        <a:noFill/>
                        <a:ln>
                          <a:noFill/>
                        </a:ln>
                      </pic:spPr>
                    </pic:pic>
                  </a:graphicData>
                </a:graphic>
              </wp:inline>
            </w:drawing>
          </w:r>
        </w:p>
      </w:tc>
    </w:tr>
  </w:tbl>
  <w:p w14:paraId="56A399E2" w14:textId="77777777" w:rsidR="00EB5AEE" w:rsidRPr="009A1BC7" w:rsidRDefault="00EB5AEE" w:rsidP="00B91ADB">
    <w:pPr>
      <w:pBdr>
        <w:bottom w:val="single" w:sz="4" w:space="1" w:color="000000"/>
      </w:pBdr>
      <w:adjustRightInd w:val="0"/>
      <w:snapToGrid w:val="0"/>
      <w:spacing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468F5"/>
    <w:multiLevelType w:val="hybridMultilevel"/>
    <w:tmpl w:val="F7E250A8"/>
    <w:lvl w:ilvl="0" w:tplc="5A92E4B0">
      <w:start w:val="1"/>
      <w:numFmt w:val="decimal"/>
      <w:lvlRestart w:val="0"/>
      <w:pStyle w:val="MDPI71References"/>
      <w:lvlText w:val="%1."/>
      <w:lvlJc w:val="left"/>
      <w:pPr>
        <w:ind w:left="425" w:hanging="425"/>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pStyle w:val="MDPI38bullet"/>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54075B53"/>
    <w:multiLevelType w:val="hybridMultilevel"/>
    <w:tmpl w:val="A0DCA02E"/>
    <w:lvl w:ilvl="0" w:tplc="5CB0595C">
      <w:start w:val="1"/>
      <w:numFmt w:val="decimal"/>
      <w:lvlRestart w:val="0"/>
      <w:pStyle w:val="MDPI37itemize"/>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7" w15:restartNumberingAfterBreak="0">
    <w:nsid w:val="706D5736"/>
    <w:multiLevelType w:val="hybridMultilevel"/>
    <w:tmpl w:val="E3640C5C"/>
    <w:lvl w:ilvl="0" w:tplc="0409000F">
      <w:start w:val="1"/>
      <w:numFmt w:val="decimal"/>
      <w:lvlText w:val="%1."/>
      <w:lvlJc w:val="left"/>
      <w:pPr>
        <w:ind w:left="1429" w:hanging="360"/>
      </w:pPr>
      <w:rPr>
        <w:rFonts w:hint="eastAsia"/>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7F7C0CD6"/>
    <w:multiLevelType w:val="hybridMultilevel"/>
    <w:tmpl w:val="5B9286F4"/>
    <w:lvl w:ilvl="0" w:tplc="0419000F">
      <w:start w:val="1"/>
      <w:numFmt w:val="decimal"/>
      <w:lvlText w:val="%1."/>
      <w:lvlJc w:val="left"/>
      <w:pPr>
        <w:ind w:left="3328" w:hanging="360"/>
      </w:pPr>
    </w:lvl>
    <w:lvl w:ilvl="1" w:tplc="04190019" w:tentative="1">
      <w:start w:val="1"/>
      <w:numFmt w:val="lowerLetter"/>
      <w:lvlText w:val="%2."/>
      <w:lvlJc w:val="left"/>
      <w:pPr>
        <w:ind w:left="4048" w:hanging="360"/>
      </w:pPr>
    </w:lvl>
    <w:lvl w:ilvl="2" w:tplc="0419001B" w:tentative="1">
      <w:start w:val="1"/>
      <w:numFmt w:val="lowerRoman"/>
      <w:lvlText w:val="%3."/>
      <w:lvlJc w:val="right"/>
      <w:pPr>
        <w:ind w:left="4768" w:hanging="180"/>
      </w:pPr>
    </w:lvl>
    <w:lvl w:ilvl="3" w:tplc="0419000F" w:tentative="1">
      <w:start w:val="1"/>
      <w:numFmt w:val="decimal"/>
      <w:lvlText w:val="%4."/>
      <w:lvlJc w:val="left"/>
      <w:pPr>
        <w:ind w:left="5488" w:hanging="360"/>
      </w:pPr>
    </w:lvl>
    <w:lvl w:ilvl="4" w:tplc="04190019" w:tentative="1">
      <w:start w:val="1"/>
      <w:numFmt w:val="lowerLetter"/>
      <w:lvlText w:val="%5."/>
      <w:lvlJc w:val="left"/>
      <w:pPr>
        <w:ind w:left="6208" w:hanging="360"/>
      </w:pPr>
    </w:lvl>
    <w:lvl w:ilvl="5" w:tplc="0419001B" w:tentative="1">
      <w:start w:val="1"/>
      <w:numFmt w:val="lowerRoman"/>
      <w:lvlText w:val="%6."/>
      <w:lvlJc w:val="right"/>
      <w:pPr>
        <w:ind w:left="6928" w:hanging="180"/>
      </w:pPr>
    </w:lvl>
    <w:lvl w:ilvl="6" w:tplc="0419000F" w:tentative="1">
      <w:start w:val="1"/>
      <w:numFmt w:val="decimal"/>
      <w:lvlText w:val="%7."/>
      <w:lvlJc w:val="left"/>
      <w:pPr>
        <w:ind w:left="7648" w:hanging="360"/>
      </w:pPr>
    </w:lvl>
    <w:lvl w:ilvl="7" w:tplc="04190019" w:tentative="1">
      <w:start w:val="1"/>
      <w:numFmt w:val="lowerLetter"/>
      <w:lvlText w:val="%8."/>
      <w:lvlJc w:val="left"/>
      <w:pPr>
        <w:ind w:left="8368" w:hanging="360"/>
      </w:pPr>
    </w:lvl>
    <w:lvl w:ilvl="8" w:tplc="0419001B" w:tentative="1">
      <w:start w:val="1"/>
      <w:numFmt w:val="lowerRoman"/>
      <w:lvlText w:val="%9."/>
      <w:lvlJc w:val="right"/>
      <w:pPr>
        <w:ind w:left="9088" w:hanging="180"/>
      </w:pPr>
    </w:lvl>
  </w:abstractNum>
  <w:num w:numId="1">
    <w:abstractNumId w:val="3"/>
  </w:num>
  <w:num w:numId="2">
    <w:abstractNumId w:val="5"/>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6"/>
  </w:num>
  <w:num w:numId="7">
    <w:abstractNumId w:val="1"/>
  </w:num>
  <w:num w:numId="8">
    <w:abstractNumId w:val="6"/>
  </w:num>
  <w:num w:numId="9">
    <w:abstractNumId w:val="1"/>
  </w:num>
  <w:num w:numId="10">
    <w:abstractNumId w:val="6"/>
  </w:num>
  <w:num w:numId="11">
    <w:abstractNumId w:val="1"/>
  </w:num>
  <w:num w:numId="12">
    <w:abstractNumId w:val="7"/>
  </w:num>
  <w:num w:numId="13">
    <w:abstractNumId w:val="6"/>
  </w:num>
  <w:num w:numId="14">
    <w:abstractNumId w:val="1"/>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de-DE" w:vendorID="64" w:dllVersion="131078"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6D6"/>
    <w:rsid w:val="00004CA4"/>
    <w:rsid w:val="0001103C"/>
    <w:rsid w:val="000121B6"/>
    <w:rsid w:val="000161EA"/>
    <w:rsid w:val="00027D4E"/>
    <w:rsid w:val="0003004E"/>
    <w:rsid w:val="00032AF5"/>
    <w:rsid w:val="000353AE"/>
    <w:rsid w:val="00051924"/>
    <w:rsid w:val="00055345"/>
    <w:rsid w:val="000571E8"/>
    <w:rsid w:val="000603CD"/>
    <w:rsid w:val="00064CD1"/>
    <w:rsid w:val="000679A3"/>
    <w:rsid w:val="000757B2"/>
    <w:rsid w:val="00076BCD"/>
    <w:rsid w:val="0008580A"/>
    <w:rsid w:val="0008793F"/>
    <w:rsid w:val="000961F1"/>
    <w:rsid w:val="000A68E3"/>
    <w:rsid w:val="000A7B8E"/>
    <w:rsid w:val="000B780D"/>
    <w:rsid w:val="000C0310"/>
    <w:rsid w:val="000C44D9"/>
    <w:rsid w:val="000D3AF0"/>
    <w:rsid w:val="000E62AE"/>
    <w:rsid w:val="000E71BE"/>
    <w:rsid w:val="000E7C82"/>
    <w:rsid w:val="000F0921"/>
    <w:rsid w:val="000F2656"/>
    <w:rsid w:val="0010062C"/>
    <w:rsid w:val="00151084"/>
    <w:rsid w:val="00163B61"/>
    <w:rsid w:val="00167FD7"/>
    <w:rsid w:val="0017411A"/>
    <w:rsid w:val="001750C6"/>
    <w:rsid w:val="001818D5"/>
    <w:rsid w:val="00184359"/>
    <w:rsid w:val="00190A76"/>
    <w:rsid w:val="001B210D"/>
    <w:rsid w:val="001B234A"/>
    <w:rsid w:val="001B2A23"/>
    <w:rsid w:val="001C00E5"/>
    <w:rsid w:val="001D43AA"/>
    <w:rsid w:val="001D55E4"/>
    <w:rsid w:val="001E2AEB"/>
    <w:rsid w:val="001F1026"/>
    <w:rsid w:val="001F125D"/>
    <w:rsid w:val="001F2C91"/>
    <w:rsid w:val="001F4584"/>
    <w:rsid w:val="001F7882"/>
    <w:rsid w:val="00202F27"/>
    <w:rsid w:val="00211B6D"/>
    <w:rsid w:val="002148D4"/>
    <w:rsid w:val="0022582C"/>
    <w:rsid w:val="00232372"/>
    <w:rsid w:val="00233E46"/>
    <w:rsid w:val="00241A7B"/>
    <w:rsid w:val="0024434A"/>
    <w:rsid w:val="00253471"/>
    <w:rsid w:val="00266052"/>
    <w:rsid w:val="0027220C"/>
    <w:rsid w:val="00283FBE"/>
    <w:rsid w:val="00291AD0"/>
    <w:rsid w:val="00291CB6"/>
    <w:rsid w:val="00293622"/>
    <w:rsid w:val="00293B63"/>
    <w:rsid w:val="002A5D82"/>
    <w:rsid w:val="002B5C26"/>
    <w:rsid w:val="002C0B12"/>
    <w:rsid w:val="002C3D8B"/>
    <w:rsid w:val="002C4A9E"/>
    <w:rsid w:val="002D0A13"/>
    <w:rsid w:val="002D1243"/>
    <w:rsid w:val="002F32E4"/>
    <w:rsid w:val="002F5A06"/>
    <w:rsid w:val="0031061E"/>
    <w:rsid w:val="003126F8"/>
    <w:rsid w:val="00320B7C"/>
    <w:rsid w:val="00326141"/>
    <w:rsid w:val="00333448"/>
    <w:rsid w:val="00335524"/>
    <w:rsid w:val="003404ED"/>
    <w:rsid w:val="003408A3"/>
    <w:rsid w:val="0034259D"/>
    <w:rsid w:val="003528D9"/>
    <w:rsid w:val="003714FB"/>
    <w:rsid w:val="00377092"/>
    <w:rsid w:val="003771B5"/>
    <w:rsid w:val="00381A0D"/>
    <w:rsid w:val="00381F0D"/>
    <w:rsid w:val="00383765"/>
    <w:rsid w:val="003861AC"/>
    <w:rsid w:val="00386217"/>
    <w:rsid w:val="00393FAF"/>
    <w:rsid w:val="003A08FC"/>
    <w:rsid w:val="003C0B8A"/>
    <w:rsid w:val="003C4155"/>
    <w:rsid w:val="003D065F"/>
    <w:rsid w:val="003D2F2F"/>
    <w:rsid w:val="003F3A62"/>
    <w:rsid w:val="003F4ACE"/>
    <w:rsid w:val="0040161A"/>
    <w:rsid w:val="00401D30"/>
    <w:rsid w:val="0040201C"/>
    <w:rsid w:val="004038D4"/>
    <w:rsid w:val="00405A32"/>
    <w:rsid w:val="004164F5"/>
    <w:rsid w:val="00417040"/>
    <w:rsid w:val="00424BE2"/>
    <w:rsid w:val="00426ABC"/>
    <w:rsid w:val="004270A5"/>
    <w:rsid w:val="00437918"/>
    <w:rsid w:val="00444954"/>
    <w:rsid w:val="00445800"/>
    <w:rsid w:val="004565DA"/>
    <w:rsid w:val="00456CF5"/>
    <w:rsid w:val="0046752F"/>
    <w:rsid w:val="004718D5"/>
    <w:rsid w:val="00490B76"/>
    <w:rsid w:val="004A1561"/>
    <w:rsid w:val="004A5BE4"/>
    <w:rsid w:val="004B20B1"/>
    <w:rsid w:val="004C1968"/>
    <w:rsid w:val="004C5FF2"/>
    <w:rsid w:val="004D1AC2"/>
    <w:rsid w:val="004D4E7D"/>
    <w:rsid w:val="004D5D27"/>
    <w:rsid w:val="004E0989"/>
    <w:rsid w:val="004E4B32"/>
    <w:rsid w:val="004F15A5"/>
    <w:rsid w:val="004F41CC"/>
    <w:rsid w:val="004F6005"/>
    <w:rsid w:val="00513CBD"/>
    <w:rsid w:val="00522BF7"/>
    <w:rsid w:val="00526DA1"/>
    <w:rsid w:val="005344BD"/>
    <w:rsid w:val="00534578"/>
    <w:rsid w:val="00536EDF"/>
    <w:rsid w:val="00550773"/>
    <w:rsid w:val="005567BF"/>
    <w:rsid w:val="005644BD"/>
    <w:rsid w:val="00582CB4"/>
    <w:rsid w:val="00587E83"/>
    <w:rsid w:val="005C2F02"/>
    <w:rsid w:val="005D68CF"/>
    <w:rsid w:val="005D6C3A"/>
    <w:rsid w:val="005E6430"/>
    <w:rsid w:val="005E7C52"/>
    <w:rsid w:val="005F2092"/>
    <w:rsid w:val="005F68A6"/>
    <w:rsid w:val="005F757E"/>
    <w:rsid w:val="00616EA2"/>
    <w:rsid w:val="006268EC"/>
    <w:rsid w:val="006364B5"/>
    <w:rsid w:val="0065039C"/>
    <w:rsid w:val="00663F6B"/>
    <w:rsid w:val="0066436F"/>
    <w:rsid w:val="00672E53"/>
    <w:rsid w:val="00677A6F"/>
    <w:rsid w:val="0068520D"/>
    <w:rsid w:val="0068752D"/>
    <w:rsid w:val="00692393"/>
    <w:rsid w:val="006935F7"/>
    <w:rsid w:val="00697B7C"/>
    <w:rsid w:val="006A2A23"/>
    <w:rsid w:val="006A6AFC"/>
    <w:rsid w:val="006A7058"/>
    <w:rsid w:val="006A7F4D"/>
    <w:rsid w:val="006B0085"/>
    <w:rsid w:val="006B19FC"/>
    <w:rsid w:val="006B6326"/>
    <w:rsid w:val="006B6D5A"/>
    <w:rsid w:val="006D1354"/>
    <w:rsid w:val="006D3C7A"/>
    <w:rsid w:val="006E02FA"/>
    <w:rsid w:val="006E1A71"/>
    <w:rsid w:val="006E404E"/>
    <w:rsid w:val="006F081B"/>
    <w:rsid w:val="006F110C"/>
    <w:rsid w:val="006F5348"/>
    <w:rsid w:val="00700D69"/>
    <w:rsid w:val="00705E90"/>
    <w:rsid w:val="00712942"/>
    <w:rsid w:val="00712B4C"/>
    <w:rsid w:val="0071362A"/>
    <w:rsid w:val="00714B13"/>
    <w:rsid w:val="00726D86"/>
    <w:rsid w:val="00730E5B"/>
    <w:rsid w:val="00737593"/>
    <w:rsid w:val="00755450"/>
    <w:rsid w:val="00755B64"/>
    <w:rsid w:val="00762E49"/>
    <w:rsid w:val="00766A8C"/>
    <w:rsid w:val="007720F7"/>
    <w:rsid w:val="007757B0"/>
    <w:rsid w:val="007775E3"/>
    <w:rsid w:val="00780C26"/>
    <w:rsid w:val="0078198B"/>
    <w:rsid w:val="0078568B"/>
    <w:rsid w:val="00790E5C"/>
    <w:rsid w:val="00791881"/>
    <w:rsid w:val="00792F4B"/>
    <w:rsid w:val="007D737A"/>
    <w:rsid w:val="007E12CD"/>
    <w:rsid w:val="007E2997"/>
    <w:rsid w:val="007F5299"/>
    <w:rsid w:val="00814998"/>
    <w:rsid w:val="00830C6B"/>
    <w:rsid w:val="00846400"/>
    <w:rsid w:val="00851261"/>
    <w:rsid w:val="00854E68"/>
    <w:rsid w:val="00857B42"/>
    <w:rsid w:val="00861733"/>
    <w:rsid w:val="0087078F"/>
    <w:rsid w:val="0087562C"/>
    <w:rsid w:val="00880D42"/>
    <w:rsid w:val="008826E7"/>
    <w:rsid w:val="00884178"/>
    <w:rsid w:val="00895FCA"/>
    <w:rsid w:val="008961E4"/>
    <w:rsid w:val="008B0BC7"/>
    <w:rsid w:val="008B57DE"/>
    <w:rsid w:val="008C7B73"/>
    <w:rsid w:val="008D4F98"/>
    <w:rsid w:val="008E1C67"/>
    <w:rsid w:val="008E23EE"/>
    <w:rsid w:val="008E7FC1"/>
    <w:rsid w:val="008F0993"/>
    <w:rsid w:val="008F1B0F"/>
    <w:rsid w:val="008F76AA"/>
    <w:rsid w:val="00903910"/>
    <w:rsid w:val="00907472"/>
    <w:rsid w:val="00927124"/>
    <w:rsid w:val="009356FF"/>
    <w:rsid w:val="00943C7C"/>
    <w:rsid w:val="00950410"/>
    <w:rsid w:val="00951A3F"/>
    <w:rsid w:val="00955814"/>
    <w:rsid w:val="009567AF"/>
    <w:rsid w:val="00971CAB"/>
    <w:rsid w:val="00973ABA"/>
    <w:rsid w:val="00977F95"/>
    <w:rsid w:val="00982BD5"/>
    <w:rsid w:val="009839F6"/>
    <w:rsid w:val="0099113E"/>
    <w:rsid w:val="00996D4D"/>
    <w:rsid w:val="009A1BC7"/>
    <w:rsid w:val="009A44A5"/>
    <w:rsid w:val="009A6D4E"/>
    <w:rsid w:val="009B4328"/>
    <w:rsid w:val="009B5E43"/>
    <w:rsid w:val="009D3721"/>
    <w:rsid w:val="009D48FD"/>
    <w:rsid w:val="009D66A5"/>
    <w:rsid w:val="009E325D"/>
    <w:rsid w:val="009F58AB"/>
    <w:rsid w:val="009F70E6"/>
    <w:rsid w:val="009F76C8"/>
    <w:rsid w:val="00A025C2"/>
    <w:rsid w:val="00A02B5B"/>
    <w:rsid w:val="00A15EFD"/>
    <w:rsid w:val="00A17DB7"/>
    <w:rsid w:val="00A230F8"/>
    <w:rsid w:val="00A3237A"/>
    <w:rsid w:val="00A337D0"/>
    <w:rsid w:val="00A3467F"/>
    <w:rsid w:val="00A41ABE"/>
    <w:rsid w:val="00A52C29"/>
    <w:rsid w:val="00A86EDE"/>
    <w:rsid w:val="00A907A7"/>
    <w:rsid w:val="00A935E6"/>
    <w:rsid w:val="00A95A6E"/>
    <w:rsid w:val="00AA184C"/>
    <w:rsid w:val="00AA4D13"/>
    <w:rsid w:val="00AC09C5"/>
    <w:rsid w:val="00AE507A"/>
    <w:rsid w:val="00AE71CF"/>
    <w:rsid w:val="00AF1709"/>
    <w:rsid w:val="00AF513F"/>
    <w:rsid w:val="00B145E0"/>
    <w:rsid w:val="00B24F6F"/>
    <w:rsid w:val="00B27C8B"/>
    <w:rsid w:val="00B57039"/>
    <w:rsid w:val="00B6257C"/>
    <w:rsid w:val="00B72FEC"/>
    <w:rsid w:val="00B758C5"/>
    <w:rsid w:val="00B82A32"/>
    <w:rsid w:val="00B91ADB"/>
    <w:rsid w:val="00B95987"/>
    <w:rsid w:val="00BB1CEB"/>
    <w:rsid w:val="00BB33A4"/>
    <w:rsid w:val="00BC16AD"/>
    <w:rsid w:val="00BC41D5"/>
    <w:rsid w:val="00BC4AF9"/>
    <w:rsid w:val="00BE2E13"/>
    <w:rsid w:val="00BF5649"/>
    <w:rsid w:val="00C03AB4"/>
    <w:rsid w:val="00C06C53"/>
    <w:rsid w:val="00C3227B"/>
    <w:rsid w:val="00C33F9B"/>
    <w:rsid w:val="00C354B0"/>
    <w:rsid w:val="00C42233"/>
    <w:rsid w:val="00C52F2B"/>
    <w:rsid w:val="00C53745"/>
    <w:rsid w:val="00C5555B"/>
    <w:rsid w:val="00C56658"/>
    <w:rsid w:val="00C57A20"/>
    <w:rsid w:val="00C60A0E"/>
    <w:rsid w:val="00C6561E"/>
    <w:rsid w:val="00C66D8E"/>
    <w:rsid w:val="00C76D15"/>
    <w:rsid w:val="00C87E95"/>
    <w:rsid w:val="00CA45BD"/>
    <w:rsid w:val="00CB58F8"/>
    <w:rsid w:val="00CB6437"/>
    <w:rsid w:val="00CC08E2"/>
    <w:rsid w:val="00CC1889"/>
    <w:rsid w:val="00CC4A0F"/>
    <w:rsid w:val="00CC78A3"/>
    <w:rsid w:val="00CD36EB"/>
    <w:rsid w:val="00CD371C"/>
    <w:rsid w:val="00CF24AB"/>
    <w:rsid w:val="00CF3173"/>
    <w:rsid w:val="00CF4945"/>
    <w:rsid w:val="00CF5CA0"/>
    <w:rsid w:val="00CF7CCF"/>
    <w:rsid w:val="00D15DBF"/>
    <w:rsid w:val="00D167E7"/>
    <w:rsid w:val="00D20CC0"/>
    <w:rsid w:val="00D23B95"/>
    <w:rsid w:val="00D251F9"/>
    <w:rsid w:val="00D31460"/>
    <w:rsid w:val="00D363E0"/>
    <w:rsid w:val="00D44D06"/>
    <w:rsid w:val="00D52908"/>
    <w:rsid w:val="00D54BAC"/>
    <w:rsid w:val="00D576D6"/>
    <w:rsid w:val="00D64EAC"/>
    <w:rsid w:val="00D72429"/>
    <w:rsid w:val="00D81B8F"/>
    <w:rsid w:val="00D85C3C"/>
    <w:rsid w:val="00DA46BE"/>
    <w:rsid w:val="00DA4C0F"/>
    <w:rsid w:val="00DB2BA9"/>
    <w:rsid w:val="00DB674C"/>
    <w:rsid w:val="00DC05EF"/>
    <w:rsid w:val="00DC481A"/>
    <w:rsid w:val="00DE35E7"/>
    <w:rsid w:val="00DE36A4"/>
    <w:rsid w:val="00DE39D0"/>
    <w:rsid w:val="00DE7D05"/>
    <w:rsid w:val="00DF2929"/>
    <w:rsid w:val="00E00018"/>
    <w:rsid w:val="00E00B5D"/>
    <w:rsid w:val="00E07424"/>
    <w:rsid w:val="00E0750D"/>
    <w:rsid w:val="00E11986"/>
    <w:rsid w:val="00E240E2"/>
    <w:rsid w:val="00E27FB4"/>
    <w:rsid w:val="00E45EF9"/>
    <w:rsid w:val="00E47435"/>
    <w:rsid w:val="00E4746A"/>
    <w:rsid w:val="00E509E1"/>
    <w:rsid w:val="00E5255D"/>
    <w:rsid w:val="00E54519"/>
    <w:rsid w:val="00E56106"/>
    <w:rsid w:val="00E579E9"/>
    <w:rsid w:val="00E6222E"/>
    <w:rsid w:val="00E62B88"/>
    <w:rsid w:val="00E702D2"/>
    <w:rsid w:val="00E853CF"/>
    <w:rsid w:val="00E957D5"/>
    <w:rsid w:val="00EA4DE1"/>
    <w:rsid w:val="00EA6E42"/>
    <w:rsid w:val="00EA724C"/>
    <w:rsid w:val="00EB5AEE"/>
    <w:rsid w:val="00EB7285"/>
    <w:rsid w:val="00EC0A49"/>
    <w:rsid w:val="00EC22F5"/>
    <w:rsid w:val="00ED4B47"/>
    <w:rsid w:val="00ED6544"/>
    <w:rsid w:val="00ED7C83"/>
    <w:rsid w:val="00EE124C"/>
    <w:rsid w:val="00EE24B6"/>
    <w:rsid w:val="00F11CC3"/>
    <w:rsid w:val="00F12EC6"/>
    <w:rsid w:val="00F2028D"/>
    <w:rsid w:val="00F5680D"/>
    <w:rsid w:val="00F614B2"/>
    <w:rsid w:val="00F7010E"/>
    <w:rsid w:val="00F716AE"/>
    <w:rsid w:val="00F72211"/>
    <w:rsid w:val="00F745C8"/>
    <w:rsid w:val="00F76B28"/>
    <w:rsid w:val="00F84071"/>
    <w:rsid w:val="00F90DEC"/>
    <w:rsid w:val="00FA2B22"/>
    <w:rsid w:val="00FA31B4"/>
    <w:rsid w:val="00FA784A"/>
    <w:rsid w:val="00FB0428"/>
    <w:rsid w:val="00FB1D73"/>
    <w:rsid w:val="00FB6FDB"/>
    <w:rsid w:val="00FB7EBB"/>
    <w:rsid w:val="00FC118D"/>
    <w:rsid w:val="00FC343A"/>
    <w:rsid w:val="00FC61E4"/>
    <w:rsid w:val="00FC6E12"/>
    <w:rsid w:val="00FD069B"/>
    <w:rsid w:val="00FD224C"/>
    <w:rsid w:val="00FD2B1D"/>
    <w:rsid w:val="00FD365E"/>
    <w:rsid w:val="00FD430F"/>
    <w:rsid w:val="00FE004C"/>
    <w:rsid w:val="00FF3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86335F"/>
  <w15:chartTrackingRefBased/>
  <w15:docId w15:val="{7454336A-38D2-4D5A-979D-6F94EF719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19FC"/>
    <w:pPr>
      <w:spacing w:line="260" w:lineRule="atLeast"/>
      <w:jc w:val="both"/>
    </w:pPr>
    <w:rPr>
      <w:rFonts w:ascii="Palatino Linotype" w:hAnsi="Palatino Linotype"/>
      <w:noProof/>
      <w:color w:val="00000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6B19FC"/>
    <w:pPr>
      <w:adjustRightInd w:val="0"/>
      <w:snapToGrid w:val="0"/>
      <w:spacing w:before="240"/>
    </w:pPr>
    <w:rPr>
      <w:rFonts w:ascii="Palatino Linotype" w:eastAsia="Times New Roman" w:hAnsi="Palatino Linotype"/>
      <w:i/>
      <w:snapToGrid w:val="0"/>
      <w:color w:val="000000"/>
      <w:szCs w:val="22"/>
      <w:lang w:val="en-US" w:eastAsia="de-DE" w:bidi="en-US"/>
    </w:rPr>
  </w:style>
  <w:style w:type="paragraph" w:customStyle="1" w:styleId="MDPI12title">
    <w:name w:val="MDPI_1.2_title"/>
    <w:next w:val="Normal"/>
    <w:qFormat/>
    <w:rsid w:val="006B19FC"/>
    <w:pPr>
      <w:adjustRightInd w:val="0"/>
      <w:snapToGrid w:val="0"/>
      <w:spacing w:after="240" w:line="240" w:lineRule="atLeast"/>
    </w:pPr>
    <w:rPr>
      <w:rFonts w:ascii="Palatino Linotype" w:eastAsia="Times New Roman" w:hAnsi="Palatino Linotype"/>
      <w:b/>
      <w:snapToGrid w:val="0"/>
      <w:color w:val="000000"/>
      <w:sz w:val="36"/>
      <w:lang w:val="en-US" w:eastAsia="de-DE" w:bidi="en-US"/>
    </w:rPr>
  </w:style>
  <w:style w:type="paragraph" w:customStyle="1" w:styleId="MDPI13authornames">
    <w:name w:val="MDPI_1.3_authornames"/>
    <w:next w:val="Normal"/>
    <w:qFormat/>
    <w:rsid w:val="006B19FC"/>
    <w:pPr>
      <w:adjustRightInd w:val="0"/>
      <w:snapToGrid w:val="0"/>
      <w:spacing w:after="360" w:line="260" w:lineRule="atLeast"/>
    </w:pPr>
    <w:rPr>
      <w:rFonts w:ascii="Palatino Linotype" w:eastAsia="Times New Roman" w:hAnsi="Palatino Linotype"/>
      <w:b/>
      <w:color w:val="000000"/>
      <w:szCs w:val="22"/>
      <w:lang w:val="en-US" w:eastAsia="de-DE" w:bidi="en-US"/>
    </w:rPr>
  </w:style>
  <w:style w:type="paragraph" w:customStyle="1" w:styleId="MDPI14history">
    <w:name w:val="MDPI_1.4_history"/>
    <w:basedOn w:val="Normal"/>
    <w:next w:val="Normal"/>
    <w:qFormat/>
    <w:rsid w:val="006B19FC"/>
    <w:pPr>
      <w:adjustRightInd w:val="0"/>
      <w:snapToGrid w:val="0"/>
      <w:spacing w:line="240" w:lineRule="atLeast"/>
      <w:ind w:right="113"/>
      <w:jc w:val="left"/>
    </w:pPr>
    <w:rPr>
      <w:rFonts w:eastAsia="Times New Roman"/>
      <w:noProof w:val="0"/>
      <w:sz w:val="14"/>
      <w:lang w:eastAsia="de-DE" w:bidi="en-US"/>
    </w:rPr>
  </w:style>
  <w:style w:type="paragraph" w:customStyle="1" w:styleId="MDPI16affiliation">
    <w:name w:val="MDPI_1.6_affiliation"/>
    <w:qFormat/>
    <w:rsid w:val="006B19FC"/>
    <w:pPr>
      <w:adjustRightInd w:val="0"/>
      <w:snapToGrid w:val="0"/>
      <w:spacing w:line="200" w:lineRule="atLeast"/>
      <w:ind w:left="2806" w:hanging="198"/>
    </w:pPr>
    <w:rPr>
      <w:rFonts w:ascii="Palatino Linotype" w:eastAsia="Times New Roman" w:hAnsi="Palatino Linotype"/>
      <w:color w:val="000000"/>
      <w:sz w:val="16"/>
      <w:szCs w:val="18"/>
      <w:lang w:val="en-US" w:eastAsia="de-DE" w:bidi="en-US"/>
    </w:rPr>
  </w:style>
  <w:style w:type="paragraph" w:customStyle="1" w:styleId="MDPI17abstract">
    <w:name w:val="MDPI_1.7_abstract"/>
    <w:next w:val="Normal"/>
    <w:qFormat/>
    <w:rsid w:val="006B19FC"/>
    <w:pPr>
      <w:adjustRightInd w:val="0"/>
      <w:snapToGrid w:val="0"/>
      <w:spacing w:before="240" w:line="260" w:lineRule="atLeast"/>
      <w:ind w:left="2608"/>
      <w:jc w:val="both"/>
    </w:pPr>
    <w:rPr>
      <w:rFonts w:ascii="Palatino Linotype" w:eastAsia="Times New Roman" w:hAnsi="Palatino Linotype"/>
      <w:color w:val="000000"/>
      <w:sz w:val="18"/>
      <w:szCs w:val="22"/>
      <w:lang w:val="en-US" w:eastAsia="de-DE" w:bidi="en-US"/>
    </w:rPr>
  </w:style>
  <w:style w:type="paragraph" w:customStyle="1" w:styleId="MDPI18keywords">
    <w:name w:val="MDPI_1.8_keywords"/>
    <w:next w:val="Normal"/>
    <w:qFormat/>
    <w:rsid w:val="006B19FC"/>
    <w:pPr>
      <w:adjustRightInd w:val="0"/>
      <w:snapToGrid w:val="0"/>
      <w:spacing w:before="240" w:line="260" w:lineRule="atLeast"/>
      <w:ind w:left="2608"/>
      <w:jc w:val="both"/>
    </w:pPr>
    <w:rPr>
      <w:rFonts w:ascii="Palatino Linotype" w:eastAsia="Times New Roman" w:hAnsi="Palatino Linotype"/>
      <w:snapToGrid w:val="0"/>
      <w:color w:val="000000"/>
      <w:sz w:val="18"/>
      <w:szCs w:val="22"/>
      <w:lang w:val="en-US" w:eastAsia="de-DE" w:bidi="en-US"/>
    </w:rPr>
  </w:style>
  <w:style w:type="paragraph" w:customStyle="1" w:styleId="MDPI19line">
    <w:name w:val="MDPI_1.9_line"/>
    <w:qFormat/>
    <w:rsid w:val="006B19FC"/>
    <w:pPr>
      <w:pBdr>
        <w:bottom w:val="single" w:sz="6" w:space="1" w:color="auto"/>
      </w:pBdr>
      <w:adjustRightInd w:val="0"/>
      <w:snapToGrid w:val="0"/>
      <w:spacing w:after="480" w:line="260" w:lineRule="atLeast"/>
      <w:ind w:left="2608"/>
      <w:jc w:val="both"/>
    </w:pPr>
    <w:rPr>
      <w:rFonts w:ascii="Palatino Linotype" w:eastAsia="Times New Roman" w:hAnsi="Palatino Linotype" w:cs="Cordia New"/>
      <w:color w:val="000000"/>
      <w:szCs w:val="24"/>
      <w:lang w:val="en-US" w:eastAsia="de-DE" w:bidi="en-US"/>
    </w:rPr>
  </w:style>
  <w:style w:type="table" w:customStyle="1" w:styleId="Mdeck5tablebodythreelines">
    <w:name w:val="M_deck_5_table_body_three_lines"/>
    <w:basedOn w:val="TableNormal"/>
    <w:uiPriority w:val="99"/>
    <w:rsid w:val="009356F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6B19FC"/>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B19FC"/>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6B19FC"/>
    <w:rPr>
      <w:rFonts w:ascii="Palatino Linotype" w:hAnsi="Palatino Linotype"/>
      <w:noProof/>
      <w:color w:val="000000"/>
      <w:szCs w:val="18"/>
    </w:rPr>
  </w:style>
  <w:style w:type="paragraph" w:styleId="Header">
    <w:name w:val="header"/>
    <w:basedOn w:val="Normal"/>
    <w:link w:val="HeaderChar"/>
    <w:uiPriority w:val="99"/>
    <w:rsid w:val="006B19FC"/>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6B19FC"/>
    <w:rPr>
      <w:rFonts w:ascii="Palatino Linotype" w:hAnsi="Palatino Linotype"/>
      <w:noProof/>
      <w:color w:val="000000"/>
      <w:szCs w:val="18"/>
    </w:rPr>
  </w:style>
  <w:style w:type="paragraph" w:customStyle="1" w:styleId="MDPIheaderjournallogo">
    <w:name w:val="MDPI_header_journal_logo"/>
    <w:qFormat/>
    <w:rsid w:val="006B19FC"/>
    <w:pPr>
      <w:adjustRightInd w:val="0"/>
      <w:snapToGrid w:val="0"/>
      <w:spacing w:line="260" w:lineRule="atLeast"/>
      <w:jc w:val="both"/>
    </w:pPr>
    <w:rPr>
      <w:rFonts w:ascii="Palatino Linotype" w:eastAsia="Times New Roman" w:hAnsi="Palatino Linotype"/>
      <w:i/>
      <w:color w:val="000000"/>
      <w:sz w:val="24"/>
      <w:szCs w:val="22"/>
      <w:lang w:val="en-US" w:eastAsia="de-CH"/>
    </w:rPr>
  </w:style>
  <w:style w:type="paragraph" w:customStyle="1" w:styleId="MDPI32textnoindent">
    <w:name w:val="MDPI_3.2_text_no_indent"/>
    <w:basedOn w:val="MDPI31text"/>
    <w:qFormat/>
    <w:rsid w:val="006B19FC"/>
    <w:pPr>
      <w:ind w:firstLine="0"/>
    </w:pPr>
  </w:style>
  <w:style w:type="paragraph" w:customStyle="1" w:styleId="MDPI31text">
    <w:name w:val="MDPI_3.1_text"/>
    <w:qFormat/>
    <w:rsid w:val="00051924"/>
    <w:pPr>
      <w:adjustRightInd w:val="0"/>
      <w:snapToGrid w:val="0"/>
      <w:spacing w:line="228" w:lineRule="auto"/>
      <w:ind w:left="2608" w:firstLine="425"/>
      <w:jc w:val="both"/>
    </w:pPr>
    <w:rPr>
      <w:rFonts w:ascii="Palatino Linotype" w:eastAsia="Times New Roman" w:hAnsi="Palatino Linotype"/>
      <w:snapToGrid w:val="0"/>
      <w:color w:val="000000"/>
      <w:szCs w:val="22"/>
      <w:lang w:val="en-US" w:eastAsia="de-DE" w:bidi="en-US"/>
    </w:rPr>
  </w:style>
  <w:style w:type="paragraph" w:customStyle="1" w:styleId="MDPI33textspaceafter">
    <w:name w:val="MDPI_3.3_text_space_after"/>
    <w:qFormat/>
    <w:rsid w:val="006B19FC"/>
    <w:pPr>
      <w:adjustRightInd w:val="0"/>
      <w:snapToGrid w:val="0"/>
      <w:spacing w:after="240" w:line="228" w:lineRule="auto"/>
      <w:ind w:left="2608"/>
      <w:jc w:val="both"/>
    </w:pPr>
    <w:rPr>
      <w:rFonts w:ascii="Palatino Linotype" w:eastAsia="Times New Roman" w:hAnsi="Palatino Linotype"/>
      <w:snapToGrid w:val="0"/>
      <w:color w:val="000000"/>
      <w:szCs w:val="22"/>
      <w:lang w:val="en-US" w:eastAsia="de-DE" w:bidi="en-US"/>
    </w:rPr>
  </w:style>
  <w:style w:type="paragraph" w:customStyle="1" w:styleId="MDPI35textbeforelist">
    <w:name w:val="MDPI_3.5_text_before_list"/>
    <w:qFormat/>
    <w:rsid w:val="006B19FC"/>
    <w:pPr>
      <w:adjustRightInd w:val="0"/>
      <w:snapToGrid w:val="0"/>
      <w:spacing w:line="228" w:lineRule="auto"/>
      <w:ind w:left="2608" w:firstLine="425"/>
      <w:jc w:val="both"/>
    </w:pPr>
    <w:rPr>
      <w:rFonts w:ascii="Palatino Linotype" w:eastAsia="Times New Roman" w:hAnsi="Palatino Linotype"/>
      <w:snapToGrid w:val="0"/>
      <w:color w:val="000000"/>
      <w:szCs w:val="22"/>
      <w:lang w:val="en-US" w:eastAsia="de-DE" w:bidi="en-US"/>
    </w:rPr>
  </w:style>
  <w:style w:type="paragraph" w:customStyle="1" w:styleId="MDPI36textafterlist">
    <w:name w:val="MDPI_3.6_text_after_list"/>
    <w:qFormat/>
    <w:rsid w:val="006B19FC"/>
    <w:pPr>
      <w:adjustRightInd w:val="0"/>
      <w:snapToGrid w:val="0"/>
      <w:spacing w:before="120" w:line="228" w:lineRule="auto"/>
      <w:ind w:left="2608"/>
      <w:jc w:val="both"/>
    </w:pPr>
    <w:rPr>
      <w:rFonts w:ascii="Palatino Linotype" w:eastAsia="Times New Roman" w:hAnsi="Palatino Linotype"/>
      <w:snapToGrid w:val="0"/>
      <w:color w:val="000000"/>
      <w:szCs w:val="22"/>
      <w:lang w:val="en-US" w:eastAsia="de-DE" w:bidi="en-US"/>
    </w:rPr>
  </w:style>
  <w:style w:type="paragraph" w:customStyle="1" w:styleId="MDPI37itemize">
    <w:name w:val="MDPI_3.7_itemize"/>
    <w:qFormat/>
    <w:rsid w:val="006B19FC"/>
    <w:pPr>
      <w:numPr>
        <w:numId w:val="13"/>
      </w:numPr>
      <w:adjustRightInd w:val="0"/>
      <w:snapToGrid w:val="0"/>
      <w:spacing w:line="228" w:lineRule="auto"/>
      <w:jc w:val="both"/>
    </w:pPr>
    <w:rPr>
      <w:rFonts w:ascii="Palatino Linotype" w:eastAsia="Times New Roman" w:hAnsi="Palatino Linotype"/>
      <w:color w:val="000000"/>
      <w:szCs w:val="22"/>
      <w:lang w:val="en-US" w:eastAsia="de-DE" w:bidi="en-US"/>
    </w:rPr>
  </w:style>
  <w:style w:type="paragraph" w:customStyle="1" w:styleId="MDPI38bullet">
    <w:name w:val="MDPI_3.8_bullet"/>
    <w:qFormat/>
    <w:rsid w:val="006B19FC"/>
    <w:pPr>
      <w:numPr>
        <w:numId w:val="14"/>
      </w:numPr>
      <w:adjustRightInd w:val="0"/>
      <w:snapToGrid w:val="0"/>
      <w:spacing w:line="228" w:lineRule="auto"/>
      <w:jc w:val="both"/>
    </w:pPr>
    <w:rPr>
      <w:rFonts w:ascii="Palatino Linotype" w:eastAsia="Times New Roman" w:hAnsi="Palatino Linotype"/>
      <w:color w:val="000000"/>
      <w:szCs w:val="22"/>
      <w:lang w:val="en-US" w:eastAsia="de-DE" w:bidi="en-US"/>
    </w:rPr>
  </w:style>
  <w:style w:type="paragraph" w:customStyle="1" w:styleId="MDPI39equation">
    <w:name w:val="MDPI_3.9_equation"/>
    <w:qFormat/>
    <w:rsid w:val="006B19FC"/>
    <w:pPr>
      <w:adjustRightInd w:val="0"/>
      <w:snapToGrid w:val="0"/>
      <w:spacing w:before="120" w:after="120" w:line="260" w:lineRule="atLeast"/>
      <w:ind w:left="709"/>
      <w:jc w:val="center"/>
    </w:pPr>
    <w:rPr>
      <w:rFonts w:ascii="Palatino Linotype" w:eastAsia="Times New Roman" w:hAnsi="Palatino Linotype"/>
      <w:snapToGrid w:val="0"/>
      <w:color w:val="000000"/>
      <w:szCs w:val="22"/>
      <w:lang w:val="en-US" w:eastAsia="de-DE" w:bidi="en-US"/>
    </w:rPr>
  </w:style>
  <w:style w:type="paragraph" w:customStyle="1" w:styleId="MDPI3aequationnumber">
    <w:name w:val="MDPI_3.a_equation_number"/>
    <w:qFormat/>
    <w:rsid w:val="006B19FC"/>
    <w:pPr>
      <w:spacing w:before="120" w:after="120"/>
      <w:jc w:val="right"/>
    </w:pPr>
    <w:rPr>
      <w:rFonts w:ascii="Palatino Linotype" w:eastAsia="Times New Roman" w:hAnsi="Palatino Linotype"/>
      <w:snapToGrid w:val="0"/>
      <w:color w:val="000000"/>
      <w:szCs w:val="22"/>
      <w:lang w:val="en-US" w:eastAsia="de-DE" w:bidi="en-US"/>
    </w:rPr>
  </w:style>
  <w:style w:type="paragraph" w:customStyle="1" w:styleId="MDPI41tablecaption">
    <w:name w:val="MDPI_4.1_table_caption"/>
    <w:qFormat/>
    <w:rsid w:val="006B19FC"/>
    <w:pPr>
      <w:adjustRightInd w:val="0"/>
      <w:snapToGrid w:val="0"/>
      <w:spacing w:before="240" w:after="120" w:line="228" w:lineRule="auto"/>
      <w:ind w:left="2608"/>
    </w:pPr>
    <w:rPr>
      <w:rFonts w:ascii="Palatino Linotype" w:eastAsia="Times New Roman" w:hAnsi="Palatino Linotype" w:cs="Cordia New"/>
      <w:color w:val="000000"/>
      <w:sz w:val="18"/>
      <w:szCs w:val="22"/>
      <w:lang w:val="en-US" w:eastAsia="de-DE" w:bidi="en-US"/>
    </w:rPr>
  </w:style>
  <w:style w:type="paragraph" w:customStyle="1" w:styleId="MDPI42tablebody">
    <w:name w:val="MDPI_4.2_table_body"/>
    <w:qFormat/>
    <w:rsid w:val="00C52F2B"/>
    <w:pPr>
      <w:adjustRightInd w:val="0"/>
      <w:snapToGrid w:val="0"/>
      <w:spacing w:line="260" w:lineRule="atLeast"/>
      <w:jc w:val="center"/>
    </w:pPr>
    <w:rPr>
      <w:rFonts w:ascii="Palatino Linotype" w:eastAsia="Times New Roman" w:hAnsi="Palatino Linotype"/>
      <w:snapToGrid w:val="0"/>
      <w:color w:val="000000"/>
      <w:lang w:val="en-US" w:eastAsia="de-DE" w:bidi="en-US"/>
    </w:rPr>
  </w:style>
  <w:style w:type="paragraph" w:customStyle="1" w:styleId="MDPI43tablefooter">
    <w:name w:val="MDPI_4.3_table_footer"/>
    <w:next w:val="MDPI31text"/>
    <w:qFormat/>
    <w:rsid w:val="006B19FC"/>
    <w:pPr>
      <w:adjustRightInd w:val="0"/>
      <w:snapToGrid w:val="0"/>
      <w:spacing w:line="228" w:lineRule="auto"/>
      <w:ind w:left="2608"/>
    </w:pPr>
    <w:rPr>
      <w:rFonts w:ascii="Palatino Linotype" w:eastAsia="Times New Roman" w:hAnsi="Palatino Linotype" w:cs="Cordia New"/>
      <w:color w:val="000000"/>
      <w:sz w:val="18"/>
      <w:szCs w:val="22"/>
      <w:lang w:val="en-US" w:eastAsia="de-DE" w:bidi="en-US"/>
    </w:rPr>
  </w:style>
  <w:style w:type="paragraph" w:customStyle="1" w:styleId="MDPI51figurecaption">
    <w:name w:val="MDPI_5.1_figure_caption"/>
    <w:qFormat/>
    <w:rsid w:val="006B19FC"/>
    <w:pPr>
      <w:adjustRightInd w:val="0"/>
      <w:snapToGrid w:val="0"/>
      <w:spacing w:before="120" w:after="240" w:line="228" w:lineRule="auto"/>
      <w:ind w:left="2608"/>
    </w:pPr>
    <w:rPr>
      <w:rFonts w:ascii="Palatino Linotype" w:eastAsia="Times New Roman" w:hAnsi="Palatino Linotype"/>
      <w:color w:val="000000"/>
      <w:sz w:val="18"/>
      <w:lang w:val="en-US" w:eastAsia="de-DE" w:bidi="en-US"/>
    </w:rPr>
  </w:style>
  <w:style w:type="paragraph" w:customStyle="1" w:styleId="MDPI52figure">
    <w:name w:val="MDPI_5.2_figure"/>
    <w:qFormat/>
    <w:rsid w:val="006B19FC"/>
    <w:pPr>
      <w:adjustRightInd w:val="0"/>
      <w:snapToGrid w:val="0"/>
      <w:spacing w:before="240" w:after="120"/>
      <w:jc w:val="center"/>
    </w:pPr>
    <w:rPr>
      <w:rFonts w:ascii="Palatino Linotype" w:eastAsia="Times New Roman" w:hAnsi="Palatino Linotype"/>
      <w:snapToGrid w:val="0"/>
      <w:color w:val="000000"/>
      <w:lang w:val="en-US" w:eastAsia="de-DE" w:bidi="en-US"/>
    </w:rPr>
  </w:style>
  <w:style w:type="paragraph" w:customStyle="1" w:styleId="MDPI23heading3">
    <w:name w:val="MDPI_2.3_heading3"/>
    <w:qFormat/>
    <w:rsid w:val="006B19FC"/>
    <w:pPr>
      <w:adjustRightInd w:val="0"/>
      <w:snapToGrid w:val="0"/>
      <w:spacing w:before="60" w:after="60" w:line="228" w:lineRule="auto"/>
      <w:ind w:left="2608"/>
      <w:outlineLvl w:val="2"/>
    </w:pPr>
    <w:rPr>
      <w:rFonts w:ascii="Palatino Linotype" w:eastAsia="Times New Roman" w:hAnsi="Palatino Linotype"/>
      <w:snapToGrid w:val="0"/>
      <w:color w:val="000000"/>
      <w:szCs w:val="22"/>
      <w:lang w:val="en-US" w:eastAsia="de-DE" w:bidi="en-US"/>
    </w:rPr>
  </w:style>
  <w:style w:type="paragraph" w:customStyle="1" w:styleId="MDPI21heading1">
    <w:name w:val="MDPI_2.1_heading1"/>
    <w:qFormat/>
    <w:rsid w:val="006B19FC"/>
    <w:pPr>
      <w:adjustRightInd w:val="0"/>
      <w:snapToGrid w:val="0"/>
      <w:spacing w:before="240" w:after="60" w:line="228" w:lineRule="auto"/>
      <w:ind w:left="2608"/>
      <w:outlineLvl w:val="0"/>
    </w:pPr>
    <w:rPr>
      <w:rFonts w:ascii="Palatino Linotype" w:eastAsia="Times New Roman" w:hAnsi="Palatino Linotype"/>
      <w:b/>
      <w:snapToGrid w:val="0"/>
      <w:color w:val="000000"/>
      <w:szCs w:val="22"/>
      <w:lang w:val="en-US" w:eastAsia="de-DE" w:bidi="en-US"/>
    </w:rPr>
  </w:style>
  <w:style w:type="paragraph" w:customStyle="1" w:styleId="MDPI22heading2">
    <w:name w:val="MDPI_2.2_heading2"/>
    <w:qFormat/>
    <w:rsid w:val="006B19FC"/>
    <w:pPr>
      <w:adjustRightInd w:val="0"/>
      <w:snapToGrid w:val="0"/>
      <w:spacing w:before="60" w:after="60" w:line="228" w:lineRule="auto"/>
      <w:ind w:left="2608"/>
      <w:outlineLvl w:val="1"/>
    </w:pPr>
    <w:rPr>
      <w:rFonts w:ascii="Palatino Linotype" w:eastAsia="Times New Roman" w:hAnsi="Palatino Linotype"/>
      <w:i/>
      <w:noProof/>
      <w:snapToGrid w:val="0"/>
      <w:color w:val="000000"/>
      <w:szCs w:val="22"/>
      <w:lang w:val="en-US" w:eastAsia="de-DE" w:bidi="en-US"/>
    </w:rPr>
  </w:style>
  <w:style w:type="paragraph" w:customStyle="1" w:styleId="MDPI71References">
    <w:name w:val="MDPI_7.1_References"/>
    <w:qFormat/>
    <w:rsid w:val="00C53745"/>
    <w:pPr>
      <w:numPr>
        <w:numId w:val="15"/>
      </w:numPr>
      <w:adjustRightInd w:val="0"/>
      <w:snapToGrid w:val="0"/>
      <w:spacing w:line="228" w:lineRule="auto"/>
      <w:jc w:val="both"/>
    </w:pPr>
    <w:rPr>
      <w:rFonts w:ascii="Palatino Linotype" w:eastAsia="Times New Roman" w:hAnsi="Palatino Linotype"/>
      <w:color w:val="000000"/>
      <w:sz w:val="18"/>
      <w:lang w:val="en-US" w:eastAsia="de-DE" w:bidi="en-US"/>
    </w:rPr>
  </w:style>
  <w:style w:type="paragraph" w:styleId="BalloonText">
    <w:name w:val="Balloon Text"/>
    <w:basedOn w:val="Normal"/>
    <w:link w:val="BalloonTextChar"/>
    <w:uiPriority w:val="99"/>
    <w:rsid w:val="006B19FC"/>
    <w:rPr>
      <w:rFonts w:cs="Tahoma"/>
      <w:szCs w:val="18"/>
    </w:rPr>
  </w:style>
  <w:style w:type="character" w:customStyle="1" w:styleId="BalloonTextChar">
    <w:name w:val="Balloon Text Char"/>
    <w:link w:val="BalloonText"/>
    <w:uiPriority w:val="99"/>
    <w:rsid w:val="006B19FC"/>
    <w:rPr>
      <w:rFonts w:ascii="Palatino Linotype" w:hAnsi="Palatino Linotype" w:cs="Tahoma"/>
      <w:noProof/>
      <w:color w:val="000000"/>
      <w:szCs w:val="18"/>
    </w:rPr>
  </w:style>
  <w:style w:type="character" w:styleId="LineNumber">
    <w:name w:val="line number"/>
    <w:uiPriority w:val="99"/>
    <w:rsid w:val="0071362A"/>
    <w:rPr>
      <w:rFonts w:ascii="Palatino Linotype" w:hAnsi="Palatino Linotype"/>
      <w:sz w:val="16"/>
    </w:rPr>
  </w:style>
  <w:style w:type="table" w:customStyle="1" w:styleId="MDPI41threelinetable">
    <w:name w:val="MDPI_4.1_three_line_table"/>
    <w:basedOn w:val="TableNormal"/>
    <w:uiPriority w:val="99"/>
    <w:rsid w:val="006B19FC"/>
    <w:pPr>
      <w:adjustRightInd w:val="0"/>
      <w:snapToGrid w:val="0"/>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Calibri" w:hAnsi="Calibri"/>
        <w:b/>
        <w:i w:val="0"/>
        <w:sz w:val="20"/>
      </w:rPr>
      <w:tblPr/>
      <w:tcPr>
        <w:tcBorders>
          <w:bottom w:val="single" w:sz="4" w:space="0" w:color="auto"/>
        </w:tcBorders>
      </w:tcPr>
    </w:tblStylePr>
  </w:style>
  <w:style w:type="character" w:styleId="Hyperlink">
    <w:name w:val="Hyperlink"/>
    <w:uiPriority w:val="99"/>
    <w:rsid w:val="006B19FC"/>
    <w:rPr>
      <w:color w:val="0000FF"/>
      <w:u w:val="single"/>
    </w:rPr>
  </w:style>
  <w:style w:type="character" w:customStyle="1" w:styleId="UnresolvedMention1">
    <w:name w:val="Unresolved Mention1"/>
    <w:uiPriority w:val="99"/>
    <w:semiHidden/>
    <w:unhideWhenUsed/>
    <w:rsid w:val="00CC08E2"/>
    <w:rPr>
      <w:color w:val="605E5C"/>
      <w:shd w:val="clear" w:color="auto" w:fill="E1DFDD"/>
    </w:rPr>
  </w:style>
  <w:style w:type="table" w:styleId="PlainTable4">
    <w:name w:val="Plain Table 4"/>
    <w:basedOn w:val="TableNormal"/>
    <w:uiPriority w:val="44"/>
    <w:rsid w:val="00522BF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6B19FC"/>
    <w:pPr>
      <w:adjustRightInd w:val="0"/>
      <w:snapToGrid w:val="0"/>
      <w:spacing w:before="240" w:line="228" w:lineRule="auto"/>
      <w:ind w:left="2608"/>
      <w:jc w:val="both"/>
    </w:pPr>
    <w:rPr>
      <w:rFonts w:ascii="Palatino Linotype" w:eastAsia="Times New Roman" w:hAnsi="Palatino Linotype"/>
      <w:snapToGrid w:val="0"/>
      <w:color w:val="000000"/>
      <w:szCs w:val="22"/>
      <w:lang w:val="en-US" w:eastAsia="de-DE" w:bidi="en-US"/>
    </w:rPr>
  </w:style>
  <w:style w:type="paragraph" w:customStyle="1" w:styleId="MDPI81theorem">
    <w:name w:val="MDPI_8.1_theorem"/>
    <w:qFormat/>
    <w:rsid w:val="006B19FC"/>
    <w:pPr>
      <w:adjustRightInd w:val="0"/>
      <w:snapToGrid w:val="0"/>
      <w:spacing w:line="228" w:lineRule="auto"/>
      <w:ind w:left="2608"/>
      <w:jc w:val="both"/>
    </w:pPr>
    <w:rPr>
      <w:rFonts w:ascii="Palatino Linotype" w:eastAsia="Times New Roman" w:hAnsi="Palatino Linotype"/>
      <w:i/>
      <w:snapToGrid w:val="0"/>
      <w:color w:val="000000"/>
      <w:szCs w:val="22"/>
      <w:lang w:val="en-US" w:eastAsia="de-DE" w:bidi="en-US"/>
    </w:rPr>
  </w:style>
  <w:style w:type="paragraph" w:customStyle="1" w:styleId="MDPI82proof">
    <w:name w:val="MDPI_8.2_proof"/>
    <w:qFormat/>
    <w:rsid w:val="006B19FC"/>
    <w:pPr>
      <w:adjustRightInd w:val="0"/>
      <w:snapToGrid w:val="0"/>
      <w:spacing w:line="228" w:lineRule="auto"/>
      <w:ind w:left="2608"/>
      <w:jc w:val="both"/>
    </w:pPr>
    <w:rPr>
      <w:rFonts w:ascii="Palatino Linotype" w:eastAsia="Times New Roman" w:hAnsi="Palatino Linotype"/>
      <w:snapToGrid w:val="0"/>
      <w:color w:val="000000"/>
      <w:szCs w:val="22"/>
      <w:lang w:val="en-US" w:eastAsia="de-DE" w:bidi="en-US"/>
    </w:rPr>
  </w:style>
  <w:style w:type="paragraph" w:customStyle="1" w:styleId="MDPI61Citation">
    <w:name w:val="MDPI_6.1_Citation"/>
    <w:qFormat/>
    <w:rsid w:val="006B19FC"/>
    <w:pPr>
      <w:adjustRightInd w:val="0"/>
      <w:snapToGrid w:val="0"/>
      <w:spacing w:line="240" w:lineRule="atLeast"/>
      <w:ind w:right="113"/>
    </w:pPr>
    <w:rPr>
      <w:rFonts w:ascii="Palatino Linotype" w:hAnsi="Palatino Linotype" w:cs="Cordia New"/>
      <w:sz w:val="14"/>
      <w:szCs w:val="22"/>
      <w:lang w:val="en-US" w:eastAsia="zh-CN"/>
    </w:rPr>
  </w:style>
  <w:style w:type="paragraph" w:customStyle="1" w:styleId="MDPI62BackMatter">
    <w:name w:val="MDPI_6.2_BackMatter"/>
    <w:qFormat/>
    <w:rsid w:val="006B19FC"/>
    <w:pPr>
      <w:adjustRightInd w:val="0"/>
      <w:snapToGrid w:val="0"/>
      <w:spacing w:after="120" w:line="228" w:lineRule="auto"/>
      <w:ind w:left="2608"/>
      <w:jc w:val="both"/>
    </w:pPr>
    <w:rPr>
      <w:rFonts w:ascii="Palatino Linotype" w:eastAsia="Times New Roman" w:hAnsi="Palatino Linotype"/>
      <w:snapToGrid w:val="0"/>
      <w:color w:val="000000"/>
      <w:sz w:val="18"/>
      <w:lang w:val="en-US" w:eastAsia="en-US" w:bidi="en-US"/>
    </w:rPr>
  </w:style>
  <w:style w:type="paragraph" w:customStyle="1" w:styleId="MDPI63Notes">
    <w:name w:val="MDPI_6.3_Notes"/>
    <w:qFormat/>
    <w:rsid w:val="006B19FC"/>
    <w:pPr>
      <w:adjustRightInd w:val="0"/>
      <w:snapToGrid w:val="0"/>
      <w:spacing w:after="120" w:line="240" w:lineRule="atLeast"/>
      <w:ind w:right="113"/>
    </w:pPr>
    <w:rPr>
      <w:rFonts w:ascii="Palatino Linotype" w:hAnsi="Palatino Linotype"/>
      <w:snapToGrid w:val="0"/>
      <w:color w:val="000000"/>
      <w:sz w:val="14"/>
      <w:lang w:val="en-US" w:eastAsia="en-US" w:bidi="en-US"/>
    </w:rPr>
  </w:style>
  <w:style w:type="paragraph" w:customStyle="1" w:styleId="MDPI15academiceditor">
    <w:name w:val="MDPI_1.5_academic_editor"/>
    <w:qFormat/>
    <w:rsid w:val="006B19FC"/>
    <w:pPr>
      <w:adjustRightInd w:val="0"/>
      <w:snapToGrid w:val="0"/>
      <w:spacing w:before="240" w:line="240" w:lineRule="atLeast"/>
      <w:ind w:right="113"/>
    </w:pPr>
    <w:rPr>
      <w:rFonts w:ascii="Palatino Linotype" w:eastAsia="Times New Roman" w:hAnsi="Palatino Linotype"/>
      <w:color w:val="000000"/>
      <w:sz w:val="14"/>
      <w:szCs w:val="22"/>
      <w:lang w:val="en-US" w:eastAsia="de-DE" w:bidi="en-US"/>
    </w:rPr>
  </w:style>
  <w:style w:type="paragraph" w:customStyle="1" w:styleId="MDPI19classification">
    <w:name w:val="MDPI_1.9_classification"/>
    <w:qFormat/>
    <w:rsid w:val="006B19FC"/>
    <w:pPr>
      <w:spacing w:before="240" w:line="260" w:lineRule="atLeast"/>
      <w:ind w:left="113"/>
      <w:jc w:val="both"/>
    </w:pPr>
    <w:rPr>
      <w:rFonts w:ascii="Palatino Linotype" w:eastAsia="Times New Roman" w:hAnsi="Palatino Linotype"/>
      <w:b/>
      <w:color w:val="000000"/>
      <w:szCs w:val="22"/>
      <w:lang w:val="en-US" w:eastAsia="de-DE" w:bidi="en-US"/>
    </w:rPr>
  </w:style>
  <w:style w:type="paragraph" w:customStyle="1" w:styleId="MDPI411onetablecaption">
    <w:name w:val="MDPI_4.1.1_one_table_caption"/>
    <w:qFormat/>
    <w:rsid w:val="006B19FC"/>
    <w:pPr>
      <w:adjustRightInd w:val="0"/>
      <w:snapToGrid w:val="0"/>
      <w:spacing w:before="240" w:after="120" w:line="260" w:lineRule="atLeast"/>
      <w:jc w:val="center"/>
    </w:pPr>
    <w:rPr>
      <w:rFonts w:ascii="Palatino Linotype" w:hAnsi="Palatino Linotype" w:cs="Cordia New"/>
      <w:noProof/>
      <w:color w:val="000000"/>
      <w:sz w:val="18"/>
      <w:szCs w:val="22"/>
      <w:lang w:val="en-US" w:eastAsia="zh-CN" w:bidi="en-US"/>
    </w:rPr>
  </w:style>
  <w:style w:type="paragraph" w:customStyle="1" w:styleId="MDPI511onefigurecaption">
    <w:name w:val="MDPI_5.1.1_one_figure_caption"/>
    <w:qFormat/>
    <w:rsid w:val="006B19FC"/>
    <w:pPr>
      <w:adjustRightInd w:val="0"/>
      <w:snapToGrid w:val="0"/>
      <w:spacing w:before="240" w:after="120" w:line="260" w:lineRule="atLeast"/>
      <w:jc w:val="center"/>
    </w:pPr>
    <w:rPr>
      <w:rFonts w:ascii="Palatino Linotype" w:hAnsi="Palatino Linotype"/>
      <w:noProof/>
      <w:color w:val="000000"/>
      <w:sz w:val="18"/>
      <w:lang w:val="en-US" w:eastAsia="zh-CN" w:bidi="en-US"/>
    </w:rPr>
  </w:style>
  <w:style w:type="paragraph" w:customStyle="1" w:styleId="MDPI72Copyright">
    <w:name w:val="MDPI_7.2_Copyright"/>
    <w:qFormat/>
    <w:rsid w:val="006B19FC"/>
    <w:pPr>
      <w:adjustRightInd w:val="0"/>
      <w:snapToGrid w:val="0"/>
      <w:spacing w:before="240" w:line="240" w:lineRule="atLeast"/>
      <w:ind w:right="113"/>
    </w:pPr>
    <w:rPr>
      <w:rFonts w:ascii="Palatino Linotype" w:eastAsia="Times New Roman" w:hAnsi="Palatino Linotype"/>
      <w:noProof/>
      <w:snapToGrid w:val="0"/>
      <w:color w:val="000000"/>
      <w:spacing w:val="-2"/>
      <w:sz w:val="14"/>
      <w:lang w:val="en-GB" w:eastAsia="en-GB"/>
    </w:rPr>
  </w:style>
  <w:style w:type="paragraph" w:customStyle="1" w:styleId="MDPI73CopyrightImage">
    <w:name w:val="MDPI_7.3_CopyrightImage"/>
    <w:rsid w:val="006B19FC"/>
    <w:pPr>
      <w:adjustRightInd w:val="0"/>
      <w:snapToGrid w:val="0"/>
      <w:spacing w:after="100" w:line="260" w:lineRule="atLeast"/>
      <w:jc w:val="right"/>
    </w:pPr>
    <w:rPr>
      <w:rFonts w:ascii="Palatino Linotype" w:eastAsia="Times New Roman" w:hAnsi="Palatino Linotype"/>
      <w:color w:val="000000"/>
      <w:lang w:val="en-US" w:eastAsia="de-CH"/>
    </w:rPr>
  </w:style>
  <w:style w:type="paragraph" w:customStyle="1" w:styleId="MDPIequationFram">
    <w:name w:val="MDPI_equationFram"/>
    <w:qFormat/>
    <w:rsid w:val="006B19FC"/>
    <w:pPr>
      <w:adjustRightInd w:val="0"/>
      <w:snapToGrid w:val="0"/>
      <w:spacing w:before="120" w:after="120"/>
      <w:jc w:val="center"/>
    </w:pPr>
    <w:rPr>
      <w:rFonts w:ascii="Palatino Linotype" w:eastAsia="Times New Roman" w:hAnsi="Palatino Linotype"/>
      <w:snapToGrid w:val="0"/>
      <w:color w:val="000000"/>
      <w:szCs w:val="22"/>
      <w:lang w:val="en-US" w:eastAsia="de-DE" w:bidi="en-US"/>
    </w:rPr>
  </w:style>
  <w:style w:type="paragraph" w:customStyle="1" w:styleId="MDPIfooter">
    <w:name w:val="MDPI_footer"/>
    <w:qFormat/>
    <w:rsid w:val="006B19FC"/>
    <w:pPr>
      <w:adjustRightInd w:val="0"/>
      <w:snapToGrid w:val="0"/>
      <w:spacing w:before="120" w:line="260" w:lineRule="atLeast"/>
      <w:jc w:val="center"/>
    </w:pPr>
    <w:rPr>
      <w:rFonts w:ascii="Palatino Linotype" w:eastAsia="Times New Roman" w:hAnsi="Palatino Linotype"/>
      <w:color w:val="000000"/>
      <w:lang w:val="en-US" w:eastAsia="de-DE"/>
    </w:rPr>
  </w:style>
  <w:style w:type="paragraph" w:customStyle="1" w:styleId="MDPIfooterfirstpage">
    <w:name w:val="MDPI_footer_firstpage"/>
    <w:qFormat/>
    <w:rsid w:val="006B19FC"/>
    <w:pPr>
      <w:tabs>
        <w:tab w:val="right" w:pos="8845"/>
      </w:tabs>
      <w:spacing w:line="160" w:lineRule="exact"/>
    </w:pPr>
    <w:rPr>
      <w:rFonts w:ascii="Palatino Linotype" w:eastAsia="Times New Roman" w:hAnsi="Palatino Linotype"/>
      <w:color w:val="000000"/>
      <w:sz w:val="16"/>
      <w:lang w:val="en-US" w:eastAsia="de-DE"/>
    </w:rPr>
  </w:style>
  <w:style w:type="paragraph" w:customStyle="1" w:styleId="MDPIheader">
    <w:name w:val="MDPI_header"/>
    <w:qFormat/>
    <w:rsid w:val="006B19FC"/>
    <w:pPr>
      <w:adjustRightInd w:val="0"/>
      <w:snapToGrid w:val="0"/>
      <w:spacing w:after="240" w:line="260" w:lineRule="atLeast"/>
      <w:jc w:val="both"/>
    </w:pPr>
    <w:rPr>
      <w:rFonts w:ascii="Palatino Linotype" w:eastAsia="Times New Roman" w:hAnsi="Palatino Linotype"/>
      <w:iCs/>
      <w:color w:val="000000"/>
      <w:sz w:val="16"/>
      <w:lang w:val="en-US" w:eastAsia="de-DE"/>
    </w:rPr>
  </w:style>
  <w:style w:type="paragraph" w:customStyle="1" w:styleId="MDPIheadercitation">
    <w:name w:val="MDPI_header_citation"/>
    <w:rsid w:val="006B19FC"/>
    <w:pPr>
      <w:spacing w:after="240"/>
    </w:pPr>
    <w:rPr>
      <w:rFonts w:ascii="Palatino Linotype" w:eastAsia="Times New Roman" w:hAnsi="Palatino Linotype"/>
      <w:snapToGrid w:val="0"/>
      <w:color w:val="000000"/>
      <w:sz w:val="18"/>
      <w:lang w:val="en-US" w:eastAsia="de-DE" w:bidi="en-US"/>
    </w:rPr>
  </w:style>
  <w:style w:type="paragraph" w:customStyle="1" w:styleId="MDPIheadermdpilogo">
    <w:name w:val="MDPI_header_mdpi_logo"/>
    <w:qFormat/>
    <w:rsid w:val="006B19FC"/>
    <w:pPr>
      <w:adjustRightInd w:val="0"/>
      <w:snapToGrid w:val="0"/>
      <w:spacing w:line="260" w:lineRule="atLeast"/>
      <w:jc w:val="right"/>
    </w:pPr>
    <w:rPr>
      <w:rFonts w:ascii="Palatino Linotype" w:eastAsia="Times New Roman" w:hAnsi="Palatino Linotype"/>
      <w:color w:val="000000"/>
      <w:sz w:val="24"/>
      <w:szCs w:val="22"/>
      <w:lang w:val="en-US" w:eastAsia="de-CH"/>
    </w:rPr>
  </w:style>
  <w:style w:type="table" w:customStyle="1" w:styleId="MDPITable">
    <w:name w:val="MDPI_Table"/>
    <w:basedOn w:val="TableNormal"/>
    <w:uiPriority w:val="99"/>
    <w:rsid w:val="006B19FC"/>
    <w:rPr>
      <w:rFonts w:ascii="Palatino Linotype" w:hAnsi="Palatino Linotype"/>
      <w:color w:val="000000"/>
      <w:lang w:val="en-CA" w:eastAsia="en-US"/>
    </w:rPr>
    <w:tblPr>
      <w:tblCellMar>
        <w:left w:w="0" w:type="dxa"/>
        <w:right w:w="0" w:type="dxa"/>
      </w:tblCellMar>
    </w:tblPr>
  </w:style>
  <w:style w:type="paragraph" w:customStyle="1" w:styleId="MDPItext">
    <w:name w:val="MDPI_text"/>
    <w:qFormat/>
    <w:rsid w:val="006B19FC"/>
    <w:pPr>
      <w:spacing w:line="260" w:lineRule="atLeast"/>
      <w:ind w:left="425" w:right="425" w:firstLine="284"/>
      <w:jc w:val="both"/>
    </w:pPr>
    <w:rPr>
      <w:rFonts w:ascii="Times New Roman" w:eastAsia="Times New Roman" w:hAnsi="Times New Roman"/>
      <w:noProof/>
      <w:snapToGrid w:val="0"/>
      <w:color w:val="000000"/>
      <w:sz w:val="22"/>
      <w:szCs w:val="22"/>
      <w:lang w:val="en-US" w:eastAsia="de-DE" w:bidi="en-US"/>
    </w:rPr>
  </w:style>
  <w:style w:type="paragraph" w:customStyle="1" w:styleId="MDPItitle">
    <w:name w:val="MDPI_title"/>
    <w:qFormat/>
    <w:rsid w:val="006B19FC"/>
    <w:pPr>
      <w:adjustRightInd w:val="0"/>
      <w:snapToGrid w:val="0"/>
      <w:spacing w:after="240" w:line="260" w:lineRule="atLeast"/>
      <w:jc w:val="both"/>
    </w:pPr>
    <w:rPr>
      <w:rFonts w:ascii="Palatino Linotype" w:eastAsia="Times New Roman" w:hAnsi="Palatino Linotype"/>
      <w:b/>
      <w:snapToGrid w:val="0"/>
      <w:color w:val="000000"/>
      <w:sz w:val="36"/>
      <w:lang w:val="en-US" w:eastAsia="de-DE" w:bidi="en-US"/>
    </w:rPr>
  </w:style>
  <w:style w:type="character" w:customStyle="1" w:styleId="apple-converted-space">
    <w:name w:val="apple-converted-space"/>
    <w:rsid w:val="006B19FC"/>
  </w:style>
  <w:style w:type="paragraph" w:styleId="Bibliography">
    <w:name w:val="Bibliography"/>
    <w:basedOn w:val="Normal"/>
    <w:next w:val="Normal"/>
    <w:uiPriority w:val="37"/>
    <w:semiHidden/>
    <w:unhideWhenUsed/>
    <w:rsid w:val="006B19FC"/>
  </w:style>
  <w:style w:type="paragraph" w:styleId="BodyText">
    <w:name w:val="Body Text"/>
    <w:link w:val="BodyTextChar"/>
    <w:rsid w:val="006B19FC"/>
    <w:pPr>
      <w:spacing w:after="120" w:line="340" w:lineRule="atLeast"/>
      <w:jc w:val="both"/>
    </w:pPr>
    <w:rPr>
      <w:rFonts w:ascii="Palatino Linotype" w:hAnsi="Palatino Linotype"/>
      <w:color w:val="000000"/>
      <w:sz w:val="24"/>
      <w:lang w:val="en-US" w:eastAsia="de-DE"/>
    </w:rPr>
  </w:style>
  <w:style w:type="character" w:customStyle="1" w:styleId="BodyTextChar">
    <w:name w:val="Body Text Char"/>
    <w:link w:val="BodyText"/>
    <w:rsid w:val="006B19FC"/>
    <w:rPr>
      <w:rFonts w:ascii="Palatino Linotype" w:hAnsi="Palatino Linotype"/>
      <w:color w:val="000000"/>
      <w:sz w:val="24"/>
      <w:lang w:eastAsia="de-DE"/>
    </w:rPr>
  </w:style>
  <w:style w:type="character" w:styleId="CommentReference">
    <w:name w:val="annotation reference"/>
    <w:rsid w:val="006B19FC"/>
    <w:rPr>
      <w:sz w:val="21"/>
      <w:szCs w:val="21"/>
    </w:rPr>
  </w:style>
  <w:style w:type="paragraph" w:styleId="CommentText">
    <w:name w:val="annotation text"/>
    <w:basedOn w:val="Normal"/>
    <w:link w:val="CommentTextChar"/>
    <w:rsid w:val="006B19FC"/>
  </w:style>
  <w:style w:type="character" w:customStyle="1" w:styleId="CommentTextChar">
    <w:name w:val="Comment Text Char"/>
    <w:link w:val="CommentText"/>
    <w:rsid w:val="006B19FC"/>
    <w:rPr>
      <w:rFonts w:ascii="Palatino Linotype" w:hAnsi="Palatino Linotype"/>
      <w:noProof/>
      <w:color w:val="000000"/>
    </w:rPr>
  </w:style>
  <w:style w:type="paragraph" w:styleId="CommentSubject">
    <w:name w:val="annotation subject"/>
    <w:basedOn w:val="CommentText"/>
    <w:next w:val="CommentText"/>
    <w:link w:val="CommentSubjectChar"/>
    <w:rsid w:val="006B19FC"/>
    <w:rPr>
      <w:b/>
      <w:bCs/>
    </w:rPr>
  </w:style>
  <w:style w:type="character" w:customStyle="1" w:styleId="CommentSubjectChar">
    <w:name w:val="Comment Subject Char"/>
    <w:link w:val="CommentSubject"/>
    <w:rsid w:val="006B19FC"/>
    <w:rPr>
      <w:rFonts w:ascii="Palatino Linotype" w:hAnsi="Palatino Linotype"/>
      <w:b/>
      <w:bCs/>
      <w:noProof/>
      <w:color w:val="000000"/>
    </w:rPr>
  </w:style>
  <w:style w:type="character" w:styleId="EndnoteReference">
    <w:name w:val="endnote reference"/>
    <w:rsid w:val="006B19FC"/>
    <w:rPr>
      <w:vertAlign w:val="superscript"/>
    </w:rPr>
  </w:style>
  <w:style w:type="paragraph" w:styleId="EndnoteText">
    <w:name w:val="endnote text"/>
    <w:basedOn w:val="Normal"/>
    <w:link w:val="EndnoteTextChar"/>
    <w:semiHidden/>
    <w:unhideWhenUsed/>
    <w:rsid w:val="006B19FC"/>
    <w:pPr>
      <w:spacing w:line="240" w:lineRule="auto"/>
    </w:pPr>
  </w:style>
  <w:style w:type="character" w:customStyle="1" w:styleId="EndnoteTextChar">
    <w:name w:val="Endnote Text Char"/>
    <w:link w:val="EndnoteText"/>
    <w:semiHidden/>
    <w:rsid w:val="006B19FC"/>
    <w:rPr>
      <w:rFonts w:ascii="Palatino Linotype" w:hAnsi="Palatino Linotype"/>
      <w:noProof/>
      <w:color w:val="000000"/>
    </w:rPr>
  </w:style>
  <w:style w:type="character" w:styleId="FollowedHyperlink">
    <w:name w:val="FollowedHyperlink"/>
    <w:rsid w:val="006B19FC"/>
    <w:rPr>
      <w:color w:val="954F72"/>
      <w:u w:val="single"/>
    </w:rPr>
  </w:style>
  <w:style w:type="paragraph" w:styleId="FootnoteText">
    <w:name w:val="footnote text"/>
    <w:basedOn w:val="Normal"/>
    <w:link w:val="FootnoteTextChar"/>
    <w:semiHidden/>
    <w:unhideWhenUsed/>
    <w:rsid w:val="006B19FC"/>
    <w:pPr>
      <w:spacing w:line="240" w:lineRule="auto"/>
    </w:pPr>
  </w:style>
  <w:style w:type="character" w:customStyle="1" w:styleId="FootnoteTextChar">
    <w:name w:val="Footnote Text Char"/>
    <w:link w:val="FootnoteText"/>
    <w:semiHidden/>
    <w:rsid w:val="006B19FC"/>
    <w:rPr>
      <w:rFonts w:ascii="Palatino Linotype" w:hAnsi="Palatino Linotype"/>
      <w:noProof/>
      <w:color w:val="000000"/>
    </w:rPr>
  </w:style>
  <w:style w:type="paragraph" w:styleId="NormalWeb">
    <w:name w:val="Normal (Web)"/>
    <w:basedOn w:val="Normal"/>
    <w:uiPriority w:val="99"/>
    <w:rsid w:val="006B19FC"/>
    <w:rPr>
      <w:szCs w:val="24"/>
    </w:rPr>
  </w:style>
  <w:style w:type="paragraph" w:customStyle="1" w:styleId="MsoFootnoteText0">
    <w:name w:val="MsoFootnoteText"/>
    <w:basedOn w:val="NormalWeb"/>
    <w:qFormat/>
    <w:rsid w:val="006B19FC"/>
    <w:rPr>
      <w:rFonts w:ascii="Times New Roman" w:hAnsi="Times New Roman"/>
    </w:rPr>
  </w:style>
  <w:style w:type="character" w:styleId="PageNumber">
    <w:name w:val="page number"/>
    <w:rsid w:val="006B19FC"/>
  </w:style>
  <w:style w:type="character" w:styleId="PlaceholderText">
    <w:name w:val="Placeholder Text"/>
    <w:uiPriority w:val="99"/>
    <w:semiHidden/>
    <w:rsid w:val="006B19F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i.org/10.18599/grs.2019.2.159-171"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1.xml"/><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mur.Bulatov\Desktop\&#1057;&#1090;&#1072;&#1090;&#1100;&#1103;%20&#1089;&#1072;&#1087;&#1088;&#1086;&#1087;&#1077;&#1083;&#1080;&#1090;&#1099;\geosciences-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55399-56FE-442C-8A42-9A31ED8A8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geosciences-template</Template>
  <TotalTime>6330</TotalTime>
  <Pages>22</Pages>
  <Words>10346</Words>
  <Characters>58978</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69186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Timur Bulatov</dc:creator>
  <cp:keywords/>
  <dc:description/>
  <cp:lastModifiedBy>Timur Bulatov</cp:lastModifiedBy>
  <cp:revision>104</cp:revision>
  <cp:lastPrinted>2021-05-26T11:08:00Z</cp:lastPrinted>
  <dcterms:created xsi:type="dcterms:W3CDTF">2021-04-26T06:33:00Z</dcterms:created>
  <dcterms:modified xsi:type="dcterms:W3CDTF">2021-05-26T15:09:00Z</dcterms:modified>
</cp:coreProperties>
</file>