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C5EB6" w14:textId="634D0446" w:rsidR="00DC247B" w:rsidRDefault="00B97783" w:rsidP="00DC247B">
      <w:pPr>
        <w:shd w:val="clear" w:color="auto" w:fill="FEFEFE"/>
        <w:tabs>
          <w:tab w:val="num" w:pos="720"/>
        </w:tabs>
        <w:spacing w:after="0" w:line="240" w:lineRule="auto"/>
        <w:rPr>
          <w:color w:val="4472C4" w:themeColor="accent1"/>
          <w:u w:val="single"/>
        </w:rPr>
      </w:pPr>
      <w:r>
        <w:rPr>
          <w:color w:val="4472C4" w:themeColor="accent1"/>
          <w:u w:val="single"/>
        </w:rPr>
        <w:t>Review’s</w:t>
      </w:r>
      <w:r w:rsidR="00DC247B" w:rsidRPr="00DC247B">
        <w:rPr>
          <w:color w:val="4472C4" w:themeColor="accent1"/>
          <w:u w:val="single"/>
        </w:rPr>
        <w:t xml:space="preserve"> comments/responses to </w:t>
      </w:r>
      <w:r>
        <w:rPr>
          <w:color w:val="4472C4" w:themeColor="accent1"/>
          <w:u w:val="single"/>
        </w:rPr>
        <w:t xml:space="preserve">the revision and </w:t>
      </w:r>
      <w:r w:rsidR="00DC247B" w:rsidRPr="00DC247B">
        <w:rPr>
          <w:color w:val="4472C4" w:themeColor="accent1"/>
          <w:u w:val="single"/>
        </w:rPr>
        <w:t>author’s re</w:t>
      </w:r>
      <w:r w:rsidR="008941D3">
        <w:rPr>
          <w:color w:val="4472C4" w:themeColor="accent1"/>
          <w:u w:val="single"/>
        </w:rPr>
        <w:t>s</w:t>
      </w:r>
      <w:r w:rsidR="00DC247B" w:rsidRPr="00DC247B">
        <w:rPr>
          <w:color w:val="4472C4" w:themeColor="accent1"/>
          <w:u w:val="single"/>
        </w:rPr>
        <w:t>po</w:t>
      </w:r>
      <w:r w:rsidR="008941D3">
        <w:rPr>
          <w:color w:val="4472C4" w:themeColor="accent1"/>
          <w:u w:val="single"/>
        </w:rPr>
        <w:t>n</w:t>
      </w:r>
      <w:bookmarkStart w:id="0" w:name="_GoBack"/>
      <w:bookmarkEnd w:id="0"/>
      <w:r w:rsidR="00DC247B" w:rsidRPr="00DC247B">
        <w:rPr>
          <w:color w:val="4472C4" w:themeColor="accent1"/>
          <w:u w:val="single"/>
        </w:rPr>
        <w:t>se is marked in blue and underlined:</w:t>
      </w:r>
    </w:p>
    <w:p w14:paraId="73DEEDD9" w14:textId="77777777" w:rsidR="00B97783" w:rsidRPr="00DC247B" w:rsidRDefault="00B97783" w:rsidP="00DC247B">
      <w:pPr>
        <w:shd w:val="clear" w:color="auto" w:fill="FEFEFE"/>
        <w:tabs>
          <w:tab w:val="num" w:pos="720"/>
        </w:tabs>
        <w:spacing w:after="0" w:line="240" w:lineRule="auto"/>
        <w:rPr>
          <w:color w:val="4472C4" w:themeColor="accent1"/>
          <w:u w:val="single"/>
        </w:rPr>
      </w:pPr>
    </w:p>
    <w:p w14:paraId="233F8443" w14:textId="77777777" w:rsidR="00DC247B" w:rsidRPr="00DC247B" w:rsidRDefault="00DC247B" w:rsidP="00DC247B">
      <w:pPr>
        <w:numPr>
          <w:ilvl w:val="0"/>
          <w:numId w:val="1"/>
        </w:numPr>
        <w:shd w:val="clear" w:color="auto" w:fill="FEFEFE"/>
        <w:spacing w:after="0"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The authors suggest that this study considers the practicality of electrifying MD/HD vehicles, but it is unclear to the reviewer how it was evaluated. While different levels of charging are assigned to different vehicle types in the study, decisions are only vaguely explained or not explained at all, make the decision rather arbitrary. The level of charger needed depends on how much energy is required (or how big the battery is) and how long is the charging event, if assuming no change to fleet operation due to electrification, the battery size needs to satisfy the same driving range between refills as a diesel vehicle, and the time window for charging event would depend on vehicle down time of the operation schedule. However, authors failed to provide any of the information mentioned above about fleet operation, make it hard for the reader to evaluate how practical it is to assume certain charger for certain fleet.</w:t>
      </w:r>
    </w:p>
    <w:p w14:paraId="56C1CCCA" w14:textId="1477ED5F" w:rsidR="00DC247B" w:rsidRDefault="00DC247B" w:rsidP="00DC247B">
      <w:pPr>
        <w:shd w:val="clear" w:color="auto" w:fill="FEFEFE"/>
        <w:spacing w:before="100" w:beforeAutospacing="1" w:after="100" w:afterAutospacing="1"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Thank you for bringing this to our attention. The 14 feasibility studies on which this article is based, did not include detailed evaluation of exact battery sizes and specific charge power values. Instead, a more general approach was taken to evaluate whether typical recharging configurations could work for a vehicle in its application. As recharging costs increase with charge power, the lowest charge power solution that would allow the vehicle to perform its daily duty cycle was selected. We have added lines 116-125 to the document to explain this to the reader.</w:t>
      </w:r>
    </w:p>
    <w:p w14:paraId="57DA113A" w14:textId="38238F74" w:rsidR="00DC247B" w:rsidRPr="00DC247B" w:rsidRDefault="00DC247B" w:rsidP="00DC247B">
      <w:pPr>
        <w:shd w:val="clear" w:color="auto" w:fill="FEFEFE"/>
        <w:spacing w:before="100" w:beforeAutospacing="1" w:after="100" w:afterAutospacing="1" w:line="240" w:lineRule="auto"/>
        <w:rPr>
          <w:rFonts w:ascii="Arial" w:eastAsia="Times New Roman" w:hAnsi="Arial" w:cs="Arial"/>
          <w:color w:val="4472C4" w:themeColor="accent1"/>
          <w:sz w:val="20"/>
          <w:szCs w:val="20"/>
          <w:u w:val="single"/>
          <w:lang w:eastAsia="zh-TW"/>
        </w:rPr>
      </w:pPr>
      <w:r>
        <w:rPr>
          <w:rFonts w:ascii="Arial" w:eastAsia="Times New Roman" w:hAnsi="Arial" w:cs="Arial"/>
          <w:color w:val="4472C4" w:themeColor="accent1"/>
          <w:sz w:val="20"/>
          <w:szCs w:val="20"/>
          <w:u w:val="single"/>
          <w:lang w:eastAsia="zh-TW"/>
        </w:rPr>
        <w:t>I don’t think the author can claim these are “feasibility” studies when there is little consideration about how</w:t>
      </w:r>
      <w:r w:rsidR="00EC0C3B">
        <w:rPr>
          <w:rFonts w:ascii="Arial" w:eastAsia="Times New Roman" w:hAnsi="Arial" w:cs="Arial"/>
          <w:color w:val="4472C4" w:themeColor="accent1"/>
          <w:sz w:val="20"/>
          <w:szCs w:val="20"/>
          <w:u w:val="single"/>
          <w:lang w:eastAsia="zh-TW"/>
        </w:rPr>
        <w:t>/if</w:t>
      </w:r>
      <w:r>
        <w:rPr>
          <w:rFonts w:ascii="Arial" w:eastAsia="Times New Roman" w:hAnsi="Arial" w:cs="Arial"/>
          <w:color w:val="4472C4" w:themeColor="accent1"/>
          <w:sz w:val="20"/>
          <w:szCs w:val="20"/>
          <w:u w:val="single"/>
          <w:lang w:eastAsia="zh-TW"/>
        </w:rPr>
        <w:t xml:space="preserve"> charging</w:t>
      </w:r>
      <w:r w:rsidR="00EC0C3B">
        <w:rPr>
          <w:rFonts w:ascii="Arial" w:eastAsia="Times New Roman" w:hAnsi="Arial" w:cs="Arial"/>
          <w:color w:val="4472C4" w:themeColor="accent1"/>
          <w:sz w:val="20"/>
          <w:szCs w:val="20"/>
          <w:u w:val="single"/>
          <w:lang w:eastAsia="zh-TW"/>
        </w:rPr>
        <w:t xml:space="preserve"> can be done to fit current fleet operation</w:t>
      </w:r>
      <w:r w:rsidR="00E406D4">
        <w:rPr>
          <w:rFonts w:ascii="Arial" w:eastAsia="Times New Roman" w:hAnsi="Arial" w:cs="Arial"/>
          <w:color w:val="4472C4" w:themeColor="accent1"/>
          <w:sz w:val="20"/>
          <w:szCs w:val="20"/>
          <w:u w:val="single"/>
          <w:lang w:eastAsia="zh-TW"/>
        </w:rPr>
        <w:t xml:space="preserve">. If authors would like to claim that L3-50kW charger is good enough for electric city busses, they should at least provide their assumptions on </w:t>
      </w:r>
      <w:r w:rsidR="0047528A">
        <w:rPr>
          <w:rFonts w:ascii="Arial" w:eastAsia="Times New Roman" w:hAnsi="Arial" w:cs="Arial"/>
          <w:color w:val="4472C4" w:themeColor="accent1"/>
          <w:sz w:val="20"/>
          <w:szCs w:val="20"/>
          <w:u w:val="single"/>
          <w:lang w:eastAsia="zh-TW"/>
        </w:rPr>
        <w:t xml:space="preserve">available </w:t>
      </w:r>
      <w:r w:rsidR="00E406D4">
        <w:rPr>
          <w:rFonts w:ascii="Arial" w:eastAsia="Times New Roman" w:hAnsi="Arial" w:cs="Arial"/>
          <w:color w:val="4472C4" w:themeColor="accent1"/>
          <w:sz w:val="20"/>
          <w:szCs w:val="20"/>
          <w:u w:val="single"/>
          <w:lang w:eastAsia="zh-TW"/>
        </w:rPr>
        <w:t>recharging time per day and size of battery, driving distance</w:t>
      </w:r>
      <w:r w:rsidR="0047528A">
        <w:rPr>
          <w:rFonts w:ascii="Arial" w:eastAsia="Times New Roman" w:hAnsi="Arial" w:cs="Arial"/>
          <w:color w:val="4472C4" w:themeColor="accent1"/>
          <w:sz w:val="20"/>
          <w:szCs w:val="20"/>
          <w:u w:val="single"/>
          <w:lang w:eastAsia="zh-TW"/>
        </w:rPr>
        <w:t xml:space="preserve"> between refuels</w:t>
      </w:r>
      <w:r w:rsidR="00E406D4">
        <w:rPr>
          <w:rFonts w:ascii="Arial" w:eastAsia="Times New Roman" w:hAnsi="Arial" w:cs="Arial"/>
          <w:color w:val="4472C4" w:themeColor="accent1"/>
          <w:sz w:val="20"/>
          <w:szCs w:val="20"/>
          <w:u w:val="single"/>
          <w:lang w:eastAsia="zh-TW"/>
        </w:rPr>
        <w:t>, and vehicle efficiency (already provided) to convince readers that the charging power is adequa</w:t>
      </w:r>
      <w:r w:rsidR="0047528A">
        <w:rPr>
          <w:rFonts w:ascii="Arial" w:eastAsia="Times New Roman" w:hAnsi="Arial" w:cs="Arial"/>
          <w:color w:val="4472C4" w:themeColor="accent1"/>
          <w:sz w:val="20"/>
          <w:szCs w:val="20"/>
          <w:u w:val="single"/>
          <w:lang w:eastAsia="zh-TW"/>
        </w:rPr>
        <w:t xml:space="preserve">te </w:t>
      </w:r>
      <w:r w:rsidR="00E406D4">
        <w:rPr>
          <w:rFonts w:ascii="Arial" w:eastAsia="Times New Roman" w:hAnsi="Arial" w:cs="Arial"/>
          <w:color w:val="4472C4" w:themeColor="accent1"/>
          <w:sz w:val="20"/>
          <w:szCs w:val="20"/>
          <w:u w:val="single"/>
          <w:lang w:eastAsia="zh-TW"/>
        </w:rPr>
        <w:t>for such vehicle</w:t>
      </w:r>
      <w:r w:rsidR="0047528A">
        <w:rPr>
          <w:rFonts w:ascii="Arial" w:eastAsia="Times New Roman" w:hAnsi="Arial" w:cs="Arial"/>
          <w:color w:val="4472C4" w:themeColor="accent1"/>
          <w:sz w:val="20"/>
          <w:szCs w:val="20"/>
          <w:u w:val="single"/>
          <w:lang w:eastAsia="zh-TW"/>
        </w:rPr>
        <w:t xml:space="preserve"> </w:t>
      </w:r>
      <w:r w:rsidR="00E406D4">
        <w:rPr>
          <w:rFonts w:ascii="Arial" w:eastAsia="Times New Roman" w:hAnsi="Arial" w:cs="Arial"/>
          <w:color w:val="4472C4" w:themeColor="accent1"/>
          <w:sz w:val="20"/>
          <w:szCs w:val="20"/>
          <w:u w:val="single"/>
          <w:lang w:eastAsia="zh-TW"/>
        </w:rPr>
        <w:t xml:space="preserve">to </w:t>
      </w:r>
      <w:r w:rsidR="0047528A">
        <w:rPr>
          <w:rFonts w:ascii="Arial" w:eastAsia="Times New Roman" w:hAnsi="Arial" w:cs="Arial"/>
          <w:color w:val="4472C4" w:themeColor="accent1"/>
          <w:sz w:val="20"/>
          <w:szCs w:val="20"/>
          <w:u w:val="single"/>
          <w:lang w:eastAsia="zh-TW"/>
        </w:rPr>
        <w:t xml:space="preserve">be fully charged before next trip. The added lines seem to suggest </w:t>
      </w:r>
      <w:r w:rsidR="00B97783">
        <w:rPr>
          <w:rFonts w:ascii="Arial" w:eastAsia="Times New Roman" w:hAnsi="Arial" w:cs="Arial"/>
          <w:color w:val="4472C4" w:themeColor="accent1"/>
          <w:sz w:val="20"/>
          <w:szCs w:val="20"/>
          <w:u w:val="single"/>
          <w:lang w:eastAsia="zh-TW"/>
        </w:rPr>
        <w:t>such information</w:t>
      </w:r>
      <w:r w:rsidR="0047528A">
        <w:rPr>
          <w:rFonts w:ascii="Arial" w:eastAsia="Times New Roman" w:hAnsi="Arial" w:cs="Arial"/>
          <w:color w:val="4472C4" w:themeColor="accent1"/>
          <w:sz w:val="20"/>
          <w:szCs w:val="20"/>
          <w:u w:val="single"/>
          <w:lang w:eastAsia="zh-TW"/>
        </w:rPr>
        <w:t xml:space="preserve"> is used to decide charging power, but </w:t>
      </w:r>
      <w:r w:rsidR="00B97783">
        <w:rPr>
          <w:rFonts w:ascii="Arial" w:eastAsia="Times New Roman" w:hAnsi="Arial" w:cs="Arial"/>
          <w:color w:val="4472C4" w:themeColor="accent1"/>
          <w:sz w:val="20"/>
          <w:szCs w:val="20"/>
          <w:u w:val="single"/>
          <w:lang w:eastAsia="zh-TW"/>
        </w:rPr>
        <w:t>no specifics are provided. T</w:t>
      </w:r>
      <w:r w:rsidR="0047528A">
        <w:rPr>
          <w:rFonts w:ascii="Arial" w:eastAsia="Times New Roman" w:hAnsi="Arial" w:cs="Arial"/>
          <w:color w:val="4472C4" w:themeColor="accent1"/>
          <w:sz w:val="20"/>
          <w:szCs w:val="20"/>
          <w:u w:val="single"/>
          <w:lang w:eastAsia="zh-TW"/>
        </w:rPr>
        <w:t>h</w:t>
      </w:r>
      <w:r w:rsidR="00B97783">
        <w:rPr>
          <w:rFonts w:ascii="Arial" w:eastAsia="Times New Roman" w:hAnsi="Arial" w:cs="Arial"/>
          <w:color w:val="4472C4" w:themeColor="accent1"/>
          <w:sz w:val="20"/>
          <w:szCs w:val="20"/>
          <w:u w:val="single"/>
          <w:lang w:eastAsia="zh-TW"/>
        </w:rPr>
        <w:t>ose</w:t>
      </w:r>
      <w:r w:rsidR="0047528A">
        <w:rPr>
          <w:rFonts w:ascii="Arial" w:eastAsia="Times New Roman" w:hAnsi="Arial" w:cs="Arial"/>
          <w:color w:val="4472C4" w:themeColor="accent1"/>
          <w:sz w:val="20"/>
          <w:szCs w:val="20"/>
          <w:u w:val="single"/>
          <w:lang w:eastAsia="zh-TW"/>
        </w:rPr>
        <w:t xml:space="preserve"> assumption</w:t>
      </w:r>
      <w:r w:rsidR="00B97783">
        <w:rPr>
          <w:rFonts w:ascii="Arial" w:eastAsia="Times New Roman" w:hAnsi="Arial" w:cs="Arial"/>
          <w:color w:val="4472C4" w:themeColor="accent1"/>
          <w:sz w:val="20"/>
          <w:szCs w:val="20"/>
          <w:u w:val="single"/>
          <w:lang w:eastAsia="zh-TW"/>
        </w:rPr>
        <w:t>s</w:t>
      </w:r>
      <w:r w:rsidR="0047528A">
        <w:rPr>
          <w:rFonts w:ascii="Arial" w:eastAsia="Times New Roman" w:hAnsi="Arial" w:cs="Arial"/>
          <w:color w:val="4472C4" w:themeColor="accent1"/>
          <w:sz w:val="20"/>
          <w:szCs w:val="20"/>
          <w:u w:val="single"/>
          <w:lang w:eastAsia="zh-TW"/>
        </w:rPr>
        <w:t xml:space="preserve"> should be </w:t>
      </w:r>
      <w:r w:rsidR="00B97783">
        <w:rPr>
          <w:rFonts w:ascii="Arial" w:eastAsia="Times New Roman" w:hAnsi="Arial" w:cs="Arial"/>
          <w:color w:val="4472C4" w:themeColor="accent1"/>
          <w:sz w:val="20"/>
          <w:szCs w:val="20"/>
          <w:u w:val="single"/>
          <w:lang w:eastAsia="zh-TW"/>
        </w:rPr>
        <w:t xml:space="preserve">clearly explained </w:t>
      </w:r>
      <w:r w:rsidR="0047528A">
        <w:rPr>
          <w:rFonts w:ascii="Arial" w:eastAsia="Times New Roman" w:hAnsi="Arial" w:cs="Arial"/>
          <w:color w:val="4472C4" w:themeColor="accent1"/>
          <w:sz w:val="20"/>
          <w:szCs w:val="20"/>
          <w:u w:val="single"/>
          <w:lang w:eastAsia="zh-TW"/>
        </w:rPr>
        <w:t>for each vehicle type</w:t>
      </w:r>
      <w:r w:rsidR="00B97783">
        <w:rPr>
          <w:rFonts w:ascii="Arial" w:eastAsia="Times New Roman" w:hAnsi="Arial" w:cs="Arial"/>
          <w:color w:val="4472C4" w:themeColor="accent1"/>
          <w:sz w:val="20"/>
          <w:szCs w:val="20"/>
          <w:u w:val="single"/>
          <w:lang w:eastAsia="zh-TW"/>
        </w:rPr>
        <w:t xml:space="preserve"> and added to</w:t>
      </w:r>
      <w:r w:rsidR="0047528A">
        <w:rPr>
          <w:rFonts w:ascii="Arial" w:eastAsia="Times New Roman" w:hAnsi="Arial" w:cs="Arial"/>
          <w:color w:val="4472C4" w:themeColor="accent1"/>
          <w:sz w:val="20"/>
          <w:szCs w:val="20"/>
          <w:u w:val="single"/>
          <w:lang w:eastAsia="zh-TW"/>
        </w:rPr>
        <w:t xml:space="preserve"> Table 4</w:t>
      </w:r>
      <w:r w:rsidR="00B97783">
        <w:rPr>
          <w:rFonts w:ascii="Arial" w:eastAsia="Times New Roman" w:hAnsi="Arial" w:cs="Arial"/>
          <w:color w:val="4472C4" w:themeColor="accent1"/>
          <w:sz w:val="20"/>
          <w:szCs w:val="20"/>
          <w:u w:val="single"/>
          <w:lang w:eastAsia="zh-TW"/>
        </w:rPr>
        <w:t>/5/6 (or listed in a separate table).</w:t>
      </w:r>
      <w:r w:rsidR="0047528A">
        <w:rPr>
          <w:rFonts w:ascii="Arial" w:eastAsia="Times New Roman" w:hAnsi="Arial" w:cs="Arial"/>
          <w:color w:val="4472C4" w:themeColor="accent1"/>
          <w:sz w:val="20"/>
          <w:szCs w:val="20"/>
          <w:u w:val="single"/>
          <w:lang w:eastAsia="zh-TW"/>
        </w:rPr>
        <w:t xml:space="preserve">  </w:t>
      </w:r>
      <w:r w:rsidR="00E406D4">
        <w:rPr>
          <w:rFonts w:ascii="Arial" w:eastAsia="Times New Roman" w:hAnsi="Arial" w:cs="Arial"/>
          <w:color w:val="4472C4" w:themeColor="accent1"/>
          <w:sz w:val="20"/>
          <w:szCs w:val="20"/>
          <w:u w:val="single"/>
          <w:lang w:eastAsia="zh-TW"/>
        </w:rPr>
        <w:t xml:space="preserve"> </w:t>
      </w:r>
      <w:r w:rsidR="00EC0C3B">
        <w:rPr>
          <w:rFonts w:ascii="Arial" w:eastAsia="Times New Roman" w:hAnsi="Arial" w:cs="Arial"/>
          <w:color w:val="4472C4" w:themeColor="accent1"/>
          <w:sz w:val="20"/>
          <w:szCs w:val="20"/>
          <w:u w:val="single"/>
          <w:lang w:eastAsia="zh-TW"/>
        </w:rPr>
        <w:t xml:space="preserve"> </w:t>
      </w:r>
      <w:r>
        <w:rPr>
          <w:rFonts w:ascii="Arial" w:eastAsia="Times New Roman" w:hAnsi="Arial" w:cs="Arial"/>
          <w:color w:val="4472C4" w:themeColor="accent1"/>
          <w:sz w:val="20"/>
          <w:szCs w:val="20"/>
          <w:u w:val="single"/>
          <w:lang w:eastAsia="zh-TW"/>
        </w:rPr>
        <w:t xml:space="preserve">  </w:t>
      </w:r>
    </w:p>
    <w:p w14:paraId="63DA420A" w14:textId="77777777" w:rsidR="00DC247B" w:rsidRPr="00DC247B" w:rsidRDefault="00DC247B" w:rsidP="00DC247B">
      <w:pPr>
        <w:numPr>
          <w:ilvl w:val="0"/>
          <w:numId w:val="2"/>
        </w:numPr>
        <w:shd w:val="clear" w:color="auto" w:fill="FEFEFE"/>
        <w:spacing w:after="0"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On page 4, line 128, diesel city bus fuel consumption is assumed to be 78L/100km, cite reference [36] (https://afdc.energy.gov/data/10310). However, the referenced data has transit bus (“city bus” is not one of the categories in the data, but transit bus is) fuel economy at 3.7 MPG diesel, which is equivalent to 64L/100km, that is much lower than the number used by this study. Reference [36] is also used for fuel consumptions for other diesel vehicles (school bus, refuse truck, long-haul truck) in this study, with no discrepancy between [36] and this study. The authors should either correct the fuel consumption for diesel city bus to reflect the cited data, or a correct citation should be provided to support the 78L/100km fuel consumption for diesel city bus.</w:t>
      </w:r>
    </w:p>
    <w:p w14:paraId="3BFFB04F" w14:textId="4BCE381E" w:rsidR="00DC247B" w:rsidRDefault="00DC247B" w:rsidP="00DC247B">
      <w:pPr>
        <w:shd w:val="clear" w:color="auto" w:fill="FEFEFE"/>
        <w:spacing w:before="100" w:beforeAutospacing="1" w:after="100" w:afterAutospacing="1"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We appreciate the reviewer pointing out this discrepancy to us. City bus refers to transit bus in this paper. We used an older copy of the data from DOE which showed a lower fuel economy of 3.0 MPG diesel (78 L/100km) for the transit bus. We have updated our results with the latest data 3.7 MPG diesel (64 L/100km) in Table 4 and the context and Figures accordingly.</w:t>
      </w:r>
    </w:p>
    <w:p w14:paraId="414BB7C8" w14:textId="083825F2" w:rsidR="00DC247B" w:rsidRPr="00DC247B" w:rsidRDefault="00DC247B" w:rsidP="00DC247B">
      <w:pPr>
        <w:shd w:val="clear" w:color="auto" w:fill="FEFEFE"/>
        <w:spacing w:before="100" w:beforeAutospacing="1" w:after="100" w:afterAutospacing="1" w:line="240" w:lineRule="auto"/>
        <w:rPr>
          <w:rFonts w:ascii="Arial" w:eastAsia="Times New Roman" w:hAnsi="Arial" w:cs="Arial"/>
          <w:color w:val="4472C4" w:themeColor="accent1"/>
          <w:sz w:val="20"/>
          <w:szCs w:val="20"/>
          <w:u w:val="single"/>
          <w:lang w:eastAsia="zh-TW"/>
        </w:rPr>
      </w:pPr>
      <w:r w:rsidRPr="00DC247B">
        <w:rPr>
          <w:rFonts w:ascii="Arial" w:eastAsia="Times New Roman" w:hAnsi="Arial" w:cs="Arial"/>
          <w:color w:val="4472C4" w:themeColor="accent1"/>
          <w:sz w:val="20"/>
          <w:szCs w:val="20"/>
          <w:u w:val="single"/>
          <w:lang w:eastAsia="zh-TW"/>
        </w:rPr>
        <w:t xml:space="preserve">Thank you for </w:t>
      </w:r>
      <w:r>
        <w:rPr>
          <w:rFonts w:ascii="Arial" w:eastAsia="Times New Roman" w:hAnsi="Arial" w:cs="Arial"/>
          <w:color w:val="4472C4" w:themeColor="accent1"/>
          <w:sz w:val="20"/>
          <w:szCs w:val="20"/>
          <w:u w:val="single"/>
          <w:lang w:eastAsia="zh-TW"/>
        </w:rPr>
        <w:t>considering my comment</w:t>
      </w:r>
      <w:r w:rsidR="00B97783">
        <w:rPr>
          <w:rFonts w:ascii="Arial" w:eastAsia="Times New Roman" w:hAnsi="Arial" w:cs="Arial"/>
          <w:color w:val="4472C4" w:themeColor="accent1"/>
          <w:sz w:val="20"/>
          <w:szCs w:val="20"/>
          <w:u w:val="single"/>
          <w:lang w:eastAsia="zh-TW"/>
        </w:rPr>
        <w:t xml:space="preserve">, I am satisfied with the </w:t>
      </w:r>
      <w:r>
        <w:rPr>
          <w:rFonts w:ascii="Arial" w:eastAsia="Times New Roman" w:hAnsi="Arial" w:cs="Arial"/>
          <w:color w:val="4472C4" w:themeColor="accent1"/>
          <w:sz w:val="20"/>
          <w:szCs w:val="20"/>
          <w:u w:val="single"/>
          <w:lang w:eastAsia="zh-TW"/>
        </w:rPr>
        <w:t>updat</w:t>
      </w:r>
      <w:r w:rsidR="00B97783">
        <w:rPr>
          <w:rFonts w:ascii="Arial" w:eastAsia="Times New Roman" w:hAnsi="Arial" w:cs="Arial"/>
          <w:color w:val="4472C4" w:themeColor="accent1"/>
          <w:sz w:val="20"/>
          <w:szCs w:val="20"/>
          <w:u w:val="single"/>
          <w:lang w:eastAsia="zh-TW"/>
        </w:rPr>
        <w:t>e</w:t>
      </w:r>
      <w:r>
        <w:rPr>
          <w:rFonts w:ascii="Arial" w:eastAsia="Times New Roman" w:hAnsi="Arial" w:cs="Arial"/>
          <w:color w:val="4472C4" w:themeColor="accent1"/>
          <w:sz w:val="20"/>
          <w:szCs w:val="20"/>
          <w:u w:val="single"/>
          <w:lang w:eastAsia="zh-TW"/>
        </w:rPr>
        <w:t>.</w:t>
      </w:r>
    </w:p>
    <w:p w14:paraId="5974C5AD" w14:textId="77777777" w:rsidR="00DC247B" w:rsidRPr="00DC247B" w:rsidRDefault="00DC247B" w:rsidP="00DC247B">
      <w:pPr>
        <w:numPr>
          <w:ilvl w:val="0"/>
          <w:numId w:val="3"/>
        </w:numPr>
        <w:shd w:val="clear" w:color="auto" w:fill="FEFEFE"/>
        <w:spacing w:after="0"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The study calculated electricity cost (fuel cost for electric vehicle) without considering charging efficiency (loss), it is typical to have 10%-15% energy loss during charging for electric vehicle, which means that paying for 100 kWh of electricity to charge the vehicle would only supply 85-90kWh for driving. Ignoring charging efficiency would have the effect to underestimate electricity consumption for electric vehicles, so fuel costs for electric vehicles in this study are 10%-15% less than it should be.</w:t>
      </w:r>
    </w:p>
    <w:p w14:paraId="6FD06E2A" w14:textId="2B9740E5" w:rsidR="00DC247B" w:rsidRDefault="00DC247B" w:rsidP="00DC247B">
      <w:pPr>
        <w:shd w:val="clear" w:color="auto" w:fill="FEFEFE"/>
        <w:spacing w:before="100" w:beforeAutospacing="1" w:after="100" w:afterAutospacing="1"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 xml:space="preserve">Thanks for this valuable comment. We fully agree that charging efficiency should be considered in the fuel cost. However, our references do not mention whether the electric vehicle fuel economy (kWh/km) is </w:t>
      </w:r>
      <w:r w:rsidRPr="00DC247B">
        <w:rPr>
          <w:rFonts w:ascii="Arial" w:eastAsia="Times New Roman" w:hAnsi="Arial" w:cs="Arial"/>
          <w:color w:val="0A0A0A"/>
          <w:sz w:val="20"/>
          <w:szCs w:val="20"/>
          <w:lang w:eastAsia="zh-TW"/>
        </w:rPr>
        <w:lastRenderedPageBreak/>
        <w:t>based on DC battery kWhs or on AC grid kWhs. For passenger vehicles, the ‘window sticker’ represents AC grid power consumption. We therefore assumed that all performance data from our sources is related to the amount of AC grid power required. We indicated this in line 185-191.</w:t>
      </w:r>
    </w:p>
    <w:p w14:paraId="1CCB03A7" w14:textId="099B8FCD" w:rsidR="00DC247B" w:rsidRPr="00DC247B" w:rsidRDefault="00DC247B" w:rsidP="00DC247B">
      <w:pPr>
        <w:shd w:val="clear" w:color="auto" w:fill="FEFEFE"/>
        <w:spacing w:before="100" w:beforeAutospacing="1" w:after="100" w:afterAutospacing="1" w:line="240" w:lineRule="auto"/>
        <w:rPr>
          <w:rFonts w:ascii="Arial" w:eastAsia="Times New Roman" w:hAnsi="Arial" w:cs="Arial"/>
          <w:color w:val="4472C4" w:themeColor="accent1"/>
          <w:sz w:val="20"/>
          <w:szCs w:val="20"/>
          <w:u w:val="single"/>
          <w:lang w:eastAsia="zh-TW"/>
        </w:rPr>
      </w:pPr>
      <w:r w:rsidRPr="00DC247B">
        <w:rPr>
          <w:rFonts w:ascii="Arial" w:eastAsia="Times New Roman" w:hAnsi="Arial" w:cs="Arial"/>
          <w:color w:val="4472C4" w:themeColor="accent1"/>
          <w:sz w:val="20"/>
          <w:szCs w:val="20"/>
          <w:u w:val="single"/>
          <w:lang w:eastAsia="zh-TW"/>
        </w:rPr>
        <w:t xml:space="preserve">Thank you for </w:t>
      </w:r>
      <w:r>
        <w:rPr>
          <w:rFonts w:ascii="Arial" w:eastAsia="Times New Roman" w:hAnsi="Arial" w:cs="Arial"/>
          <w:color w:val="4472C4" w:themeColor="accent1"/>
          <w:sz w:val="20"/>
          <w:szCs w:val="20"/>
          <w:u w:val="single"/>
          <w:lang w:eastAsia="zh-TW"/>
        </w:rPr>
        <w:t>considering my comment and making it clear in the text</w:t>
      </w:r>
      <w:r w:rsidR="00B97783">
        <w:rPr>
          <w:rFonts w:ascii="Arial" w:eastAsia="Times New Roman" w:hAnsi="Arial" w:cs="Arial"/>
          <w:color w:val="4472C4" w:themeColor="accent1"/>
          <w:sz w:val="20"/>
          <w:szCs w:val="20"/>
          <w:u w:val="single"/>
          <w:lang w:eastAsia="zh-TW"/>
        </w:rPr>
        <w:t>, I am satisfied with the update</w:t>
      </w:r>
      <w:r>
        <w:rPr>
          <w:rFonts w:ascii="Arial" w:eastAsia="Times New Roman" w:hAnsi="Arial" w:cs="Arial"/>
          <w:color w:val="4472C4" w:themeColor="accent1"/>
          <w:sz w:val="20"/>
          <w:szCs w:val="20"/>
          <w:u w:val="single"/>
          <w:lang w:eastAsia="zh-TW"/>
        </w:rPr>
        <w:t xml:space="preserve">. </w:t>
      </w:r>
    </w:p>
    <w:p w14:paraId="64A15872" w14:textId="77777777" w:rsidR="00DC247B" w:rsidRPr="00DC247B" w:rsidRDefault="00DC247B" w:rsidP="00DC247B">
      <w:pPr>
        <w:shd w:val="clear" w:color="auto" w:fill="FEFEFE"/>
        <w:spacing w:before="100" w:beforeAutospacing="1" w:after="100" w:afterAutospacing="1" w:line="240" w:lineRule="auto"/>
        <w:rPr>
          <w:rFonts w:ascii="Arial" w:eastAsia="Times New Roman" w:hAnsi="Arial" w:cs="Arial"/>
          <w:color w:val="0A0A0A"/>
          <w:sz w:val="20"/>
          <w:szCs w:val="20"/>
          <w:lang w:eastAsia="zh-TW"/>
        </w:rPr>
      </w:pPr>
    </w:p>
    <w:p w14:paraId="2A1F25D0" w14:textId="77777777" w:rsidR="00DC247B" w:rsidRPr="00DC247B" w:rsidRDefault="00DC247B" w:rsidP="00DC247B">
      <w:pPr>
        <w:shd w:val="clear" w:color="auto" w:fill="FEFEFE"/>
        <w:spacing w:before="100" w:beforeAutospacing="1" w:after="100" w:afterAutospacing="1"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 </w:t>
      </w:r>
    </w:p>
    <w:p w14:paraId="07FA6D6A" w14:textId="77777777" w:rsidR="00DC247B" w:rsidRPr="00DC247B" w:rsidRDefault="00DC247B" w:rsidP="00DC247B">
      <w:pPr>
        <w:numPr>
          <w:ilvl w:val="0"/>
          <w:numId w:val="4"/>
        </w:numPr>
        <w:shd w:val="clear" w:color="auto" w:fill="FEFEFE"/>
        <w:spacing w:after="0"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The author should also consider the installation and operation cost of onsite charging/refill infrastructure, including the cost of charger, installation cost, operation &amp; maintenance cost, which should also factor in the number of charges needed, based on the size of fleet.</w:t>
      </w:r>
    </w:p>
    <w:p w14:paraId="2D442E9C" w14:textId="217E72ED" w:rsidR="00DC247B" w:rsidRDefault="00DC247B" w:rsidP="00DC247B">
      <w:pPr>
        <w:shd w:val="clear" w:color="auto" w:fill="FEFEFE"/>
        <w:spacing w:before="100" w:beforeAutospacing="1" w:after="100" w:afterAutospacing="1"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 xml:space="preserve">We agree that for a detailed calculation of recharging costs </w:t>
      </w:r>
      <w:proofErr w:type="gramStart"/>
      <w:r w:rsidRPr="00DC247B">
        <w:rPr>
          <w:rFonts w:ascii="Arial" w:eastAsia="Times New Roman" w:hAnsi="Arial" w:cs="Arial"/>
          <w:color w:val="0A0A0A"/>
          <w:sz w:val="20"/>
          <w:szCs w:val="20"/>
          <w:lang w:eastAsia="zh-TW"/>
        </w:rPr>
        <w:t>all of</w:t>
      </w:r>
      <w:proofErr w:type="gramEnd"/>
      <w:r w:rsidRPr="00DC247B">
        <w:rPr>
          <w:rFonts w:ascii="Arial" w:eastAsia="Times New Roman" w:hAnsi="Arial" w:cs="Arial"/>
          <w:color w:val="0A0A0A"/>
          <w:sz w:val="20"/>
          <w:szCs w:val="20"/>
          <w:lang w:eastAsia="zh-TW"/>
        </w:rPr>
        <w:t xml:space="preserve"> the mentioned aspects should be taken into account. However, these introductory feasibility studies were not meant to be detailed design studies, but more introductory study giving a first indication of the potential to electrify certain vehicle types and applications. Therefore we have used current rates for Level </w:t>
      </w:r>
      <w:proofErr w:type="gramStart"/>
      <w:r w:rsidRPr="00DC247B">
        <w:rPr>
          <w:rFonts w:ascii="Arial" w:eastAsia="Times New Roman" w:hAnsi="Arial" w:cs="Arial"/>
          <w:color w:val="0A0A0A"/>
          <w:sz w:val="20"/>
          <w:szCs w:val="20"/>
          <w:lang w:eastAsia="zh-TW"/>
        </w:rPr>
        <w:t>2  and</w:t>
      </w:r>
      <w:proofErr w:type="gramEnd"/>
      <w:r w:rsidRPr="00DC247B">
        <w:rPr>
          <w:rFonts w:ascii="Arial" w:eastAsia="Times New Roman" w:hAnsi="Arial" w:cs="Arial"/>
          <w:color w:val="0A0A0A"/>
          <w:sz w:val="20"/>
          <w:szCs w:val="20"/>
          <w:lang w:eastAsia="zh-TW"/>
        </w:rPr>
        <w:t xml:space="preserve"> L3-50 kW recharging and estimated rates for L3-300 kW. These rates include all the cost factors given above). As this is a simplification and different local conditions may also result in differences in charging rate, we have included a sensitivity study to show the influence of the uncertainty in the charging rates.</w:t>
      </w:r>
    </w:p>
    <w:p w14:paraId="5A1CA0BC" w14:textId="2AF73BBE" w:rsidR="00DC247B" w:rsidRPr="00DC247B" w:rsidRDefault="00E07246" w:rsidP="00DC247B">
      <w:pPr>
        <w:shd w:val="clear" w:color="auto" w:fill="FEFEFE"/>
        <w:spacing w:before="100" w:beforeAutospacing="1" w:after="100" w:afterAutospacing="1" w:line="240" w:lineRule="auto"/>
        <w:rPr>
          <w:rFonts w:ascii="Arial" w:eastAsia="Times New Roman" w:hAnsi="Arial" w:cs="Arial"/>
          <w:color w:val="4472C4" w:themeColor="accent1"/>
          <w:sz w:val="20"/>
          <w:szCs w:val="20"/>
          <w:u w:val="single"/>
          <w:lang w:eastAsia="zh-TW"/>
        </w:rPr>
      </w:pPr>
      <w:r>
        <w:rPr>
          <w:rFonts w:ascii="Arial" w:eastAsia="Times New Roman" w:hAnsi="Arial" w:cs="Arial"/>
          <w:color w:val="4472C4" w:themeColor="accent1"/>
          <w:sz w:val="20"/>
          <w:szCs w:val="20"/>
          <w:u w:val="single"/>
          <w:lang w:eastAsia="zh-TW"/>
        </w:rPr>
        <w:t>As</w:t>
      </w:r>
      <w:r w:rsidR="00EC0C3B">
        <w:rPr>
          <w:rFonts w:ascii="Arial" w:eastAsia="Times New Roman" w:hAnsi="Arial" w:cs="Arial"/>
          <w:color w:val="4472C4" w:themeColor="accent1"/>
          <w:sz w:val="20"/>
          <w:szCs w:val="20"/>
          <w:u w:val="single"/>
          <w:lang w:eastAsia="zh-TW"/>
        </w:rPr>
        <w:t xml:space="preserve"> mentioned in </w:t>
      </w:r>
      <w:r>
        <w:rPr>
          <w:rFonts w:ascii="Arial" w:eastAsia="Times New Roman" w:hAnsi="Arial" w:cs="Arial"/>
          <w:color w:val="4472C4" w:themeColor="accent1"/>
          <w:sz w:val="20"/>
          <w:szCs w:val="20"/>
          <w:u w:val="single"/>
          <w:lang w:eastAsia="zh-TW"/>
        </w:rPr>
        <w:t xml:space="preserve">reviewer’s </w:t>
      </w:r>
      <w:r w:rsidR="00EC0C3B">
        <w:rPr>
          <w:rFonts w:ascii="Arial" w:eastAsia="Times New Roman" w:hAnsi="Arial" w:cs="Arial"/>
          <w:color w:val="4472C4" w:themeColor="accent1"/>
          <w:sz w:val="20"/>
          <w:szCs w:val="20"/>
          <w:u w:val="single"/>
          <w:lang w:eastAsia="zh-TW"/>
        </w:rPr>
        <w:t xml:space="preserve">response for Comment #1, </w:t>
      </w:r>
      <w:r w:rsidR="002B4FE0">
        <w:rPr>
          <w:rFonts w:ascii="Arial" w:eastAsia="Times New Roman" w:hAnsi="Arial" w:cs="Arial"/>
          <w:color w:val="4472C4" w:themeColor="accent1"/>
          <w:sz w:val="20"/>
          <w:szCs w:val="20"/>
          <w:u w:val="single"/>
          <w:lang w:eastAsia="zh-TW"/>
        </w:rPr>
        <w:t xml:space="preserve">it makes little sense to claim it is feasible to </w:t>
      </w:r>
      <w:r w:rsidR="0076169B">
        <w:rPr>
          <w:rFonts w:ascii="Arial" w:eastAsia="Times New Roman" w:hAnsi="Arial" w:cs="Arial"/>
          <w:color w:val="4472C4" w:themeColor="accent1"/>
          <w:sz w:val="20"/>
          <w:szCs w:val="20"/>
          <w:u w:val="single"/>
          <w:lang w:eastAsia="zh-TW"/>
        </w:rPr>
        <w:t xml:space="preserve">electrify those fleet vehicles without considering the size and operation details of the fleet. </w:t>
      </w:r>
      <w:r w:rsidR="00F2306B">
        <w:rPr>
          <w:rFonts w:ascii="Arial" w:eastAsia="Times New Roman" w:hAnsi="Arial" w:cs="Arial"/>
          <w:color w:val="4472C4" w:themeColor="accent1"/>
          <w:sz w:val="20"/>
          <w:szCs w:val="20"/>
          <w:u w:val="single"/>
          <w:lang w:eastAsia="zh-TW"/>
        </w:rPr>
        <w:t>For example, o</w:t>
      </w:r>
      <w:r w:rsidR="0076169B">
        <w:rPr>
          <w:rFonts w:ascii="Arial" w:eastAsia="Times New Roman" w:hAnsi="Arial" w:cs="Arial"/>
          <w:color w:val="4472C4" w:themeColor="accent1"/>
          <w:sz w:val="20"/>
          <w:szCs w:val="20"/>
          <w:u w:val="single"/>
          <w:lang w:eastAsia="zh-TW"/>
        </w:rPr>
        <w:t xml:space="preserve">ne </w:t>
      </w:r>
      <w:r w:rsidR="00C46FE9">
        <w:rPr>
          <w:rFonts w:ascii="Arial" w:eastAsia="Times New Roman" w:hAnsi="Arial" w:cs="Arial"/>
          <w:color w:val="4472C4" w:themeColor="accent1"/>
          <w:sz w:val="20"/>
          <w:szCs w:val="20"/>
          <w:u w:val="single"/>
          <w:lang w:eastAsia="zh-TW"/>
        </w:rPr>
        <w:t xml:space="preserve">electric </w:t>
      </w:r>
      <w:r w:rsidR="0076169B">
        <w:rPr>
          <w:rFonts w:ascii="Arial" w:eastAsia="Times New Roman" w:hAnsi="Arial" w:cs="Arial"/>
          <w:color w:val="4472C4" w:themeColor="accent1"/>
          <w:sz w:val="20"/>
          <w:szCs w:val="20"/>
          <w:u w:val="single"/>
          <w:lang w:eastAsia="zh-TW"/>
        </w:rPr>
        <w:t xml:space="preserve">city bus may be able to be fully charged overnight with a L3-50W charger, but a fleet of </w:t>
      </w:r>
      <w:r w:rsidR="00F2306B">
        <w:rPr>
          <w:rFonts w:ascii="Arial" w:eastAsia="Times New Roman" w:hAnsi="Arial" w:cs="Arial"/>
          <w:color w:val="4472C4" w:themeColor="accent1"/>
          <w:sz w:val="20"/>
          <w:szCs w:val="20"/>
          <w:u w:val="single"/>
          <w:lang w:eastAsia="zh-TW"/>
        </w:rPr>
        <w:t>100</w:t>
      </w:r>
      <w:r w:rsidR="0076169B">
        <w:rPr>
          <w:rFonts w:ascii="Arial" w:eastAsia="Times New Roman" w:hAnsi="Arial" w:cs="Arial"/>
          <w:color w:val="4472C4" w:themeColor="accent1"/>
          <w:sz w:val="20"/>
          <w:szCs w:val="20"/>
          <w:u w:val="single"/>
          <w:lang w:eastAsia="zh-TW"/>
        </w:rPr>
        <w:t xml:space="preserve"> </w:t>
      </w:r>
      <w:r w:rsidR="00C46FE9">
        <w:rPr>
          <w:rFonts w:ascii="Arial" w:eastAsia="Times New Roman" w:hAnsi="Arial" w:cs="Arial"/>
          <w:color w:val="4472C4" w:themeColor="accent1"/>
          <w:sz w:val="20"/>
          <w:szCs w:val="20"/>
          <w:u w:val="single"/>
          <w:lang w:eastAsia="zh-TW"/>
        </w:rPr>
        <w:t xml:space="preserve">electric </w:t>
      </w:r>
      <w:r w:rsidR="0076169B">
        <w:rPr>
          <w:rFonts w:ascii="Arial" w:eastAsia="Times New Roman" w:hAnsi="Arial" w:cs="Arial"/>
          <w:color w:val="4472C4" w:themeColor="accent1"/>
          <w:sz w:val="20"/>
          <w:szCs w:val="20"/>
          <w:u w:val="single"/>
          <w:lang w:eastAsia="zh-TW"/>
        </w:rPr>
        <w:t xml:space="preserve">busses would need either </w:t>
      </w:r>
      <w:r w:rsidR="00F2306B">
        <w:rPr>
          <w:rFonts w:ascii="Arial" w:eastAsia="Times New Roman" w:hAnsi="Arial" w:cs="Arial"/>
          <w:color w:val="4472C4" w:themeColor="accent1"/>
          <w:sz w:val="20"/>
          <w:szCs w:val="20"/>
          <w:u w:val="single"/>
          <w:lang w:eastAsia="zh-TW"/>
        </w:rPr>
        <w:t>100</w:t>
      </w:r>
      <w:r w:rsidR="0076169B">
        <w:rPr>
          <w:rFonts w:ascii="Arial" w:eastAsia="Times New Roman" w:hAnsi="Arial" w:cs="Arial"/>
          <w:color w:val="4472C4" w:themeColor="accent1"/>
          <w:sz w:val="20"/>
          <w:szCs w:val="20"/>
          <w:u w:val="single"/>
          <w:lang w:eastAsia="zh-TW"/>
        </w:rPr>
        <w:t xml:space="preserve"> charg</w:t>
      </w:r>
      <w:r w:rsidR="00F2306B">
        <w:rPr>
          <w:rFonts w:ascii="Arial" w:eastAsia="Times New Roman" w:hAnsi="Arial" w:cs="Arial"/>
          <w:color w:val="4472C4" w:themeColor="accent1"/>
          <w:sz w:val="20"/>
          <w:szCs w:val="20"/>
          <w:u w:val="single"/>
          <w:lang w:eastAsia="zh-TW"/>
        </w:rPr>
        <w:t>ing stations</w:t>
      </w:r>
      <w:r w:rsidR="0076169B">
        <w:rPr>
          <w:rFonts w:ascii="Arial" w:eastAsia="Times New Roman" w:hAnsi="Arial" w:cs="Arial"/>
          <w:color w:val="4472C4" w:themeColor="accent1"/>
          <w:sz w:val="20"/>
          <w:szCs w:val="20"/>
          <w:u w:val="single"/>
          <w:lang w:eastAsia="zh-TW"/>
        </w:rPr>
        <w:t xml:space="preserve"> or </w:t>
      </w:r>
      <w:r w:rsidR="00F2306B">
        <w:rPr>
          <w:rFonts w:ascii="Arial" w:eastAsia="Times New Roman" w:hAnsi="Arial" w:cs="Arial"/>
          <w:color w:val="4472C4" w:themeColor="accent1"/>
          <w:sz w:val="20"/>
          <w:szCs w:val="20"/>
          <w:u w:val="single"/>
          <w:lang w:eastAsia="zh-TW"/>
        </w:rPr>
        <w:t>shar</w:t>
      </w:r>
      <w:r w:rsidR="00C46FE9">
        <w:rPr>
          <w:rFonts w:ascii="Arial" w:eastAsia="Times New Roman" w:hAnsi="Arial" w:cs="Arial"/>
          <w:color w:val="4472C4" w:themeColor="accent1"/>
          <w:sz w:val="20"/>
          <w:szCs w:val="20"/>
          <w:u w:val="single"/>
          <w:lang w:eastAsia="zh-TW"/>
        </w:rPr>
        <w:t>ing</w:t>
      </w:r>
      <w:r w:rsidR="00F2306B">
        <w:rPr>
          <w:rFonts w:ascii="Arial" w:eastAsia="Times New Roman" w:hAnsi="Arial" w:cs="Arial"/>
          <w:color w:val="4472C4" w:themeColor="accent1"/>
          <w:sz w:val="20"/>
          <w:szCs w:val="20"/>
          <w:u w:val="single"/>
          <w:lang w:eastAsia="zh-TW"/>
        </w:rPr>
        <w:t xml:space="preserve"> fewer chargers using faster charging. The former would require bus company to operate 100 charging stations, </w:t>
      </w:r>
      <w:r w:rsidR="00C46FE9">
        <w:rPr>
          <w:rFonts w:ascii="Arial" w:eastAsia="Times New Roman" w:hAnsi="Arial" w:cs="Arial"/>
          <w:color w:val="4472C4" w:themeColor="accent1"/>
          <w:sz w:val="20"/>
          <w:szCs w:val="20"/>
          <w:u w:val="single"/>
          <w:lang w:eastAsia="zh-TW"/>
        </w:rPr>
        <w:t xml:space="preserve">which could be challenging and costly, </w:t>
      </w:r>
      <w:r w:rsidR="00F2306B">
        <w:rPr>
          <w:rFonts w:ascii="Arial" w:eastAsia="Times New Roman" w:hAnsi="Arial" w:cs="Arial"/>
          <w:color w:val="4472C4" w:themeColor="accent1"/>
          <w:sz w:val="20"/>
          <w:szCs w:val="20"/>
          <w:u w:val="single"/>
          <w:lang w:eastAsia="zh-TW"/>
        </w:rPr>
        <w:t xml:space="preserve">and the later would result in higher electricity cost. Question like this should be addressed in the study when comparing </w:t>
      </w:r>
      <w:r w:rsidR="00C46FE9">
        <w:rPr>
          <w:rFonts w:ascii="Arial" w:eastAsia="Times New Roman" w:hAnsi="Arial" w:cs="Arial"/>
          <w:color w:val="4472C4" w:themeColor="accent1"/>
          <w:sz w:val="20"/>
          <w:szCs w:val="20"/>
          <w:u w:val="single"/>
          <w:lang w:eastAsia="zh-TW"/>
        </w:rPr>
        <w:t>electric with</w:t>
      </w:r>
      <w:r w:rsidR="00F2306B">
        <w:rPr>
          <w:rFonts w:ascii="Arial" w:eastAsia="Times New Roman" w:hAnsi="Arial" w:cs="Arial"/>
          <w:color w:val="4472C4" w:themeColor="accent1"/>
          <w:sz w:val="20"/>
          <w:szCs w:val="20"/>
          <w:u w:val="single"/>
          <w:lang w:eastAsia="zh-TW"/>
        </w:rPr>
        <w:t xml:space="preserve"> diesel and H2 in terms of feasibility and operational cost.</w:t>
      </w:r>
      <w:r>
        <w:rPr>
          <w:rFonts w:ascii="Arial" w:eastAsia="Times New Roman" w:hAnsi="Arial" w:cs="Arial"/>
          <w:color w:val="4472C4" w:themeColor="accent1"/>
          <w:sz w:val="20"/>
          <w:szCs w:val="20"/>
          <w:u w:val="single"/>
          <w:lang w:eastAsia="zh-TW"/>
        </w:rPr>
        <w:t xml:space="preserve"> Also, sensitivity analysis in the study failed to consider cases when higher charging rat</w:t>
      </w:r>
      <w:r w:rsidR="00E406D4">
        <w:rPr>
          <w:rFonts w:ascii="Arial" w:eastAsia="Times New Roman" w:hAnsi="Arial" w:cs="Arial"/>
          <w:color w:val="4472C4" w:themeColor="accent1"/>
          <w:sz w:val="20"/>
          <w:szCs w:val="20"/>
          <w:u w:val="single"/>
          <w:lang w:eastAsia="zh-TW"/>
        </w:rPr>
        <w:t xml:space="preserve">e is required, sensitivity analysis </w:t>
      </w:r>
      <w:r w:rsidR="00B97783">
        <w:rPr>
          <w:rFonts w:ascii="Arial" w:eastAsia="Times New Roman" w:hAnsi="Arial" w:cs="Arial"/>
          <w:color w:val="4472C4" w:themeColor="accent1"/>
          <w:sz w:val="20"/>
          <w:szCs w:val="20"/>
          <w:u w:val="single"/>
          <w:lang w:eastAsia="zh-TW"/>
        </w:rPr>
        <w:t>in section 3.5 is limited to electricity price that is</w:t>
      </w:r>
      <w:r w:rsidR="00E406D4">
        <w:rPr>
          <w:rFonts w:ascii="Arial" w:eastAsia="Times New Roman" w:hAnsi="Arial" w:cs="Arial"/>
          <w:color w:val="4472C4" w:themeColor="accent1"/>
          <w:sz w:val="20"/>
          <w:szCs w:val="20"/>
          <w:u w:val="single"/>
          <w:lang w:eastAsia="zh-TW"/>
        </w:rPr>
        <w:t xml:space="preserve"> lower than what is used in the main study, so the example above would not </w:t>
      </w:r>
      <w:r w:rsidR="00B97783">
        <w:rPr>
          <w:rFonts w:ascii="Arial" w:eastAsia="Times New Roman" w:hAnsi="Arial" w:cs="Arial"/>
          <w:color w:val="4472C4" w:themeColor="accent1"/>
          <w:sz w:val="20"/>
          <w:szCs w:val="20"/>
          <w:u w:val="single"/>
          <w:lang w:eastAsia="zh-TW"/>
        </w:rPr>
        <w:t>b covered</w:t>
      </w:r>
      <w:r w:rsidR="00E406D4">
        <w:rPr>
          <w:rFonts w:ascii="Arial" w:eastAsia="Times New Roman" w:hAnsi="Arial" w:cs="Arial"/>
          <w:color w:val="4472C4" w:themeColor="accent1"/>
          <w:sz w:val="20"/>
          <w:szCs w:val="20"/>
          <w:u w:val="single"/>
          <w:lang w:eastAsia="zh-TW"/>
        </w:rPr>
        <w:t xml:space="preserve"> with the sensitivity </w:t>
      </w:r>
      <w:r w:rsidR="00B97783">
        <w:rPr>
          <w:rFonts w:ascii="Arial" w:eastAsia="Times New Roman" w:hAnsi="Arial" w:cs="Arial"/>
          <w:color w:val="4472C4" w:themeColor="accent1"/>
          <w:sz w:val="20"/>
          <w:szCs w:val="20"/>
          <w:u w:val="single"/>
          <w:lang w:eastAsia="zh-TW"/>
        </w:rPr>
        <w:t>analysis in Figure 2</w:t>
      </w:r>
      <w:r w:rsidR="00E406D4">
        <w:rPr>
          <w:rFonts w:ascii="Arial" w:eastAsia="Times New Roman" w:hAnsi="Arial" w:cs="Arial"/>
          <w:color w:val="4472C4" w:themeColor="accent1"/>
          <w:sz w:val="20"/>
          <w:szCs w:val="20"/>
          <w:u w:val="single"/>
          <w:lang w:eastAsia="zh-TW"/>
        </w:rPr>
        <w:t>.</w:t>
      </w:r>
    </w:p>
    <w:p w14:paraId="0B0BADF1" w14:textId="77777777" w:rsidR="00DC247B" w:rsidRPr="00DC247B" w:rsidRDefault="00DC247B" w:rsidP="00DC247B">
      <w:pPr>
        <w:shd w:val="clear" w:color="auto" w:fill="FEFEFE"/>
        <w:spacing w:before="100" w:beforeAutospacing="1" w:after="100" w:afterAutospacing="1" w:line="240" w:lineRule="auto"/>
        <w:rPr>
          <w:rFonts w:ascii="Arial" w:eastAsia="Times New Roman" w:hAnsi="Arial" w:cs="Arial"/>
          <w:color w:val="0A0A0A"/>
          <w:sz w:val="20"/>
          <w:szCs w:val="20"/>
          <w:lang w:eastAsia="zh-TW"/>
        </w:rPr>
      </w:pPr>
    </w:p>
    <w:p w14:paraId="2BBCEBDE" w14:textId="77777777" w:rsidR="00DC247B" w:rsidRPr="00DC247B" w:rsidRDefault="00DC247B" w:rsidP="00DC247B">
      <w:pPr>
        <w:numPr>
          <w:ilvl w:val="0"/>
          <w:numId w:val="5"/>
        </w:numPr>
        <w:shd w:val="clear" w:color="auto" w:fill="FEFEFE"/>
        <w:spacing w:after="0"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On page 8, Figure 1, lines for city bus and refuse truck should be extended beyond $0.35/kWh to show the impact from a full range of electricity price. There is no reason to believe that only long-haul truck can experience high electricity cost due to higher level of charger used or higher electricity rate in the future, city bus and refuse truck may also choose to use high power charging and/or experience higher electricity price.</w:t>
      </w:r>
    </w:p>
    <w:p w14:paraId="09B16B49" w14:textId="77777777" w:rsidR="00DC247B" w:rsidRPr="00DC247B" w:rsidRDefault="00DC247B" w:rsidP="00DC247B">
      <w:pPr>
        <w:shd w:val="clear" w:color="auto" w:fill="FEFEFE"/>
        <w:spacing w:before="100" w:beforeAutospacing="1" w:after="100" w:afterAutospacing="1" w:line="240" w:lineRule="auto"/>
        <w:rPr>
          <w:rFonts w:ascii="Arial" w:eastAsia="Times New Roman" w:hAnsi="Arial" w:cs="Arial"/>
          <w:color w:val="0A0A0A"/>
          <w:sz w:val="20"/>
          <w:szCs w:val="20"/>
          <w:lang w:eastAsia="zh-TW"/>
        </w:rPr>
      </w:pPr>
      <w:r w:rsidRPr="00DC247B">
        <w:rPr>
          <w:rFonts w:ascii="Arial" w:eastAsia="Times New Roman" w:hAnsi="Arial" w:cs="Arial"/>
          <w:color w:val="0A0A0A"/>
          <w:sz w:val="20"/>
          <w:szCs w:val="20"/>
          <w:lang w:eastAsia="zh-TW"/>
        </w:rPr>
        <w:t xml:space="preserve">From the economic perspective and </w:t>
      </w:r>
      <w:proofErr w:type="gramStart"/>
      <w:r w:rsidRPr="00DC247B">
        <w:rPr>
          <w:rFonts w:ascii="Arial" w:eastAsia="Times New Roman" w:hAnsi="Arial" w:cs="Arial"/>
          <w:color w:val="0A0A0A"/>
          <w:sz w:val="20"/>
          <w:szCs w:val="20"/>
          <w:lang w:eastAsia="zh-TW"/>
        </w:rPr>
        <w:t>taking into account</w:t>
      </w:r>
      <w:proofErr w:type="gramEnd"/>
      <w:r w:rsidRPr="00DC247B">
        <w:rPr>
          <w:rFonts w:ascii="Arial" w:eastAsia="Times New Roman" w:hAnsi="Arial" w:cs="Arial"/>
          <w:color w:val="0A0A0A"/>
          <w:sz w:val="20"/>
          <w:szCs w:val="20"/>
          <w:lang w:eastAsia="zh-TW"/>
        </w:rPr>
        <w:t xml:space="preserve"> their duty cycles, city bus and refuse truck do not need the highest level of charge power related to the highest charging rate. We added this argument in the context (line 275-278).</w:t>
      </w:r>
    </w:p>
    <w:p w14:paraId="59461DC9" w14:textId="6BDF04FF" w:rsidR="00C46FE9" w:rsidRPr="00DC247B" w:rsidRDefault="00C46FE9" w:rsidP="00C46FE9">
      <w:pPr>
        <w:shd w:val="clear" w:color="auto" w:fill="FEFEFE"/>
        <w:spacing w:before="100" w:beforeAutospacing="1" w:after="100" w:afterAutospacing="1" w:line="240" w:lineRule="auto"/>
        <w:rPr>
          <w:rFonts w:ascii="Arial" w:eastAsia="Times New Roman" w:hAnsi="Arial" w:cs="Arial"/>
          <w:color w:val="4472C4" w:themeColor="accent1"/>
          <w:sz w:val="20"/>
          <w:szCs w:val="20"/>
          <w:u w:val="single"/>
          <w:lang w:eastAsia="zh-TW"/>
        </w:rPr>
      </w:pPr>
      <w:r>
        <w:rPr>
          <w:rFonts w:ascii="Arial" w:eastAsia="Times New Roman" w:hAnsi="Arial" w:cs="Arial"/>
          <w:color w:val="4472C4" w:themeColor="accent1"/>
          <w:sz w:val="20"/>
          <w:szCs w:val="20"/>
          <w:u w:val="single"/>
          <w:lang w:eastAsia="zh-TW"/>
        </w:rPr>
        <w:t xml:space="preserve">It remains unclear to the reviewer why higher level of charging power </w:t>
      </w:r>
      <w:r w:rsidR="00A628BE">
        <w:rPr>
          <w:rFonts w:ascii="Arial" w:eastAsia="Times New Roman" w:hAnsi="Arial" w:cs="Arial"/>
          <w:color w:val="4472C4" w:themeColor="accent1"/>
          <w:sz w:val="20"/>
          <w:szCs w:val="20"/>
          <w:u w:val="single"/>
          <w:lang w:eastAsia="zh-TW"/>
        </w:rPr>
        <w:t>or higher electricity price should</w:t>
      </w:r>
      <w:r w:rsidR="00B97783">
        <w:rPr>
          <w:rFonts w:ascii="Arial" w:eastAsia="Times New Roman" w:hAnsi="Arial" w:cs="Arial"/>
          <w:color w:val="4472C4" w:themeColor="accent1"/>
          <w:sz w:val="20"/>
          <w:szCs w:val="20"/>
          <w:u w:val="single"/>
          <w:lang w:eastAsia="zh-TW"/>
        </w:rPr>
        <w:t xml:space="preserve"> not</w:t>
      </w:r>
      <w:r w:rsidR="00A628BE">
        <w:rPr>
          <w:rFonts w:ascii="Arial" w:eastAsia="Times New Roman" w:hAnsi="Arial" w:cs="Arial"/>
          <w:color w:val="4472C4" w:themeColor="accent1"/>
          <w:sz w:val="20"/>
          <w:szCs w:val="20"/>
          <w:u w:val="single"/>
          <w:lang w:eastAsia="zh-TW"/>
        </w:rPr>
        <w:t xml:space="preserve"> be applied to</w:t>
      </w:r>
      <w:r>
        <w:rPr>
          <w:rFonts w:ascii="Arial" w:eastAsia="Times New Roman" w:hAnsi="Arial" w:cs="Arial"/>
          <w:color w:val="4472C4" w:themeColor="accent1"/>
          <w:sz w:val="20"/>
          <w:szCs w:val="20"/>
          <w:u w:val="single"/>
          <w:lang w:eastAsia="zh-TW"/>
        </w:rPr>
        <w:t xml:space="preserve"> those vehicles. Also, </w:t>
      </w:r>
      <w:r w:rsidR="00A628BE">
        <w:rPr>
          <w:rFonts w:ascii="Arial" w:eastAsia="Times New Roman" w:hAnsi="Arial" w:cs="Arial"/>
          <w:color w:val="4472C4" w:themeColor="accent1"/>
          <w:sz w:val="20"/>
          <w:szCs w:val="20"/>
          <w:u w:val="single"/>
          <w:lang w:eastAsia="zh-TW"/>
        </w:rPr>
        <w:t>while the authors suggested that $0.35/kWh for L3-50W is a common price in Canada, unless there is evidence showing this rate i</w:t>
      </w:r>
      <w:r w:rsidR="00E07246">
        <w:rPr>
          <w:rFonts w:ascii="Arial" w:eastAsia="Times New Roman" w:hAnsi="Arial" w:cs="Arial"/>
          <w:color w:val="4472C4" w:themeColor="accent1"/>
          <w:sz w:val="20"/>
          <w:szCs w:val="20"/>
          <w:u w:val="single"/>
          <w:lang w:eastAsia="zh-TW"/>
        </w:rPr>
        <w:t>s indeed</w:t>
      </w:r>
      <w:r w:rsidR="00A628BE">
        <w:rPr>
          <w:rFonts w:ascii="Arial" w:eastAsia="Times New Roman" w:hAnsi="Arial" w:cs="Arial"/>
          <w:color w:val="4472C4" w:themeColor="accent1"/>
          <w:sz w:val="20"/>
          <w:szCs w:val="20"/>
          <w:u w:val="single"/>
          <w:lang w:eastAsia="zh-TW"/>
        </w:rPr>
        <w:t xml:space="preserve"> a</w:t>
      </w:r>
      <w:r w:rsidR="00E07246">
        <w:rPr>
          <w:rFonts w:ascii="Arial" w:eastAsia="Times New Roman" w:hAnsi="Arial" w:cs="Arial"/>
          <w:color w:val="4472C4" w:themeColor="accent1"/>
          <w:sz w:val="20"/>
          <w:szCs w:val="20"/>
          <w:u w:val="single"/>
          <w:lang w:eastAsia="zh-TW"/>
        </w:rPr>
        <w:t>n</w:t>
      </w:r>
      <w:r w:rsidR="00A628BE">
        <w:rPr>
          <w:rFonts w:ascii="Arial" w:eastAsia="Times New Roman" w:hAnsi="Arial" w:cs="Arial"/>
          <w:color w:val="4472C4" w:themeColor="accent1"/>
          <w:sz w:val="20"/>
          <w:szCs w:val="20"/>
          <w:u w:val="single"/>
          <w:lang w:eastAsia="zh-TW"/>
        </w:rPr>
        <w:t xml:space="preserve"> upper-bound now and in the future, </w:t>
      </w:r>
      <w:r>
        <w:rPr>
          <w:rFonts w:ascii="Arial" w:eastAsia="Times New Roman" w:hAnsi="Arial" w:cs="Arial"/>
          <w:color w:val="4472C4" w:themeColor="accent1"/>
          <w:sz w:val="20"/>
          <w:szCs w:val="20"/>
          <w:u w:val="single"/>
          <w:lang w:eastAsia="zh-TW"/>
        </w:rPr>
        <w:t xml:space="preserve">there is no </w:t>
      </w:r>
      <w:r w:rsidR="00A628BE">
        <w:rPr>
          <w:rFonts w:ascii="Arial" w:eastAsia="Times New Roman" w:hAnsi="Arial" w:cs="Arial"/>
          <w:color w:val="4472C4" w:themeColor="accent1"/>
          <w:sz w:val="20"/>
          <w:szCs w:val="20"/>
          <w:u w:val="single"/>
          <w:lang w:eastAsia="zh-TW"/>
        </w:rPr>
        <w:t>reason to assume</w:t>
      </w:r>
      <w:r>
        <w:rPr>
          <w:rFonts w:ascii="Arial" w:eastAsia="Times New Roman" w:hAnsi="Arial" w:cs="Arial"/>
          <w:color w:val="4472C4" w:themeColor="accent1"/>
          <w:sz w:val="20"/>
          <w:szCs w:val="20"/>
          <w:u w:val="single"/>
          <w:lang w:eastAsia="zh-TW"/>
        </w:rPr>
        <w:t xml:space="preserve"> cost of L3-50W charger (used for city bus and refuse truck in this study)</w:t>
      </w:r>
      <w:r w:rsidR="00A628BE">
        <w:rPr>
          <w:rFonts w:ascii="Arial" w:eastAsia="Times New Roman" w:hAnsi="Arial" w:cs="Arial"/>
          <w:color w:val="4472C4" w:themeColor="accent1"/>
          <w:sz w:val="20"/>
          <w:szCs w:val="20"/>
          <w:u w:val="single"/>
          <w:lang w:eastAsia="zh-TW"/>
        </w:rPr>
        <w:t xml:space="preserve"> may</w:t>
      </w:r>
      <w:r>
        <w:rPr>
          <w:rFonts w:ascii="Arial" w:eastAsia="Times New Roman" w:hAnsi="Arial" w:cs="Arial"/>
          <w:color w:val="4472C4" w:themeColor="accent1"/>
          <w:sz w:val="20"/>
          <w:szCs w:val="20"/>
          <w:u w:val="single"/>
          <w:lang w:eastAsia="zh-TW"/>
        </w:rPr>
        <w:t xml:space="preserve"> not </w:t>
      </w:r>
      <w:r w:rsidR="00A628BE">
        <w:rPr>
          <w:rFonts w:ascii="Arial" w:eastAsia="Times New Roman" w:hAnsi="Arial" w:cs="Arial"/>
          <w:color w:val="4472C4" w:themeColor="accent1"/>
          <w:sz w:val="20"/>
          <w:szCs w:val="20"/>
          <w:u w:val="single"/>
          <w:lang w:eastAsia="zh-TW"/>
        </w:rPr>
        <w:t>be higher in certain area or in the future</w:t>
      </w:r>
      <w:r w:rsidR="00B97783">
        <w:rPr>
          <w:rFonts w:ascii="Arial" w:eastAsia="Times New Roman" w:hAnsi="Arial" w:cs="Arial"/>
          <w:color w:val="4472C4" w:themeColor="accent1"/>
          <w:sz w:val="20"/>
          <w:szCs w:val="20"/>
          <w:u w:val="single"/>
          <w:lang w:eastAsia="zh-TW"/>
        </w:rPr>
        <w:t>. Also,</w:t>
      </w:r>
      <w:r w:rsidR="00A628BE">
        <w:rPr>
          <w:rFonts w:ascii="Arial" w:eastAsia="Times New Roman" w:hAnsi="Arial" w:cs="Arial"/>
          <w:color w:val="4472C4" w:themeColor="accent1"/>
          <w:sz w:val="20"/>
          <w:szCs w:val="20"/>
          <w:u w:val="single"/>
          <w:lang w:eastAsia="zh-TW"/>
        </w:rPr>
        <w:t xml:space="preserve"> the reviewer believes that the purpose of sensitivity analysis is to show such uncertainties in both direction, not just </w:t>
      </w:r>
      <w:r w:rsidR="00E07246">
        <w:rPr>
          <w:rFonts w:ascii="Arial" w:eastAsia="Times New Roman" w:hAnsi="Arial" w:cs="Arial"/>
          <w:color w:val="4472C4" w:themeColor="accent1"/>
          <w:sz w:val="20"/>
          <w:szCs w:val="20"/>
          <w:u w:val="single"/>
          <w:lang w:eastAsia="zh-TW"/>
        </w:rPr>
        <w:t xml:space="preserve">for cheaper electricity price. </w:t>
      </w:r>
      <w:r w:rsidR="00A628BE">
        <w:rPr>
          <w:rFonts w:ascii="Arial" w:eastAsia="Times New Roman" w:hAnsi="Arial" w:cs="Arial"/>
          <w:color w:val="4472C4" w:themeColor="accent1"/>
          <w:sz w:val="20"/>
          <w:szCs w:val="20"/>
          <w:u w:val="single"/>
          <w:lang w:eastAsia="zh-TW"/>
        </w:rPr>
        <w:t xml:space="preserve">  </w:t>
      </w:r>
      <w:r>
        <w:rPr>
          <w:rFonts w:ascii="Arial" w:eastAsia="Times New Roman" w:hAnsi="Arial" w:cs="Arial"/>
          <w:color w:val="4472C4" w:themeColor="accent1"/>
          <w:sz w:val="20"/>
          <w:szCs w:val="20"/>
          <w:u w:val="single"/>
          <w:lang w:eastAsia="zh-TW"/>
        </w:rPr>
        <w:t xml:space="preserve"> </w:t>
      </w:r>
    </w:p>
    <w:p w14:paraId="766D7581" w14:textId="77777777" w:rsidR="00B3271B" w:rsidRDefault="00B3271B"/>
    <w:sectPr w:rsidR="00B3271B">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9AF9D" w14:textId="77777777" w:rsidR="00DC247B" w:rsidRDefault="00DC247B" w:rsidP="00DC247B">
      <w:pPr>
        <w:spacing w:after="0" w:line="240" w:lineRule="auto"/>
      </w:pPr>
      <w:r>
        <w:separator/>
      </w:r>
    </w:p>
  </w:endnote>
  <w:endnote w:type="continuationSeparator" w:id="0">
    <w:p w14:paraId="6D8AD994" w14:textId="77777777" w:rsidR="00DC247B" w:rsidRDefault="00DC247B" w:rsidP="00DC24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Yu Mincho">
    <w:altName w:val="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9A8E52" w14:textId="77777777" w:rsidR="00DC247B" w:rsidRDefault="00DC24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66127" w14:textId="77777777" w:rsidR="00DC247B" w:rsidRDefault="00DC24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6782DC" w14:textId="77777777" w:rsidR="00DC247B" w:rsidRDefault="00DC2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5F957B" w14:textId="77777777" w:rsidR="00DC247B" w:rsidRDefault="00DC247B" w:rsidP="00DC247B">
      <w:pPr>
        <w:spacing w:after="0" w:line="240" w:lineRule="auto"/>
      </w:pPr>
      <w:r>
        <w:separator/>
      </w:r>
    </w:p>
  </w:footnote>
  <w:footnote w:type="continuationSeparator" w:id="0">
    <w:p w14:paraId="1A41B026" w14:textId="77777777" w:rsidR="00DC247B" w:rsidRDefault="00DC247B" w:rsidP="00DC24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E526D" w14:textId="77777777" w:rsidR="00DC247B" w:rsidRDefault="00DC24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26AB3" w14:textId="77777777" w:rsidR="00DC247B" w:rsidRDefault="00DC247B" w:rsidP="00DC247B">
    <w:pPr>
      <w:pStyle w:val="Header"/>
    </w:pPr>
    <w:bookmarkStart w:id="1" w:name="aliash1HeaderPrimary"/>
    <w:r w:rsidRPr="00DC247B">
      <w:rPr>
        <w:rFonts w:ascii="Wingdings" w:hAnsi="Wingdings"/>
        <w:b/>
        <w:color w:val="FFFF00"/>
        <w:sz w:val="20"/>
      </w:rPr>
      <w:t>ll</w:t>
    </w:r>
    <w:r w:rsidRPr="00DC247B">
      <w:rPr>
        <w:rFonts w:ascii="Arial" w:hAnsi="Arial" w:cs="Arial" w:hint="eastAsia"/>
        <w:color w:val="000000"/>
        <w:sz w:val="20"/>
      </w:rPr>
      <w:t xml:space="preserve">PROTECTED </w:t>
    </w:r>
    <w:r w:rsidRPr="00DC247B">
      <w:rPr>
        <w:rFonts w:ascii="Arial" w:hAnsi="Arial" w:cs="Arial" w:hint="eastAsia"/>
        <w:color w:val="000000"/>
        <w:sz w:val="20"/>
      </w:rPr>
      <w:t>関係者外秘</w:t>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98AAFE" w14:textId="77777777" w:rsidR="00DC247B" w:rsidRDefault="00DC24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364BC"/>
    <w:multiLevelType w:val="multilevel"/>
    <w:tmpl w:val="7A023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2B667B"/>
    <w:multiLevelType w:val="multilevel"/>
    <w:tmpl w:val="840682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850227"/>
    <w:multiLevelType w:val="multilevel"/>
    <w:tmpl w:val="7A0EEF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3F6824"/>
    <w:multiLevelType w:val="multilevel"/>
    <w:tmpl w:val="FA7897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843B68"/>
    <w:multiLevelType w:val="multilevel"/>
    <w:tmpl w:val="7398EA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47B"/>
    <w:rsid w:val="002B4FE0"/>
    <w:rsid w:val="0047528A"/>
    <w:rsid w:val="0076169B"/>
    <w:rsid w:val="008941D3"/>
    <w:rsid w:val="00A628BE"/>
    <w:rsid w:val="00B3271B"/>
    <w:rsid w:val="00B97783"/>
    <w:rsid w:val="00C46FE9"/>
    <w:rsid w:val="00D01CE7"/>
    <w:rsid w:val="00DC247B"/>
    <w:rsid w:val="00E07246"/>
    <w:rsid w:val="00E406D4"/>
    <w:rsid w:val="00EC0C3B"/>
    <w:rsid w:val="00F230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204BC"/>
  <w15:chartTrackingRefBased/>
  <w15:docId w15:val="{E060C13B-660A-403E-9ABF-B6EFB69A8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47B"/>
  </w:style>
  <w:style w:type="paragraph" w:styleId="Footer">
    <w:name w:val="footer"/>
    <w:basedOn w:val="Normal"/>
    <w:link w:val="FooterChar"/>
    <w:uiPriority w:val="99"/>
    <w:unhideWhenUsed/>
    <w:rsid w:val="00DC2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47B"/>
  </w:style>
  <w:style w:type="paragraph" w:styleId="NormalWeb">
    <w:name w:val="Normal (Web)"/>
    <w:basedOn w:val="Normal"/>
    <w:uiPriority w:val="99"/>
    <w:semiHidden/>
    <w:unhideWhenUsed/>
    <w:rsid w:val="00DC247B"/>
    <w:pPr>
      <w:spacing w:before="100" w:beforeAutospacing="1" w:after="100" w:afterAutospacing="1" w:line="240" w:lineRule="auto"/>
    </w:pPr>
    <w:rPr>
      <w:rFonts w:ascii="Times New Roman" w:eastAsia="Times New Roman" w:hAnsi="Times New Roman" w:cs="Times New Roman"/>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341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0CE0D32C8AEC4AAE544BD29763F88E" ma:contentTypeVersion="13" ma:contentTypeDescription="Create a new document." ma:contentTypeScope="" ma:versionID="91032893627481ce2dd1d10fd3106b72">
  <xsd:schema xmlns:xsd="http://www.w3.org/2001/XMLSchema" xmlns:xs="http://www.w3.org/2001/XMLSchema" xmlns:p="http://schemas.microsoft.com/office/2006/metadata/properties" xmlns:ns3="ed01398a-589d-4f9a-bcfa-b88880605f8e" xmlns:ns4="7393da2b-1818-47ff-b510-0ff1744b612d" targetNamespace="http://schemas.microsoft.com/office/2006/metadata/properties" ma:root="true" ma:fieldsID="fccc08c4102fbdb425b3f9187ffd8b02" ns3:_="" ns4:_="">
    <xsd:import namespace="ed01398a-589d-4f9a-bcfa-b88880605f8e"/>
    <xsd:import namespace="7393da2b-1818-47ff-b510-0ff1744b612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01398a-589d-4f9a-bcfa-b88880605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93da2b-1818-47ff-b510-0ff1744b612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0E1A70-DABD-47BB-A55F-15FC9DB97311}">
  <ds:schemaRefs>
    <ds:schemaRef ds:uri="http://schemas.microsoft.com/sharepoint/v3/contenttype/forms"/>
  </ds:schemaRefs>
</ds:datastoreItem>
</file>

<file path=customXml/itemProps2.xml><?xml version="1.0" encoding="utf-8"?>
<ds:datastoreItem xmlns:ds="http://schemas.openxmlformats.org/officeDocument/2006/customXml" ds:itemID="{F02F29C2-7B50-47F4-BC3D-E94C0D63D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01398a-589d-4f9a-bcfa-b88880605f8e"/>
    <ds:schemaRef ds:uri="7393da2b-1818-47ff-b510-0ff1744b6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1D41F7-9431-401B-91CC-6E0B36930E9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Pages>
  <Words>1200</Words>
  <Characters>6845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Chu (TNA)</dc:creator>
  <cp:keywords>PROTECTED</cp:keywords>
  <dc:description/>
  <cp:lastModifiedBy>Jean Chu (TNA)</cp:lastModifiedBy>
  <cp:revision>2</cp:revision>
  <dcterms:created xsi:type="dcterms:W3CDTF">2021-04-21T02:08:00Z</dcterms:created>
  <dcterms:modified xsi:type="dcterms:W3CDTF">2021-04-21T04:05:00Z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188bcc19-51c7-421c-b9d1-7f82468bd0fa</vt:lpwstr>
  </property>
  <property fmtid="{D5CDD505-2E9C-101B-9397-08002B2CF9AE}" pid="3" name="ToyotaClassification">
    <vt:lpwstr>PROTECTED</vt:lpwstr>
  </property>
  <property fmtid="{D5CDD505-2E9C-101B-9397-08002B2CF9AE}" pid="4" name="ToyotaVisualMarkings">
    <vt:lpwstr>Top Left</vt:lpwstr>
  </property>
  <property fmtid="{D5CDD505-2E9C-101B-9397-08002B2CF9AE}" pid="5" name="ContentTypeId">
    <vt:lpwstr>0x010100500CE0D32C8AEC4AAE544BD29763F88E</vt:lpwstr>
  </property>
</Properties>
</file>