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E870E" w14:textId="60DA5C6C" w:rsidR="002D3898" w:rsidRDefault="00A90EB0" w:rsidP="002D3898">
      <w:pPr>
        <w:rPr>
          <w:b/>
          <w:bCs/>
          <w:sz w:val="28"/>
          <w:szCs w:val="28"/>
          <w:lang w:val="en-US"/>
        </w:rPr>
      </w:pPr>
      <w:r>
        <w:rPr>
          <w:b/>
          <w:bCs/>
          <w:sz w:val="28"/>
          <w:szCs w:val="28"/>
          <w:lang w:val="en-US"/>
        </w:rPr>
        <w:t>Reply</w:t>
      </w:r>
      <w:r w:rsidR="002D3898">
        <w:rPr>
          <w:b/>
          <w:bCs/>
          <w:sz w:val="28"/>
          <w:szCs w:val="28"/>
          <w:lang w:val="en-US"/>
        </w:rPr>
        <w:t xml:space="preserve"> to </w:t>
      </w:r>
      <w:r w:rsidR="002D3898" w:rsidRPr="00861AA8">
        <w:rPr>
          <w:b/>
          <w:bCs/>
          <w:sz w:val="28"/>
          <w:szCs w:val="28"/>
          <w:lang w:val="en-US"/>
        </w:rPr>
        <w:t>Re</w:t>
      </w:r>
      <w:r w:rsidR="002D3898">
        <w:rPr>
          <w:b/>
          <w:bCs/>
          <w:sz w:val="28"/>
          <w:szCs w:val="28"/>
          <w:lang w:val="en-US"/>
        </w:rPr>
        <w:t>viewer</w:t>
      </w:r>
      <w:r w:rsidR="002D3898" w:rsidRPr="00861AA8">
        <w:rPr>
          <w:b/>
          <w:bCs/>
          <w:sz w:val="28"/>
          <w:szCs w:val="28"/>
          <w:lang w:val="en-US"/>
        </w:rPr>
        <w:t xml:space="preserve"> </w:t>
      </w:r>
      <w:r w:rsidR="002D3898">
        <w:rPr>
          <w:b/>
          <w:bCs/>
          <w:sz w:val="28"/>
          <w:szCs w:val="28"/>
          <w:lang w:val="en-US"/>
        </w:rPr>
        <w:t>1</w:t>
      </w:r>
    </w:p>
    <w:p w14:paraId="54AA9D54" w14:textId="450D621D" w:rsidR="009C48F9" w:rsidRPr="009C48F9" w:rsidRDefault="009C48F9" w:rsidP="002D3898">
      <w:pPr>
        <w:rPr>
          <w:rFonts w:ascii="Arial" w:hAnsi="Arial" w:cs="Arial"/>
          <w:bCs/>
          <w:i/>
          <w:sz w:val="24"/>
          <w:szCs w:val="24"/>
          <w:lang w:val="en-US"/>
        </w:rPr>
      </w:pPr>
      <w:r w:rsidRPr="009C48F9">
        <w:rPr>
          <w:rFonts w:ascii="Arial" w:hAnsi="Arial" w:cs="Arial"/>
          <w:bCs/>
          <w:i/>
          <w:sz w:val="24"/>
          <w:szCs w:val="24"/>
          <w:lang w:val="en-US"/>
        </w:rPr>
        <w:t>The answers to general comments to re</w:t>
      </w:r>
      <w:r>
        <w:rPr>
          <w:rFonts w:ascii="Arial" w:hAnsi="Arial" w:cs="Arial"/>
          <w:bCs/>
          <w:i/>
          <w:sz w:val="24"/>
          <w:szCs w:val="24"/>
          <w:lang w:val="en-US"/>
        </w:rPr>
        <w:t>view</w:t>
      </w:r>
      <w:r w:rsidRPr="009C48F9">
        <w:rPr>
          <w:rFonts w:ascii="Arial" w:hAnsi="Arial" w:cs="Arial"/>
          <w:bCs/>
          <w:i/>
          <w:sz w:val="24"/>
          <w:szCs w:val="24"/>
          <w:lang w:val="en-US"/>
        </w:rPr>
        <w:t>er 1 are written below</w:t>
      </w:r>
      <w:r>
        <w:rPr>
          <w:rFonts w:ascii="Arial" w:hAnsi="Arial" w:cs="Arial"/>
          <w:bCs/>
          <w:i/>
          <w:sz w:val="24"/>
          <w:szCs w:val="24"/>
          <w:lang w:val="en-US"/>
        </w:rPr>
        <w:t>:</w:t>
      </w:r>
    </w:p>
    <w:p w14:paraId="131F7419" w14:textId="1AAD4D7E" w:rsidR="00A90EB0" w:rsidRPr="00A42F4E" w:rsidRDefault="00A90EB0" w:rsidP="00A90EB0">
      <w:pPr>
        <w:autoSpaceDE w:val="0"/>
        <w:autoSpaceDN w:val="0"/>
        <w:adjustRightInd w:val="0"/>
        <w:spacing w:after="0" w:line="240" w:lineRule="auto"/>
        <w:jc w:val="both"/>
        <w:rPr>
          <w:rFonts w:ascii="ArialMT" w:hAnsi="ArialMT" w:cs="ArialMT"/>
          <w:sz w:val="18"/>
          <w:szCs w:val="18"/>
          <w:lang w:val="en-US"/>
        </w:rPr>
      </w:pPr>
      <w:r w:rsidRPr="00A42F4E">
        <w:rPr>
          <w:rFonts w:ascii="ArialMT" w:hAnsi="ArialMT" w:cs="ArialMT"/>
          <w:sz w:val="18"/>
          <w:szCs w:val="18"/>
          <w:lang w:val="en-US"/>
        </w:rPr>
        <w:t xml:space="preserve">The manuscript of </w:t>
      </w:r>
      <w:proofErr w:type="spellStart"/>
      <w:r w:rsidRPr="00A42F4E">
        <w:rPr>
          <w:rFonts w:ascii="ArialMT" w:hAnsi="ArialMT" w:cs="ArialMT"/>
          <w:sz w:val="18"/>
          <w:szCs w:val="18"/>
          <w:lang w:val="en-US"/>
        </w:rPr>
        <w:t>Turco</w:t>
      </w:r>
      <w:proofErr w:type="spellEnd"/>
      <w:r w:rsidRPr="00A42F4E">
        <w:rPr>
          <w:rFonts w:ascii="ArialMT" w:hAnsi="ArialMT" w:cs="ArialMT"/>
          <w:sz w:val="18"/>
          <w:szCs w:val="18"/>
          <w:lang w:val="en-US"/>
        </w:rPr>
        <w:t xml:space="preserve"> et al. entitled “The opening of the Tyrrhenian basin and the Apennine chain formation in the kinematic context of Africa - Europe collision“ deals with the complex tectonic reconstructions of the Western-Central Mediterranean and evolution of the Apennines over the last 19 Ma. The topic and method used are very interesting and is of high interest for the understanding of the geodynamic evolution of this complex area.</w:t>
      </w:r>
    </w:p>
    <w:p w14:paraId="120B70DD" w14:textId="4E63B134" w:rsidR="00A90EB0" w:rsidRPr="00A42F4E" w:rsidRDefault="00A90EB0" w:rsidP="00A90EB0">
      <w:pPr>
        <w:autoSpaceDE w:val="0"/>
        <w:autoSpaceDN w:val="0"/>
        <w:adjustRightInd w:val="0"/>
        <w:spacing w:after="0" w:line="240" w:lineRule="auto"/>
        <w:jc w:val="both"/>
        <w:rPr>
          <w:rFonts w:ascii="ArialMT" w:hAnsi="ArialMT" w:cs="ArialMT"/>
          <w:sz w:val="18"/>
          <w:szCs w:val="18"/>
          <w:lang w:val="en-US"/>
        </w:rPr>
      </w:pPr>
      <w:r w:rsidRPr="00A42F4E">
        <w:rPr>
          <w:rFonts w:ascii="ArialMT" w:hAnsi="ArialMT" w:cs="ArialMT"/>
          <w:sz w:val="18"/>
          <w:szCs w:val="18"/>
          <w:lang w:val="en-US"/>
        </w:rPr>
        <w:t xml:space="preserve">However, I have one major concern about the </w:t>
      </w:r>
      <w:r w:rsidRPr="00A42F4E">
        <w:rPr>
          <w:rFonts w:ascii="Arial-BoldMT" w:hAnsi="Arial-BoldMT" w:cs="Arial-BoldMT"/>
          <w:b/>
          <w:bCs/>
          <w:sz w:val="18"/>
          <w:szCs w:val="18"/>
          <w:lang w:val="en-US"/>
        </w:rPr>
        <w:t xml:space="preserve">novelty of this work compared to what was already published by the same authors in 2013 (Turco et al., 2013) and in 2020 (Pierantoni et al. 2020). </w:t>
      </w:r>
      <w:r w:rsidRPr="00A42F4E">
        <w:rPr>
          <w:rFonts w:ascii="ArialMT" w:hAnsi="ArialMT" w:cs="ArialMT"/>
          <w:sz w:val="18"/>
          <w:szCs w:val="18"/>
          <w:lang w:val="en-US"/>
        </w:rPr>
        <w:t>One principal aspect for a manuscript to be accepted for publication in Geosciences is: “Manuscripts should only report results that have not been submitted or published before, even in part”, thus my concern. The rotation parameters (Table 2) are the same as from Turco et al. (2013) and the kinematic maps and figure showing the slab configuration are almost the same as in Pierantoni et al. (2020), so what is new? This should</w:t>
      </w:r>
      <w:r w:rsidR="00A42F4E">
        <w:rPr>
          <w:rFonts w:ascii="ArialMT" w:hAnsi="ArialMT" w:cs="ArialMT"/>
          <w:sz w:val="18"/>
          <w:szCs w:val="18"/>
          <w:lang w:val="en-US"/>
        </w:rPr>
        <w:t xml:space="preserve"> </w:t>
      </w:r>
      <w:r w:rsidRPr="00A42F4E">
        <w:rPr>
          <w:rFonts w:ascii="ArialMT" w:hAnsi="ArialMT" w:cs="ArialMT"/>
          <w:sz w:val="18"/>
          <w:szCs w:val="18"/>
          <w:lang w:val="en-US"/>
        </w:rPr>
        <w:t>be clarify/specify in the text.</w:t>
      </w:r>
    </w:p>
    <w:p w14:paraId="3B8D8A64" w14:textId="38604679" w:rsidR="00A90EB0" w:rsidRPr="00A42F4E" w:rsidRDefault="00A90EB0" w:rsidP="00A90EB0">
      <w:pPr>
        <w:autoSpaceDE w:val="0"/>
        <w:autoSpaceDN w:val="0"/>
        <w:adjustRightInd w:val="0"/>
        <w:spacing w:after="0" w:line="240" w:lineRule="auto"/>
        <w:jc w:val="both"/>
        <w:rPr>
          <w:rFonts w:ascii="ArialMT" w:hAnsi="ArialMT" w:cs="ArialMT"/>
          <w:sz w:val="18"/>
          <w:szCs w:val="18"/>
          <w:lang w:val="en-US"/>
        </w:rPr>
      </w:pPr>
      <w:r w:rsidRPr="00A42F4E">
        <w:rPr>
          <w:rFonts w:ascii="ArialMT" w:hAnsi="ArialMT" w:cs="ArialMT"/>
          <w:sz w:val="18"/>
          <w:szCs w:val="18"/>
          <w:lang w:val="en-US"/>
        </w:rPr>
        <w:t>The abstract, introduction and conclusion should be improved in that respect and should present what are the (new) scientific questions, novelty and main implications of this work.</w:t>
      </w:r>
    </w:p>
    <w:p w14:paraId="607C6539" w14:textId="1F4430AC" w:rsidR="00A90EB0" w:rsidRDefault="00A90EB0" w:rsidP="00A90EB0">
      <w:pPr>
        <w:autoSpaceDE w:val="0"/>
        <w:autoSpaceDN w:val="0"/>
        <w:adjustRightInd w:val="0"/>
        <w:spacing w:after="0" w:line="240" w:lineRule="auto"/>
        <w:jc w:val="both"/>
        <w:rPr>
          <w:rFonts w:ascii="ArialMT" w:hAnsi="ArialMT" w:cs="ArialMT"/>
          <w:sz w:val="20"/>
          <w:szCs w:val="20"/>
          <w:lang w:val="en-US"/>
        </w:rPr>
      </w:pPr>
    </w:p>
    <w:p w14:paraId="160BFEB8" w14:textId="439601A9" w:rsidR="00A90EB0" w:rsidRDefault="00A90EB0" w:rsidP="00A90EB0">
      <w:pPr>
        <w:autoSpaceDE w:val="0"/>
        <w:autoSpaceDN w:val="0"/>
        <w:adjustRightInd w:val="0"/>
        <w:spacing w:after="0" w:line="240" w:lineRule="auto"/>
        <w:jc w:val="both"/>
        <w:rPr>
          <w:rFonts w:ascii="Arial" w:hAnsi="Arial" w:cs="Arial"/>
          <w:i/>
          <w:iCs/>
          <w:sz w:val="24"/>
          <w:szCs w:val="24"/>
          <w:lang w:val="en-US"/>
        </w:rPr>
      </w:pPr>
      <w:r w:rsidRPr="009C48F9">
        <w:rPr>
          <w:rFonts w:ascii="Arial" w:hAnsi="Arial" w:cs="Arial"/>
          <w:i/>
          <w:iCs/>
          <w:sz w:val="24"/>
          <w:szCs w:val="24"/>
          <w:lang w:val="en-US"/>
        </w:rPr>
        <w:t xml:space="preserve">Reply: </w:t>
      </w:r>
      <w:r w:rsidR="00F56BF1" w:rsidRPr="009C48F9">
        <w:rPr>
          <w:rFonts w:ascii="Arial" w:hAnsi="Arial" w:cs="Arial"/>
          <w:i/>
          <w:iCs/>
          <w:sz w:val="24"/>
          <w:szCs w:val="24"/>
          <w:lang w:val="en-US"/>
        </w:rPr>
        <w:t>T</w:t>
      </w:r>
      <w:r w:rsidRPr="009C48F9">
        <w:rPr>
          <w:rFonts w:ascii="Arial" w:hAnsi="Arial" w:cs="Arial"/>
          <w:i/>
          <w:iCs/>
          <w:sz w:val="24"/>
          <w:szCs w:val="24"/>
          <w:lang w:val="en-US"/>
        </w:rPr>
        <w:t xml:space="preserve">he article Turco et al </w:t>
      </w:r>
      <w:r w:rsidR="00F56BF1" w:rsidRPr="009C48F9">
        <w:rPr>
          <w:rFonts w:ascii="Arial" w:hAnsi="Arial" w:cs="Arial"/>
          <w:i/>
          <w:iCs/>
          <w:sz w:val="24"/>
          <w:szCs w:val="24"/>
          <w:lang w:val="en-US"/>
        </w:rPr>
        <w:t>(</w:t>
      </w:r>
      <w:r w:rsidRPr="009C48F9">
        <w:rPr>
          <w:rFonts w:ascii="Arial" w:hAnsi="Arial" w:cs="Arial"/>
          <w:i/>
          <w:iCs/>
          <w:sz w:val="24"/>
          <w:szCs w:val="24"/>
          <w:lang w:val="en-US"/>
        </w:rPr>
        <w:t>2013</w:t>
      </w:r>
      <w:r w:rsidR="00F56BF1" w:rsidRPr="009C48F9">
        <w:rPr>
          <w:rFonts w:ascii="Arial" w:hAnsi="Arial" w:cs="Arial"/>
          <w:i/>
          <w:iCs/>
          <w:sz w:val="24"/>
          <w:szCs w:val="24"/>
          <w:lang w:val="en-US"/>
        </w:rPr>
        <w:t xml:space="preserve">) is an extended abstract and </w:t>
      </w:r>
      <w:r w:rsidR="009C48F9">
        <w:rPr>
          <w:rFonts w:ascii="Arial" w:hAnsi="Arial" w:cs="Arial"/>
          <w:i/>
          <w:iCs/>
          <w:sz w:val="24"/>
          <w:szCs w:val="24"/>
          <w:lang w:val="en-US"/>
        </w:rPr>
        <w:t xml:space="preserve">here the kinematic data are not complete, as well as the methods are not explained in detail. </w:t>
      </w:r>
      <w:proofErr w:type="spellStart"/>
      <w:r w:rsidR="009C48F9">
        <w:rPr>
          <w:rFonts w:ascii="Arial" w:hAnsi="Arial" w:cs="Arial"/>
          <w:i/>
          <w:iCs/>
          <w:sz w:val="24"/>
          <w:szCs w:val="24"/>
          <w:lang w:val="en-US"/>
        </w:rPr>
        <w:t>Pierantoni</w:t>
      </w:r>
      <w:proofErr w:type="spellEnd"/>
      <w:r w:rsidR="009C48F9">
        <w:rPr>
          <w:rFonts w:ascii="Arial" w:hAnsi="Arial" w:cs="Arial"/>
          <w:i/>
          <w:iCs/>
          <w:sz w:val="24"/>
          <w:szCs w:val="24"/>
          <w:lang w:val="en-US"/>
        </w:rPr>
        <w:t xml:space="preserve"> et al. 2020 is a paper focused on the </w:t>
      </w:r>
      <w:proofErr w:type="spellStart"/>
      <w:r w:rsidR="009C48F9">
        <w:rPr>
          <w:rFonts w:ascii="Arial" w:hAnsi="Arial" w:cs="Arial"/>
          <w:i/>
          <w:iCs/>
          <w:sz w:val="24"/>
          <w:szCs w:val="24"/>
          <w:lang w:val="en-US"/>
        </w:rPr>
        <w:t>Campanian</w:t>
      </w:r>
      <w:proofErr w:type="spellEnd"/>
      <w:r w:rsidR="009C48F9">
        <w:rPr>
          <w:rFonts w:ascii="Arial" w:hAnsi="Arial" w:cs="Arial"/>
          <w:i/>
          <w:iCs/>
          <w:sz w:val="24"/>
          <w:szCs w:val="24"/>
          <w:lang w:val="en-US"/>
        </w:rPr>
        <w:t xml:space="preserve"> plain and on the southern Tyrrhenian sea. In detail it describes the geodynamic relationship between the volcanism in the area and the evolution of the slabs. Therefore the novelty of this work is the exhaustive description of the Tyrrhenian-Apennine system: both the Northern and southern Tyrrhenian basins are described and the entire Apennine chain divided in sectors. Moreover we included a table with all the kinematic data and w</w:t>
      </w:r>
      <w:r w:rsidR="00A42F4E">
        <w:rPr>
          <w:rFonts w:ascii="Arial" w:hAnsi="Arial" w:cs="Arial"/>
          <w:i/>
          <w:iCs/>
          <w:sz w:val="24"/>
          <w:szCs w:val="24"/>
          <w:lang w:val="en-US"/>
        </w:rPr>
        <w:t>e dedicated part of the article explaining</w:t>
      </w:r>
      <w:r w:rsidR="009C48F9">
        <w:rPr>
          <w:rFonts w:ascii="Arial" w:hAnsi="Arial" w:cs="Arial"/>
          <w:i/>
          <w:iCs/>
          <w:sz w:val="24"/>
          <w:szCs w:val="24"/>
          <w:lang w:val="en-US"/>
        </w:rPr>
        <w:t xml:space="preserve"> the methods</w:t>
      </w:r>
      <w:r w:rsidR="00A42F4E">
        <w:rPr>
          <w:rFonts w:ascii="Arial" w:hAnsi="Arial" w:cs="Arial"/>
          <w:i/>
          <w:iCs/>
          <w:sz w:val="24"/>
          <w:szCs w:val="24"/>
          <w:lang w:val="en-US"/>
        </w:rPr>
        <w:t>, which</w:t>
      </w:r>
      <w:r w:rsidR="009C48F9">
        <w:rPr>
          <w:rFonts w:ascii="Arial" w:hAnsi="Arial" w:cs="Arial"/>
          <w:i/>
          <w:iCs/>
          <w:sz w:val="24"/>
          <w:szCs w:val="24"/>
          <w:lang w:val="en-US"/>
        </w:rPr>
        <w:t xml:space="preserve"> differ from the classic kinematics and use deforma</w:t>
      </w:r>
      <w:r w:rsidR="00A42F4E">
        <w:rPr>
          <w:rFonts w:ascii="Arial" w:hAnsi="Arial" w:cs="Arial"/>
          <w:i/>
          <w:iCs/>
          <w:sz w:val="24"/>
          <w:szCs w:val="24"/>
          <w:lang w:val="en-US"/>
        </w:rPr>
        <w:t>ble blocks (tectonic elements).</w:t>
      </w:r>
    </w:p>
    <w:p w14:paraId="6191FCBE" w14:textId="4CAFE37D" w:rsidR="00A42F4E" w:rsidRPr="009C48F9" w:rsidRDefault="00A42F4E" w:rsidP="00A90EB0">
      <w:pPr>
        <w:autoSpaceDE w:val="0"/>
        <w:autoSpaceDN w:val="0"/>
        <w:adjustRightInd w:val="0"/>
        <w:spacing w:after="0" w:line="240" w:lineRule="auto"/>
        <w:jc w:val="both"/>
        <w:rPr>
          <w:rFonts w:ascii="Arial" w:hAnsi="Arial" w:cs="Arial"/>
          <w:i/>
          <w:iCs/>
          <w:sz w:val="24"/>
          <w:szCs w:val="24"/>
          <w:lang w:val="en-US"/>
        </w:rPr>
      </w:pPr>
      <w:r>
        <w:rPr>
          <w:rFonts w:ascii="Arial" w:hAnsi="Arial" w:cs="Arial"/>
          <w:i/>
          <w:iCs/>
          <w:sz w:val="24"/>
          <w:szCs w:val="24"/>
          <w:lang w:val="en-US"/>
        </w:rPr>
        <w:t>In the revised version of the manuscript the abstract, introduction and conclusions have been rewritten, as well as the Title, highlighting the novelty of this work.</w:t>
      </w:r>
    </w:p>
    <w:p w14:paraId="1FA470BD" w14:textId="0285C593" w:rsidR="00A90EB0" w:rsidRPr="009C48F9" w:rsidRDefault="00A90EB0" w:rsidP="00A90EB0">
      <w:pPr>
        <w:autoSpaceDE w:val="0"/>
        <w:autoSpaceDN w:val="0"/>
        <w:adjustRightInd w:val="0"/>
        <w:spacing w:after="0" w:line="240" w:lineRule="auto"/>
        <w:jc w:val="both"/>
        <w:rPr>
          <w:rFonts w:ascii="Arial" w:hAnsi="Arial" w:cs="Arial"/>
          <w:i/>
          <w:sz w:val="24"/>
          <w:szCs w:val="24"/>
          <w:lang w:val="en-US"/>
        </w:rPr>
      </w:pPr>
    </w:p>
    <w:p w14:paraId="0FE8F0BF" w14:textId="77777777" w:rsidR="00A90EB0" w:rsidRPr="009C5201" w:rsidRDefault="00A90EB0" w:rsidP="00A90EB0">
      <w:pPr>
        <w:autoSpaceDE w:val="0"/>
        <w:autoSpaceDN w:val="0"/>
        <w:adjustRightInd w:val="0"/>
        <w:spacing w:after="0" w:line="240" w:lineRule="auto"/>
        <w:jc w:val="both"/>
        <w:rPr>
          <w:rFonts w:ascii="Arial-BoldMT" w:hAnsi="Arial-BoldMT" w:cs="Arial-BoldMT"/>
          <w:b/>
          <w:bCs/>
          <w:sz w:val="18"/>
          <w:szCs w:val="18"/>
          <w:lang w:val="en-US"/>
        </w:rPr>
      </w:pPr>
      <w:r w:rsidRPr="009C5201">
        <w:rPr>
          <w:rFonts w:ascii="Arial-BoldMT" w:hAnsi="Arial-BoldMT" w:cs="Arial-BoldMT"/>
          <w:b/>
          <w:bCs/>
          <w:sz w:val="18"/>
          <w:szCs w:val="18"/>
          <w:lang w:val="en-US"/>
        </w:rPr>
        <w:t>Other main comments:</w:t>
      </w:r>
    </w:p>
    <w:p w14:paraId="541AC6C6" w14:textId="74EEBD5C" w:rsidR="00A90EB0" w:rsidRPr="009C5201" w:rsidRDefault="00A90EB0" w:rsidP="009C5201">
      <w:pPr>
        <w:pStyle w:val="Paragrafoelenco"/>
        <w:numPr>
          <w:ilvl w:val="0"/>
          <w:numId w:val="1"/>
        </w:numPr>
        <w:autoSpaceDE w:val="0"/>
        <w:autoSpaceDN w:val="0"/>
        <w:adjustRightInd w:val="0"/>
        <w:spacing w:after="0" w:line="240" w:lineRule="auto"/>
        <w:jc w:val="both"/>
        <w:rPr>
          <w:rFonts w:ascii="ArialMT" w:hAnsi="ArialMT" w:cs="ArialMT"/>
          <w:sz w:val="18"/>
          <w:szCs w:val="18"/>
          <w:lang w:val="en-US"/>
        </w:rPr>
      </w:pPr>
      <w:r w:rsidRPr="009C5201">
        <w:rPr>
          <w:rFonts w:ascii="ArialMT" w:hAnsi="ArialMT" w:cs="ArialMT"/>
          <w:sz w:val="18"/>
          <w:szCs w:val="18"/>
          <w:lang w:val="en-US"/>
        </w:rPr>
        <w:t>Kinematic constraints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 xml:space="preserve">My other main comment concerns </w:t>
      </w:r>
      <w:r w:rsidRPr="009C5201">
        <w:rPr>
          <w:rFonts w:ascii="Arial-BoldMT" w:hAnsi="Arial-BoldMT" w:cs="Arial-BoldMT"/>
          <w:b/>
          <w:bCs/>
          <w:sz w:val="18"/>
          <w:szCs w:val="18"/>
          <w:lang w:val="en-US"/>
        </w:rPr>
        <w:t>the kinematic constraints</w:t>
      </w:r>
      <w:r w:rsidR="009C5201" w:rsidRPr="009C5201">
        <w:rPr>
          <w:rFonts w:ascii="Arial-BoldMT" w:hAnsi="Arial-BoldMT" w:cs="Arial-BoldMT"/>
          <w:b/>
          <w:bCs/>
          <w:sz w:val="18"/>
          <w:szCs w:val="18"/>
          <w:lang w:val="en-US"/>
        </w:rPr>
        <w:t xml:space="preserve"> </w:t>
      </w:r>
      <w:r w:rsidRPr="009C5201">
        <w:rPr>
          <w:rFonts w:ascii="Arial-BoldMT" w:hAnsi="Arial-BoldMT" w:cs="Arial-BoldMT"/>
          <w:b/>
          <w:bCs/>
          <w:sz w:val="18"/>
          <w:szCs w:val="18"/>
          <w:lang w:val="en-US"/>
        </w:rPr>
        <w:t xml:space="preserve">used for the rotation model. </w:t>
      </w:r>
      <w:r w:rsidRPr="009C5201">
        <w:rPr>
          <w:rFonts w:ascii="ArialMT" w:hAnsi="ArialMT" w:cs="ArialMT"/>
          <w:sz w:val="18"/>
          <w:szCs w:val="18"/>
          <w:lang w:val="en-US"/>
        </w:rPr>
        <w:t>The authors should show clearly</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which tectonic structures are used, at what time stage, for which</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sector. All figures showing the rotation grid and pole for each</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sector (11-12-13-14, as well as Figures 18-23-24) should be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improved in that respect. Geographical (latitude-longitude frame,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necessary to follow the text for example l. 340, l. 375, l. 396) and</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geological information should be added on all Figures. I would</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strongly suggest to actually show all these figures together in a</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“Method” or “Kinematic Parameters” section and then present</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the table with rotation parameters.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We cannot assess the kinematic reconstructions if only the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rotation parameters (Table 2) are given and not the structures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that are reconstructed. The authors should provide (as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 xml:space="preserve">supplementary file) the reconstructed features (as </w:t>
      </w:r>
      <w:proofErr w:type="spellStart"/>
      <w:r w:rsidRPr="009C5201">
        <w:rPr>
          <w:rFonts w:ascii="ArialMT" w:hAnsi="ArialMT" w:cs="ArialMT"/>
          <w:sz w:val="18"/>
          <w:szCs w:val="18"/>
          <w:lang w:val="en-US"/>
        </w:rPr>
        <w:t>shapefiles</w:t>
      </w:r>
      <w:proofErr w:type="spellEnd"/>
      <w:r w:rsidR="009C5201" w:rsidRPr="009C5201">
        <w:rPr>
          <w:rFonts w:ascii="ArialMT" w:hAnsi="ArialMT" w:cs="ArialMT"/>
          <w:sz w:val="18"/>
          <w:szCs w:val="18"/>
          <w:lang w:val="en-US"/>
        </w:rPr>
        <w:t xml:space="preserve"> </w:t>
      </w:r>
      <w:r w:rsidRPr="009C5201">
        <w:rPr>
          <w:rFonts w:ascii="ArialMT" w:hAnsi="ArialMT" w:cs="ArialMT"/>
          <w:sz w:val="18"/>
          <w:szCs w:val="18"/>
          <w:lang w:val="en-US"/>
        </w:rPr>
        <w:t>and/or as .</w:t>
      </w:r>
      <w:proofErr w:type="spellStart"/>
      <w:r w:rsidRPr="009C5201">
        <w:rPr>
          <w:rFonts w:ascii="ArialMT" w:hAnsi="ArialMT" w:cs="ArialMT"/>
          <w:sz w:val="18"/>
          <w:szCs w:val="18"/>
          <w:lang w:val="en-US"/>
        </w:rPr>
        <w:t>gpml</w:t>
      </w:r>
      <w:proofErr w:type="spellEnd"/>
      <w:r w:rsidRPr="009C5201">
        <w:rPr>
          <w:rFonts w:ascii="ArialMT" w:hAnsi="ArialMT" w:cs="ArialMT"/>
          <w:sz w:val="18"/>
          <w:szCs w:val="18"/>
          <w:lang w:val="en-US"/>
        </w:rPr>
        <w:t xml:space="preserve"> files if they used </w:t>
      </w:r>
      <w:proofErr w:type="spellStart"/>
      <w:r w:rsidRPr="009C5201">
        <w:rPr>
          <w:rFonts w:ascii="ArialMT" w:hAnsi="ArialMT" w:cs="ArialMT"/>
          <w:sz w:val="18"/>
          <w:szCs w:val="18"/>
          <w:lang w:val="en-US"/>
        </w:rPr>
        <w:t>GPlates</w:t>
      </w:r>
      <w:proofErr w:type="spellEnd"/>
      <w:r w:rsidRPr="009C5201">
        <w:rPr>
          <w:rFonts w:ascii="ArialMT" w:hAnsi="ArialMT" w:cs="ArialMT"/>
          <w:sz w:val="18"/>
          <w:szCs w:val="18"/>
          <w:lang w:val="en-US"/>
        </w:rPr>
        <w:t>) additionally to the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table of rotation parameters.</w:t>
      </w:r>
    </w:p>
    <w:p w14:paraId="6C9C9988" w14:textId="77777777" w:rsidR="009C5201" w:rsidRPr="009C5201" w:rsidRDefault="009C5201" w:rsidP="009C5201">
      <w:pPr>
        <w:pStyle w:val="Paragrafoelenco"/>
        <w:autoSpaceDE w:val="0"/>
        <w:autoSpaceDN w:val="0"/>
        <w:adjustRightInd w:val="0"/>
        <w:spacing w:after="0" w:line="240" w:lineRule="auto"/>
        <w:ind w:left="360"/>
        <w:jc w:val="both"/>
        <w:rPr>
          <w:rFonts w:ascii="ArialMT" w:hAnsi="ArialMT" w:cs="ArialMT"/>
          <w:sz w:val="18"/>
          <w:szCs w:val="18"/>
          <w:lang w:val="en-US"/>
        </w:rPr>
      </w:pPr>
    </w:p>
    <w:p w14:paraId="512C3720" w14:textId="441A24F2" w:rsidR="00A90EB0" w:rsidRPr="009C5201" w:rsidRDefault="00A90EB0" w:rsidP="009C5201">
      <w:pPr>
        <w:autoSpaceDE w:val="0"/>
        <w:autoSpaceDN w:val="0"/>
        <w:adjustRightInd w:val="0"/>
        <w:spacing w:after="0" w:line="240" w:lineRule="auto"/>
        <w:ind w:left="360"/>
        <w:jc w:val="both"/>
        <w:rPr>
          <w:rFonts w:ascii="Arial-BoldMT" w:hAnsi="Arial-BoldMT" w:cs="Arial-BoldMT"/>
          <w:b/>
          <w:bCs/>
          <w:sz w:val="18"/>
          <w:szCs w:val="18"/>
          <w:lang w:val="en-US"/>
        </w:rPr>
      </w:pPr>
      <w:r w:rsidRPr="009C5201">
        <w:rPr>
          <w:rFonts w:ascii="Arial-BoldMT" w:hAnsi="Arial-BoldMT" w:cs="Arial-BoldMT"/>
          <w:b/>
          <w:bCs/>
          <w:sz w:val="18"/>
          <w:szCs w:val="18"/>
          <w:lang w:val="en-US"/>
        </w:rPr>
        <w:t>Concrete example – questions about reconstructions of</w:t>
      </w:r>
      <w:r w:rsidR="009C5201" w:rsidRPr="009C5201">
        <w:rPr>
          <w:rFonts w:ascii="Arial-BoldMT" w:hAnsi="Arial-BoldMT" w:cs="Arial-BoldMT"/>
          <w:b/>
          <w:bCs/>
          <w:sz w:val="18"/>
          <w:szCs w:val="18"/>
          <w:lang w:val="en-US"/>
        </w:rPr>
        <w:t xml:space="preserve"> </w:t>
      </w:r>
      <w:r w:rsidRPr="009C5201">
        <w:rPr>
          <w:rFonts w:ascii="Arial-BoldMT" w:hAnsi="Arial-BoldMT" w:cs="Arial-BoldMT"/>
          <w:b/>
          <w:bCs/>
          <w:sz w:val="18"/>
          <w:szCs w:val="18"/>
          <w:lang w:val="en-US"/>
        </w:rPr>
        <w:t>sector 1:</w:t>
      </w:r>
    </w:p>
    <w:p w14:paraId="7C54CAAD" w14:textId="1A5F280F" w:rsidR="00A90EB0" w:rsidRPr="009C5201" w:rsidRDefault="00A90EB0" w:rsidP="009C5201">
      <w:pPr>
        <w:autoSpaceDE w:val="0"/>
        <w:autoSpaceDN w:val="0"/>
        <w:adjustRightInd w:val="0"/>
        <w:spacing w:after="0" w:line="240" w:lineRule="auto"/>
        <w:ind w:left="360"/>
        <w:jc w:val="both"/>
        <w:rPr>
          <w:rFonts w:ascii="ArialMT" w:hAnsi="ArialMT" w:cs="ArialMT"/>
          <w:sz w:val="18"/>
          <w:szCs w:val="18"/>
          <w:lang w:val="en-US"/>
        </w:rPr>
      </w:pPr>
      <w:r w:rsidRPr="009C5201">
        <w:rPr>
          <w:rFonts w:ascii="ArialMT" w:hAnsi="ArialMT" w:cs="ArialMT"/>
          <w:sz w:val="18"/>
          <w:szCs w:val="18"/>
          <w:lang w:val="en-US"/>
        </w:rPr>
        <w:t>l. 620-622 and Figure 18: This part is not clear, the text refers to</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structures related to extension in the Tyrrhenian domain – whose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orientation should be more clearly described, which basins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exactly were formed during this stage and where, in which</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orientation? – between 19-12 Ma, while Figure 18 represents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present-day topography and a pole grid at 5 Ma for the N. and</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Central Apennines.</w:t>
      </w:r>
    </w:p>
    <w:p w14:paraId="4D5EE21A" w14:textId="29922228" w:rsidR="00A90EB0" w:rsidRPr="009C5201" w:rsidRDefault="00A90EB0" w:rsidP="009C5201">
      <w:pPr>
        <w:autoSpaceDE w:val="0"/>
        <w:autoSpaceDN w:val="0"/>
        <w:adjustRightInd w:val="0"/>
        <w:spacing w:after="0" w:line="240" w:lineRule="auto"/>
        <w:ind w:left="360"/>
        <w:jc w:val="both"/>
        <w:rPr>
          <w:rFonts w:ascii="ArialMT" w:hAnsi="ArialMT" w:cs="ArialMT"/>
          <w:sz w:val="18"/>
          <w:szCs w:val="18"/>
          <w:lang w:val="en-US"/>
        </w:rPr>
      </w:pPr>
      <w:r w:rsidRPr="009C5201">
        <w:rPr>
          <w:rFonts w:ascii="ArialMT" w:hAnsi="ArialMT" w:cs="ArialMT"/>
          <w:sz w:val="18"/>
          <w:szCs w:val="18"/>
          <w:lang w:val="en-US"/>
        </w:rPr>
        <w:t>The orientation of extension within the Northern Apennines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(sector 1) on Figure 19 does not seem to represent the</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 xml:space="preserve">orientation of the basins in this area (e.g. </w:t>
      </w:r>
      <w:proofErr w:type="spellStart"/>
      <w:r w:rsidRPr="009C5201">
        <w:rPr>
          <w:rFonts w:ascii="ArialMT" w:hAnsi="ArialMT" w:cs="ArialMT"/>
          <w:sz w:val="18"/>
          <w:szCs w:val="18"/>
          <w:lang w:val="en-US"/>
        </w:rPr>
        <w:t>Radicondoli</w:t>
      </w:r>
      <w:proofErr w:type="spellEnd"/>
      <w:r w:rsidRPr="009C5201">
        <w:rPr>
          <w:rFonts w:ascii="ArialMT" w:hAnsi="ArialMT" w:cs="ArialMT"/>
          <w:sz w:val="18"/>
          <w:szCs w:val="18"/>
          <w:lang w:val="en-US"/>
        </w:rPr>
        <w:t>, Elsa,</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 xml:space="preserve">Siena and </w:t>
      </w:r>
      <w:proofErr w:type="spellStart"/>
      <w:r w:rsidRPr="009C5201">
        <w:rPr>
          <w:rFonts w:ascii="ArialMT" w:hAnsi="ArialMT" w:cs="ArialMT"/>
          <w:sz w:val="18"/>
          <w:szCs w:val="18"/>
          <w:lang w:val="en-US"/>
        </w:rPr>
        <w:t>Radicofani</w:t>
      </w:r>
      <w:proofErr w:type="spellEnd"/>
      <w:r w:rsidRPr="009C5201">
        <w:rPr>
          <w:rFonts w:ascii="ArialMT" w:hAnsi="ArialMT" w:cs="ArialMT"/>
          <w:sz w:val="18"/>
          <w:szCs w:val="18"/>
          <w:lang w:val="en-US"/>
        </w:rPr>
        <w:t xml:space="preserve"> basins ,etc.; e.g. </w:t>
      </w:r>
      <w:proofErr w:type="spellStart"/>
      <w:r w:rsidRPr="009C5201">
        <w:rPr>
          <w:rFonts w:ascii="ArialMT" w:hAnsi="ArialMT" w:cs="ArialMT"/>
          <w:sz w:val="18"/>
          <w:szCs w:val="18"/>
          <w:lang w:val="en-US"/>
        </w:rPr>
        <w:t>Pascucci</w:t>
      </w:r>
      <w:proofErr w:type="spellEnd"/>
      <w:r w:rsidRPr="009C5201">
        <w:rPr>
          <w:rFonts w:ascii="ArialMT" w:hAnsi="ArialMT" w:cs="ArialMT"/>
          <w:sz w:val="18"/>
          <w:szCs w:val="18"/>
          <w:lang w:val="en-US"/>
        </w:rPr>
        <w:t xml:space="preserve"> et al. 2007),</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which are striking rather NW-SE (visible in the topography, used</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apparently for calculating the rotation pole on Figure 11), thus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with opposite direction of extension as shown here... It is</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confusing. Clarifications/explanation on the reconstructions – for</w:t>
      </w:r>
      <w:r w:rsidR="009C5201" w:rsidRPr="009C5201">
        <w:rPr>
          <w:rFonts w:ascii="ArialMT" w:hAnsi="ArialMT" w:cs="ArialMT"/>
          <w:sz w:val="18"/>
          <w:szCs w:val="18"/>
          <w:lang w:val="en-US"/>
        </w:rPr>
        <w:t xml:space="preserve"> </w:t>
      </w:r>
      <w:r w:rsidRPr="009C5201">
        <w:rPr>
          <w:rFonts w:ascii="ArialMT" w:hAnsi="ArialMT" w:cs="ArialMT"/>
          <w:sz w:val="18"/>
          <w:szCs w:val="18"/>
          <w:lang w:val="en-US"/>
        </w:rPr>
        <w:t>all sectors - are needed</w:t>
      </w:r>
      <w:r w:rsidR="009C5201" w:rsidRPr="009C5201">
        <w:rPr>
          <w:rFonts w:ascii="ArialMT" w:hAnsi="ArialMT" w:cs="ArialMT"/>
          <w:sz w:val="18"/>
          <w:szCs w:val="18"/>
          <w:lang w:val="en-US"/>
        </w:rPr>
        <w:t>.</w:t>
      </w:r>
    </w:p>
    <w:p w14:paraId="77D0FEE6" w14:textId="77777777" w:rsidR="009C5201" w:rsidRPr="009C48F9" w:rsidRDefault="009C5201" w:rsidP="009C5201">
      <w:pPr>
        <w:autoSpaceDE w:val="0"/>
        <w:autoSpaceDN w:val="0"/>
        <w:adjustRightInd w:val="0"/>
        <w:spacing w:after="0" w:line="240" w:lineRule="auto"/>
        <w:ind w:left="360"/>
        <w:jc w:val="both"/>
        <w:rPr>
          <w:rFonts w:ascii="ArialMT" w:hAnsi="ArialMT" w:cs="ArialMT"/>
          <w:sz w:val="20"/>
          <w:szCs w:val="20"/>
          <w:lang w:val="en-US"/>
        </w:rPr>
      </w:pPr>
    </w:p>
    <w:p w14:paraId="3ACEC3C0" w14:textId="77777777" w:rsidR="00D73095" w:rsidRDefault="009C5201" w:rsidP="00A90EB0">
      <w:pPr>
        <w:jc w:val="both"/>
        <w:rPr>
          <w:rFonts w:ascii="Arial" w:hAnsi="Arial" w:cs="Arial"/>
          <w:i/>
          <w:iCs/>
          <w:sz w:val="24"/>
          <w:szCs w:val="24"/>
          <w:lang w:val="en-US"/>
        </w:rPr>
      </w:pPr>
      <w:r w:rsidRPr="009C48F9">
        <w:rPr>
          <w:rFonts w:ascii="Arial" w:hAnsi="Arial" w:cs="Arial"/>
          <w:i/>
          <w:iCs/>
          <w:sz w:val="24"/>
          <w:szCs w:val="24"/>
          <w:lang w:val="en-US"/>
        </w:rPr>
        <w:t>Reply:</w:t>
      </w:r>
      <w:r>
        <w:rPr>
          <w:rFonts w:ascii="Arial" w:hAnsi="Arial" w:cs="Arial"/>
          <w:i/>
          <w:iCs/>
          <w:sz w:val="24"/>
          <w:szCs w:val="24"/>
          <w:lang w:val="en-US"/>
        </w:rPr>
        <w:t xml:space="preserve"> regarding the kinematic constraints we modified some figures and inserted new ones to show the correspondence between </w:t>
      </w:r>
      <w:proofErr w:type="spellStart"/>
      <w:r>
        <w:rPr>
          <w:rFonts w:ascii="Arial" w:hAnsi="Arial" w:cs="Arial"/>
          <w:i/>
          <w:iCs/>
          <w:sz w:val="24"/>
          <w:szCs w:val="24"/>
          <w:lang w:val="en-US"/>
        </w:rPr>
        <w:t>morpho</w:t>
      </w:r>
      <w:proofErr w:type="spellEnd"/>
      <w:r>
        <w:rPr>
          <w:rFonts w:ascii="Arial" w:hAnsi="Arial" w:cs="Arial"/>
          <w:i/>
          <w:iCs/>
          <w:sz w:val="24"/>
          <w:szCs w:val="24"/>
          <w:lang w:val="en-US"/>
        </w:rPr>
        <w:t xml:space="preserve">-structures and grids of Euler poles for each sector (Fig. </w:t>
      </w:r>
      <w:r w:rsidR="00D73095">
        <w:rPr>
          <w:rFonts w:ascii="Arial" w:hAnsi="Arial" w:cs="Arial"/>
          <w:i/>
          <w:iCs/>
          <w:sz w:val="24"/>
          <w:szCs w:val="24"/>
          <w:lang w:val="en-US"/>
        </w:rPr>
        <w:t xml:space="preserve">9 and Fig. 13-19). All the figures are now in a </w:t>
      </w:r>
      <w:proofErr w:type="spellStart"/>
      <w:r w:rsidR="00D73095">
        <w:rPr>
          <w:rFonts w:ascii="Arial" w:hAnsi="Arial" w:cs="Arial"/>
          <w:i/>
          <w:iCs/>
          <w:sz w:val="24"/>
          <w:szCs w:val="24"/>
          <w:lang w:val="en-US"/>
        </w:rPr>
        <w:t>georeference</w:t>
      </w:r>
      <w:proofErr w:type="spellEnd"/>
      <w:r w:rsidR="00D73095">
        <w:rPr>
          <w:rFonts w:ascii="Arial" w:hAnsi="Arial" w:cs="Arial"/>
          <w:i/>
          <w:iCs/>
          <w:sz w:val="24"/>
          <w:szCs w:val="24"/>
          <w:lang w:val="en-US"/>
        </w:rPr>
        <w:t xml:space="preserve"> system.</w:t>
      </w:r>
    </w:p>
    <w:p w14:paraId="6A3A80DA" w14:textId="4F8E4CE8" w:rsidR="00A90EB0" w:rsidRPr="009C48F9" w:rsidRDefault="00D73095" w:rsidP="00A90EB0">
      <w:pPr>
        <w:jc w:val="both"/>
        <w:rPr>
          <w:rFonts w:ascii="ArialMT" w:hAnsi="ArialMT" w:cs="ArialMT"/>
          <w:sz w:val="20"/>
          <w:szCs w:val="20"/>
          <w:lang w:val="en-US"/>
        </w:rPr>
      </w:pPr>
      <w:r>
        <w:rPr>
          <w:rFonts w:ascii="Arial" w:hAnsi="Arial" w:cs="Arial"/>
          <w:i/>
          <w:iCs/>
          <w:sz w:val="24"/>
          <w:szCs w:val="24"/>
          <w:lang w:val="en-US"/>
        </w:rPr>
        <w:t>In the revised version of the manuscript the chapter 3-Methods have been rewritten and enriched in order to be the mo</w:t>
      </w:r>
      <w:r w:rsidR="005C614E">
        <w:rPr>
          <w:rFonts w:ascii="Arial" w:hAnsi="Arial" w:cs="Arial"/>
          <w:i/>
          <w:iCs/>
          <w:sz w:val="24"/>
          <w:szCs w:val="24"/>
          <w:lang w:val="en-US"/>
        </w:rPr>
        <w:t>re</w:t>
      </w:r>
      <w:r>
        <w:rPr>
          <w:rFonts w:ascii="Arial" w:hAnsi="Arial" w:cs="Arial"/>
          <w:i/>
          <w:iCs/>
          <w:sz w:val="24"/>
          <w:szCs w:val="24"/>
          <w:lang w:val="en-US"/>
        </w:rPr>
        <w:t xml:space="preserve"> clear and exhaustive </w:t>
      </w:r>
      <w:r w:rsidR="005C614E">
        <w:rPr>
          <w:rFonts w:ascii="Arial" w:hAnsi="Arial" w:cs="Arial"/>
          <w:i/>
          <w:iCs/>
          <w:sz w:val="24"/>
          <w:szCs w:val="24"/>
          <w:lang w:val="en-US"/>
        </w:rPr>
        <w:t>as possible.</w:t>
      </w:r>
    </w:p>
    <w:p w14:paraId="4C51396F" w14:textId="152A5D0A" w:rsidR="00A90EB0" w:rsidRPr="00A90EB0" w:rsidRDefault="00A90EB0" w:rsidP="00A90EB0">
      <w:pPr>
        <w:autoSpaceDE w:val="0"/>
        <w:autoSpaceDN w:val="0"/>
        <w:adjustRightInd w:val="0"/>
        <w:spacing w:after="0" w:line="240" w:lineRule="auto"/>
        <w:jc w:val="both"/>
        <w:rPr>
          <w:rFonts w:ascii="ArialMT" w:hAnsi="ArialMT" w:cs="ArialMT"/>
          <w:sz w:val="20"/>
          <w:szCs w:val="20"/>
          <w:lang w:val="en-US"/>
        </w:rPr>
      </w:pPr>
      <w:r w:rsidRPr="00A90EB0">
        <w:rPr>
          <w:rFonts w:ascii="ArialMT" w:hAnsi="ArialMT" w:cs="ArialMT"/>
          <w:sz w:val="20"/>
          <w:szCs w:val="20"/>
          <w:lang w:val="en-US"/>
        </w:rPr>
        <w:t>(2) References to support the text</w:t>
      </w:r>
      <w:r w:rsidR="00D73095">
        <w:rPr>
          <w:rFonts w:ascii="ArialMT" w:hAnsi="ArialMT" w:cs="ArialMT"/>
          <w:sz w:val="20"/>
          <w:szCs w:val="20"/>
          <w:lang w:val="en-US"/>
        </w:rPr>
        <w:t xml:space="preserve"> </w:t>
      </w:r>
      <w:r w:rsidRPr="00A90EB0">
        <w:rPr>
          <w:rFonts w:ascii="ArialMT" w:hAnsi="ArialMT" w:cs="ArialMT"/>
          <w:sz w:val="20"/>
          <w:szCs w:val="20"/>
          <w:lang w:val="en-US"/>
        </w:rPr>
        <w:t xml:space="preserve">Within sections 4 and 5, </w:t>
      </w:r>
      <w:r w:rsidRPr="00A90EB0">
        <w:rPr>
          <w:rFonts w:ascii="Arial-BoldMT" w:hAnsi="Arial-BoldMT" w:cs="Arial-BoldMT"/>
          <w:b/>
          <w:bCs/>
          <w:sz w:val="20"/>
          <w:szCs w:val="20"/>
          <w:lang w:val="en-US"/>
        </w:rPr>
        <w:t>references should be added</w:t>
      </w:r>
      <w:r w:rsidR="00D73095">
        <w:rPr>
          <w:rFonts w:ascii="Arial-BoldMT" w:hAnsi="Arial-BoldMT" w:cs="Arial-BoldMT"/>
          <w:b/>
          <w:bCs/>
          <w:sz w:val="20"/>
          <w:szCs w:val="20"/>
          <w:lang w:val="en-US"/>
        </w:rPr>
        <w:t xml:space="preserve"> </w:t>
      </w:r>
      <w:r w:rsidRPr="00A90EB0">
        <w:rPr>
          <w:rFonts w:ascii="ArialMT" w:hAnsi="ArialMT" w:cs="ArialMT"/>
          <w:sz w:val="20"/>
          <w:szCs w:val="20"/>
          <w:lang w:val="en-US"/>
        </w:rPr>
        <w:t>throughout the text when describing specific deformation event</w:t>
      </w:r>
      <w:r w:rsidR="00D73095">
        <w:rPr>
          <w:rFonts w:ascii="ArialMT" w:hAnsi="ArialMT" w:cs="ArialMT"/>
          <w:sz w:val="20"/>
          <w:szCs w:val="20"/>
          <w:lang w:val="en-US"/>
        </w:rPr>
        <w:t xml:space="preserve"> </w:t>
      </w:r>
      <w:r w:rsidRPr="00A90EB0">
        <w:rPr>
          <w:rFonts w:ascii="ArialMT" w:hAnsi="ArialMT" w:cs="ArialMT"/>
          <w:sz w:val="20"/>
          <w:szCs w:val="20"/>
          <w:lang w:val="en-US"/>
        </w:rPr>
        <w:t>and associated tectonic and sedimentary structures/record.</w:t>
      </w:r>
    </w:p>
    <w:p w14:paraId="650EB925" w14:textId="032721E2" w:rsidR="00A90EB0" w:rsidRPr="00A90EB0" w:rsidRDefault="00A90EB0" w:rsidP="00A90EB0">
      <w:pPr>
        <w:autoSpaceDE w:val="0"/>
        <w:autoSpaceDN w:val="0"/>
        <w:adjustRightInd w:val="0"/>
        <w:spacing w:after="0" w:line="240" w:lineRule="auto"/>
        <w:jc w:val="both"/>
        <w:rPr>
          <w:rFonts w:ascii="ArialMT" w:hAnsi="ArialMT" w:cs="ArialMT"/>
          <w:sz w:val="20"/>
          <w:szCs w:val="20"/>
          <w:lang w:val="en-US"/>
        </w:rPr>
      </w:pPr>
      <w:r w:rsidRPr="00A90EB0">
        <w:rPr>
          <w:rFonts w:ascii="Arial-BoldMT" w:hAnsi="Arial-BoldMT" w:cs="Arial-BoldMT"/>
          <w:b/>
          <w:bCs/>
          <w:sz w:val="20"/>
          <w:szCs w:val="20"/>
          <w:lang w:val="en-US"/>
        </w:rPr>
        <w:lastRenderedPageBreak/>
        <w:t>All tectonic structures, mountains, basins etc. (especially</w:t>
      </w:r>
      <w:r w:rsidR="00D73095">
        <w:rPr>
          <w:rFonts w:ascii="Arial-BoldMT" w:hAnsi="Arial-BoldMT" w:cs="Arial-BoldMT"/>
          <w:b/>
          <w:bCs/>
          <w:sz w:val="20"/>
          <w:szCs w:val="20"/>
          <w:lang w:val="en-US"/>
        </w:rPr>
        <w:t xml:space="preserve"> </w:t>
      </w:r>
      <w:r w:rsidRPr="00A90EB0">
        <w:rPr>
          <w:rFonts w:ascii="Arial-BoldMT" w:hAnsi="Arial-BoldMT" w:cs="Arial-BoldMT"/>
          <w:b/>
          <w:bCs/>
          <w:sz w:val="20"/>
          <w:szCs w:val="20"/>
          <w:lang w:val="en-US"/>
        </w:rPr>
        <w:t>key structures used in the rotation model) mentioned in the</w:t>
      </w:r>
      <w:r w:rsidR="00D73095">
        <w:rPr>
          <w:rFonts w:ascii="Arial-BoldMT" w:hAnsi="Arial-BoldMT" w:cs="Arial-BoldMT"/>
          <w:b/>
          <w:bCs/>
          <w:sz w:val="20"/>
          <w:szCs w:val="20"/>
          <w:lang w:val="en-US"/>
        </w:rPr>
        <w:t xml:space="preserve"> </w:t>
      </w:r>
      <w:r w:rsidRPr="00A90EB0">
        <w:rPr>
          <w:rFonts w:ascii="Arial-BoldMT" w:hAnsi="Arial-BoldMT" w:cs="Arial-BoldMT"/>
          <w:b/>
          <w:bCs/>
          <w:sz w:val="20"/>
          <w:szCs w:val="20"/>
          <w:lang w:val="en-US"/>
        </w:rPr>
        <w:t>text should be clearly located on the figures</w:t>
      </w:r>
      <w:r w:rsidRPr="00A90EB0">
        <w:rPr>
          <w:rFonts w:ascii="ArialMT" w:hAnsi="ArialMT" w:cs="ArialMT"/>
          <w:sz w:val="20"/>
          <w:szCs w:val="20"/>
          <w:lang w:val="en-US"/>
        </w:rPr>
        <w:t>. And vice versa,</w:t>
      </w:r>
      <w:r w:rsidR="00D73095">
        <w:rPr>
          <w:rFonts w:ascii="ArialMT" w:hAnsi="ArialMT" w:cs="ArialMT"/>
          <w:sz w:val="20"/>
          <w:szCs w:val="20"/>
          <w:lang w:val="en-US"/>
        </w:rPr>
        <w:t xml:space="preserve"> </w:t>
      </w:r>
      <w:r w:rsidRPr="00A90EB0">
        <w:rPr>
          <w:rFonts w:ascii="ArialMT" w:hAnsi="ArialMT" w:cs="ArialMT"/>
          <w:sz w:val="20"/>
          <w:szCs w:val="20"/>
          <w:lang w:val="en-US"/>
        </w:rPr>
        <w:t>a figure should be referred to in the text when these structures</w:t>
      </w:r>
      <w:r w:rsidR="00D73095">
        <w:rPr>
          <w:rFonts w:ascii="ArialMT" w:hAnsi="ArialMT" w:cs="ArialMT"/>
          <w:sz w:val="20"/>
          <w:szCs w:val="20"/>
          <w:lang w:val="en-US"/>
        </w:rPr>
        <w:t xml:space="preserve"> </w:t>
      </w:r>
      <w:r w:rsidRPr="00A90EB0">
        <w:rPr>
          <w:rFonts w:ascii="ArialMT" w:hAnsi="ArialMT" w:cs="ArialMT"/>
          <w:sz w:val="20"/>
          <w:szCs w:val="20"/>
          <w:lang w:val="en-US"/>
        </w:rPr>
        <w:t>are mentioned in the text.</w:t>
      </w:r>
      <w:r w:rsidR="00D73095">
        <w:rPr>
          <w:rFonts w:ascii="ArialMT" w:hAnsi="ArialMT" w:cs="ArialMT"/>
          <w:sz w:val="20"/>
          <w:szCs w:val="20"/>
          <w:lang w:val="en-US"/>
        </w:rPr>
        <w:t xml:space="preserve"> </w:t>
      </w:r>
      <w:r w:rsidRPr="00A90EB0">
        <w:rPr>
          <w:rFonts w:ascii="ArialMT" w:hAnsi="ArialMT" w:cs="ArialMT"/>
          <w:sz w:val="20"/>
          <w:szCs w:val="20"/>
          <w:lang w:val="en-US"/>
        </w:rPr>
        <w:t>If not shown, at least the authors should add references so that</w:t>
      </w:r>
      <w:r w:rsidR="00D73095">
        <w:rPr>
          <w:rFonts w:ascii="ArialMT" w:hAnsi="ArialMT" w:cs="ArialMT"/>
          <w:sz w:val="20"/>
          <w:szCs w:val="20"/>
          <w:lang w:val="en-US"/>
        </w:rPr>
        <w:t xml:space="preserve"> </w:t>
      </w:r>
      <w:r w:rsidRPr="00A90EB0">
        <w:rPr>
          <w:rFonts w:ascii="ArialMT" w:hAnsi="ArialMT" w:cs="ArialMT"/>
          <w:sz w:val="20"/>
          <w:szCs w:val="20"/>
          <w:lang w:val="en-US"/>
        </w:rPr>
        <w:t>the reader can find more information. Otherwise it’s very difficult</w:t>
      </w:r>
      <w:r w:rsidR="00D73095">
        <w:rPr>
          <w:rFonts w:ascii="ArialMT" w:hAnsi="ArialMT" w:cs="ArialMT"/>
          <w:sz w:val="20"/>
          <w:szCs w:val="20"/>
          <w:lang w:val="en-US"/>
        </w:rPr>
        <w:t xml:space="preserve"> </w:t>
      </w:r>
      <w:r w:rsidRPr="00A90EB0">
        <w:rPr>
          <w:rFonts w:ascii="ArialMT" w:hAnsi="ArialMT" w:cs="ArialMT"/>
          <w:sz w:val="20"/>
          <w:szCs w:val="20"/>
          <w:lang w:val="en-US"/>
        </w:rPr>
        <w:t>to follow, and difficult to find the data supporting the rotation</w:t>
      </w:r>
      <w:r w:rsidR="00D73095">
        <w:rPr>
          <w:rFonts w:ascii="ArialMT" w:hAnsi="ArialMT" w:cs="ArialMT"/>
          <w:sz w:val="20"/>
          <w:szCs w:val="20"/>
          <w:lang w:val="en-US"/>
        </w:rPr>
        <w:t xml:space="preserve"> </w:t>
      </w:r>
      <w:r w:rsidRPr="00A90EB0">
        <w:rPr>
          <w:rFonts w:ascii="ArialMT" w:hAnsi="ArialMT" w:cs="ArialMT"/>
          <w:sz w:val="20"/>
          <w:szCs w:val="20"/>
          <w:lang w:val="en-US"/>
        </w:rPr>
        <w:t>model and its interpretation.</w:t>
      </w:r>
    </w:p>
    <w:p w14:paraId="35062281" w14:textId="77777777" w:rsidR="00D73095" w:rsidRDefault="00A90EB0" w:rsidP="00A90EB0">
      <w:pPr>
        <w:autoSpaceDE w:val="0"/>
        <w:autoSpaceDN w:val="0"/>
        <w:adjustRightInd w:val="0"/>
        <w:spacing w:after="0" w:line="240" w:lineRule="auto"/>
        <w:jc w:val="both"/>
        <w:rPr>
          <w:rFonts w:ascii="ArialMT" w:hAnsi="ArialMT" w:cs="ArialMT"/>
          <w:sz w:val="20"/>
          <w:szCs w:val="20"/>
          <w:lang w:val="en-US"/>
        </w:rPr>
      </w:pPr>
      <w:r w:rsidRPr="00A90EB0">
        <w:rPr>
          <w:rFonts w:ascii="ArialMT" w:hAnsi="ArialMT" w:cs="ArialMT"/>
          <w:sz w:val="20"/>
          <w:szCs w:val="20"/>
          <w:lang w:val="en-US"/>
        </w:rPr>
        <w:t>For example (not exhaustive) “the 41st parallel line” (l. 133),</w:t>
      </w:r>
      <w:r w:rsidR="00D73095">
        <w:rPr>
          <w:rFonts w:ascii="ArialMT" w:hAnsi="ArialMT" w:cs="ArialMT"/>
          <w:sz w:val="20"/>
          <w:szCs w:val="20"/>
          <w:lang w:val="en-US"/>
        </w:rPr>
        <w:t xml:space="preserve"> </w:t>
      </w:r>
      <w:r w:rsidRPr="00D73095">
        <w:rPr>
          <w:rFonts w:ascii="ArialMT" w:hAnsi="ArialMT" w:cs="ArialMT"/>
          <w:sz w:val="20"/>
          <w:szCs w:val="20"/>
          <w:lang w:val="en-US"/>
        </w:rPr>
        <w:t>“</w:t>
      </w:r>
      <w:proofErr w:type="spellStart"/>
      <w:r w:rsidRPr="00D73095">
        <w:rPr>
          <w:rFonts w:ascii="ArialMT" w:hAnsi="ArialMT" w:cs="ArialMT"/>
          <w:sz w:val="20"/>
          <w:szCs w:val="20"/>
          <w:lang w:val="en-US"/>
        </w:rPr>
        <w:t>Ancona</w:t>
      </w:r>
      <w:proofErr w:type="spellEnd"/>
      <w:r w:rsidRPr="00D73095">
        <w:rPr>
          <w:rFonts w:ascii="ArialMT" w:hAnsi="ArialMT" w:cs="ArialMT"/>
          <w:sz w:val="20"/>
          <w:szCs w:val="20"/>
          <w:lang w:val="en-US"/>
        </w:rPr>
        <w:t>-Anzio line” (l. 249), Taormina Line (l. 774-780), etc.</w:t>
      </w:r>
      <w:r w:rsidR="00D73095">
        <w:rPr>
          <w:rFonts w:ascii="ArialMT" w:hAnsi="ArialMT" w:cs="ArialMT"/>
          <w:sz w:val="20"/>
          <w:szCs w:val="20"/>
          <w:lang w:val="en-US"/>
        </w:rPr>
        <w:t xml:space="preserve"> </w:t>
      </w:r>
      <w:r w:rsidRPr="00A90EB0">
        <w:rPr>
          <w:rFonts w:ascii="ArialMT" w:hAnsi="ArialMT" w:cs="ArialMT"/>
          <w:sz w:val="20"/>
          <w:szCs w:val="20"/>
          <w:lang w:val="en-US"/>
        </w:rPr>
        <w:t>Please check especially entire sections 4 and 5.</w:t>
      </w:r>
      <w:r w:rsidR="00D73095">
        <w:rPr>
          <w:rFonts w:ascii="ArialMT" w:hAnsi="ArialMT" w:cs="ArialMT"/>
          <w:sz w:val="20"/>
          <w:szCs w:val="20"/>
          <w:lang w:val="en-US"/>
        </w:rPr>
        <w:t xml:space="preserve"> </w:t>
      </w:r>
      <w:r w:rsidRPr="00A90EB0">
        <w:rPr>
          <w:rFonts w:ascii="ArialMT" w:hAnsi="ArialMT" w:cs="ArialMT"/>
          <w:sz w:val="20"/>
          <w:szCs w:val="20"/>
          <w:lang w:val="en-US"/>
        </w:rPr>
        <w:t>Similarly in the ‘Introduction’ (l. 60-70), the authors only refer to</w:t>
      </w:r>
      <w:r w:rsidR="00D73095">
        <w:rPr>
          <w:rFonts w:ascii="ArialMT" w:hAnsi="ArialMT" w:cs="ArialMT"/>
          <w:sz w:val="20"/>
          <w:szCs w:val="20"/>
          <w:lang w:val="en-US"/>
        </w:rPr>
        <w:t xml:space="preserve"> </w:t>
      </w:r>
      <w:r w:rsidRPr="00A90EB0">
        <w:rPr>
          <w:rFonts w:ascii="ArialMT" w:hAnsi="ArialMT" w:cs="ArialMT"/>
          <w:sz w:val="20"/>
          <w:szCs w:val="20"/>
          <w:lang w:val="en-US"/>
        </w:rPr>
        <w:t>their own previous works (except for Dewey et al. 1989), but</w:t>
      </w:r>
      <w:r w:rsidR="00D73095">
        <w:rPr>
          <w:rFonts w:ascii="ArialMT" w:hAnsi="ArialMT" w:cs="ArialMT"/>
          <w:sz w:val="20"/>
          <w:szCs w:val="20"/>
          <w:lang w:val="en-US"/>
        </w:rPr>
        <w:t xml:space="preserve"> </w:t>
      </w:r>
      <w:r w:rsidRPr="00A90EB0">
        <w:rPr>
          <w:rFonts w:ascii="ArialMT" w:hAnsi="ArialMT" w:cs="ArialMT"/>
          <w:sz w:val="20"/>
          <w:szCs w:val="20"/>
          <w:lang w:val="en-US"/>
        </w:rPr>
        <w:t>many other kinematic reconstructions (based on kinematic</w:t>
      </w:r>
      <w:r w:rsidR="00D73095">
        <w:rPr>
          <w:rFonts w:ascii="ArialMT" w:hAnsi="ArialMT" w:cs="ArialMT"/>
          <w:sz w:val="20"/>
          <w:szCs w:val="20"/>
          <w:lang w:val="en-US"/>
        </w:rPr>
        <w:t xml:space="preserve"> </w:t>
      </w:r>
      <w:r w:rsidRPr="00A90EB0">
        <w:rPr>
          <w:rFonts w:ascii="ArialMT" w:hAnsi="ArialMT" w:cs="ArialMT"/>
          <w:sz w:val="20"/>
          <w:szCs w:val="20"/>
          <w:lang w:val="en-US"/>
        </w:rPr>
        <w:t>constraints) have been proposed over the years for the Western</w:t>
      </w:r>
      <w:r w:rsidR="00D73095">
        <w:rPr>
          <w:rFonts w:ascii="ArialMT" w:hAnsi="ArialMT" w:cs="ArialMT"/>
          <w:sz w:val="20"/>
          <w:szCs w:val="20"/>
          <w:lang w:val="en-US"/>
        </w:rPr>
        <w:t xml:space="preserve"> </w:t>
      </w:r>
      <w:r w:rsidRPr="00A90EB0">
        <w:rPr>
          <w:rFonts w:ascii="ArialMT" w:hAnsi="ArialMT" w:cs="ArialMT"/>
          <w:sz w:val="20"/>
          <w:szCs w:val="20"/>
          <w:lang w:val="en-US"/>
        </w:rPr>
        <w:t xml:space="preserve">Mediterranean area - Adriatic Plate (e.g. </w:t>
      </w:r>
      <w:proofErr w:type="spellStart"/>
      <w:r w:rsidRPr="00A90EB0">
        <w:rPr>
          <w:rFonts w:ascii="ArialMT" w:hAnsi="ArialMT" w:cs="ArialMT"/>
          <w:sz w:val="20"/>
          <w:szCs w:val="20"/>
          <w:lang w:val="en-US"/>
        </w:rPr>
        <w:t>Romagny</w:t>
      </w:r>
      <w:proofErr w:type="spellEnd"/>
      <w:r w:rsidRPr="00A90EB0">
        <w:rPr>
          <w:rFonts w:ascii="ArialMT" w:hAnsi="ArialMT" w:cs="ArialMT"/>
          <w:sz w:val="20"/>
          <w:szCs w:val="20"/>
          <w:lang w:val="en-US"/>
        </w:rPr>
        <w:t xml:space="preserve"> et al. 2020;</w:t>
      </w:r>
      <w:r w:rsidR="00D73095">
        <w:rPr>
          <w:rFonts w:ascii="ArialMT" w:hAnsi="ArialMT" w:cs="ArialMT"/>
          <w:sz w:val="20"/>
          <w:szCs w:val="20"/>
          <w:lang w:val="en-US"/>
        </w:rPr>
        <w:t xml:space="preserve"> </w:t>
      </w:r>
      <w:r w:rsidRPr="00A90EB0">
        <w:rPr>
          <w:rFonts w:ascii="ArialMT" w:hAnsi="ArialMT" w:cs="ArialMT"/>
          <w:sz w:val="20"/>
          <w:szCs w:val="20"/>
          <w:lang w:val="en-US"/>
        </w:rPr>
        <w:t>Rosenbaum et al. 2002 Rosenbaum and Lister 2014; Van</w:t>
      </w:r>
      <w:r w:rsidR="00D73095">
        <w:rPr>
          <w:rFonts w:ascii="ArialMT" w:hAnsi="ArialMT" w:cs="ArialMT"/>
          <w:sz w:val="20"/>
          <w:szCs w:val="20"/>
          <w:lang w:val="en-US"/>
        </w:rPr>
        <w:t xml:space="preserve"> </w:t>
      </w:r>
      <w:proofErr w:type="spellStart"/>
      <w:r w:rsidRPr="00A90EB0">
        <w:rPr>
          <w:rFonts w:ascii="ArialMT" w:hAnsi="ArialMT" w:cs="ArialMT"/>
          <w:sz w:val="20"/>
          <w:szCs w:val="20"/>
          <w:lang w:val="en-US"/>
        </w:rPr>
        <w:t>Hinsbergen</w:t>
      </w:r>
      <w:proofErr w:type="spellEnd"/>
      <w:r w:rsidRPr="00A90EB0">
        <w:rPr>
          <w:rFonts w:ascii="ArialMT" w:hAnsi="ArialMT" w:cs="ArialMT"/>
          <w:sz w:val="20"/>
          <w:szCs w:val="20"/>
          <w:lang w:val="en-US"/>
        </w:rPr>
        <w:t xml:space="preserve"> et al. 2014 and 2020; Le Breton et al. 2017; some</w:t>
      </w:r>
      <w:r w:rsidR="00D73095">
        <w:rPr>
          <w:rFonts w:ascii="ArialMT" w:hAnsi="ArialMT" w:cs="ArialMT"/>
          <w:sz w:val="20"/>
          <w:szCs w:val="20"/>
          <w:lang w:val="en-US"/>
        </w:rPr>
        <w:t xml:space="preserve"> </w:t>
      </w:r>
      <w:r w:rsidRPr="00A90EB0">
        <w:rPr>
          <w:rFonts w:ascii="ArialMT" w:hAnsi="ArialMT" w:cs="ArialMT"/>
          <w:sz w:val="20"/>
          <w:szCs w:val="20"/>
          <w:lang w:val="en-US"/>
        </w:rPr>
        <w:t>reconstructions are incorporated into global plate model:</w:t>
      </w:r>
      <w:r w:rsidR="00D73095">
        <w:rPr>
          <w:rFonts w:ascii="ArialMT" w:hAnsi="ArialMT" w:cs="ArialMT"/>
          <w:sz w:val="20"/>
          <w:szCs w:val="20"/>
          <w:lang w:val="en-US"/>
        </w:rPr>
        <w:t xml:space="preserve"> </w:t>
      </w:r>
      <w:proofErr w:type="spellStart"/>
      <w:r w:rsidRPr="00A90EB0">
        <w:rPr>
          <w:rFonts w:ascii="ArialMT" w:hAnsi="ArialMT" w:cs="ArialMT"/>
          <w:sz w:val="20"/>
          <w:szCs w:val="20"/>
          <w:lang w:val="en-US"/>
        </w:rPr>
        <w:t>Hosseinpoor</w:t>
      </w:r>
      <w:proofErr w:type="spellEnd"/>
      <w:r w:rsidRPr="00A90EB0">
        <w:rPr>
          <w:rFonts w:ascii="ArialMT" w:hAnsi="ArialMT" w:cs="ArialMT"/>
          <w:sz w:val="20"/>
          <w:szCs w:val="20"/>
          <w:lang w:val="en-US"/>
        </w:rPr>
        <w:t xml:space="preserve"> et al. 2016; Mueller et al. 2019). They should be</w:t>
      </w:r>
      <w:r w:rsidR="00D73095">
        <w:rPr>
          <w:rFonts w:ascii="ArialMT" w:hAnsi="ArialMT" w:cs="ArialMT"/>
          <w:sz w:val="20"/>
          <w:szCs w:val="20"/>
          <w:lang w:val="en-US"/>
        </w:rPr>
        <w:t xml:space="preserve"> </w:t>
      </w:r>
      <w:r w:rsidRPr="00A90EB0">
        <w:rPr>
          <w:rFonts w:ascii="ArialMT" w:hAnsi="ArialMT" w:cs="ArialMT"/>
          <w:sz w:val="20"/>
          <w:szCs w:val="20"/>
          <w:lang w:val="en-US"/>
        </w:rPr>
        <w:t>mentioned and it should clearly state how this work differs , what</w:t>
      </w:r>
      <w:r w:rsidR="00D73095">
        <w:rPr>
          <w:rFonts w:ascii="ArialMT" w:hAnsi="ArialMT" w:cs="ArialMT"/>
          <w:sz w:val="20"/>
          <w:szCs w:val="20"/>
          <w:lang w:val="en-US"/>
        </w:rPr>
        <w:t xml:space="preserve"> </w:t>
      </w:r>
      <w:r w:rsidRPr="00A90EB0">
        <w:rPr>
          <w:rFonts w:ascii="ArialMT" w:hAnsi="ArialMT" w:cs="ArialMT"/>
          <w:sz w:val="20"/>
          <w:szCs w:val="20"/>
          <w:lang w:val="en-US"/>
        </w:rPr>
        <w:t>it brings new</w:t>
      </w:r>
      <w:r w:rsidR="00D73095">
        <w:rPr>
          <w:rFonts w:ascii="ArialMT" w:hAnsi="ArialMT" w:cs="ArialMT"/>
          <w:sz w:val="20"/>
          <w:szCs w:val="20"/>
          <w:lang w:val="en-US"/>
        </w:rPr>
        <w:t>.</w:t>
      </w:r>
    </w:p>
    <w:p w14:paraId="43357776" w14:textId="77777777" w:rsidR="00D73095" w:rsidRDefault="00D73095" w:rsidP="00A90EB0">
      <w:pPr>
        <w:autoSpaceDE w:val="0"/>
        <w:autoSpaceDN w:val="0"/>
        <w:adjustRightInd w:val="0"/>
        <w:spacing w:after="0" w:line="240" w:lineRule="auto"/>
        <w:jc w:val="both"/>
        <w:rPr>
          <w:rFonts w:ascii="ArialMT" w:hAnsi="ArialMT" w:cs="ArialMT"/>
          <w:sz w:val="20"/>
          <w:szCs w:val="20"/>
          <w:lang w:val="en-US"/>
        </w:rPr>
      </w:pPr>
    </w:p>
    <w:p w14:paraId="75CF5CC9" w14:textId="12DE5B3D" w:rsidR="005C614E" w:rsidRDefault="005C614E" w:rsidP="005C614E">
      <w:pPr>
        <w:jc w:val="both"/>
        <w:rPr>
          <w:rFonts w:ascii="Arial" w:hAnsi="Arial" w:cs="Arial"/>
          <w:i/>
          <w:iCs/>
          <w:sz w:val="24"/>
          <w:szCs w:val="24"/>
          <w:lang w:val="en-US"/>
        </w:rPr>
      </w:pPr>
      <w:r w:rsidRPr="009C48F9">
        <w:rPr>
          <w:rFonts w:ascii="Arial" w:hAnsi="Arial" w:cs="Arial"/>
          <w:i/>
          <w:iCs/>
          <w:sz w:val="24"/>
          <w:szCs w:val="24"/>
          <w:lang w:val="en-US"/>
        </w:rPr>
        <w:t>Reply:</w:t>
      </w:r>
      <w:r w:rsidRPr="005C614E">
        <w:rPr>
          <w:rFonts w:ascii="Arial" w:hAnsi="Arial" w:cs="Arial"/>
          <w:i/>
          <w:iCs/>
          <w:sz w:val="24"/>
          <w:szCs w:val="24"/>
          <w:lang w:val="en-US"/>
        </w:rPr>
        <w:t xml:space="preserve"> </w:t>
      </w:r>
      <w:r>
        <w:rPr>
          <w:rFonts w:ascii="Arial" w:hAnsi="Arial" w:cs="Arial"/>
          <w:i/>
          <w:iCs/>
          <w:sz w:val="24"/>
          <w:szCs w:val="24"/>
          <w:lang w:val="en-US"/>
        </w:rPr>
        <w:t>All tectonic structures</w:t>
      </w:r>
      <w:r w:rsidRPr="005C614E">
        <w:rPr>
          <w:rFonts w:ascii="Arial" w:hAnsi="Arial" w:cs="Arial"/>
          <w:i/>
          <w:iCs/>
          <w:sz w:val="24"/>
          <w:szCs w:val="24"/>
          <w:lang w:val="en-US"/>
        </w:rPr>
        <w:t xml:space="preserve"> </w:t>
      </w:r>
      <w:r>
        <w:rPr>
          <w:rFonts w:ascii="Arial" w:hAnsi="Arial" w:cs="Arial"/>
          <w:i/>
          <w:iCs/>
          <w:sz w:val="24"/>
          <w:szCs w:val="24"/>
          <w:lang w:val="en-US"/>
        </w:rPr>
        <w:t xml:space="preserve">and </w:t>
      </w:r>
      <w:r w:rsidRPr="005C614E">
        <w:rPr>
          <w:rFonts w:ascii="Arial" w:hAnsi="Arial" w:cs="Arial"/>
          <w:i/>
          <w:iCs/>
          <w:sz w:val="24"/>
          <w:szCs w:val="24"/>
          <w:lang w:val="en-US"/>
        </w:rPr>
        <w:t>key structures used in the rotation model</w:t>
      </w:r>
      <w:r>
        <w:rPr>
          <w:rFonts w:ascii="Arial" w:hAnsi="Arial" w:cs="Arial"/>
          <w:i/>
          <w:iCs/>
          <w:sz w:val="24"/>
          <w:szCs w:val="24"/>
          <w:lang w:val="en-US"/>
        </w:rPr>
        <w:t xml:space="preserve"> have been mentioned in the figures and the bibliography for each chapter have been strongly enriched.</w:t>
      </w:r>
    </w:p>
    <w:p w14:paraId="12CABE76" w14:textId="77777777" w:rsidR="005C614E" w:rsidRPr="00990B72" w:rsidRDefault="00A90EB0" w:rsidP="00A90EB0">
      <w:pPr>
        <w:autoSpaceDE w:val="0"/>
        <w:autoSpaceDN w:val="0"/>
        <w:adjustRightInd w:val="0"/>
        <w:spacing w:after="0" w:line="240" w:lineRule="auto"/>
        <w:jc w:val="both"/>
        <w:rPr>
          <w:rFonts w:ascii="ArialMT" w:hAnsi="ArialMT" w:cs="ArialMT"/>
          <w:sz w:val="18"/>
          <w:szCs w:val="18"/>
          <w:lang w:val="en-US"/>
        </w:rPr>
      </w:pPr>
      <w:r w:rsidRPr="00990B72">
        <w:rPr>
          <w:rFonts w:ascii="ArialMT" w:hAnsi="ArialMT" w:cs="ArialMT"/>
          <w:sz w:val="18"/>
          <w:szCs w:val="18"/>
          <w:lang w:val="en-US"/>
        </w:rPr>
        <w:t>(3) Structure of the paper</w:t>
      </w:r>
    </w:p>
    <w:p w14:paraId="2F313792" w14:textId="51DB059A" w:rsidR="00A90EB0" w:rsidRPr="00990B72" w:rsidRDefault="00A90EB0" w:rsidP="00A90EB0">
      <w:pPr>
        <w:autoSpaceDE w:val="0"/>
        <w:autoSpaceDN w:val="0"/>
        <w:adjustRightInd w:val="0"/>
        <w:spacing w:after="0" w:line="240" w:lineRule="auto"/>
        <w:jc w:val="both"/>
        <w:rPr>
          <w:rFonts w:ascii="ArialMT" w:hAnsi="ArialMT" w:cs="ArialMT"/>
          <w:sz w:val="18"/>
          <w:szCs w:val="18"/>
          <w:lang w:val="en-US"/>
        </w:rPr>
      </w:pPr>
      <w:r w:rsidRPr="00990B72">
        <w:rPr>
          <w:rFonts w:ascii="ArialMT" w:hAnsi="ArialMT" w:cs="ArialMT"/>
          <w:sz w:val="18"/>
          <w:szCs w:val="18"/>
          <w:lang w:val="en-US"/>
        </w:rPr>
        <w:t>Section 3 – Method: This section presents the general approach</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used for the kinematic reconstructions. The authors need to</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show more concretely what are the kinematic constraints used</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here, so basically what they show in their section 4 - “Results”</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(and this part should be improved, see above comment).</w:t>
      </w:r>
    </w:p>
    <w:p w14:paraId="585EC96E" w14:textId="3ADB9A4C" w:rsidR="00A90EB0" w:rsidRPr="00990B72" w:rsidRDefault="00A90EB0" w:rsidP="00B20287">
      <w:pPr>
        <w:autoSpaceDE w:val="0"/>
        <w:autoSpaceDN w:val="0"/>
        <w:adjustRightInd w:val="0"/>
        <w:spacing w:after="0" w:line="240" w:lineRule="auto"/>
        <w:jc w:val="both"/>
        <w:rPr>
          <w:rFonts w:ascii="ArialMT" w:hAnsi="ArialMT" w:cs="ArialMT"/>
          <w:sz w:val="18"/>
          <w:szCs w:val="18"/>
          <w:lang w:val="en-US"/>
        </w:rPr>
      </w:pPr>
      <w:r w:rsidRPr="00990B72">
        <w:rPr>
          <w:rFonts w:ascii="ArialMT" w:hAnsi="ArialMT" w:cs="ArialMT"/>
          <w:sz w:val="18"/>
          <w:szCs w:val="18"/>
          <w:lang w:val="en-US"/>
        </w:rPr>
        <w:t>Section 4 “Results”: This section does not show the results but</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the kinematic constraints/assumptions of the rotation model. It</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could be merged with section 3 or renamed for example</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“Kinematic constraints and rotation model”.</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A section “Results” should show the new kinematic</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reconstructions/maps. There, the figures should come in</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chronological order (5 Ma should come before 3 Ma). I would</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strongly recommend to put all reconstructions figures together</w:t>
      </w:r>
      <w:r w:rsidR="00B20287" w:rsidRPr="00990B72">
        <w:rPr>
          <w:rFonts w:ascii="ArialMT" w:hAnsi="ArialMT" w:cs="ArialMT"/>
          <w:sz w:val="18"/>
          <w:szCs w:val="18"/>
          <w:lang w:val="en-US"/>
        </w:rPr>
        <w:t xml:space="preserve"> </w:t>
      </w:r>
    </w:p>
    <w:p w14:paraId="0EA871E0" w14:textId="7DCF591E" w:rsidR="00A90EB0" w:rsidRPr="00990B72" w:rsidRDefault="00A90EB0" w:rsidP="00A90EB0">
      <w:pPr>
        <w:autoSpaceDE w:val="0"/>
        <w:autoSpaceDN w:val="0"/>
        <w:adjustRightInd w:val="0"/>
        <w:spacing w:after="0" w:line="240" w:lineRule="auto"/>
        <w:jc w:val="both"/>
        <w:rPr>
          <w:rFonts w:ascii="ArialMT" w:hAnsi="ArialMT" w:cs="ArialMT"/>
          <w:sz w:val="18"/>
          <w:szCs w:val="18"/>
          <w:lang w:val="en-US"/>
        </w:rPr>
      </w:pPr>
      <w:r w:rsidRPr="00990B72">
        <w:rPr>
          <w:rFonts w:ascii="ArialMT" w:hAnsi="ArialMT" w:cs="ArialMT"/>
          <w:sz w:val="18"/>
          <w:szCs w:val="18"/>
          <w:lang w:val="en-US"/>
        </w:rPr>
        <w:t>(Figures 16, 17, 19, 20, 22, 25) with a common legend and list of</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abbreviations. We should not have to go to the last figure (who</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comes 7 pages later) to see the legend of the first map.</w:t>
      </w:r>
    </w:p>
    <w:p w14:paraId="0A38841A" w14:textId="57931963" w:rsidR="00A90EB0" w:rsidRPr="00990B72" w:rsidRDefault="00A90EB0" w:rsidP="00B20287">
      <w:pPr>
        <w:autoSpaceDE w:val="0"/>
        <w:autoSpaceDN w:val="0"/>
        <w:adjustRightInd w:val="0"/>
        <w:spacing w:after="0" w:line="240" w:lineRule="auto"/>
        <w:jc w:val="both"/>
        <w:rPr>
          <w:rFonts w:ascii="ArialMT" w:hAnsi="ArialMT" w:cs="ArialMT"/>
          <w:sz w:val="18"/>
          <w:szCs w:val="18"/>
          <w:lang w:val="en-US"/>
        </w:rPr>
      </w:pPr>
      <w:r w:rsidRPr="00990B72">
        <w:rPr>
          <w:rFonts w:ascii="ArialMT" w:hAnsi="ArialMT" w:cs="ArialMT"/>
          <w:sz w:val="18"/>
          <w:szCs w:val="18"/>
          <w:lang w:val="en-US"/>
        </w:rPr>
        <w:t>The section 5.2 “Slab-retreat Process” is a very interesting</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section as it discusses the implications of the rotation model in</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terms of geodynamic processes and how slab processes</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influence the surface, but is too short in its present version. The</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following section 5.3 actually discusses slab processes, so it’s</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redundant. I suggest to re-structure, make a short description of</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 xml:space="preserve">the main tectonic phases when </w:t>
      </w:r>
      <w:r w:rsidR="00B20287" w:rsidRPr="00990B72">
        <w:rPr>
          <w:rFonts w:ascii="ArialMT" w:hAnsi="ArialMT" w:cs="ArialMT"/>
          <w:sz w:val="18"/>
          <w:szCs w:val="18"/>
          <w:lang w:val="en-US"/>
        </w:rPr>
        <w:t xml:space="preserve">presenting the kinematic maps in </w:t>
      </w:r>
      <w:r w:rsidRPr="00990B72">
        <w:rPr>
          <w:rFonts w:ascii="ArialMT" w:hAnsi="ArialMT" w:cs="ArialMT"/>
          <w:sz w:val="18"/>
          <w:szCs w:val="18"/>
          <w:lang w:val="en-US"/>
        </w:rPr>
        <w:t>a section “Results” and then discuss the implications of the new</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rotation model in terms of tectonic and geodynamic (slab</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dynamics/processes) evolution of the area in the ‘Discussion’</w:t>
      </w:r>
      <w:r w:rsidR="00B20287" w:rsidRPr="00990B72">
        <w:rPr>
          <w:rFonts w:ascii="ArialMT" w:hAnsi="ArialMT" w:cs="ArialMT"/>
          <w:sz w:val="18"/>
          <w:szCs w:val="18"/>
          <w:lang w:val="en-US"/>
        </w:rPr>
        <w:t xml:space="preserve"> </w:t>
      </w:r>
      <w:r w:rsidRPr="00990B72">
        <w:rPr>
          <w:rFonts w:ascii="ArialMT" w:hAnsi="ArialMT" w:cs="ArialMT"/>
          <w:sz w:val="18"/>
          <w:szCs w:val="18"/>
          <w:lang w:val="en-US"/>
        </w:rPr>
        <w:t>section.</w:t>
      </w:r>
    </w:p>
    <w:p w14:paraId="565F3D03" w14:textId="77777777" w:rsidR="00A90EB0" w:rsidRPr="00A90EB0" w:rsidRDefault="00A90EB0" w:rsidP="00A90EB0">
      <w:pPr>
        <w:jc w:val="both"/>
        <w:rPr>
          <w:rFonts w:ascii="ArialMT" w:hAnsi="ArialMT" w:cs="ArialMT"/>
          <w:sz w:val="20"/>
          <w:szCs w:val="20"/>
          <w:lang w:val="en-US"/>
        </w:rPr>
      </w:pPr>
    </w:p>
    <w:p w14:paraId="0B1768E8" w14:textId="4C3D9526" w:rsidR="00A90EB0" w:rsidRDefault="00B20287" w:rsidP="002F43E7">
      <w:pPr>
        <w:rPr>
          <w:rFonts w:ascii="ArialMT" w:hAnsi="ArialMT" w:cs="ArialMT"/>
          <w:sz w:val="20"/>
          <w:szCs w:val="20"/>
          <w:lang w:val="en-US"/>
        </w:rPr>
      </w:pPr>
      <w:r w:rsidRPr="009C48F9">
        <w:rPr>
          <w:rFonts w:ascii="Arial" w:hAnsi="Arial" w:cs="Arial"/>
          <w:i/>
          <w:iCs/>
          <w:sz w:val="24"/>
          <w:szCs w:val="24"/>
          <w:lang w:val="en-US"/>
        </w:rPr>
        <w:t>Reply:</w:t>
      </w:r>
      <w:r>
        <w:rPr>
          <w:rFonts w:ascii="Arial" w:hAnsi="Arial" w:cs="Arial"/>
          <w:i/>
          <w:iCs/>
          <w:sz w:val="24"/>
          <w:szCs w:val="24"/>
          <w:lang w:val="en-US"/>
        </w:rPr>
        <w:t xml:space="preserve"> we agreed to modify the structure of the paper and in particular we modified and reorganized the Methods, Results and Discussions sections. The paragraph “Slab-Retreat Process” has been </w:t>
      </w:r>
      <w:r w:rsidR="00990B72">
        <w:rPr>
          <w:rFonts w:ascii="Arial" w:hAnsi="Arial" w:cs="Arial"/>
          <w:i/>
          <w:iCs/>
          <w:sz w:val="24"/>
          <w:szCs w:val="24"/>
          <w:lang w:val="en-US"/>
        </w:rPr>
        <w:t xml:space="preserve">extended </w:t>
      </w:r>
      <w:r>
        <w:rPr>
          <w:rFonts w:ascii="Arial" w:hAnsi="Arial" w:cs="Arial"/>
          <w:i/>
          <w:iCs/>
          <w:sz w:val="24"/>
          <w:szCs w:val="24"/>
          <w:lang w:val="en-US"/>
        </w:rPr>
        <w:t>and moved to the Discussion section.</w:t>
      </w:r>
    </w:p>
    <w:p w14:paraId="0258E2ED" w14:textId="11F9448C" w:rsidR="00501577" w:rsidRPr="00A90EB0" w:rsidRDefault="00E20034" w:rsidP="002F43E7">
      <w:pPr>
        <w:rPr>
          <w:rFonts w:ascii="ArialMT" w:hAnsi="ArialMT" w:cs="ArialMT"/>
          <w:sz w:val="20"/>
          <w:szCs w:val="20"/>
          <w:lang w:val="en-US"/>
        </w:rPr>
      </w:pPr>
      <w:r>
        <w:rPr>
          <w:rFonts w:ascii="ArialMT" w:hAnsi="ArialMT" w:cs="ArialMT"/>
          <w:sz w:val="20"/>
          <w:szCs w:val="20"/>
          <w:lang w:val="en-US"/>
        </w:rPr>
        <w:t xml:space="preserve">Reply to </w:t>
      </w:r>
      <w:r w:rsidR="00501577" w:rsidRPr="00A90EB0">
        <w:rPr>
          <w:rFonts w:ascii="ArialMT" w:hAnsi="ArialMT" w:cs="ArialMT"/>
          <w:sz w:val="20"/>
          <w:szCs w:val="20"/>
          <w:lang w:val="en-US"/>
        </w:rPr>
        <w:t>Specific comments:</w:t>
      </w:r>
    </w:p>
    <w:p w14:paraId="1B610C8D" w14:textId="048ADEA3" w:rsidR="00501577" w:rsidRDefault="00A86B5A" w:rsidP="00A86B5A">
      <w:pPr>
        <w:autoSpaceDE w:val="0"/>
        <w:autoSpaceDN w:val="0"/>
        <w:adjustRightInd w:val="0"/>
        <w:spacing w:after="0" w:line="240" w:lineRule="auto"/>
        <w:rPr>
          <w:rFonts w:ascii="ArialMT" w:hAnsi="ArialMT" w:cs="ArialMT"/>
          <w:sz w:val="20"/>
          <w:szCs w:val="20"/>
          <w:lang w:val="en-US"/>
        </w:rPr>
      </w:pPr>
      <w:r w:rsidRPr="00501577">
        <w:rPr>
          <w:rFonts w:ascii="ArialMT" w:hAnsi="ArialMT" w:cs="ArialMT"/>
          <w:sz w:val="20"/>
          <w:szCs w:val="20"/>
          <w:lang w:val="en-US"/>
        </w:rPr>
        <w:t xml:space="preserve">l. 60-70: </w:t>
      </w:r>
      <w:r w:rsidR="00501577" w:rsidRPr="00501577">
        <w:rPr>
          <w:rFonts w:ascii="ArialMT" w:hAnsi="ArialMT" w:cs="ArialMT"/>
          <w:sz w:val="20"/>
          <w:szCs w:val="20"/>
          <w:lang w:val="en-US"/>
        </w:rPr>
        <w:t>some of the proposed models have been added for the kinematic reconstruction of the Tyrrhenian area. In this work a different m</w:t>
      </w:r>
      <w:bookmarkStart w:id="0" w:name="_GoBack"/>
      <w:bookmarkEnd w:id="0"/>
      <w:r w:rsidR="00501577" w:rsidRPr="00501577">
        <w:rPr>
          <w:rFonts w:ascii="ArialMT" w:hAnsi="ArialMT" w:cs="ArialMT"/>
          <w:sz w:val="20"/>
          <w:szCs w:val="20"/>
          <w:lang w:val="en-US"/>
        </w:rPr>
        <w:t>ethod is proposed that uses deformable blocks; works of this type have also been included in the bibliography.</w:t>
      </w:r>
    </w:p>
    <w:p w14:paraId="5E8BC9D6" w14:textId="77777777" w:rsidR="00501577" w:rsidRPr="00501577" w:rsidRDefault="00501577" w:rsidP="00A86B5A">
      <w:pPr>
        <w:autoSpaceDE w:val="0"/>
        <w:autoSpaceDN w:val="0"/>
        <w:adjustRightInd w:val="0"/>
        <w:spacing w:after="0" w:line="240" w:lineRule="auto"/>
        <w:rPr>
          <w:rFonts w:ascii="ArialMT" w:hAnsi="ArialMT" w:cs="ArialMT"/>
          <w:sz w:val="20"/>
          <w:szCs w:val="20"/>
          <w:lang w:val="en-US"/>
        </w:rPr>
      </w:pPr>
    </w:p>
    <w:p w14:paraId="3E1CC14C" w14:textId="77777777" w:rsidR="00E12AF2" w:rsidRDefault="00AF1143" w:rsidP="00AF1143">
      <w:pPr>
        <w:rPr>
          <w:rFonts w:ascii="ArialMT" w:hAnsi="ArialMT" w:cs="ArialMT"/>
          <w:sz w:val="20"/>
          <w:szCs w:val="20"/>
          <w:lang w:val="en-US"/>
        </w:rPr>
      </w:pPr>
      <w:r w:rsidRPr="00AF1143">
        <w:rPr>
          <w:rFonts w:ascii="ArialMT" w:hAnsi="ArialMT" w:cs="ArialMT"/>
          <w:sz w:val="20"/>
          <w:szCs w:val="20"/>
          <w:lang w:val="en-US"/>
        </w:rPr>
        <w:t xml:space="preserve">l. 86 – l. 92 – Caption of Figures 2 and 3: caption </w:t>
      </w:r>
      <w:r>
        <w:rPr>
          <w:rFonts w:ascii="ArialMT" w:hAnsi="ArialMT" w:cs="ArialMT"/>
          <w:sz w:val="20"/>
          <w:szCs w:val="20"/>
          <w:lang w:val="en-US"/>
        </w:rPr>
        <w:t>changed</w:t>
      </w:r>
    </w:p>
    <w:p w14:paraId="703064DC" w14:textId="77777777" w:rsidR="00216536" w:rsidRDefault="00216536" w:rsidP="00AF1143">
      <w:pPr>
        <w:rPr>
          <w:rFonts w:ascii="ArialMT" w:hAnsi="ArialMT" w:cs="ArialMT"/>
          <w:sz w:val="20"/>
          <w:szCs w:val="20"/>
          <w:lang w:val="en-US"/>
        </w:rPr>
      </w:pPr>
      <w:r>
        <w:rPr>
          <w:rFonts w:ascii="ArialMT" w:hAnsi="ArialMT" w:cs="ArialMT"/>
          <w:sz w:val="20"/>
          <w:szCs w:val="20"/>
          <w:lang w:val="en-US"/>
        </w:rPr>
        <w:t xml:space="preserve">l. 130: </w:t>
      </w:r>
      <w:r w:rsidR="00706D32">
        <w:rPr>
          <w:rFonts w:ascii="ArialMT" w:hAnsi="ArialMT" w:cs="ArialMT"/>
          <w:sz w:val="20"/>
          <w:szCs w:val="20"/>
          <w:lang w:val="en-US"/>
        </w:rPr>
        <w:t>changed in “</w:t>
      </w:r>
      <w:r w:rsidR="00706D32" w:rsidRPr="00706D32">
        <w:rPr>
          <w:rFonts w:ascii="ArialMT" w:hAnsi="ArialMT" w:cs="ArialMT"/>
          <w:sz w:val="20"/>
          <w:szCs w:val="20"/>
          <w:lang w:val="en-US"/>
        </w:rPr>
        <w:t>, was due to rollback of the subducting Ionian lithosphere and migration of the Cala</w:t>
      </w:r>
      <w:r w:rsidR="00706D32">
        <w:rPr>
          <w:rFonts w:ascii="ArialMT" w:hAnsi="ArialMT" w:cs="ArialMT"/>
          <w:sz w:val="20"/>
          <w:szCs w:val="20"/>
          <w:lang w:val="en-US"/>
        </w:rPr>
        <w:t>brian Arc towards the southeast”</w:t>
      </w:r>
    </w:p>
    <w:p w14:paraId="0B9A4D7A" w14:textId="77777777" w:rsidR="00706D32" w:rsidRPr="00706D32" w:rsidRDefault="00706D32" w:rsidP="00706D32">
      <w:pPr>
        <w:rPr>
          <w:lang w:val="en-US"/>
        </w:rPr>
      </w:pPr>
      <w:r w:rsidRPr="00706D32">
        <w:rPr>
          <w:lang w:val="en-US"/>
        </w:rPr>
        <w:t>l. 187</w:t>
      </w:r>
      <w:r>
        <w:rPr>
          <w:lang w:val="en-US"/>
        </w:rPr>
        <w:t xml:space="preserve">: added reference to </w:t>
      </w:r>
      <w:r w:rsidRPr="00706D32">
        <w:rPr>
          <w:lang w:val="en-US"/>
        </w:rPr>
        <w:t>Greiner 1999</w:t>
      </w:r>
    </w:p>
    <w:p w14:paraId="399AF70B" w14:textId="77777777" w:rsidR="00706D32" w:rsidRDefault="00330660" w:rsidP="00AF1143">
      <w:pPr>
        <w:rPr>
          <w:rFonts w:ascii="ArialMT" w:hAnsi="ArialMT" w:cs="ArialMT"/>
          <w:sz w:val="20"/>
          <w:szCs w:val="20"/>
          <w:lang w:val="en-US"/>
        </w:rPr>
      </w:pPr>
      <w:r>
        <w:rPr>
          <w:rFonts w:ascii="ArialMT" w:hAnsi="ArialMT" w:cs="ArialMT"/>
          <w:sz w:val="20"/>
          <w:szCs w:val="20"/>
          <w:lang w:val="en-US"/>
        </w:rPr>
        <w:t>Figure 11-12 the rotation grids have been enlarged to include the Corsica Basin;</w:t>
      </w:r>
    </w:p>
    <w:p w14:paraId="090443E8" w14:textId="77777777" w:rsidR="00E12AF2" w:rsidRPr="00501577" w:rsidRDefault="00E12AF2" w:rsidP="00E12AF2">
      <w:pPr>
        <w:autoSpaceDE w:val="0"/>
        <w:autoSpaceDN w:val="0"/>
        <w:adjustRightInd w:val="0"/>
        <w:spacing w:line="240" w:lineRule="auto"/>
        <w:rPr>
          <w:rFonts w:ascii="ArialMT" w:hAnsi="ArialMT" w:cs="ArialMT"/>
          <w:sz w:val="20"/>
          <w:szCs w:val="20"/>
          <w:lang w:val="en-US"/>
        </w:rPr>
      </w:pPr>
      <w:r w:rsidRPr="00501577">
        <w:rPr>
          <w:rFonts w:ascii="ArialMT" w:hAnsi="ArialMT" w:cs="ArialMT"/>
          <w:sz w:val="20"/>
          <w:szCs w:val="20"/>
          <w:lang w:val="en-US"/>
        </w:rPr>
        <w:t>l. 475: “finite stage pole” changed to finite pole</w:t>
      </w:r>
    </w:p>
    <w:p w14:paraId="03ADC5C5" w14:textId="77777777" w:rsidR="00330660" w:rsidRDefault="00330660" w:rsidP="00E12AF2">
      <w:pPr>
        <w:autoSpaceDE w:val="0"/>
        <w:autoSpaceDN w:val="0"/>
        <w:adjustRightInd w:val="0"/>
        <w:spacing w:line="240" w:lineRule="auto"/>
        <w:rPr>
          <w:rFonts w:ascii="ArialMT" w:hAnsi="ArialMT" w:cs="ArialMT"/>
          <w:sz w:val="20"/>
          <w:szCs w:val="20"/>
          <w:lang w:val="en-US"/>
        </w:rPr>
      </w:pPr>
      <w:r>
        <w:rPr>
          <w:rFonts w:ascii="ArialMT" w:hAnsi="ArialMT" w:cs="ArialMT"/>
          <w:sz w:val="20"/>
          <w:szCs w:val="20"/>
          <w:lang w:val="en-US"/>
        </w:rPr>
        <w:t>l. 492-516: in the paper we describe the formation of the Apennine chain also, the paragraph 33-19 Ma is the starting point of the Apennine Chain formation.</w:t>
      </w:r>
    </w:p>
    <w:p w14:paraId="3C88C9AB" w14:textId="77777777" w:rsidR="004F0B0C" w:rsidRPr="00501577" w:rsidRDefault="004F0B0C" w:rsidP="00E12AF2">
      <w:pPr>
        <w:autoSpaceDE w:val="0"/>
        <w:autoSpaceDN w:val="0"/>
        <w:adjustRightInd w:val="0"/>
        <w:spacing w:line="240" w:lineRule="auto"/>
        <w:rPr>
          <w:rFonts w:ascii="ArialMT" w:hAnsi="ArialMT" w:cs="ArialMT"/>
          <w:sz w:val="20"/>
          <w:szCs w:val="20"/>
          <w:lang w:val="en-US"/>
        </w:rPr>
      </w:pPr>
      <w:r w:rsidRPr="00501577">
        <w:rPr>
          <w:rFonts w:ascii="ArialMT" w:hAnsi="ArialMT" w:cs="ArialMT"/>
          <w:sz w:val="20"/>
          <w:szCs w:val="20"/>
          <w:lang w:val="en-US"/>
        </w:rPr>
        <w:t xml:space="preserve">l. 504-505: we cited Schettino &amp; </w:t>
      </w:r>
      <w:proofErr w:type="spellStart"/>
      <w:r w:rsidRPr="00501577">
        <w:rPr>
          <w:rFonts w:ascii="ArialMT" w:hAnsi="ArialMT" w:cs="ArialMT"/>
          <w:sz w:val="20"/>
          <w:szCs w:val="20"/>
          <w:lang w:val="en-US"/>
        </w:rPr>
        <w:t>Turco</w:t>
      </w:r>
      <w:proofErr w:type="spellEnd"/>
      <w:r w:rsidRPr="00501577">
        <w:rPr>
          <w:rFonts w:ascii="ArialMT" w:hAnsi="ArialMT" w:cs="ArialMT"/>
          <w:sz w:val="20"/>
          <w:szCs w:val="20"/>
          <w:lang w:val="en-US"/>
        </w:rPr>
        <w:t xml:space="preserve"> 2006 </w:t>
      </w:r>
      <w:proofErr w:type="spellStart"/>
      <w:r w:rsidRPr="00501577">
        <w:rPr>
          <w:rFonts w:ascii="ArialMT" w:hAnsi="ArialMT" w:cs="ArialMT"/>
          <w:sz w:val="20"/>
          <w:szCs w:val="20"/>
          <w:lang w:val="en-US"/>
        </w:rPr>
        <w:t>andTurco</w:t>
      </w:r>
      <w:proofErr w:type="spellEnd"/>
      <w:r w:rsidRPr="00501577">
        <w:rPr>
          <w:rFonts w:ascii="ArialMT" w:hAnsi="ArialMT" w:cs="ArialMT"/>
          <w:sz w:val="20"/>
          <w:szCs w:val="20"/>
          <w:lang w:val="en-US"/>
        </w:rPr>
        <w:t xml:space="preserve"> et al. 2012 where it is explained…..</w:t>
      </w:r>
    </w:p>
    <w:p w14:paraId="66AD7A50" w14:textId="2E10E196" w:rsidR="006A6D99" w:rsidRPr="00501577" w:rsidRDefault="003F5AD0" w:rsidP="003054EE">
      <w:pPr>
        <w:autoSpaceDE w:val="0"/>
        <w:autoSpaceDN w:val="0"/>
        <w:adjustRightInd w:val="0"/>
        <w:spacing w:line="240" w:lineRule="auto"/>
        <w:rPr>
          <w:rFonts w:ascii="ArialMT" w:hAnsi="ArialMT" w:cs="ArialMT"/>
          <w:sz w:val="20"/>
          <w:szCs w:val="20"/>
          <w:lang w:val="en-US"/>
        </w:rPr>
      </w:pPr>
      <w:r w:rsidRPr="00501577">
        <w:rPr>
          <w:rFonts w:ascii="ArialMT" w:hAnsi="ArialMT" w:cs="ArialMT"/>
          <w:sz w:val="20"/>
          <w:szCs w:val="20"/>
          <w:lang w:val="en-US"/>
        </w:rPr>
        <w:lastRenderedPageBreak/>
        <w:t>l. 547-548:</w:t>
      </w:r>
      <w:r w:rsidR="003054EE" w:rsidRPr="00501577">
        <w:rPr>
          <w:rFonts w:ascii="ArialMT" w:hAnsi="ArialMT" w:cs="ArialMT"/>
          <w:sz w:val="20"/>
          <w:szCs w:val="20"/>
          <w:lang w:val="en-US"/>
        </w:rPr>
        <w:t xml:space="preserve"> </w:t>
      </w:r>
      <w:r w:rsidR="00501577" w:rsidRPr="00501577">
        <w:rPr>
          <w:rFonts w:ascii="ArialMT" w:hAnsi="ArialMT" w:cs="ArialMT"/>
          <w:sz w:val="20"/>
          <w:szCs w:val="20"/>
          <w:lang w:val="en-US"/>
        </w:rPr>
        <w:t xml:space="preserve">the text discusses a lithospheric structure which is not described by Rosenbaum </w:t>
      </w:r>
      <w:r w:rsidR="00DB7556" w:rsidRPr="00501577">
        <w:rPr>
          <w:rFonts w:ascii="ArialMT" w:hAnsi="ArialMT" w:cs="ArialMT"/>
          <w:sz w:val="20"/>
          <w:szCs w:val="20"/>
          <w:lang w:val="en-US"/>
        </w:rPr>
        <w:t>&amp; Lister (??)</w:t>
      </w:r>
    </w:p>
    <w:p w14:paraId="283A3D0F" w14:textId="479A0F75" w:rsidR="003054EE" w:rsidRPr="00501577" w:rsidRDefault="003054EE" w:rsidP="003F5AD0">
      <w:pPr>
        <w:rPr>
          <w:rFonts w:ascii="ArialMT" w:hAnsi="ArialMT" w:cs="ArialMT"/>
          <w:sz w:val="20"/>
          <w:szCs w:val="20"/>
          <w:lang w:val="en-US"/>
        </w:rPr>
      </w:pPr>
      <w:r w:rsidRPr="00501577">
        <w:rPr>
          <w:rFonts w:ascii="ArialMT" w:hAnsi="ArialMT" w:cs="ArialMT"/>
          <w:sz w:val="20"/>
          <w:szCs w:val="20"/>
          <w:lang w:val="en-US"/>
        </w:rPr>
        <w:t xml:space="preserve">l. 591-592: added reference, </w:t>
      </w:r>
      <w:proofErr w:type="spellStart"/>
      <w:r w:rsidRPr="00501577">
        <w:rPr>
          <w:rFonts w:ascii="ArialMT" w:hAnsi="ArialMT" w:cs="ArialMT"/>
          <w:sz w:val="20"/>
          <w:szCs w:val="20"/>
          <w:lang w:val="en-US"/>
        </w:rPr>
        <w:t>Pascucci</w:t>
      </w:r>
      <w:proofErr w:type="spellEnd"/>
      <w:r w:rsidRPr="00501577">
        <w:rPr>
          <w:rFonts w:ascii="ArialMT" w:hAnsi="ArialMT" w:cs="ArialMT"/>
          <w:sz w:val="20"/>
          <w:szCs w:val="20"/>
          <w:lang w:val="en-US"/>
        </w:rPr>
        <w:t xml:space="preserve"> et al</w:t>
      </w:r>
      <w:r w:rsidR="00501577" w:rsidRPr="00501577">
        <w:rPr>
          <w:rFonts w:ascii="ArialMT" w:hAnsi="ArialMT" w:cs="ArialMT"/>
          <w:sz w:val="20"/>
          <w:szCs w:val="20"/>
          <w:lang w:val="en-US"/>
        </w:rPr>
        <w:t>.</w:t>
      </w:r>
      <w:r w:rsidRPr="00501577">
        <w:rPr>
          <w:rFonts w:ascii="ArialMT" w:hAnsi="ArialMT" w:cs="ArialMT"/>
          <w:sz w:val="20"/>
          <w:szCs w:val="20"/>
          <w:lang w:val="en-US"/>
        </w:rPr>
        <w:t xml:space="preserve"> </w:t>
      </w:r>
      <w:r w:rsidR="00501577" w:rsidRPr="00501577">
        <w:rPr>
          <w:rFonts w:ascii="ArialMT" w:hAnsi="ArialMT" w:cs="ArialMT"/>
          <w:sz w:val="20"/>
          <w:szCs w:val="20"/>
          <w:lang w:val="en-US"/>
        </w:rPr>
        <w:t>(</w:t>
      </w:r>
      <w:r w:rsidRPr="00501577">
        <w:rPr>
          <w:rFonts w:ascii="ArialMT" w:hAnsi="ArialMT" w:cs="ArialMT"/>
          <w:sz w:val="20"/>
          <w:szCs w:val="20"/>
          <w:lang w:val="en-US"/>
        </w:rPr>
        <w:t>2002</w:t>
      </w:r>
      <w:r w:rsidR="00501577" w:rsidRPr="00501577">
        <w:rPr>
          <w:rFonts w:ascii="ArialMT" w:hAnsi="ArialMT" w:cs="ArialMT"/>
          <w:sz w:val="20"/>
          <w:szCs w:val="20"/>
          <w:lang w:val="en-US"/>
        </w:rPr>
        <w:t>)</w:t>
      </w:r>
    </w:p>
    <w:p w14:paraId="5D4534CD" w14:textId="77777777" w:rsidR="006A6D99" w:rsidRDefault="006A6D99" w:rsidP="006A6D99">
      <w:pPr>
        <w:autoSpaceDE w:val="0"/>
        <w:autoSpaceDN w:val="0"/>
        <w:adjustRightInd w:val="0"/>
        <w:spacing w:line="240" w:lineRule="auto"/>
        <w:rPr>
          <w:rFonts w:ascii="ArialMT" w:hAnsi="ArialMT" w:cs="ArialMT"/>
          <w:sz w:val="20"/>
          <w:szCs w:val="20"/>
          <w:lang w:val="en-US"/>
        </w:rPr>
      </w:pPr>
      <w:r w:rsidRPr="006A6D99">
        <w:rPr>
          <w:rFonts w:ascii="ArialMT" w:hAnsi="ArialMT" w:cs="ArialMT"/>
          <w:sz w:val="20"/>
          <w:szCs w:val="20"/>
          <w:lang w:val="en-US"/>
        </w:rPr>
        <w:t>l. 605-606 – Figure 17 ca</w:t>
      </w:r>
      <w:r>
        <w:rPr>
          <w:rFonts w:ascii="ArialMT" w:hAnsi="ArialMT" w:cs="ArialMT"/>
          <w:sz w:val="20"/>
          <w:szCs w:val="20"/>
          <w:lang w:val="en-US"/>
        </w:rPr>
        <w:t>ption: changed</w:t>
      </w:r>
    </w:p>
    <w:p w14:paraId="430779D5" w14:textId="4C36DA85" w:rsidR="007B1937" w:rsidRDefault="007B1937" w:rsidP="006A6D99">
      <w:pPr>
        <w:autoSpaceDE w:val="0"/>
        <w:autoSpaceDN w:val="0"/>
        <w:adjustRightInd w:val="0"/>
        <w:spacing w:line="240" w:lineRule="auto"/>
        <w:rPr>
          <w:rFonts w:ascii="ArialMT" w:hAnsi="ArialMT" w:cs="ArialMT"/>
          <w:sz w:val="20"/>
          <w:szCs w:val="20"/>
          <w:lang w:val="en-US"/>
        </w:rPr>
      </w:pPr>
      <w:r>
        <w:rPr>
          <w:rFonts w:ascii="ArialMT" w:hAnsi="ArialMT" w:cs="ArialMT"/>
          <w:sz w:val="20"/>
          <w:szCs w:val="20"/>
          <w:lang w:val="en-US"/>
        </w:rPr>
        <w:t xml:space="preserve">l. 626: </w:t>
      </w:r>
      <w:r w:rsidR="00501577">
        <w:rPr>
          <w:rFonts w:ascii="ArialMT" w:hAnsi="ArialMT" w:cs="ArialMT"/>
          <w:sz w:val="20"/>
          <w:szCs w:val="20"/>
          <w:lang w:val="en-US"/>
        </w:rPr>
        <w:t xml:space="preserve">this paragraph </w:t>
      </w:r>
      <w:r w:rsidR="00501577" w:rsidRPr="004A19B3">
        <w:rPr>
          <w:lang w:val="en-US"/>
        </w:rPr>
        <w:t>has been rewrite</w:t>
      </w:r>
    </w:p>
    <w:p w14:paraId="10D9C6A9" w14:textId="49DA8758" w:rsidR="007B1937" w:rsidRDefault="007B1937" w:rsidP="006A6D99">
      <w:pPr>
        <w:autoSpaceDE w:val="0"/>
        <w:autoSpaceDN w:val="0"/>
        <w:adjustRightInd w:val="0"/>
        <w:spacing w:line="240" w:lineRule="auto"/>
        <w:rPr>
          <w:rFonts w:ascii="ArialMT" w:hAnsi="ArialMT" w:cs="ArialMT"/>
          <w:sz w:val="20"/>
          <w:szCs w:val="20"/>
          <w:lang w:val="en-US"/>
        </w:rPr>
      </w:pPr>
      <w:r>
        <w:rPr>
          <w:rFonts w:ascii="ArialMT" w:hAnsi="ArialMT" w:cs="ArialMT"/>
          <w:sz w:val="20"/>
          <w:szCs w:val="20"/>
          <w:lang w:val="en-US"/>
        </w:rPr>
        <w:t xml:space="preserve">l. 684-685: </w:t>
      </w:r>
      <w:r w:rsidR="002D3898">
        <w:rPr>
          <w:rFonts w:ascii="ArialMT" w:hAnsi="ArialMT" w:cs="ArialMT"/>
          <w:sz w:val="20"/>
          <w:szCs w:val="20"/>
          <w:lang w:val="en-US"/>
        </w:rPr>
        <w:t xml:space="preserve">this paragraph </w:t>
      </w:r>
      <w:r w:rsidR="002D3898" w:rsidRPr="004A19B3">
        <w:rPr>
          <w:lang w:val="en-US"/>
        </w:rPr>
        <w:t>has been rewrite</w:t>
      </w:r>
    </w:p>
    <w:p w14:paraId="0DA6F28D" w14:textId="77777777" w:rsidR="006A6D99" w:rsidRDefault="006A6D99" w:rsidP="006A6D99">
      <w:pPr>
        <w:autoSpaceDE w:val="0"/>
        <w:autoSpaceDN w:val="0"/>
        <w:adjustRightInd w:val="0"/>
        <w:spacing w:line="240" w:lineRule="auto"/>
        <w:rPr>
          <w:rFonts w:ascii="ArialMT" w:hAnsi="ArialMT" w:cs="ArialMT"/>
          <w:sz w:val="20"/>
          <w:szCs w:val="20"/>
          <w:lang w:val="en-US"/>
        </w:rPr>
      </w:pPr>
      <w:r w:rsidRPr="006A6D99">
        <w:rPr>
          <w:rFonts w:ascii="ArialMT" w:hAnsi="ArialMT" w:cs="ArialMT"/>
          <w:sz w:val="20"/>
          <w:szCs w:val="20"/>
          <w:lang w:val="en-US"/>
        </w:rPr>
        <w:t xml:space="preserve">l. 690 – Figure 21 caption: </w:t>
      </w:r>
      <w:r>
        <w:rPr>
          <w:rFonts w:ascii="ArialMT" w:hAnsi="ArialMT" w:cs="ArialMT"/>
          <w:sz w:val="20"/>
          <w:szCs w:val="20"/>
          <w:lang w:val="en-US"/>
        </w:rPr>
        <w:t>changed</w:t>
      </w:r>
    </w:p>
    <w:p w14:paraId="58B3C4B1" w14:textId="77777777" w:rsidR="006A6D99" w:rsidRDefault="006A6D99" w:rsidP="006A6D99">
      <w:pPr>
        <w:autoSpaceDE w:val="0"/>
        <w:autoSpaceDN w:val="0"/>
        <w:adjustRightInd w:val="0"/>
        <w:spacing w:line="240" w:lineRule="auto"/>
        <w:rPr>
          <w:rFonts w:ascii="ArialMT" w:hAnsi="ArialMT" w:cs="ArialMT"/>
          <w:sz w:val="20"/>
          <w:szCs w:val="20"/>
          <w:lang w:val="en-US"/>
        </w:rPr>
      </w:pPr>
      <w:r w:rsidRPr="006A6D99">
        <w:rPr>
          <w:rFonts w:ascii="ArialMT" w:hAnsi="ArialMT" w:cs="ArialMT"/>
          <w:sz w:val="20"/>
          <w:szCs w:val="20"/>
          <w:lang w:val="en-US"/>
        </w:rPr>
        <w:t>“Adria Plate”</w:t>
      </w:r>
      <w:r>
        <w:rPr>
          <w:rFonts w:ascii="ArialMT" w:hAnsi="ArialMT" w:cs="ArialMT"/>
          <w:sz w:val="20"/>
          <w:szCs w:val="20"/>
          <w:lang w:val="en-US"/>
        </w:rPr>
        <w:t xml:space="preserve"> changed to</w:t>
      </w:r>
      <w:r w:rsidRPr="006A6D99">
        <w:rPr>
          <w:rFonts w:ascii="ArialMT" w:hAnsi="ArialMT" w:cs="ArialMT"/>
          <w:sz w:val="20"/>
          <w:szCs w:val="20"/>
          <w:lang w:val="en-US"/>
        </w:rPr>
        <w:t xml:space="preserve"> “Adriatic</w:t>
      </w:r>
      <w:r>
        <w:rPr>
          <w:rFonts w:ascii="ArialMT" w:hAnsi="ArialMT" w:cs="ArialMT"/>
          <w:sz w:val="20"/>
          <w:szCs w:val="20"/>
          <w:lang w:val="en-US"/>
        </w:rPr>
        <w:t xml:space="preserve"> </w:t>
      </w:r>
      <w:r w:rsidRPr="006A6D99">
        <w:rPr>
          <w:rFonts w:ascii="ArialMT" w:hAnsi="ArialMT" w:cs="ArialMT"/>
          <w:sz w:val="20"/>
          <w:szCs w:val="20"/>
          <w:lang w:val="en-US"/>
        </w:rPr>
        <w:t>Plate”</w:t>
      </w:r>
      <w:r>
        <w:rPr>
          <w:rFonts w:ascii="ArialMT" w:hAnsi="ArialMT" w:cs="ArialMT"/>
          <w:sz w:val="20"/>
          <w:szCs w:val="20"/>
          <w:lang w:val="en-US"/>
        </w:rPr>
        <w:t xml:space="preserve"> </w:t>
      </w:r>
      <w:r w:rsidRPr="006A6D99">
        <w:rPr>
          <w:rFonts w:ascii="ArialMT" w:hAnsi="ArialMT" w:cs="ArialMT"/>
          <w:sz w:val="20"/>
          <w:szCs w:val="20"/>
          <w:lang w:val="en-US"/>
        </w:rPr>
        <w:t>throughout text</w:t>
      </w:r>
    </w:p>
    <w:p w14:paraId="038DA05B" w14:textId="77777777" w:rsidR="002F43E7" w:rsidRDefault="002F43E7" w:rsidP="006A6D99">
      <w:pPr>
        <w:rPr>
          <w:rFonts w:ascii="ArialMT" w:hAnsi="ArialMT" w:cs="ArialMT"/>
          <w:sz w:val="20"/>
          <w:szCs w:val="20"/>
          <w:lang w:val="en-US"/>
        </w:rPr>
      </w:pPr>
      <w:r w:rsidRPr="002F43E7">
        <w:rPr>
          <w:rFonts w:ascii="ArialMT" w:hAnsi="ArialMT" w:cs="ArialMT"/>
          <w:sz w:val="20"/>
          <w:szCs w:val="20"/>
          <w:lang w:val="en-US"/>
        </w:rPr>
        <w:t>l. 112: Apennine “cover” changed to “</w:t>
      </w:r>
      <w:r w:rsidR="006A6D99">
        <w:rPr>
          <w:rFonts w:ascii="ArialMT" w:hAnsi="ArialMT" w:cs="ArialMT"/>
          <w:sz w:val="20"/>
          <w:szCs w:val="20"/>
          <w:lang w:val="en-US"/>
        </w:rPr>
        <w:t>units</w:t>
      </w:r>
      <w:r w:rsidRPr="002F43E7">
        <w:rPr>
          <w:rFonts w:ascii="ArialMT" w:hAnsi="ArialMT" w:cs="ArialMT"/>
          <w:sz w:val="20"/>
          <w:szCs w:val="20"/>
          <w:lang w:val="en-US"/>
        </w:rPr>
        <w:t>”</w:t>
      </w:r>
    </w:p>
    <w:p w14:paraId="6B4D85AB" w14:textId="77777777" w:rsidR="003F58BC" w:rsidRDefault="006A6D99" w:rsidP="006A6D99">
      <w:pPr>
        <w:rPr>
          <w:rFonts w:ascii="ArialMT" w:hAnsi="ArialMT" w:cs="ArialMT"/>
          <w:sz w:val="20"/>
          <w:szCs w:val="20"/>
          <w:lang w:val="en-US"/>
        </w:rPr>
      </w:pPr>
      <w:r>
        <w:rPr>
          <w:rFonts w:ascii="ArialMT" w:hAnsi="ArialMT" w:cs="ArialMT"/>
          <w:sz w:val="20"/>
          <w:szCs w:val="20"/>
          <w:lang w:val="en-US"/>
        </w:rPr>
        <w:t xml:space="preserve">l. </w:t>
      </w:r>
      <w:r w:rsidR="003F58BC" w:rsidRPr="003F58BC">
        <w:rPr>
          <w:rFonts w:ascii="ArialMT" w:hAnsi="ArialMT" w:cs="ArialMT"/>
          <w:sz w:val="20"/>
          <w:szCs w:val="20"/>
          <w:lang w:val="en-US"/>
        </w:rPr>
        <w:t>671</w:t>
      </w:r>
      <w:r>
        <w:rPr>
          <w:rFonts w:ascii="ArialMT" w:hAnsi="ArialMT" w:cs="ArialMT"/>
          <w:sz w:val="20"/>
          <w:szCs w:val="20"/>
          <w:lang w:val="en-US"/>
        </w:rPr>
        <w:t>: Tyrrhenian Slab changed to</w:t>
      </w:r>
      <w:r w:rsidRPr="006A6D99">
        <w:rPr>
          <w:rFonts w:ascii="ArialMT" w:hAnsi="ArialMT" w:cs="ArialMT"/>
          <w:sz w:val="20"/>
          <w:szCs w:val="20"/>
          <w:lang w:val="en-US"/>
        </w:rPr>
        <w:t xml:space="preserve"> </w:t>
      </w:r>
      <w:r w:rsidR="007B1937">
        <w:rPr>
          <w:rFonts w:ascii="ArialMT" w:hAnsi="ArialMT" w:cs="ArialMT"/>
          <w:sz w:val="20"/>
          <w:szCs w:val="20"/>
          <w:lang w:val="en-US"/>
        </w:rPr>
        <w:t>Ionian</w:t>
      </w:r>
      <w:r>
        <w:rPr>
          <w:rFonts w:ascii="ArialMT" w:hAnsi="ArialMT" w:cs="ArialMT"/>
          <w:sz w:val="20"/>
          <w:szCs w:val="20"/>
          <w:lang w:val="en-US"/>
        </w:rPr>
        <w:t xml:space="preserve"> slab</w:t>
      </w:r>
    </w:p>
    <w:p w14:paraId="180DDD52" w14:textId="77777777" w:rsidR="006A6D99" w:rsidRPr="006A6D99" w:rsidRDefault="006A6D99" w:rsidP="006A6D99">
      <w:pPr>
        <w:rPr>
          <w:rFonts w:ascii="ArialMT" w:hAnsi="ArialMT" w:cs="ArialMT"/>
          <w:sz w:val="20"/>
          <w:szCs w:val="20"/>
          <w:lang w:val="en-US"/>
        </w:rPr>
      </w:pPr>
      <w:r w:rsidRPr="006A6D99">
        <w:rPr>
          <w:rFonts w:ascii="ArialMT" w:hAnsi="ArialMT" w:cs="ArialMT"/>
          <w:sz w:val="20"/>
          <w:szCs w:val="20"/>
          <w:lang w:val="en-US"/>
        </w:rPr>
        <w:t>l. 679, 77</w:t>
      </w:r>
      <w:r>
        <w:rPr>
          <w:rFonts w:ascii="ArialMT" w:hAnsi="ArialMT" w:cs="ArialMT"/>
          <w:sz w:val="20"/>
          <w:szCs w:val="20"/>
          <w:lang w:val="en-US"/>
        </w:rPr>
        <w:t>5 (</w:t>
      </w:r>
      <w:r w:rsidRPr="006A6D99">
        <w:rPr>
          <w:rFonts w:ascii="ArialMT" w:hAnsi="ArialMT" w:cs="ArialMT"/>
          <w:sz w:val="20"/>
          <w:szCs w:val="20"/>
          <w:lang w:val="en-US"/>
        </w:rPr>
        <w:t>check</w:t>
      </w:r>
      <w:r>
        <w:rPr>
          <w:rFonts w:ascii="ArialMT" w:hAnsi="ArialMT" w:cs="ArialMT"/>
          <w:sz w:val="20"/>
          <w:szCs w:val="20"/>
          <w:lang w:val="en-US"/>
        </w:rPr>
        <w:t>ed</w:t>
      </w:r>
      <w:r w:rsidRPr="006A6D99">
        <w:rPr>
          <w:rFonts w:ascii="ArialMT" w:hAnsi="ArialMT" w:cs="ArialMT"/>
          <w:sz w:val="20"/>
          <w:szCs w:val="20"/>
          <w:lang w:val="en-US"/>
        </w:rPr>
        <w:t xml:space="preserve"> throughout text): Ionian not Ionic</w:t>
      </w:r>
    </w:p>
    <w:p w14:paraId="66F0515A" w14:textId="5DB189CC" w:rsidR="00B673A4" w:rsidRDefault="006A6D99" w:rsidP="006A6D99">
      <w:pPr>
        <w:autoSpaceDE w:val="0"/>
        <w:autoSpaceDN w:val="0"/>
        <w:adjustRightInd w:val="0"/>
        <w:spacing w:line="240" w:lineRule="auto"/>
        <w:rPr>
          <w:rFonts w:ascii="ArialMT" w:hAnsi="ArialMT" w:cs="ArialMT"/>
          <w:sz w:val="20"/>
          <w:szCs w:val="20"/>
          <w:lang w:val="en-US"/>
        </w:rPr>
      </w:pPr>
      <w:r w:rsidRPr="006A6D99">
        <w:rPr>
          <w:rFonts w:ascii="ArialMT" w:hAnsi="ArialMT" w:cs="ArialMT"/>
          <w:sz w:val="20"/>
          <w:szCs w:val="20"/>
          <w:lang w:val="en-US"/>
        </w:rPr>
        <w:t>“Left” – “Right” Transform changed to “</w:t>
      </w:r>
      <w:r>
        <w:rPr>
          <w:rFonts w:ascii="ArialMT" w:hAnsi="ArialMT" w:cs="ArialMT"/>
          <w:sz w:val="20"/>
          <w:szCs w:val="20"/>
          <w:lang w:val="en-US"/>
        </w:rPr>
        <w:t>Left-lateral</w:t>
      </w:r>
      <w:r w:rsidRPr="006A6D99">
        <w:rPr>
          <w:rFonts w:ascii="ArialMT" w:hAnsi="ArialMT" w:cs="ArialMT"/>
          <w:sz w:val="20"/>
          <w:szCs w:val="20"/>
          <w:lang w:val="en-US"/>
        </w:rPr>
        <w:t>” and “</w:t>
      </w:r>
      <w:r>
        <w:rPr>
          <w:rFonts w:ascii="ArialMT" w:hAnsi="ArialMT" w:cs="ArialMT"/>
          <w:sz w:val="20"/>
          <w:szCs w:val="20"/>
          <w:lang w:val="en-US"/>
        </w:rPr>
        <w:t>Right-lateral”</w:t>
      </w:r>
    </w:p>
    <w:p w14:paraId="7F004FF7" w14:textId="05A94B63" w:rsidR="002D3898" w:rsidRDefault="002D3898" w:rsidP="002D3898">
      <w:pPr>
        <w:autoSpaceDE w:val="0"/>
        <w:autoSpaceDN w:val="0"/>
        <w:adjustRightInd w:val="0"/>
        <w:spacing w:after="0" w:line="240" w:lineRule="auto"/>
        <w:rPr>
          <w:rFonts w:ascii="ArialMT" w:hAnsi="ArialMT" w:cs="ArialMT"/>
          <w:sz w:val="20"/>
          <w:szCs w:val="20"/>
          <w:lang w:val="en-US"/>
        </w:rPr>
      </w:pPr>
      <w:r w:rsidRPr="002D3898">
        <w:rPr>
          <w:rFonts w:ascii="ArialMT" w:hAnsi="ArialMT" w:cs="ArialMT"/>
          <w:sz w:val="20"/>
          <w:szCs w:val="20"/>
          <w:lang w:val="en-US"/>
        </w:rPr>
        <w:t xml:space="preserve">l. 821: </w:t>
      </w:r>
      <w:r>
        <w:rPr>
          <w:rFonts w:ascii="ArialMT" w:hAnsi="ArialMT" w:cs="ArialMT"/>
          <w:sz w:val="20"/>
          <w:szCs w:val="20"/>
          <w:lang w:val="en-US"/>
        </w:rPr>
        <w:t>these chapters have been rewrite</w:t>
      </w:r>
    </w:p>
    <w:sectPr w:rsidR="002D38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7F82"/>
    <w:multiLevelType w:val="hybridMultilevel"/>
    <w:tmpl w:val="147C24EE"/>
    <w:lvl w:ilvl="0" w:tplc="271815FE">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823"/>
    <w:rsid w:val="0005230B"/>
    <w:rsid w:val="000C08EB"/>
    <w:rsid w:val="0020537D"/>
    <w:rsid w:val="00216536"/>
    <w:rsid w:val="00231CDE"/>
    <w:rsid w:val="00263384"/>
    <w:rsid w:val="002D3898"/>
    <w:rsid w:val="002F43E7"/>
    <w:rsid w:val="003054EE"/>
    <w:rsid w:val="00330660"/>
    <w:rsid w:val="003F58BC"/>
    <w:rsid w:val="003F5AD0"/>
    <w:rsid w:val="004F0B0C"/>
    <w:rsid w:val="00501577"/>
    <w:rsid w:val="00512131"/>
    <w:rsid w:val="005529C2"/>
    <w:rsid w:val="00562BB6"/>
    <w:rsid w:val="005B1B68"/>
    <w:rsid w:val="005C614E"/>
    <w:rsid w:val="006A6D99"/>
    <w:rsid w:val="006C0F63"/>
    <w:rsid w:val="006C4214"/>
    <w:rsid w:val="00706D32"/>
    <w:rsid w:val="007B1937"/>
    <w:rsid w:val="00815282"/>
    <w:rsid w:val="00990B72"/>
    <w:rsid w:val="009C48F9"/>
    <w:rsid w:val="009C5201"/>
    <w:rsid w:val="00A42F4E"/>
    <w:rsid w:val="00A86B5A"/>
    <w:rsid w:val="00A90EB0"/>
    <w:rsid w:val="00AF1143"/>
    <w:rsid w:val="00B20287"/>
    <w:rsid w:val="00B673A4"/>
    <w:rsid w:val="00D1669E"/>
    <w:rsid w:val="00D73095"/>
    <w:rsid w:val="00DB7556"/>
    <w:rsid w:val="00DC6C67"/>
    <w:rsid w:val="00E12AF2"/>
    <w:rsid w:val="00E20034"/>
    <w:rsid w:val="00EA2785"/>
    <w:rsid w:val="00EE0823"/>
    <w:rsid w:val="00F23517"/>
    <w:rsid w:val="00F56BF1"/>
    <w:rsid w:val="00FB4926"/>
    <w:rsid w:val="00FF6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C52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C5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758DE-A4EA-43D3-A247-27CE6116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1469</Words>
  <Characters>8377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Penza</dc:creator>
  <cp:keywords/>
  <dc:description/>
  <cp:lastModifiedBy>Giulia Penza</cp:lastModifiedBy>
  <cp:revision>7</cp:revision>
  <dcterms:created xsi:type="dcterms:W3CDTF">2021-03-15T11:38:00Z</dcterms:created>
  <dcterms:modified xsi:type="dcterms:W3CDTF">2021-03-15T16:47:00Z</dcterms:modified>
</cp:coreProperties>
</file>