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EC3707" w14:textId="52C23894" w:rsidR="00966FEB" w:rsidRPr="00196C19" w:rsidRDefault="00A24ED3" w:rsidP="00966FEB">
      <w:pPr>
        <w:rPr>
          <w:b/>
          <w:bCs/>
        </w:rPr>
      </w:pPr>
      <w:r>
        <w:rPr>
          <w:b/>
          <w:bCs/>
        </w:rPr>
        <w:t xml:space="preserve">Response to </w:t>
      </w:r>
      <w:r w:rsidR="00966FEB" w:rsidRPr="00196C19">
        <w:rPr>
          <w:b/>
          <w:bCs/>
        </w:rPr>
        <w:t>Reviewer 1.</w:t>
      </w:r>
    </w:p>
    <w:p w14:paraId="1780F2F6" w14:textId="432F2B10" w:rsidR="00966FEB" w:rsidRPr="00966FEB" w:rsidRDefault="00966FEB" w:rsidP="00966FEB">
      <w:pPr>
        <w:rPr>
          <w:u w:val="single"/>
        </w:rPr>
      </w:pPr>
      <w:r w:rsidRPr="00966FEB">
        <w:rPr>
          <w:u w:val="single"/>
        </w:rPr>
        <w:t>Comments and Suggestions for Authors</w:t>
      </w:r>
      <w:r w:rsidR="00A24ED3">
        <w:rPr>
          <w:u w:val="single"/>
        </w:rPr>
        <w:t xml:space="preserve"> (reviewer in italics, our response in regular type)</w:t>
      </w:r>
    </w:p>
    <w:p w14:paraId="0C56E391" w14:textId="5B2A3176" w:rsidR="00966FEB" w:rsidRPr="007050EA" w:rsidRDefault="00966FEB" w:rsidP="00966FEB">
      <w:pPr>
        <w:rPr>
          <w:i/>
          <w:iCs/>
        </w:rPr>
      </w:pPr>
      <w:r w:rsidRPr="007050EA">
        <w:rPr>
          <w:i/>
          <w:iCs/>
        </w:rPr>
        <w:t>Vathiotis and colleagues quantitatively assessed the expression pattern of CD200 and CD200R in lung cancers, including NSCLC and LCNEC. Approximately one third of the examined patient cases showed abundant expression for both CD200 and CD200R, which could be developed into a new clinical target in lung cancer. The information provided in the manuscript is useful for clinicians and basic research.</w:t>
      </w:r>
    </w:p>
    <w:p w14:paraId="7C64EBAB" w14:textId="16C5407E" w:rsidR="00966FEB" w:rsidRPr="007050EA" w:rsidRDefault="00966FEB" w:rsidP="00966FEB">
      <w:pPr>
        <w:rPr>
          <w:i/>
          <w:iCs/>
        </w:rPr>
      </w:pPr>
      <w:r w:rsidRPr="007050EA">
        <w:rPr>
          <w:i/>
          <w:iCs/>
        </w:rPr>
        <w:t xml:space="preserve">The correlation between CD200/CD200R and PD-1/PD-L1 is moderate/weak. It </w:t>
      </w:r>
      <w:proofErr w:type="gramStart"/>
      <w:r w:rsidRPr="007050EA">
        <w:rPr>
          <w:i/>
          <w:iCs/>
        </w:rPr>
        <w:t>wouldn't</w:t>
      </w:r>
      <w:proofErr w:type="gramEnd"/>
      <w:r w:rsidRPr="007050EA">
        <w:rPr>
          <w:i/>
          <w:iCs/>
        </w:rPr>
        <w:t xml:space="preserve"> make sense to combine these two pathways in terms of inhibitor treatment. Seems the PD-1/PD-L1 is misplaced here in this study.</w:t>
      </w:r>
    </w:p>
    <w:p w14:paraId="46B1EF97" w14:textId="5BABD2D6" w:rsidR="00966FEB" w:rsidRDefault="007050EA" w:rsidP="00966FEB">
      <w:r>
        <w:t>The Authors would like to thank Reviewer 1 for his/her comments. This is a fair point raised by the Reviewer. We have rephrased</w:t>
      </w:r>
      <w:r w:rsidR="00176FBE">
        <w:t xml:space="preserve"> both the Abstract and Simple Summary</w:t>
      </w:r>
      <w:r>
        <w:t xml:space="preserve"> to omit the claim about </w:t>
      </w:r>
      <w:r w:rsidR="00176FBE">
        <w:t>combining</w:t>
      </w:r>
      <w:r>
        <w:t xml:space="preserve"> these two pathways in terms of immune checkpoint inhibition.</w:t>
      </w:r>
    </w:p>
    <w:p w14:paraId="3341400F" w14:textId="77777777" w:rsidR="00966FEB" w:rsidRPr="007050EA" w:rsidRDefault="00966FEB" w:rsidP="00966FEB">
      <w:pPr>
        <w:rPr>
          <w:i/>
          <w:iCs/>
        </w:rPr>
      </w:pPr>
      <w:proofErr w:type="gramStart"/>
      <w:r w:rsidRPr="007050EA">
        <w:rPr>
          <w:i/>
          <w:iCs/>
        </w:rPr>
        <w:t>What’s</w:t>
      </w:r>
      <w:proofErr w:type="gramEnd"/>
      <w:r w:rsidRPr="007050EA">
        <w:rPr>
          <w:i/>
          <w:iCs/>
        </w:rPr>
        <w:t xml:space="preserve"> the criteria for the cutoff of CD200 and CD200R in figure 1 and 2, which is the foundation of this study?</w:t>
      </w:r>
    </w:p>
    <w:p w14:paraId="69434EDF" w14:textId="5DCB57E6" w:rsidR="00966FEB" w:rsidRDefault="00BF1FB1" w:rsidP="00966FEB">
      <w:r>
        <w:t>The c</w:t>
      </w:r>
      <w:r w:rsidR="00DA73B9">
        <w:t>utoff point used for CD200 and CD200R tumor positivity was visual</w:t>
      </w:r>
      <w:r w:rsidR="00654091">
        <w:t xml:space="preserve"> (inspection of immunofluorescence images by eye)</w:t>
      </w:r>
      <w:r w:rsidR="00DA73B9">
        <w:t>. However, the association of CD200 and CD200R with clinicopathologic characteristics, genomic features and PD-L1 expression was assessed using continuous immunofluorescence (AQUA) scores</w:t>
      </w:r>
      <w:r w:rsidR="00612489">
        <w:t xml:space="preserve"> rather than the visual cutoff point. In addition, survival analysis was performed using the median cutoff point for both CD200 and CD200R; to investigate the prognostic relevance of this pathway we have also tested visual as well as X-tile optimal cutoff point</w:t>
      </w:r>
      <w:r w:rsidR="00115BFF">
        <w:t xml:space="preserve">s, </w:t>
      </w:r>
      <w:r w:rsidR="00612489">
        <w:t>which were</w:t>
      </w:r>
      <w:r w:rsidR="004D61AA">
        <w:t xml:space="preserve"> </w:t>
      </w:r>
      <w:r w:rsidR="00612489">
        <w:t>not significant</w:t>
      </w:r>
      <w:r w:rsidR="004D61AA">
        <w:t xml:space="preserve"> as well, but not mentioned in the study</w:t>
      </w:r>
      <w:r w:rsidR="00115BFF">
        <w:t xml:space="preserve">. At this point, it is important to </w:t>
      </w:r>
      <w:r w:rsidR="004D61AA">
        <w:t>state</w:t>
      </w:r>
      <w:r w:rsidR="00115BFF">
        <w:t xml:space="preserve"> that </w:t>
      </w:r>
      <w:r w:rsidR="00115BFF" w:rsidRPr="00115BFF">
        <w:t>staining and target measurement was performed in three independent TMA blocks, with each block containing one nonadjacent tumor core per patient</w:t>
      </w:r>
      <w:r w:rsidR="00115BFF">
        <w:t xml:space="preserve"> and</w:t>
      </w:r>
      <w:r w:rsidR="00115BFF" w:rsidRPr="00115BFF">
        <w:t xml:space="preserve"> QIF scores were averaged for each case</w:t>
      </w:r>
      <w:r w:rsidR="00115BFF">
        <w:t>.</w:t>
      </w:r>
    </w:p>
    <w:p w14:paraId="5635AF88" w14:textId="5CF80E1C" w:rsidR="00966FEB" w:rsidRDefault="00966FEB" w:rsidP="00966FEB">
      <w:pPr>
        <w:rPr>
          <w:i/>
          <w:iCs/>
        </w:rPr>
      </w:pPr>
      <w:r w:rsidRPr="004D61AA">
        <w:rPr>
          <w:i/>
          <w:iCs/>
        </w:rPr>
        <w:t xml:space="preserve">The authors should spell out the abbreviations when </w:t>
      </w:r>
      <w:proofErr w:type="gramStart"/>
      <w:r w:rsidRPr="004D61AA">
        <w:rPr>
          <w:i/>
          <w:iCs/>
        </w:rPr>
        <w:t>it’s</w:t>
      </w:r>
      <w:proofErr w:type="gramEnd"/>
      <w:r w:rsidRPr="004D61AA">
        <w:rPr>
          <w:i/>
          <w:iCs/>
        </w:rPr>
        <w:t xml:space="preserve"> the first time in the manuscript, for example, LCNEC.</w:t>
      </w:r>
    </w:p>
    <w:p w14:paraId="3342362B" w14:textId="0393EDCB" w:rsidR="004D61AA" w:rsidRPr="004D61AA" w:rsidRDefault="004D61AA" w:rsidP="00966FEB">
      <w:r>
        <w:t>The Reviewer is right. We have fixed this. We apologize for the inconvenience.</w:t>
      </w:r>
    </w:p>
    <w:p w14:paraId="47CE3DDC" w14:textId="759BD84D" w:rsidR="00966FEB" w:rsidRDefault="00966FEB" w:rsidP="00966FEB">
      <w:pPr>
        <w:rPr>
          <w:i/>
          <w:iCs/>
        </w:rPr>
      </w:pPr>
      <w:r w:rsidRPr="003C7DE4">
        <w:rPr>
          <w:i/>
          <w:iCs/>
        </w:rPr>
        <w:t>Can the authors briefly mention the current study on CD200 and CD200R in lung cancer, which will help the readers understand the significance of this study?</w:t>
      </w:r>
    </w:p>
    <w:p w14:paraId="76C6089E" w14:textId="2C6E66B9" w:rsidR="003C7DE4" w:rsidRPr="003C7DE4" w:rsidRDefault="00196C19" w:rsidP="00966FEB">
      <w:r>
        <w:t>We agree with the Reviewer. To help readers understand the significance of this study, we have elaborated on the Yoshimura et al study in the Discussion section.</w:t>
      </w:r>
    </w:p>
    <w:p w14:paraId="30517530" w14:textId="77777777" w:rsidR="009E0C78" w:rsidRDefault="009E0C78" w:rsidP="00966FEB"/>
    <w:p w14:paraId="3D234ACB" w14:textId="78353658" w:rsidR="00D91EA0" w:rsidRPr="00D91EA0" w:rsidRDefault="00D91EA0" w:rsidP="00966FEB"/>
    <w:sectPr w:rsidR="00D91EA0" w:rsidRPr="00D91E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FEB"/>
    <w:rsid w:val="00040857"/>
    <w:rsid w:val="00115BFF"/>
    <w:rsid w:val="001509C8"/>
    <w:rsid w:val="00176FBE"/>
    <w:rsid w:val="00196C19"/>
    <w:rsid w:val="003C7DE4"/>
    <w:rsid w:val="004D61AA"/>
    <w:rsid w:val="00612489"/>
    <w:rsid w:val="00654091"/>
    <w:rsid w:val="006D5393"/>
    <w:rsid w:val="007050EA"/>
    <w:rsid w:val="00774DAA"/>
    <w:rsid w:val="00966FEB"/>
    <w:rsid w:val="009E0C78"/>
    <w:rsid w:val="00A24ED3"/>
    <w:rsid w:val="00BF1FB1"/>
    <w:rsid w:val="00D91EA0"/>
    <w:rsid w:val="00DA73B9"/>
    <w:rsid w:val="00DE7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EE939"/>
  <w15:chartTrackingRefBased/>
  <w15:docId w15:val="{6AFE9ACA-9350-4635-904C-00E4F2131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9779872">
      <w:bodyDiv w:val="1"/>
      <w:marLeft w:val="0"/>
      <w:marRight w:val="0"/>
      <w:marTop w:val="0"/>
      <w:marBottom w:val="0"/>
      <w:divBdr>
        <w:top w:val="none" w:sz="0" w:space="0" w:color="auto"/>
        <w:left w:val="none" w:sz="0" w:space="0" w:color="auto"/>
        <w:bottom w:val="none" w:sz="0" w:space="0" w:color="auto"/>
        <w:right w:val="none" w:sz="0" w:space="0" w:color="auto"/>
      </w:divBdr>
      <w:divsChild>
        <w:div w:id="2087072118">
          <w:marLeft w:val="0"/>
          <w:marRight w:val="0"/>
          <w:marTop w:val="0"/>
          <w:marBottom w:val="0"/>
          <w:divBdr>
            <w:top w:val="none" w:sz="0" w:space="0" w:color="auto"/>
            <w:left w:val="none" w:sz="0" w:space="0" w:color="auto"/>
            <w:bottom w:val="none" w:sz="0" w:space="0" w:color="auto"/>
            <w:right w:val="none" w:sz="0" w:space="0" w:color="auto"/>
          </w:divBdr>
        </w:div>
      </w:divsChild>
    </w:div>
    <w:div w:id="196518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Rimm, David</dc:creator>
  <cp:keywords/>
  <dc:description/>
  <cp:lastModifiedBy>Rimm, David</cp:lastModifiedBy>
  <cp:revision>2</cp:revision>
  <dcterms:created xsi:type="dcterms:W3CDTF">2021-02-16T03:16:00Z</dcterms:created>
  <dcterms:modified xsi:type="dcterms:W3CDTF">2021-02-16T03:16:00Z</dcterms:modified>
</cp:coreProperties>
</file>