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CD47F" w14:textId="77777777" w:rsidR="009E38A9" w:rsidRPr="000134F5" w:rsidRDefault="00446613" w:rsidP="009E38A9">
      <w:pPr>
        <w:spacing w:before="100" w:beforeAutospacing="1" w:after="100" w:afterAutospacing="1"/>
        <w:jc w:val="both"/>
        <w:rPr>
          <w:rFonts w:ascii="Times New Roman" w:eastAsia="Times New Roman" w:hAnsi="Times New Roman" w:cs="Times New Roman"/>
          <w:b/>
          <w:bCs/>
          <w:lang w:val="en-US"/>
        </w:rPr>
      </w:pPr>
      <w:bookmarkStart w:id="0" w:name="_GoBack"/>
      <w:bookmarkEnd w:id="0"/>
      <w:r w:rsidRPr="000134F5">
        <w:rPr>
          <w:rFonts w:ascii="Times New Roman" w:eastAsia="Times New Roman" w:hAnsi="Times New Roman" w:cs="Times New Roman"/>
          <w:b/>
          <w:bCs/>
          <w:lang w:val="en-US"/>
        </w:rPr>
        <w:t xml:space="preserve">Authors’ rebuttal to reviewer responses to the manuscript: </w:t>
      </w:r>
    </w:p>
    <w:p w14:paraId="43ACD7B3" w14:textId="77777777" w:rsidR="009E38A9" w:rsidRPr="000134F5" w:rsidRDefault="009E38A9" w:rsidP="009E38A9">
      <w:pPr>
        <w:spacing w:before="100" w:beforeAutospacing="1" w:after="100" w:afterAutospacing="1"/>
        <w:jc w:val="center"/>
        <w:rPr>
          <w:rFonts w:ascii="Times New Roman" w:eastAsia="Times New Roman" w:hAnsi="Times New Roman" w:cs="Times New Roman"/>
          <w:b/>
          <w:bCs/>
          <w:i/>
          <w:iCs/>
          <w:lang w:val="en-US"/>
        </w:rPr>
      </w:pPr>
      <w:r w:rsidRPr="000134F5">
        <w:rPr>
          <w:rFonts w:ascii="Times New Roman" w:eastAsia="Times New Roman" w:hAnsi="Times New Roman" w:cs="Times New Roman"/>
          <w:b/>
          <w:bCs/>
          <w:i/>
          <w:iCs/>
          <w:lang w:val="en-US"/>
        </w:rPr>
        <w:t>Screening for Personalized Treatment of Granulosa Cell Tumors:</w:t>
      </w:r>
    </w:p>
    <w:p w14:paraId="5DFF3794" w14:textId="77777777" w:rsidR="00023E21" w:rsidRDefault="009E38A9" w:rsidP="00023E21">
      <w:pPr>
        <w:spacing w:before="100" w:beforeAutospacing="1" w:after="100" w:afterAutospacing="1"/>
        <w:jc w:val="center"/>
        <w:rPr>
          <w:rFonts w:ascii="Times New Roman" w:hAnsi="Times New Roman" w:cs="Times New Roman"/>
        </w:rPr>
      </w:pPr>
      <w:r w:rsidRPr="000134F5">
        <w:rPr>
          <w:rFonts w:ascii="Times New Roman" w:eastAsia="Times New Roman" w:hAnsi="Times New Roman" w:cs="Times New Roman"/>
          <w:b/>
          <w:bCs/>
          <w:i/>
          <w:iCs/>
          <w:lang w:val="en-US"/>
        </w:rPr>
        <w:t>Synergistic Effect of Carboplatin, Paclitaxel and Alpelisib</w:t>
      </w:r>
    </w:p>
    <w:p w14:paraId="02EAFB54" w14:textId="293E819D" w:rsidR="00670CDC" w:rsidRPr="00023E21" w:rsidRDefault="00670CDC" w:rsidP="00023E21">
      <w:pPr>
        <w:spacing w:before="100" w:beforeAutospacing="1" w:after="100" w:afterAutospacing="1"/>
        <w:rPr>
          <w:rFonts w:ascii="Times New Roman" w:eastAsia="Times New Roman" w:hAnsi="Times New Roman" w:cs="Times New Roman"/>
          <w:b/>
          <w:bCs/>
          <w:i/>
          <w:iCs/>
          <w:lang w:val="en-US"/>
        </w:rPr>
      </w:pPr>
      <w:r w:rsidRPr="000134F5">
        <w:rPr>
          <w:rFonts w:ascii="Times New Roman" w:hAnsi="Times New Roman" w:cs="Times New Roman"/>
          <w:b/>
          <w:bCs/>
          <w:lang w:val="en-US"/>
        </w:rPr>
        <w:t>Reviewer 2</w:t>
      </w:r>
    </w:p>
    <w:p w14:paraId="0BB888BB" w14:textId="77777777" w:rsidR="00670CDC" w:rsidRPr="000134F5" w:rsidRDefault="00670CDC" w:rsidP="00670CDC">
      <w:pPr>
        <w:jc w:val="both"/>
        <w:rPr>
          <w:rFonts w:ascii="Times New Roman" w:eastAsia="Times New Roman" w:hAnsi="Times New Roman" w:cs="Times New Roman"/>
          <w:i/>
          <w:iCs/>
        </w:rPr>
      </w:pPr>
    </w:p>
    <w:p w14:paraId="41621ECA"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i/>
          <w:iCs/>
        </w:rPr>
        <w:t>Brief Summary of the research conducted and summarized in this manuscript.</w:t>
      </w:r>
      <w:r w:rsidRPr="000134F5">
        <w:rPr>
          <w:rFonts w:ascii="Times New Roman" w:eastAsia="Times New Roman" w:hAnsi="Times New Roman" w:cs="Times New Roman"/>
        </w:rPr>
        <w:t> </w:t>
      </w:r>
    </w:p>
    <w:p w14:paraId="6C440656"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 xml:space="preserve">Adult granulosa cell tumors are a rare form of cancer and the low numbers of patients available preclude traditional pathways of clinical trials to deliver timely improvements in cancer treatments to patients. The submitting authors investigated the sensitivity of adult granulosa cell tumors (AGCTs) to anti-hormonal treatment or chemotherapy treatments applied to patient-derived cells. The investigators anticipate that drug responses </w:t>
      </w:r>
      <w:r w:rsidRPr="000134F5">
        <w:rPr>
          <w:rFonts w:ascii="Times New Roman" w:eastAsia="Times New Roman" w:hAnsi="Times New Roman" w:cs="Times New Roman"/>
          <w:i/>
          <w:iCs/>
        </w:rPr>
        <w:t xml:space="preserve">in vitro </w:t>
      </w:r>
      <w:r w:rsidRPr="000134F5">
        <w:rPr>
          <w:rFonts w:ascii="Times New Roman" w:eastAsia="Times New Roman" w:hAnsi="Times New Roman" w:cs="Times New Roman"/>
        </w:rPr>
        <w:t>could rapidly lead to optimized treatment selection for these patients. The response to 11 monotherapies and 12 combination therapies, were tested in 12 AGCT patient-derived cell lines and an AGCT cell line (KGN) relative to breast cancer cell line MCF-7 and neuroblastoma cell line SH-SY5Y. The investigators cited maximum plasma concentration thresholds (Cmax/Css), obtained from available phase I/II clinical trials, as achievable and well-tolerated concentrations of drug substances for the 1 monotherapies used in this work and found AGCT cell lines were resistant to all monotherapies. In subsequent experiments, the authors suggest that all cell lines showed synergistic growth inhibition by combination treatment with carboplatin, paclitaxel and alpelisib that are below the maximum achievable concentration in patients (IC50&lt;Cmax).</w:t>
      </w:r>
    </w:p>
    <w:p w14:paraId="08B3EF6E" w14:textId="77777777" w:rsidR="00670CDC" w:rsidRPr="000134F5" w:rsidRDefault="00670CDC" w:rsidP="00670CDC">
      <w:pPr>
        <w:jc w:val="both"/>
        <w:rPr>
          <w:rFonts w:ascii="Times New Roman" w:eastAsia="Times New Roman" w:hAnsi="Times New Roman" w:cs="Times New Roman"/>
          <w:i/>
          <w:iCs/>
        </w:rPr>
      </w:pPr>
    </w:p>
    <w:p w14:paraId="79F50EDF"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i/>
          <w:iCs/>
        </w:rPr>
        <w:t>Originality/Novelty:</w:t>
      </w:r>
    </w:p>
    <w:p w14:paraId="49487EE4"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The investigators have taken an interesting approach to evaluate treatment efficacies of various approved clinical products as monotherapy or combination therapy for adults granulosa cell tumors. It would be anticipated that robust responses in vitro obtained from this report would lead to recommendations to test 1 or 2 combination therapies in patients with AGCT as either first-line or second-line therapy for these ovarian-derived tumors. The methods used for assessing treatment efficacy of monotherapy or combination therapy are not original or novel nor are the results fully convincing that the recommended 3-drug combination therapy provides the best path forward for treatment of patients bearing AGCTs.</w:t>
      </w:r>
    </w:p>
    <w:p w14:paraId="7D38D0A8" w14:textId="77777777" w:rsidR="00670CDC" w:rsidRPr="000134F5" w:rsidRDefault="00670CDC" w:rsidP="00670CDC">
      <w:pPr>
        <w:jc w:val="both"/>
        <w:rPr>
          <w:rFonts w:ascii="Times New Roman" w:eastAsia="Times New Roman" w:hAnsi="Times New Roman" w:cs="Times New Roman"/>
          <w:i/>
          <w:iCs/>
        </w:rPr>
      </w:pPr>
    </w:p>
    <w:p w14:paraId="07A9C973"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i/>
          <w:iCs/>
        </w:rPr>
        <w:t>Interest to the Readers:</w:t>
      </w:r>
    </w:p>
    <w:p w14:paraId="17A2038B"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 xml:space="preserve">Although AGCTs have a much lower incidence than other forms of ovarian cancer, there is nonetheless strong interest to determine if in vitro drug sensitivity results can be predictive of in vivo clinical responses for these tumors, or generally for many rare forms of tumors. Convincing results of on-target engagement and demonstration of equivalent drug exposure as montherapy or combination therapy would significantly increase the confidence of readers that the treatment effects in cells can be predictive of clinical responses. The 2-drug combination of everolimus+apelisib provided consistently better control of growth of AGCTs across all genotypes of AGCTs than the 3-drug combination </w:t>
      </w:r>
      <w:r w:rsidRPr="000134F5">
        <w:rPr>
          <w:rFonts w:ascii="Times New Roman" w:eastAsia="Times New Roman" w:hAnsi="Times New Roman" w:cs="Times New Roman"/>
        </w:rPr>
        <w:lastRenderedPageBreak/>
        <w:t>of carboplatin+paclitaxel+apelisib. In a clinical trial setting a 2-drug combination therapy would be much simpler to manage than a 3-drug combination. In this context, an important question is whether the addition of chemotherapy agent improves outcome of the double signaling pathway inhibitors (PI3K/mTOR) or whether there is no additional benefit of chemotherapy agent.</w:t>
      </w:r>
    </w:p>
    <w:p w14:paraId="3D6E98E7" w14:textId="77777777" w:rsidR="00670CDC" w:rsidRPr="000134F5" w:rsidRDefault="00670CDC" w:rsidP="00670CDC">
      <w:pPr>
        <w:ind w:left="360"/>
        <w:jc w:val="both"/>
        <w:rPr>
          <w:rFonts w:ascii="Times New Roman" w:eastAsia="Times New Roman" w:hAnsi="Times New Roman" w:cs="Times New Roman"/>
          <w:i/>
          <w:iCs/>
        </w:rPr>
      </w:pPr>
    </w:p>
    <w:p w14:paraId="56ECB29A" w14:textId="77777777" w:rsidR="00670CDC" w:rsidRPr="000134F5" w:rsidRDefault="00670CDC" w:rsidP="00670CDC">
      <w:pPr>
        <w:ind w:left="360"/>
        <w:jc w:val="both"/>
        <w:rPr>
          <w:rFonts w:ascii="Times New Roman" w:eastAsia="Times New Roman" w:hAnsi="Times New Roman" w:cs="Times New Roman"/>
          <w:i/>
          <w:iCs/>
        </w:rPr>
      </w:pPr>
    </w:p>
    <w:p w14:paraId="518CB23C" w14:textId="77777777" w:rsidR="00670CDC" w:rsidRPr="000134F5" w:rsidRDefault="00670CDC" w:rsidP="00670CDC">
      <w:pPr>
        <w:ind w:left="360"/>
        <w:jc w:val="both"/>
        <w:rPr>
          <w:rFonts w:ascii="Times New Roman" w:eastAsia="Times New Roman" w:hAnsi="Times New Roman" w:cs="Times New Roman"/>
        </w:rPr>
      </w:pPr>
      <w:r w:rsidRPr="000134F5">
        <w:rPr>
          <w:rFonts w:ascii="Times New Roman" w:eastAsia="Times New Roman" w:hAnsi="Times New Roman" w:cs="Times New Roman"/>
          <w:i/>
          <w:iCs/>
        </w:rPr>
        <w:t>Overall Merit:</w:t>
      </w:r>
      <w:r w:rsidRPr="000134F5">
        <w:rPr>
          <w:rFonts w:ascii="Times New Roman" w:eastAsia="Times New Roman" w:hAnsi="Times New Roman" w:cs="Times New Roman"/>
        </w:rPr>
        <w:t xml:space="preserve"> Moderate</w:t>
      </w:r>
    </w:p>
    <w:p w14:paraId="1D9E7E0B"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The manuscript is organized according to the requested format for this journal. The Supplementary files were not found in the online portal for reviewers.</w:t>
      </w:r>
    </w:p>
    <w:p w14:paraId="64562218" w14:textId="77777777" w:rsidR="00670CDC" w:rsidRPr="000134F5" w:rsidRDefault="00670CDC" w:rsidP="00670CDC">
      <w:pPr>
        <w:jc w:val="both"/>
        <w:rPr>
          <w:rFonts w:ascii="Times New Roman" w:eastAsia="Times New Roman" w:hAnsi="Times New Roman" w:cs="Times New Roman"/>
          <w:lang w:val="en-US"/>
        </w:rPr>
      </w:pPr>
    </w:p>
    <w:p w14:paraId="5766D21A" w14:textId="4687FC3A" w:rsidR="00670CDC" w:rsidRPr="000134F5" w:rsidRDefault="00670CDC" w:rsidP="00670CDC">
      <w:pPr>
        <w:numPr>
          <w:ilvl w:val="1"/>
          <w:numId w:val="3"/>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We apologize </w:t>
      </w:r>
      <w:r w:rsidR="002D4D59">
        <w:rPr>
          <w:rFonts w:ascii="Times New Roman" w:eastAsia="Times New Roman" w:hAnsi="Times New Roman" w:cs="Times New Roman"/>
          <w:lang w:val="en-US"/>
        </w:rPr>
        <w:t>that the supplemental files were not available to the reviewers and the</w:t>
      </w:r>
      <w:r w:rsidRPr="000134F5">
        <w:rPr>
          <w:rFonts w:ascii="Times New Roman" w:eastAsia="Times New Roman" w:hAnsi="Times New Roman" w:cs="Times New Roman"/>
          <w:lang w:val="en-US"/>
        </w:rPr>
        <w:t xml:space="preserve"> files are now all accessible. </w:t>
      </w:r>
    </w:p>
    <w:p w14:paraId="1E97120E" w14:textId="77777777" w:rsidR="00670CDC" w:rsidRPr="000134F5" w:rsidRDefault="00670CDC" w:rsidP="00670CDC">
      <w:pPr>
        <w:ind w:left="1440"/>
        <w:jc w:val="both"/>
        <w:rPr>
          <w:rFonts w:ascii="Times New Roman" w:eastAsia="Times New Roman" w:hAnsi="Times New Roman" w:cs="Times New Roman"/>
          <w:lang w:val="en-US"/>
        </w:rPr>
      </w:pPr>
    </w:p>
    <w:p w14:paraId="249C5810" w14:textId="77777777" w:rsidR="00670CDC" w:rsidRPr="000134F5" w:rsidRDefault="00670CDC" w:rsidP="00670CDC">
      <w:pPr>
        <w:jc w:val="both"/>
        <w:rPr>
          <w:rFonts w:ascii="Times New Roman" w:eastAsia="Times New Roman" w:hAnsi="Times New Roman" w:cs="Times New Roman"/>
          <w:b/>
          <w:bCs/>
        </w:rPr>
      </w:pPr>
      <w:r w:rsidRPr="000134F5">
        <w:rPr>
          <w:rFonts w:ascii="Times New Roman" w:eastAsia="Times New Roman" w:hAnsi="Times New Roman" w:cs="Times New Roman"/>
          <w:b/>
          <w:bCs/>
        </w:rPr>
        <w:t>BROAD COMMENTS</w:t>
      </w:r>
    </w:p>
    <w:p w14:paraId="1CEB2166" w14:textId="77777777" w:rsidR="00670CDC" w:rsidRPr="000134F5" w:rsidRDefault="00670CDC" w:rsidP="00670CDC">
      <w:pPr>
        <w:jc w:val="both"/>
        <w:rPr>
          <w:rFonts w:ascii="Times New Roman" w:eastAsia="Times New Roman" w:hAnsi="Times New Roman" w:cs="Times New Roman"/>
          <w:i/>
          <w:iCs/>
        </w:rPr>
      </w:pPr>
    </w:p>
    <w:p w14:paraId="036D19C1"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i/>
          <w:iCs/>
        </w:rPr>
        <w:t>Significance</w:t>
      </w:r>
    </w:p>
    <w:p w14:paraId="0B81B079" w14:textId="77777777" w:rsidR="00670CDC" w:rsidRPr="000134F5" w:rsidRDefault="00670CDC" w:rsidP="00670CDC">
      <w:pPr>
        <w:numPr>
          <w:ilvl w:val="0"/>
          <w:numId w:val="3"/>
        </w:numPr>
        <w:ind w:left="714" w:hanging="357"/>
        <w:jc w:val="both"/>
        <w:rPr>
          <w:rFonts w:ascii="Times New Roman" w:eastAsia="Times New Roman" w:hAnsi="Times New Roman" w:cs="Times New Roman"/>
        </w:rPr>
      </w:pPr>
      <w:r w:rsidRPr="000134F5">
        <w:rPr>
          <w:rFonts w:ascii="Times New Roman" w:eastAsia="Times New Roman" w:hAnsi="Times New Roman" w:cs="Times New Roman"/>
        </w:rPr>
        <w:t>The author’s review of the literature identifies previous efforts by other authors (2017) that would be useful to review in greater detail in introduction to describe prior work on establishing sensitivity of the cells to dasatanib and paclitaxel. Furthermore, since these authors specifically included paclitaxel and dasatinib, it would be particularly useful to understand overlaps in the efficacy of this combination in the present work relative to the previously described efforts (reference 20).</w:t>
      </w:r>
    </w:p>
    <w:p w14:paraId="095BBDA5" w14:textId="77777777" w:rsidR="00670CDC" w:rsidRPr="000134F5" w:rsidRDefault="00670CDC" w:rsidP="00670CDC">
      <w:pPr>
        <w:pStyle w:val="Lijstalinea"/>
        <w:ind w:left="1803"/>
        <w:jc w:val="both"/>
        <w:rPr>
          <w:rFonts w:ascii="Times New Roman" w:eastAsia="Times New Roman" w:hAnsi="Times New Roman" w:cs="Times New Roman"/>
          <w:lang w:val="en-US"/>
        </w:rPr>
      </w:pPr>
    </w:p>
    <w:p w14:paraId="1F871273" w14:textId="046B1285" w:rsidR="00670CDC" w:rsidRDefault="00670CDC" w:rsidP="00670CDC">
      <w:pPr>
        <w:numPr>
          <w:ilvl w:val="1"/>
          <w:numId w:val="3"/>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Thank you for this point. The justification of why dasatanib was utilized in this study was also raised by Reviewer 1, and we amended the text accordingly</w:t>
      </w:r>
      <w:r w:rsidR="00A70C6E">
        <w:rPr>
          <w:rFonts w:ascii="Times New Roman" w:eastAsia="Times New Roman" w:hAnsi="Times New Roman" w:cs="Times New Roman"/>
          <w:lang w:val="en-US"/>
        </w:rPr>
        <w:t>, specifically highlighting the synergistic response seen with dasatanib and paclitaxel, as identified by Haltia et al 2017</w:t>
      </w:r>
      <w:r w:rsidRPr="000134F5">
        <w:rPr>
          <w:rFonts w:ascii="Times New Roman" w:eastAsia="Times New Roman" w:hAnsi="Times New Roman" w:cs="Times New Roman"/>
          <w:lang w:val="en-US"/>
        </w:rPr>
        <w:t xml:space="preserve">. Please see line </w:t>
      </w:r>
      <w:r w:rsidR="002D4D59">
        <w:rPr>
          <w:rFonts w:ascii="Times New Roman" w:eastAsia="Times New Roman" w:hAnsi="Times New Roman" w:cs="Times New Roman"/>
          <w:lang w:val="en-US"/>
        </w:rPr>
        <w:t>104</w:t>
      </w:r>
      <w:r w:rsidR="00A70C6E">
        <w:rPr>
          <w:rFonts w:ascii="Times New Roman" w:eastAsia="Times New Roman" w:hAnsi="Times New Roman" w:cs="Times New Roman"/>
          <w:lang w:val="en-US"/>
        </w:rPr>
        <w:t xml:space="preserve">, and the text is below: </w:t>
      </w:r>
    </w:p>
    <w:p w14:paraId="4EB339AE" w14:textId="17F76194" w:rsidR="00670CDC" w:rsidRPr="00B36B84" w:rsidRDefault="00B36B84" w:rsidP="00B36B84">
      <w:pPr>
        <w:numPr>
          <w:ilvl w:val="2"/>
          <w:numId w:val="3"/>
        </w:numPr>
        <w:jc w:val="both"/>
        <w:rPr>
          <w:rFonts w:ascii="Times New Roman" w:eastAsia="Times New Roman" w:hAnsi="Times New Roman" w:cs="Times New Roman"/>
          <w:lang w:val="en-US"/>
        </w:rPr>
      </w:pPr>
      <w:r w:rsidRPr="00B36B84">
        <w:rPr>
          <w:rFonts w:ascii="Times New Roman" w:eastAsia="Times New Roman" w:hAnsi="Times New Roman" w:cs="Times New Roman"/>
          <w:lang w:val="en-US"/>
        </w:rPr>
        <w:t>Paclitaxel combined with either the SRC tyrosine kinase inhibitor dasatinib or the mTOR inhibitor everolimus resulted in a synergistic response, and RNASeq established that the downstream targets of these drugs were abundantly expressed in AGCTs</w:t>
      </w:r>
      <w:r w:rsidR="008246A4" w:rsidRPr="008246A4">
        <w:rPr>
          <w:rFonts w:ascii="Times New Roman" w:eastAsia="Times New Roman" w:hAnsi="Times New Roman" w:cs="Times New Roman"/>
          <w:vertAlign w:val="superscript"/>
          <w:lang w:val="en-US"/>
        </w:rPr>
        <w:t>4</w:t>
      </w:r>
      <w:r w:rsidRPr="00B36B84">
        <w:rPr>
          <w:rFonts w:ascii="Times New Roman" w:eastAsia="Times New Roman" w:hAnsi="Times New Roman" w:cs="Times New Roman"/>
          <w:lang w:val="en-US"/>
        </w:rPr>
        <w:t>. Previous studies have shown growth inhibition when these inhibitors are used as a monotherapy in KGN cells or in a GCT peritoneal carcinomatosis mouse model</w:t>
      </w:r>
      <w:r w:rsidR="008246A4" w:rsidRPr="008246A4">
        <w:rPr>
          <w:rFonts w:ascii="Times New Roman" w:eastAsia="Times New Roman" w:hAnsi="Times New Roman" w:cs="Times New Roman"/>
          <w:vertAlign w:val="superscript"/>
          <w:lang w:val="en-US"/>
        </w:rPr>
        <w:t>5,6</w:t>
      </w:r>
      <w:r w:rsidR="00A70C6E" w:rsidRPr="00B36B84">
        <w:rPr>
          <w:rFonts w:ascii="Times New Roman" w:eastAsia="Times New Roman" w:hAnsi="Times New Roman" w:cs="Times New Roman"/>
          <w:lang w:val="en-US"/>
        </w:rPr>
        <w:t xml:space="preserve">. </w:t>
      </w:r>
    </w:p>
    <w:p w14:paraId="4CB8A8F1" w14:textId="77777777" w:rsidR="00670CDC" w:rsidRPr="000134F5" w:rsidRDefault="00670CDC" w:rsidP="00B36B84">
      <w:pPr>
        <w:jc w:val="both"/>
        <w:rPr>
          <w:rFonts w:ascii="Times New Roman" w:eastAsia="Times New Roman" w:hAnsi="Times New Roman" w:cs="Times New Roman"/>
          <w:highlight w:val="yellow"/>
        </w:rPr>
      </w:pPr>
    </w:p>
    <w:p w14:paraId="6336127F" w14:textId="77777777" w:rsidR="00670CDC" w:rsidRPr="000134F5" w:rsidRDefault="00670CDC" w:rsidP="00B36B84">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The response to 11 monotherapies and 12 combination therapies, were tested in 12 AGCT patient-derived cell lines and an AGCT cell line (KGN) relative to breast cancer cell line MCF-7 and neuroblastoma cell line SH-SY5Y. The authors suggest that all cell lines showed synergistic growth inhibition by combination treatment with carboplatin, paclitaxel and alpelisib that are below the maximum achievable concentration in patients (IC50&lt;Cmax). While the authors cite Cmax/Css from clinical trials, we are not provided comparisons of the concentrations achieved in vitro with the test substances. The methods (Table 2 and lines 385-386) describe the dissolution of compounds in 1% DMSO, which appears to be different from standard practice of 10mM solutions in 100% DMSO diluted to 1% DMSO to maintain solubility of typically hydrophobic small molecules. Unlike chemotherapeutic agents tested which appear to be highly water soluble, the kinase inhibitors and steroidogenic pathway inhibitors listed in table 2 are not expected to have uniform solubility in 1% DMSO at the concentrations dissolved. Kinetic solubility is easily measured with kits from commercial suppliers (e.g. Millipore) and will provide experimental confirmation of the achieved concentration to correctly associate cell culture concentrations with Css or Cmax concentrations.</w:t>
      </w:r>
    </w:p>
    <w:p w14:paraId="2C707006" w14:textId="77777777" w:rsidR="00670CDC" w:rsidRPr="000134F5" w:rsidRDefault="00670CDC" w:rsidP="00670CDC">
      <w:pPr>
        <w:ind w:left="1440"/>
        <w:jc w:val="both"/>
        <w:rPr>
          <w:rFonts w:ascii="Times New Roman" w:eastAsia="Times New Roman" w:hAnsi="Times New Roman" w:cs="Times New Roman"/>
        </w:rPr>
      </w:pPr>
    </w:p>
    <w:p w14:paraId="70866082" w14:textId="0D9F22EA" w:rsidR="00670CDC" w:rsidRPr="000134F5" w:rsidRDefault="00670CDC"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Thank you for this in-depth comment. The supplemental material includes the Cmax/Cass data and is now </w:t>
      </w:r>
      <w:r w:rsidR="002D4D59">
        <w:rPr>
          <w:rFonts w:ascii="Times New Roman" w:eastAsia="Times New Roman" w:hAnsi="Times New Roman" w:cs="Times New Roman"/>
          <w:lang w:val="en-US"/>
        </w:rPr>
        <w:t>accessible</w:t>
      </w:r>
      <w:r w:rsidRPr="000134F5">
        <w:rPr>
          <w:rFonts w:ascii="Times New Roman" w:eastAsia="Times New Roman" w:hAnsi="Times New Roman" w:cs="Times New Roman"/>
          <w:lang w:val="en-US"/>
        </w:rPr>
        <w:t xml:space="preserve">. These values are included in Supplemental Table 1, and are available for each drug used in this study. </w:t>
      </w:r>
      <w:r w:rsidR="00E43E85" w:rsidRPr="000134F5">
        <w:rPr>
          <w:rFonts w:ascii="Times New Roman" w:eastAsia="Times New Roman" w:hAnsi="Times New Roman" w:cs="Times New Roman"/>
          <w:lang w:val="en-US"/>
        </w:rPr>
        <w:t xml:space="preserve">The phase I/II </w:t>
      </w:r>
      <w:r w:rsidRPr="000134F5">
        <w:rPr>
          <w:rFonts w:ascii="Times New Roman" w:eastAsia="Times New Roman" w:hAnsi="Times New Roman" w:cs="Times New Roman"/>
          <w:lang w:val="en-US"/>
        </w:rPr>
        <w:t>studies in which these values are derived from</w:t>
      </w:r>
      <w:r w:rsidR="00E43E85" w:rsidRPr="000134F5">
        <w:rPr>
          <w:rFonts w:ascii="Times New Roman" w:eastAsia="Times New Roman" w:hAnsi="Times New Roman" w:cs="Times New Roman"/>
          <w:lang w:val="en-US"/>
        </w:rPr>
        <w:t xml:space="preserve"> are referenced in the text</w:t>
      </w:r>
      <w:r w:rsidRPr="000134F5">
        <w:rPr>
          <w:rFonts w:ascii="Times New Roman" w:eastAsia="Times New Roman" w:hAnsi="Times New Roman" w:cs="Times New Roman"/>
          <w:lang w:val="en-US"/>
        </w:rPr>
        <w:t xml:space="preserve">. </w:t>
      </w:r>
    </w:p>
    <w:p w14:paraId="6E313C42" w14:textId="73904ED0" w:rsidR="00670CDC" w:rsidRPr="000134F5" w:rsidRDefault="00670CDC"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We have amended the methods to make it clear that all test substances (except carboplatin) were dissolved in 100% DMSO to a stock concentration</w:t>
      </w:r>
      <w:r w:rsidR="00E43E85" w:rsidRPr="000134F5">
        <w:rPr>
          <w:rFonts w:ascii="Times New Roman" w:eastAsia="Times New Roman" w:hAnsi="Times New Roman" w:cs="Times New Roman"/>
          <w:lang w:val="en-US"/>
        </w:rPr>
        <w:t>, rather than a 1% DMSO stock solution</w:t>
      </w:r>
      <w:r w:rsidR="00AA3057">
        <w:rPr>
          <w:rFonts w:ascii="Times New Roman" w:eastAsia="Times New Roman" w:hAnsi="Times New Roman" w:cs="Times New Roman"/>
          <w:lang w:val="en-US"/>
        </w:rPr>
        <w:t xml:space="preserve"> – this was not clear in the text previously</w:t>
      </w:r>
      <w:r w:rsidRPr="000134F5">
        <w:rPr>
          <w:rFonts w:ascii="Times New Roman" w:eastAsia="Times New Roman" w:hAnsi="Times New Roman" w:cs="Times New Roman"/>
          <w:lang w:val="en-US"/>
        </w:rPr>
        <w:t xml:space="preserve">. We systematically resuspended and verified every aliquot before pipetting the liquid onto the dispensing cassette to ensure that there was no drug precipitation and that all drugs were completely dissolved. Test substances were then dispensed in the test substance concentration range seen in Table 2. As different combinations of drugs increased the concentration of DMSO, all wells (excluding the blanks and non DMSO controls) were normalized to a value of 1% DMSO to limit cell death due to differing DMSO concentrations, as </w:t>
      </w:r>
      <w:r w:rsidR="00E43E85" w:rsidRPr="000134F5">
        <w:rPr>
          <w:rFonts w:ascii="Times New Roman" w:eastAsia="Times New Roman" w:hAnsi="Times New Roman" w:cs="Times New Roman"/>
          <w:lang w:val="en-US"/>
        </w:rPr>
        <w:t xml:space="preserve">studies that we have performed showed that </w:t>
      </w:r>
      <w:r w:rsidRPr="000134F5">
        <w:rPr>
          <w:rFonts w:ascii="Times New Roman" w:eastAsia="Times New Roman" w:hAnsi="Times New Roman" w:cs="Times New Roman"/>
          <w:lang w:val="en-US"/>
        </w:rPr>
        <w:t xml:space="preserve">DMSO </w:t>
      </w:r>
      <w:r w:rsidR="00E43E85" w:rsidRPr="000134F5">
        <w:rPr>
          <w:rFonts w:ascii="Times New Roman" w:eastAsia="Times New Roman" w:hAnsi="Times New Roman" w:cs="Times New Roman"/>
          <w:lang w:val="en-US"/>
        </w:rPr>
        <w:t>can be</w:t>
      </w:r>
      <w:r w:rsidRPr="000134F5">
        <w:rPr>
          <w:rFonts w:ascii="Times New Roman" w:eastAsia="Times New Roman" w:hAnsi="Times New Roman" w:cs="Times New Roman"/>
          <w:lang w:val="en-US"/>
        </w:rPr>
        <w:t xml:space="preserve"> toxic to cells a</w:t>
      </w:r>
      <w:r w:rsidR="00E43E85" w:rsidRPr="000134F5">
        <w:rPr>
          <w:rFonts w:ascii="Times New Roman" w:eastAsia="Times New Roman" w:hAnsi="Times New Roman" w:cs="Times New Roman"/>
          <w:lang w:val="en-US"/>
        </w:rPr>
        <w:t xml:space="preserve">t concentrations above </w:t>
      </w:r>
      <w:r w:rsidRPr="000134F5">
        <w:rPr>
          <w:rFonts w:ascii="Times New Roman" w:eastAsia="Times New Roman" w:hAnsi="Times New Roman" w:cs="Times New Roman"/>
          <w:lang w:val="en-US"/>
        </w:rPr>
        <w:t>1% (</w:t>
      </w:r>
      <w:r w:rsidR="00E43E85" w:rsidRPr="000134F5">
        <w:rPr>
          <w:rFonts w:ascii="Times New Roman" w:eastAsia="Times New Roman" w:hAnsi="Times New Roman" w:cs="Times New Roman"/>
          <w:lang w:val="en-US"/>
        </w:rPr>
        <w:t>data not shown) and</w:t>
      </w:r>
      <w:r w:rsidRPr="000134F5">
        <w:rPr>
          <w:rFonts w:ascii="Times New Roman" w:eastAsia="Times New Roman" w:hAnsi="Times New Roman" w:cs="Times New Roman"/>
          <w:lang w:val="en-US"/>
        </w:rPr>
        <w:t xml:space="preserve"> therefore, any drug solution with &gt;1% DMSO </w:t>
      </w:r>
      <w:r w:rsidR="00E43E85" w:rsidRPr="000134F5">
        <w:rPr>
          <w:rFonts w:ascii="Times New Roman" w:eastAsia="Times New Roman" w:hAnsi="Times New Roman" w:cs="Times New Roman"/>
          <w:lang w:val="en-US"/>
        </w:rPr>
        <w:t>could</w:t>
      </w:r>
      <w:r w:rsidRPr="000134F5">
        <w:rPr>
          <w:rFonts w:ascii="Times New Roman" w:eastAsia="Times New Roman" w:hAnsi="Times New Roman" w:cs="Times New Roman"/>
          <w:lang w:val="en-US"/>
        </w:rPr>
        <w:t xml:space="preserve"> give an incorrect cell viability readout.</w:t>
      </w:r>
      <w:r w:rsidRPr="000134F5">
        <w:rPr>
          <w:rFonts w:ascii="Times New Roman" w:hAnsi="Times New Roman" w:cs="Times New Roman"/>
          <w:lang w:val="en-US"/>
        </w:rPr>
        <w:t xml:space="preserve"> </w:t>
      </w:r>
    </w:p>
    <w:p w14:paraId="71E19281" w14:textId="0109755B" w:rsidR="00670CDC" w:rsidRPr="000134F5" w:rsidRDefault="00670CDC" w:rsidP="00670CDC">
      <w:pPr>
        <w:numPr>
          <w:ilvl w:val="2"/>
          <w:numId w:val="3"/>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Line </w:t>
      </w:r>
      <w:r w:rsidR="002D4D59">
        <w:rPr>
          <w:rFonts w:ascii="Times New Roman" w:eastAsia="Times New Roman" w:hAnsi="Times New Roman" w:cs="Times New Roman"/>
          <w:lang w:val="en-US"/>
        </w:rPr>
        <w:t>424</w:t>
      </w:r>
      <w:r w:rsidRPr="000134F5">
        <w:rPr>
          <w:rFonts w:ascii="Times New Roman" w:eastAsia="Times New Roman" w:hAnsi="Times New Roman" w:cs="Times New Roman"/>
          <w:lang w:val="en-US"/>
        </w:rPr>
        <w:t>: Test substances were dissolved in 100% DMSO or MQ + 0.01% Tween-20 in the case of carboplatin, as DMSO inactivates platinum-based treatments (Table 2)</w:t>
      </w:r>
      <w:r w:rsidR="008246A4" w:rsidRPr="008246A4">
        <w:rPr>
          <w:rFonts w:ascii="Times New Roman" w:eastAsia="Times New Roman" w:hAnsi="Times New Roman" w:cs="Times New Roman"/>
          <w:vertAlign w:val="superscript"/>
          <w:lang w:val="en-US"/>
        </w:rPr>
        <w:t>1</w:t>
      </w:r>
      <w:r w:rsidRPr="000134F5">
        <w:rPr>
          <w:rFonts w:ascii="Times New Roman" w:eastAsia="Times New Roman" w:hAnsi="Times New Roman" w:cs="Times New Roman"/>
          <w:lang w:val="en-US"/>
        </w:rPr>
        <w:t xml:space="preserve">. Subsequently, 11 drugs and 12 drug combinations were dispensed and all wells (excluding blanks and non-DMSO control </w:t>
      </w:r>
      <w:r w:rsidR="00AA3057">
        <w:rPr>
          <w:rFonts w:ascii="Times New Roman" w:eastAsia="Times New Roman" w:hAnsi="Times New Roman" w:cs="Times New Roman"/>
          <w:lang w:val="en-US"/>
        </w:rPr>
        <w:t>wells</w:t>
      </w:r>
      <w:r w:rsidRPr="000134F5">
        <w:rPr>
          <w:rFonts w:ascii="Times New Roman" w:eastAsia="Times New Roman" w:hAnsi="Times New Roman" w:cs="Times New Roman"/>
          <w:lang w:val="en-US"/>
        </w:rPr>
        <w:t>) normalized to 1% DMSO using the HP Tecan D300e Digital Dispenser (Hewlett-Packard, Palo Alto, CA, USA).</w:t>
      </w:r>
    </w:p>
    <w:p w14:paraId="75BE59AB" w14:textId="77777777" w:rsidR="00670CDC" w:rsidRPr="000134F5" w:rsidRDefault="00670CDC" w:rsidP="00670CDC">
      <w:pPr>
        <w:jc w:val="both"/>
        <w:rPr>
          <w:rFonts w:ascii="Times New Roman" w:eastAsia="Times New Roman" w:hAnsi="Times New Roman" w:cs="Times New Roman"/>
          <w:lang w:val="en-US"/>
        </w:rPr>
      </w:pPr>
    </w:p>
    <w:p w14:paraId="2282EA3C"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Carboplatin was dissolved in 0.01% Tween-20. This detergent is known to cause disruption of aggregate forms of many compounds, and since carboplatin is used with many of the combination therapies in this report, it is unclear if there is a vehicle effect of Tween-20 on the efficacy of kinase inhibitors or anti-hormones on the responses in AGCTs. Experimental kinetic solubility determinations will confirm the concentration of compounds in the combination conditions.</w:t>
      </w:r>
    </w:p>
    <w:p w14:paraId="1360D60B" w14:textId="77777777" w:rsidR="00670CDC" w:rsidRPr="000134F5" w:rsidRDefault="00670CDC" w:rsidP="00670CDC">
      <w:pPr>
        <w:pStyle w:val="Lijstalinea"/>
        <w:ind w:left="1800"/>
        <w:jc w:val="both"/>
        <w:rPr>
          <w:rFonts w:ascii="Times New Roman" w:eastAsia="Times New Roman" w:hAnsi="Times New Roman" w:cs="Times New Roman"/>
          <w:lang w:val="en-US"/>
        </w:rPr>
      </w:pPr>
    </w:p>
    <w:p w14:paraId="05001A19" w14:textId="474DD103" w:rsidR="00670CDC" w:rsidRPr="000134F5" w:rsidRDefault="00670CDC" w:rsidP="00670CDC">
      <w:pPr>
        <w:pStyle w:val="Lijstalinea"/>
        <w:numPr>
          <w:ilvl w:val="0"/>
          <w:numId w:val="5"/>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The recommended manufacturer solute was utilized to dissolve the test substances, and this was DMSO for the majority of substances. However, DMSO inactivates carboplatin via structural changes and should not be used as a solvent for this or other platinum-based treatments</w:t>
      </w:r>
      <w:r w:rsidR="008246A4">
        <w:rPr>
          <w:rFonts w:ascii="Times New Roman" w:eastAsia="Times New Roman" w:hAnsi="Times New Roman" w:cs="Times New Roman"/>
          <w:vertAlign w:val="superscript"/>
          <w:lang w:val="en-US"/>
        </w:rPr>
        <w:t>3</w:t>
      </w:r>
      <w:r w:rsidR="008246A4">
        <w:rPr>
          <w:rFonts w:ascii="Times New Roman" w:eastAsia="Times New Roman" w:hAnsi="Times New Roman" w:cs="Times New Roman"/>
          <w:lang w:val="en-US"/>
        </w:rPr>
        <w:t xml:space="preserve">. </w:t>
      </w:r>
      <w:r w:rsidRPr="000134F5">
        <w:rPr>
          <w:rFonts w:ascii="Times New Roman" w:eastAsia="Times New Roman" w:hAnsi="Times New Roman" w:cs="Times New Roman"/>
          <w:lang w:val="en-US"/>
        </w:rPr>
        <w:t xml:space="preserve">Carboplatin was thus dissolved in MQ to maintain its activity, and because of the low dispensing volumes required, 0.01% Tween-20 was added to reduce the viscosity of the liquid. We thank and agree with the reviewer that it is necessary to be very critical of the solutes and detergents used with each test substance. Now </w:t>
      </w:r>
      <w:r w:rsidR="00702D85">
        <w:rPr>
          <w:rFonts w:ascii="Times New Roman" w:eastAsia="Times New Roman" w:hAnsi="Times New Roman" w:cs="Times New Roman"/>
          <w:lang w:val="en-US"/>
        </w:rPr>
        <w:t>accessible</w:t>
      </w:r>
      <w:r w:rsidRPr="000134F5">
        <w:rPr>
          <w:rFonts w:ascii="Times New Roman" w:eastAsia="Times New Roman" w:hAnsi="Times New Roman" w:cs="Times New Roman"/>
          <w:lang w:val="en-US"/>
        </w:rPr>
        <w:t xml:space="preserve"> Supplemental Figure 2 shows the effect of carboplatin on the positive control cell line SH-SY5Y, verifying that carboplatin is still active in this solution. </w:t>
      </w:r>
    </w:p>
    <w:p w14:paraId="6FF5EA1A" w14:textId="12B4F67B" w:rsidR="00670CDC" w:rsidRPr="000134F5" w:rsidRDefault="00670CDC" w:rsidP="00670CDC">
      <w:pPr>
        <w:pStyle w:val="Lijstalinea"/>
        <w:numPr>
          <w:ilvl w:val="0"/>
          <w:numId w:val="5"/>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The largest concentration of carboplatin used in the monotherapy and combination experiments was 500 uM. This amount was obtained by dispensing 1 ul of carboplatin dissolved in MQ + 0.01% Tween-20 in a cell medium volume of 40 ul, resulting in a 0.00025% final percentage of Tween-20 v/v. Tween-20 at 0.25% v/v is not cytotoxic to cells</w:t>
      </w:r>
      <w:r w:rsidR="00105977" w:rsidRPr="00105977">
        <w:rPr>
          <w:rFonts w:ascii="Times New Roman" w:eastAsia="Times New Roman" w:hAnsi="Times New Roman" w:cs="Times New Roman"/>
          <w:vertAlign w:val="superscript"/>
          <w:lang w:val="en-US"/>
        </w:rPr>
        <w:t>9</w:t>
      </w:r>
      <w:r w:rsidRPr="000134F5">
        <w:rPr>
          <w:rFonts w:ascii="Times New Roman" w:eastAsia="Times New Roman" w:hAnsi="Times New Roman" w:cs="Times New Roman"/>
          <w:lang w:val="en-US"/>
        </w:rPr>
        <w:t xml:space="preserve"> (Supplementary Figure 1</w:t>
      </w:r>
      <w:r w:rsidR="005825D6">
        <w:rPr>
          <w:rFonts w:ascii="Times New Roman" w:eastAsia="Times New Roman" w:hAnsi="Times New Roman" w:cs="Times New Roman"/>
          <w:lang w:val="en-US"/>
        </w:rPr>
        <w:t xml:space="preserve"> </w:t>
      </w:r>
      <w:r w:rsidR="005825D6" w:rsidRPr="00105977">
        <w:rPr>
          <w:rFonts w:ascii="Times New Roman" w:eastAsia="Times New Roman" w:hAnsi="Times New Roman" w:cs="Times New Roman"/>
          <w:lang w:val="en-US"/>
        </w:rPr>
        <w:t xml:space="preserve">of Owen </w:t>
      </w:r>
      <w:r w:rsidR="00105977" w:rsidRPr="00105977">
        <w:rPr>
          <w:rFonts w:ascii="Times New Roman" w:eastAsia="Times New Roman" w:hAnsi="Times New Roman" w:cs="Times New Roman"/>
          <w:lang w:val="en-US"/>
        </w:rPr>
        <w:t xml:space="preserve">et al </w:t>
      </w:r>
      <w:r w:rsidR="005825D6" w:rsidRPr="00105977">
        <w:rPr>
          <w:rFonts w:ascii="Times New Roman" w:eastAsia="Times New Roman" w:hAnsi="Times New Roman" w:cs="Times New Roman"/>
          <w:lang w:val="en-US"/>
        </w:rPr>
        <w:t>2012</w:t>
      </w:r>
      <w:r w:rsidRPr="000134F5">
        <w:rPr>
          <w:rFonts w:ascii="Times New Roman" w:eastAsia="Times New Roman" w:hAnsi="Times New Roman" w:cs="Times New Roman"/>
          <w:lang w:val="en-US"/>
        </w:rPr>
        <w:t xml:space="preserve">), and percentages below this should also not be toxic. However, we agree with the reviewer that colloids of many substances can be formed even at low concentrations of Tween, and thus impact the IC50 of the respective drugs.  We have not directly assayed this in the experiments shown in this study, however if there was a vehicle effect of this 0.00025% Tween-20, we would expect to see a consistent </w:t>
      </w:r>
      <w:r w:rsidR="00E43E85" w:rsidRPr="000134F5">
        <w:rPr>
          <w:rFonts w:ascii="Times New Roman" w:eastAsia="Times New Roman" w:hAnsi="Times New Roman" w:cs="Times New Roman"/>
          <w:lang w:val="en-US"/>
        </w:rPr>
        <w:t>vehicle effect across cell lines for a particular carboplatin combination (</w:t>
      </w:r>
      <w:r w:rsidR="00BD0730" w:rsidRPr="000134F5">
        <w:rPr>
          <w:rFonts w:ascii="Times New Roman" w:eastAsia="Times New Roman" w:hAnsi="Times New Roman" w:cs="Times New Roman"/>
          <w:lang w:val="en-US"/>
        </w:rPr>
        <w:t>i.e.,</w:t>
      </w:r>
      <w:r w:rsidR="00E43E85" w:rsidRPr="000134F5">
        <w:rPr>
          <w:rFonts w:ascii="Times New Roman" w:eastAsia="Times New Roman" w:hAnsi="Times New Roman" w:cs="Times New Roman"/>
          <w:lang w:val="en-US"/>
        </w:rPr>
        <w:t xml:space="preserve"> all cell lines respond antagonistically when a particular drug is used in combination with carboplatin + 0.00025% Tween-20). We do not observe this across any of the combinations, with responses of each cell line to all </w:t>
      </w:r>
      <w:r w:rsidR="00F829F2" w:rsidRPr="000134F5">
        <w:rPr>
          <w:rFonts w:ascii="Times New Roman" w:eastAsia="Times New Roman" w:hAnsi="Times New Roman" w:cs="Times New Roman"/>
          <w:lang w:val="en-US"/>
        </w:rPr>
        <w:t>each particular</w:t>
      </w:r>
      <w:r w:rsidR="00E43E85" w:rsidRPr="000134F5">
        <w:rPr>
          <w:rFonts w:ascii="Times New Roman" w:eastAsia="Times New Roman" w:hAnsi="Times New Roman" w:cs="Times New Roman"/>
          <w:lang w:val="en-US"/>
        </w:rPr>
        <w:t xml:space="preserve"> combination of carboplatin ranging from antagonism to synergism. </w:t>
      </w:r>
    </w:p>
    <w:p w14:paraId="4822CA0D" w14:textId="77777777" w:rsidR="00670CDC" w:rsidRPr="000134F5" w:rsidRDefault="00670CDC" w:rsidP="00670CDC">
      <w:pPr>
        <w:pStyle w:val="Lijstalinea"/>
        <w:ind w:left="1800"/>
        <w:jc w:val="both"/>
        <w:rPr>
          <w:rFonts w:ascii="Times New Roman" w:eastAsia="Times New Roman" w:hAnsi="Times New Roman" w:cs="Times New Roman"/>
          <w:lang w:val="en-US"/>
        </w:rPr>
      </w:pPr>
    </w:p>
    <w:p w14:paraId="79AE300F"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 xml:space="preserve">In the context of kinetic solubility, the authors state that the 2-drug combination of everolimus+apelisib was only effective at concentrations that exceeded Cmax/Css. It would be important to confirm the exposure to drug substance in vitro in order to translate these in vitro results into clinical trial actions. </w:t>
      </w:r>
    </w:p>
    <w:p w14:paraId="2A769966" w14:textId="77777777" w:rsidR="00670CDC" w:rsidRPr="000134F5" w:rsidRDefault="00670CDC" w:rsidP="00670CDC">
      <w:pPr>
        <w:ind w:left="1440"/>
        <w:jc w:val="both"/>
        <w:rPr>
          <w:rFonts w:ascii="Times New Roman" w:eastAsia="Times New Roman" w:hAnsi="Times New Roman" w:cs="Times New Roman"/>
          <w:highlight w:val="yellow"/>
        </w:rPr>
      </w:pPr>
    </w:p>
    <w:p w14:paraId="528DC123" w14:textId="2C7AF5CF" w:rsidR="002D03A0" w:rsidRDefault="002D03A0" w:rsidP="002D03A0">
      <w:pPr>
        <w:numPr>
          <w:ilvl w:val="1"/>
          <w:numId w:val="3"/>
        </w:numPr>
        <w:jc w:val="both"/>
        <w:rPr>
          <w:rFonts w:ascii="Times New Roman" w:eastAsia="Times New Roman" w:hAnsi="Times New Roman" w:cs="Times New Roman"/>
          <w:lang w:val="en-US"/>
        </w:rPr>
      </w:pPr>
      <w:r w:rsidRPr="002D03A0">
        <w:rPr>
          <w:rFonts w:ascii="Times New Roman" w:eastAsia="Times New Roman" w:hAnsi="Times New Roman" w:cs="Times New Roman"/>
          <w:lang w:val="en-US"/>
        </w:rPr>
        <w:t xml:space="preserve">Upon arrival of the drugs in powder form, stock solutions of all compounds were freshly prepared as recommended by the manufacturer. The solubility of everolimus and alpelisib in </w:t>
      </w:r>
      <w:r>
        <w:rPr>
          <w:rFonts w:ascii="Times New Roman" w:eastAsia="Times New Roman" w:hAnsi="Times New Roman" w:cs="Times New Roman"/>
          <w:lang w:val="en-US"/>
        </w:rPr>
        <w:t xml:space="preserve">100% </w:t>
      </w:r>
      <w:r w:rsidRPr="002D03A0">
        <w:rPr>
          <w:rFonts w:ascii="Times New Roman" w:eastAsia="Times New Roman" w:hAnsi="Times New Roman" w:cs="Times New Roman"/>
          <w:lang w:val="en-US"/>
        </w:rPr>
        <w:t>DMSO is 10 mg/ml and 88 mg/mL, respectively. The stock solutions of everolimus and alpelisib individually were set at 10mM and 20mM, for further drug dispensing convenience.  Considering their molecular weights (everolimus: 958.224 g/mol, alpelisib: 441.47 g/mol), the final stock solutions were &lt;10mg/mL for both everolimus and alpelisib solutions, therefore, we do not expect any disturbance in our screens due to solubility problems. In addition, the stock-solution aliquots were vortexed and spun down before use.</w:t>
      </w:r>
    </w:p>
    <w:p w14:paraId="00123F6A" w14:textId="4069F535" w:rsidR="0038422B" w:rsidRPr="00D840E0" w:rsidRDefault="0038422B" w:rsidP="00D840E0">
      <w:pPr>
        <w:pStyle w:val="Lijstalinea"/>
        <w:numPr>
          <w:ilvl w:val="1"/>
          <w:numId w:val="3"/>
        </w:numPr>
        <w:jc w:val="both"/>
        <w:rPr>
          <w:rFonts w:ascii="Times New Roman" w:eastAsia="Times New Roman" w:hAnsi="Times New Roman" w:cs="Times New Roman"/>
          <w:lang w:val="en-US"/>
        </w:rPr>
      </w:pPr>
      <w:r w:rsidRPr="0038422B">
        <w:rPr>
          <w:rFonts w:ascii="Times New Roman" w:eastAsia="Times New Roman" w:hAnsi="Times New Roman" w:cs="Times New Roman"/>
          <w:lang w:val="en-US"/>
        </w:rPr>
        <w:t>Based on our constraints set-up and in order to translate our in vitro results into clinical guidance, for a drug combination to be a potential novel therapy for aGCT, the individual IC50s of all the drugs in the combination must be lower than their toxicity threshold in human blood. Based on this, we predict that the combination of everolimus+alpelisib, after one dose at their IC50 concentrations in aGCT patient-derived cell lines, would potentially result toxic for humans. However, we are unable to provide any predictions about the potential toxicity/safety of this combination in the clinic when lowering the doses, administering the drugs for a longer period of time, and/or interspersing the two drugs instead of delivering them simultaneously.</w:t>
      </w:r>
      <w:r>
        <w:rPr>
          <w:rFonts w:ascii="Times New Roman" w:eastAsia="Times New Roman" w:hAnsi="Times New Roman" w:cs="Times New Roman"/>
          <w:lang w:val="en-US"/>
        </w:rPr>
        <w:t xml:space="preserve"> </w:t>
      </w:r>
    </w:p>
    <w:p w14:paraId="2F5B4623" w14:textId="77777777" w:rsidR="00670CDC" w:rsidRPr="000134F5" w:rsidRDefault="00670CDC" w:rsidP="00670CDC">
      <w:pPr>
        <w:ind w:left="2160"/>
        <w:jc w:val="both"/>
        <w:rPr>
          <w:rFonts w:ascii="Times New Roman" w:eastAsia="Times New Roman" w:hAnsi="Times New Roman" w:cs="Times New Roman"/>
          <w:highlight w:val="yellow"/>
        </w:rPr>
      </w:pPr>
    </w:p>
    <w:p w14:paraId="5B9E777E"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 xml:space="preserve">Again in the context of solubility, it is important to know whether the Tween 20 associated with carboplatin increased solubility of test substances. We are not provided results with carboplatin alone to evaluate this possibility </w:t>
      </w:r>
      <w:r w:rsidRPr="000134F5">
        <w:rPr>
          <w:rFonts w:ascii="Times New Roman" w:eastAsia="Times New Roman" w:hAnsi="Times New Roman" w:cs="Times New Roman"/>
          <w:i/>
          <w:iCs/>
        </w:rPr>
        <w:t>in vitro</w:t>
      </w:r>
      <w:r w:rsidRPr="000134F5">
        <w:rPr>
          <w:rFonts w:ascii="Times New Roman" w:eastAsia="Times New Roman" w:hAnsi="Times New Roman" w:cs="Times New Roman"/>
        </w:rPr>
        <w:t>.</w:t>
      </w:r>
    </w:p>
    <w:p w14:paraId="695B0140" w14:textId="77777777" w:rsidR="00670CDC" w:rsidRPr="000134F5" w:rsidRDefault="00670CDC" w:rsidP="00670CDC">
      <w:pPr>
        <w:ind w:left="720"/>
        <w:jc w:val="both"/>
        <w:rPr>
          <w:rFonts w:ascii="Times New Roman" w:eastAsia="Times New Roman" w:hAnsi="Times New Roman" w:cs="Times New Roman"/>
        </w:rPr>
      </w:pPr>
    </w:p>
    <w:p w14:paraId="634BE457" w14:textId="34618D78" w:rsidR="00670CDC" w:rsidRPr="000134F5" w:rsidRDefault="00670CDC"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We again apologize </w:t>
      </w:r>
      <w:r w:rsidR="002D4D59">
        <w:rPr>
          <w:rFonts w:ascii="Times New Roman" w:eastAsia="Times New Roman" w:hAnsi="Times New Roman" w:cs="Times New Roman"/>
          <w:lang w:val="en-US"/>
        </w:rPr>
        <w:t>that the</w:t>
      </w:r>
      <w:r w:rsidRPr="000134F5">
        <w:rPr>
          <w:rFonts w:ascii="Times New Roman" w:eastAsia="Times New Roman" w:hAnsi="Times New Roman" w:cs="Times New Roman"/>
          <w:lang w:val="en-US"/>
        </w:rPr>
        <w:t xml:space="preserve"> supplemental files </w:t>
      </w:r>
      <w:r w:rsidR="002D4D59">
        <w:rPr>
          <w:rFonts w:ascii="Times New Roman" w:eastAsia="Times New Roman" w:hAnsi="Times New Roman" w:cs="Times New Roman"/>
          <w:lang w:val="en-US"/>
        </w:rPr>
        <w:t>were not accessible</w:t>
      </w:r>
      <w:r w:rsidRPr="000134F5">
        <w:rPr>
          <w:rFonts w:ascii="Times New Roman" w:eastAsia="Times New Roman" w:hAnsi="Times New Roman" w:cs="Times New Roman"/>
          <w:lang w:val="en-US"/>
        </w:rPr>
        <w:t xml:space="preserve"> during the review process. Supplemental Table 1 includes all values for individual drug components of the combination testing in all cell lines and is now provided. </w:t>
      </w:r>
    </w:p>
    <w:p w14:paraId="7183D39D" w14:textId="77777777" w:rsidR="00670CDC" w:rsidRPr="000134F5" w:rsidRDefault="00670CDC" w:rsidP="00670CDC">
      <w:pPr>
        <w:jc w:val="both"/>
        <w:rPr>
          <w:rFonts w:ascii="Times New Roman" w:eastAsia="Times New Roman" w:hAnsi="Times New Roman" w:cs="Times New Roman"/>
        </w:rPr>
      </w:pPr>
    </w:p>
    <w:p w14:paraId="695A3175"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Methods or supplementary information should outline the actual concentrations of inhibitors tested to understand what data points were used to generate the computer-smoothed curves shown in figures 2-5. No supplementary materials were found online. We also are not apprised of variability in the responses at any time point, nor are the standard error values or standard deviations provided for IC50 determinations. No statistically-determined P-values are provided (e.g. P&lt;0.05) to reflect statistical differences in responses of various combinations.</w:t>
      </w:r>
    </w:p>
    <w:p w14:paraId="4428466C" w14:textId="77777777" w:rsidR="00670CDC" w:rsidRPr="000134F5" w:rsidRDefault="00670CDC" w:rsidP="00670CDC">
      <w:pPr>
        <w:ind w:left="720"/>
        <w:jc w:val="both"/>
        <w:rPr>
          <w:rFonts w:ascii="Times New Roman" w:eastAsia="Times New Roman" w:hAnsi="Times New Roman" w:cs="Times New Roman"/>
        </w:rPr>
      </w:pPr>
    </w:p>
    <w:p w14:paraId="58226CCF" w14:textId="77777777" w:rsidR="00670CDC" w:rsidRPr="000134F5" w:rsidRDefault="00670CDC"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We have clarified the points in the methods with the following text, and Supplemental Figures 3 and 4 include the R-squared values for the curves generated for both the monotherapies and the combinations. The concentration ranges of all drugs are seen in Table 2, and drugs are dispensed linearly. </w:t>
      </w:r>
    </w:p>
    <w:p w14:paraId="3BB5174B" w14:textId="768CAC6B" w:rsidR="00670CDC" w:rsidRPr="000134F5" w:rsidRDefault="00670CDC" w:rsidP="00670CDC">
      <w:pPr>
        <w:numPr>
          <w:ilvl w:val="2"/>
          <w:numId w:val="3"/>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Line </w:t>
      </w:r>
      <w:r w:rsidR="002D4D59">
        <w:rPr>
          <w:rFonts w:ascii="Times New Roman" w:eastAsia="Times New Roman" w:hAnsi="Times New Roman" w:cs="Times New Roman"/>
          <w:lang w:val="en-US"/>
        </w:rPr>
        <w:t>428</w:t>
      </w:r>
      <w:r w:rsidRPr="000134F5">
        <w:rPr>
          <w:rFonts w:ascii="Times New Roman" w:eastAsia="Times New Roman" w:hAnsi="Times New Roman" w:cs="Times New Roman"/>
          <w:lang w:val="en-US"/>
        </w:rPr>
        <w:t>: All drugs were applied in linear concentration ranges (Table 2) including 16 data points to enable combination drug testing at constant ratios.</w:t>
      </w:r>
    </w:p>
    <w:p w14:paraId="40B27B31" w14:textId="77777777" w:rsidR="00670CDC" w:rsidRPr="000134F5" w:rsidRDefault="00670CDC" w:rsidP="00670CDC">
      <w:pPr>
        <w:jc w:val="both"/>
        <w:rPr>
          <w:rFonts w:ascii="Times New Roman" w:eastAsia="Times New Roman" w:hAnsi="Times New Roman" w:cs="Times New Roman"/>
          <w:highlight w:val="yellow"/>
        </w:rPr>
      </w:pPr>
    </w:p>
    <w:p w14:paraId="1A2CE8A9"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The authors rationale for selecting ulipristal is absent, while recent articles support progesterone receptor involvement in AGCTs (</w:t>
      </w:r>
      <w:r w:rsidRPr="000134F5">
        <w:rPr>
          <w:rFonts w:ascii="Times New Roman" w:eastAsia="Times New Roman" w:hAnsi="Times New Roman" w:cs="Times New Roman"/>
          <w:b/>
          <w:bCs/>
        </w:rPr>
        <w:t xml:space="preserve">https://www.gynecologiconcology-online.net/article/S0090-8258(19)30057-5/fulltext). </w:t>
      </w:r>
      <w:r w:rsidRPr="000134F5">
        <w:rPr>
          <w:rFonts w:ascii="Times New Roman" w:eastAsia="Times New Roman" w:hAnsi="Times New Roman" w:cs="Times New Roman"/>
        </w:rPr>
        <w:t>This reference suggests that high PR composite score (≥9) was associated with both decreased recurrence-free and overall survival in patients with GCT while ER expression was not associated with survival outcomes.</w:t>
      </w:r>
    </w:p>
    <w:p w14:paraId="47E65769" w14:textId="77777777" w:rsidR="00670CDC" w:rsidRPr="000134F5" w:rsidRDefault="00670CDC"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Thank you for this citation and we have included it within the text that also justifies our choice of everolimus, dasatinib, alpelisib and 6-THIO-2dG. </w:t>
      </w:r>
    </w:p>
    <w:p w14:paraId="6AB443F0" w14:textId="09BAF232" w:rsidR="00670CDC" w:rsidRPr="000134F5" w:rsidRDefault="00670CDC" w:rsidP="00670CDC">
      <w:pPr>
        <w:numPr>
          <w:ilvl w:val="2"/>
          <w:numId w:val="3"/>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Line </w:t>
      </w:r>
      <w:r w:rsidR="002D4D59">
        <w:rPr>
          <w:rFonts w:ascii="Times New Roman" w:eastAsia="Times New Roman" w:hAnsi="Times New Roman" w:cs="Times New Roman"/>
          <w:lang w:val="en-US"/>
        </w:rPr>
        <w:t>161</w:t>
      </w:r>
      <w:r w:rsidRPr="000134F5">
        <w:rPr>
          <w:rFonts w:ascii="Times New Roman" w:eastAsia="Times New Roman" w:hAnsi="Times New Roman" w:cs="Times New Roman"/>
          <w:lang w:val="en-US"/>
        </w:rPr>
        <w:t xml:space="preserve">: Ulipristal is a progesterone receptor blocker, and was chosen to target </w:t>
      </w:r>
      <w:r w:rsidR="00AA3057">
        <w:rPr>
          <w:rFonts w:ascii="Times New Roman" w:eastAsia="Times New Roman" w:hAnsi="Times New Roman" w:cs="Times New Roman"/>
          <w:lang w:val="en-US"/>
        </w:rPr>
        <w:t>progesterone</w:t>
      </w:r>
      <w:r w:rsidRPr="000134F5">
        <w:rPr>
          <w:rFonts w:ascii="Times New Roman" w:eastAsia="Times New Roman" w:hAnsi="Times New Roman" w:cs="Times New Roman"/>
          <w:lang w:val="en-US"/>
        </w:rPr>
        <w:t xml:space="preserve">, as a recent study identified a high progesterone receptor composite score associated with decreased recurrence-free and overall </w:t>
      </w:r>
      <w:r w:rsidR="00BD0730" w:rsidRPr="000134F5">
        <w:rPr>
          <w:rFonts w:ascii="Times New Roman" w:eastAsia="Times New Roman" w:hAnsi="Times New Roman" w:cs="Times New Roman"/>
          <w:lang w:val="en-US"/>
        </w:rPr>
        <w:t>survival</w:t>
      </w:r>
      <w:r w:rsidR="00105977" w:rsidRPr="00105977">
        <w:rPr>
          <w:rFonts w:ascii="Times New Roman" w:eastAsia="Times New Roman" w:hAnsi="Times New Roman" w:cs="Times New Roman"/>
          <w:vertAlign w:val="superscript"/>
          <w:lang w:val="en-US"/>
        </w:rPr>
        <w:t>10</w:t>
      </w:r>
      <w:r w:rsidRPr="000134F5">
        <w:rPr>
          <w:rFonts w:ascii="Times New Roman" w:eastAsia="Times New Roman" w:hAnsi="Times New Roman" w:cs="Times New Roman"/>
          <w:lang w:val="en-US"/>
        </w:rPr>
        <w:t>.</w:t>
      </w:r>
    </w:p>
    <w:p w14:paraId="209F4480" w14:textId="77777777" w:rsidR="00670CDC" w:rsidRPr="000134F5" w:rsidRDefault="00670CDC" w:rsidP="00670CDC">
      <w:pPr>
        <w:jc w:val="both"/>
        <w:rPr>
          <w:rFonts w:ascii="Times New Roman" w:eastAsia="Times New Roman" w:hAnsi="Times New Roman" w:cs="Times New Roman"/>
        </w:rPr>
      </w:pPr>
    </w:p>
    <w:p w14:paraId="1913B513"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More information about the purpose of FoxL2 analysis for purpose of confirming genetic stability of the tumor cells in vitro would be helpful in the introduction. Additionally if there are mechanistic rationale for measuring FoxL2, these should be more carefully explained in Introduction. Particularly relevant for GCPA113T1.II response where only 2 of 4 pharmacologies are represented (compared with other cell lines in Figure 4).</w:t>
      </w:r>
    </w:p>
    <w:p w14:paraId="241653D3" w14:textId="77777777" w:rsidR="00670CDC" w:rsidRPr="000134F5" w:rsidRDefault="00670CDC" w:rsidP="00670CDC">
      <w:pPr>
        <w:ind w:left="1440"/>
        <w:jc w:val="both"/>
        <w:rPr>
          <w:rFonts w:ascii="Times New Roman" w:eastAsia="Times New Roman" w:hAnsi="Times New Roman" w:cs="Times New Roman"/>
          <w:highlight w:val="yellow"/>
        </w:rPr>
      </w:pPr>
    </w:p>
    <w:p w14:paraId="346B73EF" w14:textId="07C03591" w:rsidR="00654BBF" w:rsidRPr="000134F5" w:rsidRDefault="00DA0AB2"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We have amended the text in the introduction to justify why </w:t>
      </w:r>
      <w:r w:rsidRPr="000134F5">
        <w:rPr>
          <w:rFonts w:ascii="Times New Roman" w:eastAsia="Times New Roman" w:hAnsi="Times New Roman" w:cs="Times New Roman"/>
          <w:i/>
          <w:iCs/>
          <w:lang w:val="en-US"/>
        </w:rPr>
        <w:t>FOXL2</w:t>
      </w:r>
      <w:r w:rsidRPr="000134F5">
        <w:rPr>
          <w:rFonts w:ascii="Times New Roman" w:eastAsia="Times New Roman" w:hAnsi="Times New Roman" w:cs="Times New Roman"/>
          <w:lang w:val="en-US"/>
        </w:rPr>
        <w:t xml:space="preserve"> </w:t>
      </w:r>
      <w:r w:rsidR="004A117E" w:rsidRPr="000134F5">
        <w:rPr>
          <w:rFonts w:ascii="Times New Roman" w:eastAsia="Times New Roman" w:hAnsi="Times New Roman" w:cs="Times New Roman"/>
          <w:lang w:val="en-US"/>
        </w:rPr>
        <w:t xml:space="preserve">mutation status </w:t>
      </w:r>
      <w:r w:rsidRPr="000134F5">
        <w:rPr>
          <w:rFonts w:ascii="Times New Roman" w:eastAsia="Times New Roman" w:hAnsi="Times New Roman" w:cs="Times New Roman"/>
          <w:lang w:val="en-US"/>
        </w:rPr>
        <w:t>analysis in these drug screens is necessary</w:t>
      </w:r>
      <w:r w:rsidR="00654BBF" w:rsidRPr="000134F5">
        <w:rPr>
          <w:rFonts w:ascii="Times New Roman" w:eastAsia="Times New Roman" w:hAnsi="Times New Roman" w:cs="Times New Roman"/>
          <w:lang w:val="en-US"/>
        </w:rPr>
        <w:t xml:space="preserve">: </w:t>
      </w:r>
    </w:p>
    <w:p w14:paraId="7030B0CB" w14:textId="7B29E62D" w:rsidR="00DA0AB2" w:rsidRPr="000134F5" w:rsidRDefault="00654BBF" w:rsidP="00654BBF">
      <w:pPr>
        <w:numPr>
          <w:ilvl w:val="2"/>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Introduction</w:t>
      </w:r>
      <w:r w:rsidR="00DA0AB2" w:rsidRPr="000134F5">
        <w:rPr>
          <w:rFonts w:ascii="Times New Roman" w:eastAsia="Times New Roman" w:hAnsi="Times New Roman" w:cs="Times New Roman"/>
          <w:lang w:val="en-US"/>
        </w:rPr>
        <w:t xml:space="preserve"> (“to verify tumor cell origin”, line </w:t>
      </w:r>
      <w:r w:rsidR="002D4D59">
        <w:rPr>
          <w:rFonts w:ascii="Times New Roman" w:eastAsia="Times New Roman" w:hAnsi="Times New Roman" w:cs="Times New Roman"/>
          <w:lang w:val="en-US"/>
        </w:rPr>
        <w:t>11</w:t>
      </w:r>
      <w:r w:rsidR="00891C2D">
        <w:rPr>
          <w:rFonts w:ascii="Times New Roman" w:eastAsia="Times New Roman" w:hAnsi="Times New Roman" w:cs="Times New Roman"/>
          <w:lang w:val="en-US"/>
        </w:rPr>
        <w:t>1</w:t>
      </w:r>
      <w:r w:rsidR="00DA0AB2" w:rsidRPr="000134F5">
        <w:rPr>
          <w:rFonts w:ascii="Times New Roman" w:eastAsia="Times New Roman" w:hAnsi="Times New Roman" w:cs="Times New Roman"/>
          <w:lang w:val="en-US"/>
        </w:rPr>
        <w:t xml:space="preserve">): </w:t>
      </w:r>
    </w:p>
    <w:p w14:paraId="41B045B8" w14:textId="6BB27630" w:rsidR="00DA0AB2" w:rsidRPr="000134F5" w:rsidRDefault="00DA0AB2" w:rsidP="00654BBF">
      <w:pPr>
        <w:numPr>
          <w:ilvl w:val="3"/>
          <w:numId w:val="3"/>
        </w:numPr>
        <w:jc w:val="both"/>
        <w:rPr>
          <w:rFonts w:ascii="Times New Roman" w:eastAsia="Times New Roman" w:hAnsi="Times New Roman" w:cs="Times New Roman"/>
        </w:rPr>
      </w:pPr>
      <w:r w:rsidRPr="000134F5">
        <w:rPr>
          <w:rFonts w:ascii="Times New Roman" w:eastAsia="Times New Roman" w:hAnsi="Times New Roman" w:cs="Times New Roman"/>
        </w:rPr>
        <w:t>We confirmed the FOXL2.c402C&gt;G mutation to verify tumor cell origin in the established cell lines and tested current and novel systemic therapies including drug combinations to assess potential synergy.</w:t>
      </w:r>
    </w:p>
    <w:p w14:paraId="386CF51E" w14:textId="337AAB38" w:rsidR="00654BBF" w:rsidRPr="000134F5" w:rsidRDefault="00654BBF" w:rsidP="00654BBF">
      <w:pPr>
        <w:numPr>
          <w:ilvl w:val="2"/>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Results (line </w:t>
      </w:r>
      <w:r w:rsidR="002D4D59">
        <w:rPr>
          <w:rFonts w:ascii="Times New Roman" w:eastAsia="Times New Roman" w:hAnsi="Times New Roman" w:cs="Times New Roman"/>
          <w:lang w:val="en-US"/>
        </w:rPr>
        <w:t>243</w:t>
      </w:r>
      <w:r w:rsidRPr="000134F5">
        <w:rPr>
          <w:rFonts w:ascii="Times New Roman" w:eastAsia="Times New Roman" w:hAnsi="Times New Roman" w:cs="Times New Roman"/>
          <w:lang w:val="en-US"/>
        </w:rPr>
        <w:t xml:space="preserve">): </w:t>
      </w:r>
    </w:p>
    <w:p w14:paraId="2D8EA8D1" w14:textId="793F33D3" w:rsidR="00654BBF" w:rsidRPr="000134F5" w:rsidRDefault="00654BBF" w:rsidP="00654BBF">
      <w:pPr>
        <w:numPr>
          <w:ilvl w:val="3"/>
          <w:numId w:val="3"/>
        </w:numPr>
        <w:jc w:val="both"/>
        <w:rPr>
          <w:rFonts w:ascii="Times New Roman" w:eastAsia="Times New Roman" w:hAnsi="Times New Roman" w:cs="Times New Roman"/>
        </w:rPr>
      </w:pPr>
      <w:r w:rsidRPr="000134F5">
        <w:rPr>
          <w:rFonts w:ascii="Times New Roman" w:eastAsia="Times New Roman" w:hAnsi="Times New Roman" w:cs="Times New Roman"/>
          <w:i/>
          <w:iCs/>
        </w:rPr>
        <w:t>FOXL2</w:t>
      </w:r>
      <w:r w:rsidRPr="000134F5">
        <w:rPr>
          <w:rFonts w:ascii="Times New Roman" w:eastAsia="Times New Roman" w:hAnsi="Times New Roman" w:cs="Times New Roman"/>
        </w:rPr>
        <w:t xml:space="preserve"> mutation status was ascertained to verify tumor cell origin of the cell lines and additional typing by snp array only performed in those lines in which the </w:t>
      </w:r>
      <w:r w:rsidRPr="000134F5">
        <w:rPr>
          <w:rFonts w:ascii="Times New Roman" w:eastAsia="Times New Roman" w:hAnsi="Times New Roman" w:cs="Times New Roman"/>
          <w:i/>
          <w:iCs/>
        </w:rPr>
        <w:t>FOXL2</w:t>
      </w:r>
      <w:r w:rsidRPr="000134F5">
        <w:rPr>
          <w:rFonts w:ascii="Times New Roman" w:eastAsia="Times New Roman" w:hAnsi="Times New Roman" w:cs="Times New Roman"/>
        </w:rPr>
        <w:t xml:space="preserve"> mutation was no longer present (or present in hemizygous form).</w:t>
      </w:r>
    </w:p>
    <w:p w14:paraId="4E7E7DA1" w14:textId="070DCB19" w:rsidR="00670CDC" w:rsidRPr="000134F5" w:rsidRDefault="00654BBF"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We utilize the </w:t>
      </w:r>
      <w:r w:rsidRPr="000134F5">
        <w:rPr>
          <w:rFonts w:ascii="Times New Roman" w:eastAsia="Times New Roman" w:hAnsi="Times New Roman" w:cs="Times New Roman"/>
        </w:rPr>
        <w:t>FOXL2.c402C&gt;G mutation</w:t>
      </w:r>
      <w:r w:rsidRPr="000134F5">
        <w:rPr>
          <w:rFonts w:ascii="Times New Roman" w:eastAsia="Times New Roman" w:hAnsi="Times New Roman" w:cs="Times New Roman"/>
          <w:lang w:val="en-US"/>
        </w:rPr>
        <w:t xml:space="preserve"> Sanger sequencing as a first-line verification of tumor origin for cell lines, and in cases where it is not present (or present in hemizygous form) we have confirmed tumor cell origin by snp array. We do not have mechanistic insight onto why </w:t>
      </w:r>
      <w:r w:rsidRPr="000134F5">
        <w:rPr>
          <w:rFonts w:ascii="Times New Roman" w:eastAsia="Times New Roman" w:hAnsi="Times New Roman" w:cs="Times New Roman"/>
          <w:i/>
          <w:iCs/>
          <w:lang w:val="en-US"/>
        </w:rPr>
        <w:t>FOXL2</w:t>
      </w:r>
      <w:r w:rsidRPr="000134F5">
        <w:rPr>
          <w:rFonts w:ascii="Times New Roman" w:eastAsia="Times New Roman" w:hAnsi="Times New Roman" w:cs="Times New Roman"/>
          <w:lang w:val="en-US"/>
        </w:rPr>
        <w:t xml:space="preserve"> mutational status would impact drug response, and more extensive studies would have to be performed with </w:t>
      </w:r>
      <w:r w:rsidRPr="000134F5">
        <w:rPr>
          <w:rFonts w:ascii="Times New Roman" w:eastAsia="Times New Roman" w:hAnsi="Times New Roman" w:cs="Times New Roman"/>
          <w:i/>
          <w:iCs/>
          <w:lang w:val="en-US"/>
        </w:rPr>
        <w:t>FOXL2</w:t>
      </w:r>
      <w:r w:rsidRPr="000134F5">
        <w:rPr>
          <w:rFonts w:ascii="Times New Roman" w:eastAsia="Times New Roman" w:hAnsi="Times New Roman" w:cs="Times New Roman"/>
          <w:lang w:val="en-US"/>
        </w:rPr>
        <w:t xml:space="preserve"> knockout </w:t>
      </w:r>
      <w:r w:rsidR="00DB22BE" w:rsidRPr="000134F5">
        <w:rPr>
          <w:rFonts w:ascii="Times New Roman" w:eastAsia="Times New Roman" w:hAnsi="Times New Roman" w:cs="Times New Roman"/>
          <w:lang w:val="en-US"/>
        </w:rPr>
        <w:t>or CRISPR/Cas9 knock-in experiments</w:t>
      </w:r>
      <w:r w:rsidRPr="000134F5">
        <w:rPr>
          <w:rFonts w:ascii="Times New Roman" w:eastAsia="Times New Roman" w:hAnsi="Times New Roman" w:cs="Times New Roman"/>
          <w:lang w:val="en-US"/>
        </w:rPr>
        <w:t xml:space="preserve"> to ascertain the true </w:t>
      </w:r>
      <w:r w:rsidR="00DB22BE" w:rsidRPr="000134F5">
        <w:rPr>
          <w:rFonts w:ascii="Times New Roman" w:eastAsia="Times New Roman" w:hAnsi="Times New Roman" w:cs="Times New Roman"/>
          <w:lang w:val="en-US"/>
        </w:rPr>
        <w:t xml:space="preserve">dose response </w:t>
      </w:r>
      <w:r w:rsidRPr="000134F5">
        <w:rPr>
          <w:rFonts w:ascii="Times New Roman" w:eastAsia="Times New Roman" w:hAnsi="Times New Roman" w:cs="Times New Roman"/>
          <w:lang w:val="en-US"/>
        </w:rPr>
        <w:t xml:space="preserve">effect </w:t>
      </w:r>
      <w:r w:rsidR="00DB22BE" w:rsidRPr="000134F5">
        <w:rPr>
          <w:rFonts w:ascii="Times New Roman" w:eastAsia="Times New Roman" w:hAnsi="Times New Roman" w:cs="Times New Roman"/>
          <w:lang w:val="en-US"/>
        </w:rPr>
        <w:t>of monotherapies or drug combinations by losing/gaining this mutation</w:t>
      </w:r>
      <w:r w:rsidRPr="000134F5">
        <w:rPr>
          <w:rFonts w:ascii="Times New Roman" w:eastAsia="Times New Roman" w:hAnsi="Times New Roman" w:cs="Times New Roman"/>
          <w:lang w:val="en-US"/>
        </w:rPr>
        <w:t xml:space="preserve">.  </w:t>
      </w:r>
    </w:p>
    <w:p w14:paraId="65A677EE" w14:textId="77777777" w:rsidR="00670CDC" w:rsidRPr="000134F5" w:rsidRDefault="00670CDC" w:rsidP="00670CDC">
      <w:pPr>
        <w:jc w:val="both"/>
        <w:rPr>
          <w:rFonts w:ascii="Times New Roman" w:eastAsia="Times New Roman" w:hAnsi="Times New Roman" w:cs="Times New Roman"/>
        </w:rPr>
      </w:pPr>
    </w:p>
    <w:p w14:paraId="3E53DBA0"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i/>
          <w:iCs/>
        </w:rPr>
        <w:t>Scientific Soundness:</w:t>
      </w:r>
    </w:p>
    <w:p w14:paraId="321D4DC3"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 xml:space="preserve">Many missing pieces of evidence to take this </w:t>
      </w:r>
      <w:r w:rsidRPr="000134F5">
        <w:rPr>
          <w:rFonts w:ascii="Times New Roman" w:eastAsia="Times New Roman" w:hAnsi="Times New Roman" w:cs="Times New Roman"/>
          <w:i/>
          <w:iCs/>
        </w:rPr>
        <w:t>in vitro</w:t>
      </w:r>
      <w:r w:rsidRPr="000134F5">
        <w:rPr>
          <w:rFonts w:ascii="Times New Roman" w:eastAsia="Times New Roman" w:hAnsi="Times New Roman" w:cs="Times New Roman"/>
        </w:rPr>
        <w:t xml:space="preserve"> experiment and convert this into a clinical trial action. It would be particularly useful for the anti-hormonal agents used (tamoxifen, letrozole, fulvestrant, ulipristal, anastrozole) and the kinase inhibitors used (everlimus, apelisib, dasatanib, 6-THIO-2dG) to have cellular markers of the response to confirm that the survival of cells is matched with an expected signaling response of the inhibitor. It is common practice with the use of kinase inhibitors or steroid receptor antagonists to demonstrate that an accepted signaling endpoint or biomarker of response is modified. For kinase inhibitors, there has not been confirmation that decreased phosphorylation of the target substrate has been achieved. For steroid receptor antagonists, we are not provided any evidence that the antagonist either works as expected on a transcriptional endpoint (qPCR) or a secreted biomarker (ELISA) but fails to inhibit survival of the AGCTs.</w:t>
      </w:r>
    </w:p>
    <w:p w14:paraId="293CF401" w14:textId="77777777" w:rsidR="00670CDC" w:rsidRPr="000134F5" w:rsidRDefault="00670CDC" w:rsidP="00670CDC">
      <w:pPr>
        <w:ind w:left="720"/>
        <w:jc w:val="both"/>
        <w:rPr>
          <w:rFonts w:ascii="Times New Roman" w:eastAsia="Times New Roman" w:hAnsi="Times New Roman" w:cs="Times New Roman"/>
        </w:rPr>
      </w:pPr>
    </w:p>
    <w:p w14:paraId="22698CC0" w14:textId="52638845" w:rsidR="00670CDC" w:rsidRPr="000134F5" w:rsidRDefault="004A117E"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We agree with the reviewer that additional evidence is needed before this combination is implemented in a clinical trial. This point was also addressed by Reviewer 3, and we have highlighted in the Discussion that additional endpoint and preclinical studies are needed before clinical applicability (line </w:t>
      </w:r>
      <w:r w:rsidR="002D4D59">
        <w:rPr>
          <w:rFonts w:ascii="Times New Roman" w:eastAsia="Times New Roman" w:hAnsi="Times New Roman" w:cs="Times New Roman"/>
          <w:lang w:val="en-US"/>
        </w:rPr>
        <w:t>355</w:t>
      </w:r>
      <w:r w:rsidRPr="000134F5">
        <w:rPr>
          <w:rFonts w:ascii="Times New Roman" w:eastAsia="Times New Roman" w:hAnsi="Times New Roman" w:cs="Times New Roman"/>
          <w:lang w:val="en-US"/>
        </w:rPr>
        <w:t xml:space="preserve">). </w:t>
      </w:r>
    </w:p>
    <w:p w14:paraId="1E5334E7" w14:textId="71EF68A0" w:rsidR="004A117E" w:rsidRPr="000134F5" w:rsidRDefault="004A117E" w:rsidP="004A117E">
      <w:pPr>
        <w:pStyle w:val="Lijstalinea"/>
        <w:numPr>
          <w:ilvl w:val="2"/>
          <w:numId w:val="3"/>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Future studies utilizing molecular and cellular markers confirming the specific pharmacodynamic response to these and other promising novel monotherapies and combinations will be necessary prior to clinical applicability. Furthermore, preclinical studies in PDX models can be used to replicate and validate the findings presented within this study in a more complex environment containing the appropriate hormonal milieu, vasculature, immune response and the tumor microenvironment, as has been performed previously in granulosa cell tumors</w:t>
      </w:r>
      <w:r w:rsidR="008246A4" w:rsidRPr="008246A4">
        <w:rPr>
          <w:rFonts w:ascii="Times New Roman" w:eastAsia="Times New Roman" w:hAnsi="Times New Roman" w:cs="Times New Roman"/>
          <w:vertAlign w:val="superscript"/>
          <w:lang w:val="en-US"/>
        </w:rPr>
        <w:t>2</w:t>
      </w:r>
      <w:r w:rsidRPr="000134F5">
        <w:rPr>
          <w:rFonts w:ascii="Times New Roman" w:eastAsia="Times New Roman" w:hAnsi="Times New Roman" w:cs="Times New Roman"/>
          <w:lang w:val="en-US"/>
        </w:rPr>
        <w:t xml:space="preserve">.  </w:t>
      </w:r>
    </w:p>
    <w:p w14:paraId="4649790B" w14:textId="77777777" w:rsidR="00670CDC" w:rsidRPr="000134F5" w:rsidRDefault="00670CDC" w:rsidP="00670CDC">
      <w:pPr>
        <w:jc w:val="both"/>
        <w:rPr>
          <w:rFonts w:ascii="Times New Roman" w:eastAsia="Times New Roman" w:hAnsi="Times New Roman" w:cs="Times New Roman"/>
          <w:i/>
          <w:iCs/>
        </w:rPr>
      </w:pPr>
    </w:p>
    <w:p w14:paraId="0BB565EE" w14:textId="77777777" w:rsidR="00670CDC" w:rsidRPr="000134F5" w:rsidRDefault="00670CDC" w:rsidP="00670CDC">
      <w:pPr>
        <w:jc w:val="both"/>
        <w:rPr>
          <w:rFonts w:ascii="Times New Roman" w:eastAsia="Times New Roman" w:hAnsi="Times New Roman" w:cs="Times New Roman"/>
          <w:i/>
          <w:iCs/>
        </w:rPr>
      </w:pPr>
      <w:r w:rsidRPr="000134F5">
        <w:rPr>
          <w:rFonts w:ascii="Times New Roman" w:eastAsia="Times New Roman" w:hAnsi="Times New Roman" w:cs="Times New Roman"/>
          <w:i/>
          <w:iCs/>
        </w:rPr>
        <w:t>Reasons why this reviewer sees this to be important.</w:t>
      </w:r>
    </w:p>
    <w:p w14:paraId="49140126" w14:textId="77777777" w:rsidR="00670CDC" w:rsidRPr="000134F5" w:rsidRDefault="00670CDC" w:rsidP="00670CDC">
      <w:pPr>
        <w:jc w:val="both"/>
        <w:rPr>
          <w:rFonts w:ascii="Times New Roman" w:eastAsia="Times New Roman" w:hAnsi="Times New Roman" w:cs="Times New Roman"/>
        </w:rPr>
      </w:pPr>
    </w:p>
    <w:p w14:paraId="1F7CF6A8" w14:textId="77777777"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The patient-derived AGCT cultures exhibit 4 dominant pharmacologic responses (Figure 4) based on the apparent non-parallelism of the inhibition curves. First, are characterized by Carboplatin +Paclitaxel +Apelisib as one set of parallel inhibition curves, Everolimus + Tamoxifen as another and dramatically different pharmacology response, and two additional sets of parallel inhibition curves (difficult to separate the different color lines in the figures). Would recommend finding a better way to display so many curves – reviewers and readers have a difficult time connecting 12 treatments with lines on graphs, especially when these are reduced to publication-sized figures.</w:t>
      </w:r>
    </w:p>
    <w:p w14:paraId="180F5B6F" w14:textId="77777777" w:rsidR="00670CDC" w:rsidRPr="000134F5" w:rsidRDefault="00670CDC" w:rsidP="00670CDC">
      <w:pPr>
        <w:ind w:left="1440"/>
        <w:jc w:val="both"/>
        <w:rPr>
          <w:rFonts w:ascii="Times New Roman" w:eastAsia="Times New Roman" w:hAnsi="Times New Roman" w:cs="Times New Roman"/>
          <w:highlight w:val="yellow"/>
        </w:rPr>
      </w:pPr>
    </w:p>
    <w:p w14:paraId="203360FB" w14:textId="262BF7BB" w:rsidR="00670CDC" w:rsidRPr="000134F5" w:rsidRDefault="00DB22BE"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We agree with the reviewer that the large amount of cell lines that we have been able to include in this study also complicates the interpretation via the inhibition curves</w:t>
      </w:r>
      <w:r w:rsidR="005A237B" w:rsidRPr="000134F5">
        <w:rPr>
          <w:rFonts w:ascii="Times New Roman" w:eastAsia="Times New Roman" w:hAnsi="Times New Roman" w:cs="Times New Roman"/>
          <w:lang w:val="en-US"/>
        </w:rPr>
        <w:t xml:space="preserve"> of individual combinations when in a group</w:t>
      </w:r>
      <w:r w:rsidRPr="000134F5">
        <w:rPr>
          <w:rFonts w:ascii="Times New Roman" w:eastAsia="Times New Roman" w:hAnsi="Times New Roman" w:cs="Times New Roman"/>
          <w:lang w:val="en-US"/>
        </w:rPr>
        <w:t xml:space="preserve">. </w:t>
      </w:r>
      <w:r w:rsidR="005A237B" w:rsidRPr="000134F5">
        <w:rPr>
          <w:rFonts w:ascii="Times New Roman" w:eastAsia="Times New Roman" w:hAnsi="Times New Roman" w:cs="Times New Roman"/>
          <w:lang w:val="en-US"/>
        </w:rPr>
        <w:t xml:space="preserve">With the inclusion of the Supplemental Files (particularly Supplemental Table 1) the reader can now directly assess the IC50 of each individual agent of a particular combination therapy (column “IC50 in combination), and relate it </w:t>
      </w:r>
      <w:r w:rsidR="00702D85">
        <w:rPr>
          <w:rFonts w:ascii="Times New Roman" w:eastAsia="Times New Roman" w:hAnsi="Times New Roman" w:cs="Times New Roman"/>
          <w:lang w:val="en-US"/>
        </w:rPr>
        <w:t xml:space="preserve">to </w:t>
      </w:r>
      <w:r w:rsidR="005A237B" w:rsidRPr="000134F5">
        <w:rPr>
          <w:rFonts w:ascii="Times New Roman" w:eastAsia="Times New Roman" w:hAnsi="Times New Roman" w:cs="Times New Roman"/>
          <w:lang w:val="en-US"/>
        </w:rPr>
        <w:t xml:space="preserve">the known Cmax/Cass of that agent when used in monotherapy (column “Cmax/Css plasma (uM)”). The main purpose of the graphs is to highlight the most effective combinations of carboplatin/paclitaxel/alpelisib, everolimus/alpelisib, and everolimus/tamoxifen, while the remaining lines clustered in the pharmacology response </w:t>
      </w:r>
      <w:r w:rsidR="00AA3057">
        <w:rPr>
          <w:rFonts w:ascii="Times New Roman" w:eastAsia="Times New Roman" w:hAnsi="Times New Roman" w:cs="Times New Roman"/>
          <w:lang w:val="en-US"/>
        </w:rPr>
        <w:t xml:space="preserve">3 and 4 </w:t>
      </w:r>
      <w:r w:rsidR="005A237B" w:rsidRPr="000134F5">
        <w:rPr>
          <w:rFonts w:ascii="Times New Roman" w:eastAsia="Times New Roman" w:hAnsi="Times New Roman" w:cs="Times New Roman"/>
          <w:lang w:val="en-US"/>
        </w:rPr>
        <w:t xml:space="preserve">were not efficacious. We considered and attempted several different ways to graph these results; however, the dose response curve is the most well-known visualization representation and more intuitive to a reader than other formulations. </w:t>
      </w:r>
    </w:p>
    <w:p w14:paraId="5560BE93" w14:textId="77777777" w:rsidR="00654BBF" w:rsidRPr="000134F5" w:rsidRDefault="00654BBF" w:rsidP="00654BBF">
      <w:pPr>
        <w:ind w:left="720"/>
        <w:jc w:val="both"/>
        <w:rPr>
          <w:rFonts w:ascii="Times New Roman" w:eastAsia="Times New Roman" w:hAnsi="Times New Roman" w:cs="Times New Roman"/>
        </w:rPr>
      </w:pPr>
    </w:p>
    <w:p w14:paraId="6E1C44BD" w14:textId="0649B992" w:rsidR="00670CDC" w:rsidRPr="000134F5" w:rsidRDefault="00670CDC" w:rsidP="00670CDC">
      <w:pPr>
        <w:numPr>
          <w:ilvl w:val="0"/>
          <w:numId w:val="3"/>
        </w:numPr>
        <w:jc w:val="both"/>
        <w:rPr>
          <w:rFonts w:ascii="Times New Roman" w:eastAsia="Times New Roman" w:hAnsi="Times New Roman" w:cs="Times New Roman"/>
        </w:rPr>
      </w:pPr>
      <w:r w:rsidRPr="000134F5">
        <w:rPr>
          <w:rFonts w:ascii="Times New Roman" w:eastAsia="Times New Roman" w:hAnsi="Times New Roman" w:cs="Times New Roman"/>
        </w:rPr>
        <w:t>Expected to see results from positive control cell lines, breast cancer cell line MCF-7 and neuroblastoma cell line SH-SY5Y, but were not found in information provided. If they are in supplementary files, then these figures need to be provided.</w:t>
      </w:r>
    </w:p>
    <w:p w14:paraId="4D85F268" w14:textId="77777777" w:rsidR="00670CDC" w:rsidRPr="000134F5" w:rsidRDefault="00670CDC" w:rsidP="00670CDC">
      <w:pPr>
        <w:ind w:left="1440"/>
        <w:jc w:val="both"/>
        <w:rPr>
          <w:rFonts w:ascii="Times New Roman" w:eastAsia="Times New Roman" w:hAnsi="Times New Roman" w:cs="Times New Roman"/>
        </w:rPr>
      </w:pPr>
    </w:p>
    <w:p w14:paraId="26B1616A" w14:textId="70D8D742" w:rsidR="00670CDC" w:rsidRPr="000134F5" w:rsidRDefault="00670CDC" w:rsidP="00670CDC">
      <w:pPr>
        <w:numPr>
          <w:ilvl w:val="1"/>
          <w:numId w:val="3"/>
        </w:numPr>
        <w:jc w:val="both"/>
        <w:rPr>
          <w:rFonts w:ascii="Times New Roman" w:eastAsia="Times New Roman" w:hAnsi="Times New Roman" w:cs="Times New Roman"/>
        </w:rPr>
      </w:pPr>
      <w:r w:rsidRPr="000134F5">
        <w:rPr>
          <w:rFonts w:ascii="Times New Roman" w:eastAsia="Times New Roman" w:hAnsi="Times New Roman" w:cs="Times New Roman"/>
          <w:lang w:val="en-US"/>
        </w:rPr>
        <w:t xml:space="preserve">Our apologies on this oversight, the supplemental figures are now </w:t>
      </w:r>
      <w:r w:rsidR="002D2D25">
        <w:rPr>
          <w:rFonts w:ascii="Times New Roman" w:eastAsia="Times New Roman" w:hAnsi="Times New Roman" w:cs="Times New Roman"/>
          <w:lang w:val="en-US"/>
        </w:rPr>
        <w:t>accessible</w:t>
      </w:r>
      <w:r w:rsidRPr="000134F5">
        <w:rPr>
          <w:rFonts w:ascii="Times New Roman" w:eastAsia="Times New Roman" w:hAnsi="Times New Roman" w:cs="Times New Roman"/>
          <w:lang w:val="en-US"/>
        </w:rPr>
        <w:t xml:space="preserve"> and the results of the MCF-7 and SH-SY5Y are now seen in Supplemental Figure 3. </w:t>
      </w:r>
    </w:p>
    <w:p w14:paraId="7DF2ECFB" w14:textId="77777777" w:rsidR="00670CDC" w:rsidRPr="000134F5" w:rsidRDefault="00670CDC" w:rsidP="00670CDC">
      <w:pPr>
        <w:jc w:val="both"/>
        <w:rPr>
          <w:rFonts w:ascii="Times New Roman" w:eastAsia="Times New Roman" w:hAnsi="Times New Roman" w:cs="Times New Roman"/>
          <w:b/>
          <w:bCs/>
        </w:rPr>
      </w:pPr>
    </w:p>
    <w:p w14:paraId="6B7A5257"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b/>
          <w:bCs/>
        </w:rPr>
        <w:t>SPECIFIC COMMENTS</w:t>
      </w:r>
    </w:p>
    <w:p w14:paraId="4EB5C8DE" w14:textId="77777777" w:rsidR="00670CDC" w:rsidRPr="000134F5" w:rsidRDefault="00670CDC" w:rsidP="00670CDC">
      <w:pPr>
        <w:jc w:val="both"/>
        <w:rPr>
          <w:rFonts w:ascii="Times New Roman" w:eastAsia="Times New Roman" w:hAnsi="Times New Roman" w:cs="Times New Roman"/>
        </w:rPr>
      </w:pPr>
    </w:p>
    <w:p w14:paraId="2EE7D0D4" w14:textId="77777777" w:rsidR="00670CDC" w:rsidRPr="000134F5" w:rsidRDefault="00670CDC" w:rsidP="00670CDC">
      <w:pPr>
        <w:jc w:val="both"/>
        <w:rPr>
          <w:rFonts w:ascii="Times New Roman" w:eastAsia="Times New Roman" w:hAnsi="Times New Roman" w:cs="Times New Roman"/>
        </w:rPr>
      </w:pPr>
      <w:r w:rsidRPr="000134F5">
        <w:rPr>
          <w:rFonts w:ascii="Times New Roman" w:eastAsia="Times New Roman" w:hAnsi="Times New Roman" w:cs="Times New Roman"/>
        </w:rPr>
        <w:t>The article is well written and understandable; there are a few instances to be corrected:</w:t>
      </w:r>
    </w:p>
    <w:p w14:paraId="0E43293D" w14:textId="77777777" w:rsidR="00670CDC" w:rsidRPr="000134F5" w:rsidRDefault="00670CDC" w:rsidP="00670CDC">
      <w:pPr>
        <w:numPr>
          <w:ilvl w:val="0"/>
          <w:numId w:val="4"/>
        </w:numPr>
        <w:jc w:val="both"/>
        <w:rPr>
          <w:rFonts w:ascii="Times New Roman" w:eastAsia="Times New Roman" w:hAnsi="Times New Roman" w:cs="Times New Roman"/>
        </w:rPr>
      </w:pPr>
      <w:r w:rsidRPr="000134F5">
        <w:rPr>
          <w:rFonts w:ascii="Times New Roman" w:eastAsia="Times New Roman" w:hAnsi="Times New Roman" w:cs="Times New Roman"/>
        </w:rPr>
        <w:t xml:space="preserve">Compare lines 143-144 with Figure legend for Figure 2. </w:t>
      </w:r>
      <w:r w:rsidRPr="000134F5">
        <w:rPr>
          <w:rFonts w:ascii="Times New Roman" w:eastAsia="Times New Roman" w:hAnsi="Times New Roman" w:cs="Times New Roman"/>
          <w:i/>
          <w:iCs/>
        </w:rPr>
        <w:t>all monotherapies the IC50 exceeded the Cmax and Css values</w:t>
      </w:r>
      <w:r w:rsidRPr="000134F5">
        <w:rPr>
          <w:rFonts w:ascii="Times New Roman" w:eastAsia="Times New Roman" w:hAnsi="Times New Roman" w:cs="Times New Roman"/>
        </w:rPr>
        <w:t xml:space="preserve">, vs </w:t>
      </w:r>
      <w:r w:rsidRPr="000134F5">
        <w:rPr>
          <w:rFonts w:ascii="Times New Roman" w:eastAsia="Times New Roman" w:hAnsi="Times New Roman" w:cs="Times New Roman"/>
          <w:i/>
          <w:iCs/>
        </w:rPr>
        <w:t>For all monotherapies, the Cmax and Css exceeded the IC50. Please correct</w:t>
      </w:r>
    </w:p>
    <w:p w14:paraId="4191C2EE" w14:textId="77777777" w:rsidR="00670CDC" w:rsidRPr="000134F5" w:rsidRDefault="00670CDC" w:rsidP="00670CDC">
      <w:pPr>
        <w:ind w:left="720"/>
        <w:jc w:val="both"/>
        <w:rPr>
          <w:rFonts w:ascii="Times New Roman" w:eastAsia="Times New Roman" w:hAnsi="Times New Roman" w:cs="Times New Roman"/>
        </w:rPr>
      </w:pPr>
    </w:p>
    <w:p w14:paraId="0FF00007" w14:textId="77777777" w:rsidR="00670CDC" w:rsidRPr="000134F5" w:rsidRDefault="00670CDC" w:rsidP="00670CDC">
      <w:pPr>
        <w:numPr>
          <w:ilvl w:val="1"/>
          <w:numId w:val="4"/>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Thank you for this correction. We have amended Figure 2 legend to read: </w:t>
      </w:r>
    </w:p>
    <w:p w14:paraId="053DBEAD" w14:textId="77777777" w:rsidR="00670CDC" w:rsidRPr="000134F5" w:rsidRDefault="00670CDC" w:rsidP="00670CDC">
      <w:pPr>
        <w:numPr>
          <w:ilvl w:val="2"/>
          <w:numId w:val="4"/>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For all monotherapies, the IC50 exceeded the Cmax and Css values.</w:t>
      </w:r>
    </w:p>
    <w:p w14:paraId="2CC893D1" w14:textId="77777777" w:rsidR="00670CDC" w:rsidRPr="000134F5" w:rsidRDefault="00670CDC" w:rsidP="00670CDC">
      <w:pPr>
        <w:ind w:left="2160"/>
        <w:jc w:val="both"/>
        <w:rPr>
          <w:rFonts w:ascii="Times New Roman" w:eastAsia="Times New Roman" w:hAnsi="Times New Roman" w:cs="Times New Roman"/>
          <w:highlight w:val="green"/>
          <w:lang w:val="en-US"/>
        </w:rPr>
      </w:pPr>
    </w:p>
    <w:p w14:paraId="7327400C" w14:textId="13873913" w:rsidR="00670CDC" w:rsidRPr="000134F5" w:rsidRDefault="00670CDC" w:rsidP="000558DE">
      <w:pPr>
        <w:numPr>
          <w:ilvl w:val="0"/>
          <w:numId w:val="4"/>
        </w:numPr>
        <w:jc w:val="both"/>
        <w:rPr>
          <w:rFonts w:ascii="Times New Roman" w:eastAsia="Times New Roman" w:hAnsi="Times New Roman" w:cs="Times New Roman"/>
        </w:rPr>
      </w:pPr>
      <w:r w:rsidRPr="000134F5">
        <w:rPr>
          <w:rFonts w:ascii="Times New Roman" w:eastAsia="Times New Roman" w:hAnsi="Times New Roman" w:cs="Times New Roman"/>
        </w:rPr>
        <w:t xml:space="preserve">In the introduction beginning line 64 - </w:t>
      </w:r>
      <w:r w:rsidRPr="000134F5">
        <w:rPr>
          <w:rFonts w:ascii="Times New Roman" w:eastAsia="Times New Roman" w:hAnsi="Times New Roman" w:cs="Times New Roman"/>
          <w:i/>
          <w:iCs/>
        </w:rPr>
        <w:t xml:space="preserve">First line systemic treatment is currently derived from high grade epithelial ovarian cancer treatment guidelines and consists of the combination carboplatin and paclitaxel, although treatment with bleomycine, etoposide and cisplatin (BEP) is also used. A retrospective analysis investigating the efficacy of this regimen in AGCT demonstrated a partial response in 11-25% and complete response in 11-26% of patients. </w:t>
      </w:r>
      <w:r w:rsidRPr="000134F5">
        <w:rPr>
          <w:rFonts w:ascii="Times New Roman" w:eastAsia="Times New Roman" w:hAnsi="Times New Roman" w:cs="Times New Roman"/>
        </w:rPr>
        <w:t>Please clarify if it is former (carboplatin+paclitaxel) or latter regimen (bleomycin, etoposide, cisplatin) that led to partial response and if it is same 11-25% or cumulative 11-26% that achieved</w:t>
      </w:r>
    </w:p>
    <w:p w14:paraId="349BA9D2" w14:textId="77777777" w:rsidR="000558DE" w:rsidRPr="000134F5" w:rsidRDefault="000558DE" w:rsidP="000558DE">
      <w:pPr>
        <w:rPr>
          <w:rFonts w:ascii="Times New Roman" w:eastAsia="Times New Roman" w:hAnsi="Times New Roman" w:cs="Times New Roman"/>
          <w:lang w:val="en-US"/>
        </w:rPr>
      </w:pPr>
    </w:p>
    <w:p w14:paraId="46B1E9CA" w14:textId="11336F55" w:rsidR="000134F5" w:rsidRPr="000134F5" w:rsidRDefault="003E4332" w:rsidP="000134F5">
      <w:pPr>
        <w:numPr>
          <w:ilvl w:val="1"/>
          <w:numId w:val="4"/>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With ‘this regimen’ we mean chemotherapy in general. The study </w:t>
      </w:r>
      <w:r w:rsidR="000134F5" w:rsidRPr="000134F5">
        <w:rPr>
          <w:rFonts w:ascii="Times New Roman" w:eastAsia="Times New Roman" w:hAnsi="Times New Roman" w:cs="Times New Roman"/>
          <w:lang w:val="en-US"/>
        </w:rPr>
        <w:t>that we</w:t>
      </w:r>
      <w:r w:rsidRPr="000134F5">
        <w:rPr>
          <w:rFonts w:ascii="Times New Roman" w:eastAsia="Times New Roman" w:hAnsi="Times New Roman" w:cs="Times New Roman"/>
          <w:lang w:val="en-US"/>
        </w:rPr>
        <w:t xml:space="preserve"> cite is a review of literature </w:t>
      </w:r>
      <w:r w:rsidR="000134F5" w:rsidRPr="000134F5">
        <w:rPr>
          <w:rFonts w:ascii="Times New Roman" w:eastAsia="Times New Roman" w:hAnsi="Times New Roman" w:cs="Times New Roman"/>
          <w:lang w:val="en-US"/>
        </w:rPr>
        <w:t>as well as a</w:t>
      </w:r>
      <w:r w:rsidRPr="000134F5">
        <w:rPr>
          <w:rFonts w:ascii="Times New Roman" w:eastAsia="Times New Roman" w:hAnsi="Times New Roman" w:cs="Times New Roman"/>
          <w:lang w:val="en-US"/>
        </w:rPr>
        <w:t xml:space="preserve"> retrospective analysis. The review of literature includes various regimens including BEP and CP</w:t>
      </w:r>
      <w:r w:rsidR="000134F5" w:rsidRPr="000134F5">
        <w:rPr>
          <w:rFonts w:ascii="Times New Roman" w:eastAsia="Times New Roman" w:hAnsi="Times New Roman" w:cs="Times New Roman"/>
          <w:lang w:val="en-US"/>
        </w:rPr>
        <w:t xml:space="preserve">, while the </w:t>
      </w:r>
      <w:r w:rsidRPr="000134F5">
        <w:rPr>
          <w:rFonts w:ascii="Times New Roman" w:eastAsia="Times New Roman" w:hAnsi="Times New Roman" w:cs="Times New Roman"/>
          <w:lang w:val="en-US"/>
        </w:rPr>
        <w:t xml:space="preserve">retrospective analysis includes 9 patients that received BEP. </w:t>
      </w:r>
      <w:r w:rsidR="000134F5" w:rsidRPr="000134F5">
        <w:rPr>
          <w:rFonts w:ascii="Times New Roman" w:eastAsia="Times New Roman" w:hAnsi="Times New Roman" w:cs="Times New Roman"/>
          <w:lang w:val="en-US"/>
        </w:rPr>
        <w:t xml:space="preserve">Additionally, the response groups are not the same: </w:t>
      </w:r>
      <w:r w:rsidRPr="000134F5">
        <w:rPr>
          <w:rFonts w:ascii="Times New Roman" w:eastAsia="Times New Roman" w:hAnsi="Times New Roman" w:cs="Times New Roman"/>
          <w:lang w:val="en-US"/>
        </w:rPr>
        <w:t xml:space="preserve">11-25% had a partial response and an additional/different 11-26% had a complete response. </w:t>
      </w:r>
      <w:r w:rsidR="000134F5" w:rsidRPr="000134F5">
        <w:rPr>
          <w:rFonts w:ascii="Times New Roman" w:eastAsia="Times New Roman" w:hAnsi="Times New Roman" w:cs="Times New Roman"/>
          <w:lang w:val="en-US"/>
        </w:rPr>
        <w:t xml:space="preserve">Thank you for pointing this out, and we have now clarified both of these points in the text (line </w:t>
      </w:r>
      <w:r w:rsidR="00E501F0">
        <w:rPr>
          <w:rFonts w:ascii="Times New Roman" w:eastAsia="Times New Roman" w:hAnsi="Times New Roman" w:cs="Times New Roman"/>
          <w:lang w:val="en-US"/>
        </w:rPr>
        <w:t>79</w:t>
      </w:r>
      <w:r w:rsidR="000134F5" w:rsidRPr="000134F5">
        <w:rPr>
          <w:rFonts w:ascii="Times New Roman" w:eastAsia="Times New Roman" w:hAnsi="Times New Roman" w:cs="Times New Roman"/>
          <w:lang w:val="en-US"/>
        </w:rPr>
        <w:t xml:space="preserve">): </w:t>
      </w:r>
    </w:p>
    <w:p w14:paraId="0D60DFAE" w14:textId="126DC11B" w:rsidR="000134F5" w:rsidRPr="000134F5" w:rsidRDefault="000134F5" w:rsidP="000134F5">
      <w:pPr>
        <w:numPr>
          <w:ilvl w:val="2"/>
          <w:numId w:val="4"/>
        </w:numPr>
        <w:jc w:val="both"/>
        <w:rPr>
          <w:rFonts w:ascii="Times New Roman" w:eastAsia="Times New Roman" w:hAnsi="Times New Roman" w:cs="Times New Roman"/>
          <w:lang w:val="en-US"/>
        </w:rPr>
      </w:pPr>
      <w:r w:rsidRPr="000134F5">
        <w:rPr>
          <w:rFonts w:ascii="Times New Roman" w:eastAsia="Times New Roman" w:hAnsi="Times New Roman" w:cs="Times New Roman"/>
          <w:lang w:val="en-US"/>
        </w:rPr>
        <w:t xml:space="preserve">A retrospective analysis investigating the efficacy of a chemotherapeutic </w:t>
      </w:r>
      <w:r w:rsidR="00E501F0">
        <w:rPr>
          <w:rFonts w:ascii="Times New Roman" w:eastAsia="Times New Roman" w:hAnsi="Times New Roman" w:cs="Times New Roman"/>
          <w:lang w:val="en-US"/>
        </w:rPr>
        <w:t>treatment</w:t>
      </w:r>
      <w:r w:rsidRPr="000134F5">
        <w:rPr>
          <w:rFonts w:ascii="Times New Roman" w:eastAsia="Times New Roman" w:hAnsi="Times New Roman" w:cs="Times New Roman"/>
          <w:lang w:val="en-US"/>
        </w:rPr>
        <w:t xml:space="preserve"> in AGCT demonstrated a partial response in 11-25% and complete response in a further 11-26% of patients </w:t>
      </w:r>
      <w:r w:rsidRPr="000134F5">
        <w:rPr>
          <w:rFonts w:ascii="Times New Roman" w:eastAsia="Times New Roman" w:hAnsi="Times New Roman" w:cs="Times New Roman"/>
          <w:lang w:val="en-US"/>
        </w:rPr>
        <w:fldChar w:fldCharType="begin" w:fldLock="1"/>
      </w:r>
      <w:r w:rsidRPr="000134F5">
        <w:rPr>
          <w:rFonts w:ascii="Times New Roman" w:eastAsia="Times New Roman" w:hAnsi="Times New Roman" w:cs="Times New Roman"/>
          <w:lang w:val="en-US"/>
        </w:rPr>
        <w:instrText>ADDIN CSL_CITATION {"citationItems":[{"id":"ITEM-1","itemData":{"DOI":"10.1097/IGC.0000000000000077","ISSN":"1048-891X","author":[{"dropping-particle":"","family":"Meurs","given":"Hannah S.","non-dropping-particle":"van","parse-names":false,"suffix":""},{"dropping-particle":"","family":"Buist","given":"Marrije R.","non-dropping-particle":"","parse-names":false,"suffix":""},{"dropping-particle":"","family":"Westermann","given":"Anneke M.","non-dropping-particle":"","parse-names":false,"suffix":""},{"dropping-particle":"","family":"Sonke","given":"Gabe S.","non-dropping-particle":"","parse-names":false,"suffix":""},{"dropping-particle":"","family":"Kenter","given":"Gemma G.","non-dropping-particle":"","parse-names":false,"suffix":""},{"dropping-particle":"","family":"Velden","given":"Jacobus","non-dropping-particle":"van der","parse-names":false,"suffix":""}],"container-title":"International Journal of Gynecologic Cancer","id":"ITEM-1","issue":"3","issued":{"date-parts":[["2014","3","1"]]},"page":"496-505","title":"Effectiveness of Chemotherapy in Measurable Granulosa Cell Tumors: A Retrospective Study and Review of Literature","type":"article-journal","volume":"24"},"uris":["http://www.mendeley.com/documents/?uuid=ff0c39a9-4d0d-4141-8700-32999eeb939f"]}],"mendeley":{"formattedCitation":"[12]","plainTextFormattedCitation":"[12]","previouslyFormattedCitation":"[12]"},"properties":{"noteIndex":0},"schema":"https://github.com/citation-style-language/schema/raw/master/csl-citation.json"}</w:instrText>
      </w:r>
      <w:r w:rsidRPr="000134F5">
        <w:rPr>
          <w:rFonts w:ascii="Times New Roman" w:eastAsia="Times New Roman" w:hAnsi="Times New Roman" w:cs="Times New Roman"/>
          <w:lang w:val="en-US"/>
        </w:rPr>
        <w:fldChar w:fldCharType="separate"/>
      </w:r>
      <w:r w:rsidRPr="000134F5">
        <w:rPr>
          <w:rFonts w:ascii="Times New Roman" w:eastAsia="Times New Roman" w:hAnsi="Times New Roman" w:cs="Times New Roman"/>
          <w:lang w:val="en-US"/>
        </w:rPr>
        <w:t>[12]</w:t>
      </w:r>
      <w:r w:rsidRPr="000134F5">
        <w:rPr>
          <w:rFonts w:ascii="Times New Roman" w:eastAsia="Times New Roman" w:hAnsi="Times New Roman" w:cs="Times New Roman"/>
          <w:lang w:val="en-US"/>
        </w:rPr>
        <w:fldChar w:fldCharType="end"/>
      </w:r>
      <w:r w:rsidRPr="000134F5">
        <w:rPr>
          <w:rFonts w:ascii="Times New Roman" w:eastAsia="Times New Roman" w:hAnsi="Times New Roman" w:cs="Times New Roman"/>
          <w:lang w:val="en-US"/>
        </w:rPr>
        <w:t>.</w:t>
      </w:r>
    </w:p>
    <w:p w14:paraId="720535D2" w14:textId="77777777" w:rsidR="00670CDC" w:rsidRPr="000134F5" w:rsidRDefault="00670CDC" w:rsidP="00670CDC">
      <w:pPr>
        <w:jc w:val="both"/>
        <w:rPr>
          <w:rFonts w:ascii="Times New Roman" w:hAnsi="Times New Roman" w:cs="Times New Roman"/>
          <w:lang w:val="en-US"/>
        </w:rPr>
      </w:pPr>
    </w:p>
    <w:p w14:paraId="31EE2DC9" w14:textId="555BD684" w:rsidR="00AA3057" w:rsidRPr="00023E21" w:rsidRDefault="00670CDC" w:rsidP="00670CDC">
      <w:pPr>
        <w:jc w:val="both"/>
        <w:rPr>
          <w:rFonts w:ascii="Times New Roman" w:hAnsi="Times New Roman" w:cs="Times New Roman"/>
          <w:lang w:val="en-US"/>
        </w:rPr>
      </w:pPr>
      <w:r w:rsidRPr="000134F5">
        <w:rPr>
          <w:rFonts w:ascii="Times New Roman" w:hAnsi="Times New Roman" w:cs="Times New Roman"/>
          <w:lang w:val="en-US"/>
        </w:rPr>
        <w:br w:type="page"/>
      </w:r>
      <w:r w:rsidR="00AA3057" w:rsidRPr="00AA3057">
        <w:rPr>
          <w:rFonts w:ascii="Times New Roman" w:hAnsi="Times New Roman" w:cs="Times New Roman"/>
          <w:b/>
          <w:bCs/>
          <w:lang w:val="en-US"/>
        </w:rPr>
        <w:t xml:space="preserve">References: </w:t>
      </w:r>
    </w:p>
    <w:p w14:paraId="74F1A356" w14:textId="77777777" w:rsidR="00AA3057" w:rsidRPr="000134F5" w:rsidRDefault="00AA3057" w:rsidP="00670CDC">
      <w:pPr>
        <w:jc w:val="both"/>
        <w:rPr>
          <w:rFonts w:ascii="Times New Roman" w:hAnsi="Times New Roman" w:cs="Times New Roman"/>
          <w:lang w:val="en-US"/>
        </w:rPr>
      </w:pPr>
    </w:p>
    <w:p w14:paraId="4815C845" w14:textId="49707D33" w:rsidR="008246A4" w:rsidRDefault="008246A4" w:rsidP="008246A4">
      <w:pPr>
        <w:pStyle w:val="Lijstalinea"/>
        <w:numPr>
          <w:ilvl w:val="0"/>
          <w:numId w:val="12"/>
        </w:numPr>
        <w:autoSpaceDE w:val="0"/>
        <w:autoSpaceDN w:val="0"/>
        <w:adjustRightInd w:val="0"/>
        <w:rPr>
          <w:rFonts w:ascii="Times New Roman" w:hAnsi="Times New Roman" w:cs="Times New Roman"/>
          <w:color w:val="000000"/>
          <w:lang w:val="en-GB"/>
        </w:rPr>
      </w:pPr>
      <w:r w:rsidRPr="008246A4">
        <w:rPr>
          <w:rFonts w:ascii="Times New Roman" w:hAnsi="Times New Roman" w:cs="Times New Roman"/>
          <w:color w:val="000000"/>
          <w:lang w:val="en-GB"/>
        </w:rPr>
        <w:t xml:space="preserve">Hardy, R.D., et al., </w:t>
      </w:r>
      <w:r w:rsidRPr="008246A4">
        <w:rPr>
          <w:rFonts w:ascii="Times New Roman" w:hAnsi="Times New Roman" w:cs="Times New Roman"/>
          <w:i/>
          <w:iCs/>
          <w:color w:val="000000"/>
          <w:lang w:val="en-GB"/>
        </w:rPr>
        <w:t>Hormonal treatment of a recurrent granulosa cell tumor of the ovary: case report and review of the literature.</w:t>
      </w:r>
      <w:r w:rsidRPr="008246A4">
        <w:rPr>
          <w:rFonts w:ascii="Times New Roman" w:hAnsi="Times New Roman" w:cs="Times New Roman"/>
          <w:color w:val="000000"/>
          <w:lang w:val="en-GB"/>
        </w:rPr>
        <w:t xml:space="preserve"> Gynecologic Oncology, 2005. </w:t>
      </w:r>
      <w:r w:rsidRPr="008246A4">
        <w:rPr>
          <w:rFonts w:ascii="Times New Roman" w:hAnsi="Times New Roman" w:cs="Times New Roman"/>
          <w:b/>
          <w:bCs/>
          <w:color w:val="000000"/>
          <w:lang w:val="en-GB"/>
        </w:rPr>
        <w:t>96</w:t>
      </w:r>
      <w:r w:rsidRPr="008246A4">
        <w:rPr>
          <w:rFonts w:ascii="Times New Roman" w:hAnsi="Times New Roman" w:cs="Times New Roman"/>
          <w:color w:val="000000"/>
          <w:lang w:val="en-GB"/>
        </w:rPr>
        <w:t>(3): p. 865-869.</w:t>
      </w:r>
    </w:p>
    <w:p w14:paraId="7B7FF0A7" w14:textId="77777777" w:rsidR="008246A4" w:rsidRPr="008246A4" w:rsidRDefault="008246A4" w:rsidP="008246A4">
      <w:pPr>
        <w:pStyle w:val="Lijstalinea"/>
        <w:autoSpaceDE w:val="0"/>
        <w:autoSpaceDN w:val="0"/>
        <w:adjustRightInd w:val="0"/>
        <w:rPr>
          <w:rFonts w:ascii="Times New Roman" w:hAnsi="Times New Roman" w:cs="Times New Roman"/>
          <w:color w:val="000000"/>
          <w:lang w:val="en-GB"/>
        </w:rPr>
      </w:pPr>
    </w:p>
    <w:p w14:paraId="03E6CB66" w14:textId="764042C8" w:rsidR="008246A4" w:rsidRDefault="008246A4" w:rsidP="008246A4">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Lee, C.-H., et al., </w:t>
      </w:r>
      <w:r w:rsidRPr="008246A4">
        <w:rPr>
          <w:rFonts w:ascii="Times New Roman" w:hAnsi="Times New Roman" w:cs="Times New Roman"/>
          <w:i/>
          <w:iCs/>
          <w:color w:val="000000"/>
          <w:lang w:val="en-GB"/>
        </w:rPr>
        <w:t>Establishment of subrenal capsule xenografts of primary human ovarian tumors in SCID mice: potential models.</w:t>
      </w:r>
      <w:r w:rsidRPr="008246A4">
        <w:rPr>
          <w:rFonts w:ascii="Times New Roman" w:hAnsi="Times New Roman" w:cs="Times New Roman"/>
          <w:color w:val="000000"/>
          <w:lang w:val="en-GB"/>
        </w:rPr>
        <w:t xml:space="preserve"> Gynecologic Oncology, 2005. </w:t>
      </w:r>
      <w:r w:rsidRPr="008246A4">
        <w:rPr>
          <w:rFonts w:ascii="Times New Roman" w:hAnsi="Times New Roman" w:cs="Times New Roman"/>
          <w:b/>
          <w:bCs/>
          <w:color w:val="000000"/>
          <w:lang w:val="en-GB"/>
        </w:rPr>
        <w:t>96</w:t>
      </w:r>
      <w:r w:rsidRPr="008246A4">
        <w:rPr>
          <w:rFonts w:ascii="Times New Roman" w:hAnsi="Times New Roman" w:cs="Times New Roman"/>
          <w:color w:val="000000"/>
          <w:lang w:val="en-GB"/>
        </w:rPr>
        <w:t>(1): p. 48-55.</w:t>
      </w:r>
    </w:p>
    <w:p w14:paraId="1A4EE646" w14:textId="77777777" w:rsidR="008246A4" w:rsidRPr="008246A4" w:rsidRDefault="008246A4" w:rsidP="008246A4">
      <w:pPr>
        <w:jc w:val="both"/>
        <w:rPr>
          <w:rFonts w:ascii="Times New Roman" w:hAnsi="Times New Roman" w:cs="Times New Roman"/>
          <w:color w:val="000000"/>
          <w:lang w:val="en-GB"/>
        </w:rPr>
      </w:pPr>
    </w:p>
    <w:p w14:paraId="7DA8741F" w14:textId="7B575B9A" w:rsidR="00AA3057" w:rsidRDefault="00AA3057" w:rsidP="008246A4">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Hall, M.D., et al., </w:t>
      </w:r>
      <w:r w:rsidRPr="008246A4">
        <w:rPr>
          <w:rFonts w:ascii="Times New Roman" w:hAnsi="Times New Roman" w:cs="Times New Roman"/>
          <w:i/>
          <w:iCs/>
          <w:color w:val="000000"/>
          <w:lang w:val="en-GB"/>
        </w:rPr>
        <w:t>Say no to DMSO: dimethylsulfoxide inactivates cisplatin, carboplatin, and other platinum complexes.</w:t>
      </w:r>
      <w:r w:rsidRPr="008246A4">
        <w:rPr>
          <w:rFonts w:ascii="Times New Roman" w:hAnsi="Times New Roman" w:cs="Times New Roman"/>
          <w:color w:val="000000"/>
          <w:lang w:val="en-GB"/>
        </w:rPr>
        <w:t xml:space="preserve"> Cancer Res, 2014. </w:t>
      </w:r>
      <w:r w:rsidRPr="008246A4">
        <w:rPr>
          <w:rFonts w:ascii="Times New Roman" w:hAnsi="Times New Roman" w:cs="Times New Roman"/>
          <w:b/>
          <w:bCs/>
          <w:color w:val="000000"/>
          <w:lang w:val="en-GB"/>
        </w:rPr>
        <w:t>74</w:t>
      </w:r>
      <w:r w:rsidRPr="008246A4">
        <w:rPr>
          <w:rFonts w:ascii="Times New Roman" w:hAnsi="Times New Roman" w:cs="Times New Roman"/>
          <w:color w:val="000000"/>
          <w:lang w:val="en-GB"/>
        </w:rPr>
        <w:t>(14): p. 3913-22.</w:t>
      </w:r>
    </w:p>
    <w:p w14:paraId="616212E3" w14:textId="77777777" w:rsidR="008246A4" w:rsidRPr="008246A4" w:rsidRDefault="008246A4" w:rsidP="008246A4">
      <w:pPr>
        <w:jc w:val="both"/>
        <w:rPr>
          <w:rFonts w:ascii="Times New Roman" w:hAnsi="Times New Roman" w:cs="Times New Roman"/>
          <w:color w:val="000000"/>
          <w:lang w:val="en-GB"/>
        </w:rPr>
      </w:pPr>
    </w:p>
    <w:p w14:paraId="3814D1C9" w14:textId="7C55ABB0" w:rsidR="00AA3057" w:rsidRPr="008246A4" w:rsidRDefault="00AA3057" w:rsidP="008246A4">
      <w:pPr>
        <w:pStyle w:val="Lijstalinea"/>
        <w:numPr>
          <w:ilvl w:val="0"/>
          <w:numId w:val="12"/>
        </w:numPr>
        <w:autoSpaceDE w:val="0"/>
        <w:autoSpaceDN w:val="0"/>
        <w:adjustRightInd w:val="0"/>
        <w:rPr>
          <w:rFonts w:ascii="Times New Roman" w:hAnsi="Times New Roman" w:cs="Times New Roman"/>
          <w:color w:val="000000"/>
          <w:lang w:val="en-GB"/>
        </w:rPr>
      </w:pPr>
      <w:r w:rsidRPr="008246A4">
        <w:rPr>
          <w:rFonts w:ascii="Times New Roman" w:hAnsi="Times New Roman" w:cs="Times New Roman"/>
          <w:color w:val="000000"/>
          <w:lang w:val="en-GB"/>
        </w:rPr>
        <w:t xml:space="preserve">Haltia, U.M., et al., </w:t>
      </w:r>
      <w:r w:rsidRPr="008246A4">
        <w:rPr>
          <w:rFonts w:ascii="Times New Roman" w:hAnsi="Times New Roman" w:cs="Times New Roman"/>
          <w:i/>
          <w:iCs/>
          <w:color w:val="000000"/>
          <w:lang w:val="en-GB"/>
        </w:rPr>
        <w:t>Systematic drug sensitivity testing reveals synergistic growth inhibition by dasatinib or mTOR inhibitors with paclitaxel in ovarian granulosa cell tumor cells.</w:t>
      </w:r>
      <w:r w:rsidRPr="008246A4">
        <w:rPr>
          <w:rFonts w:ascii="Times New Roman" w:hAnsi="Times New Roman" w:cs="Times New Roman"/>
          <w:color w:val="000000"/>
          <w:lang w:val="en-GB"/>
        </w:rPr>
        <w:t xml:space="preserve"> Gynecol Oncol, 2017. </w:t>
      </w:r>
      <w:r w:rsidRPr="008246A4">
        <w:rPr>
          <w:rFonts w:ascii="Times New Roman" w:hAnsi="Times New Roman" w:cs="Times New Roman"/>
          <w:b/>
          <w:bCs/>
          <w:color w:val="000000"/>
          <w:lang w:val="en-GB"/>
        </w:rPr>
        <w:t>144</w:t>
      </w:r>
      <w:r w:rsidRPr="008246A4">
        <w:rPr>
          <w:rFonts w:ascii="Times New Roman" w:hAnsi="Times New Roman" w:cs="Times New Roman"/>
          <w:color w:val="000000"/>
          <w:lang w:val="en-GB"/>
        </w:rPr>
        <w:t>(3): p. 621-630.</w:t>
      </w:r>
    </w:p>
    <w:p w14:paraId="1DBD5177" w14:textId="537300B5" w:rsidR="002F1063" w:rsidRPr="000134F5" w:rsidRDefault="002F1063" w:rsidP="00A611A2">
      <w:pPr>
        <w:jc w:val="both"/>
        <w:rPr>
          <w:rFonts w:ascii="Times New Roman" w:hAnsi="Times New Roman" w:cs="Times New Roman"/>
        </w:rPr>
      </w:pPr>
    </w:p>
    <w:p w14:paraId="173DE6DC" w14:textId="77777777" w:rsidR="00AA3057" w:rsidRPr="008246A4" w:rsidRDefault="00AA3057" w:rsidP="008246A4">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Jamieson, S. and P.J. Fuller, </w:t>
      </w:r>
      <w:r w:rsidRPr="008246A4">
        <w:rPr>
          <w:rFonts w:ascii="Times New Roman" w:hAnsi="Times New Roman" w:cs="Times New Roman"/>
          <w:i/>
          <w:iCs/>
          <w:color w:val="000000"/>
          <w:lang w:val="en-GB"/>
        </w:rPr>
        <w:t>Management of granulosa cell tumour of the ovary.</w:t>
      </w:r>
      <w:r w:rsidRPr="008246A4">
        <w:rPr>
          <w:rFonts w:ascii="Times New Roman" w:hAnsi="Times New Roman" w:cs="Times New Roman"/>
          <w:color w:val="000000"/>
          <w:lang w:val="en-GB"/>
        </w:rPr>
        <w:t xml:space="preserve"> Curr Opin Oncol, 2008. </w:t>
      </w:r>
      <w:r w:rsidRPr="008246A4">
        <w:rPr>
          <w:rFonts w:ascii="Times New Roman" w:hAnsi="Times New Roman" w:cs="Times New Roman"/>
          <w:b/>
          <w:bCs/>
          <w:color w:val="000000"/>
          <w:lang w:val="en-GB"/>
        </w:rPr>
        <w:t>20</w:t>
      </w:r>
      <w:r w:rsidRPr="008246A4">
        <w:rPr>
          <w:rFonts w:ascii="Times New Roman" w:hAnsi="Times New Roman" w:cs="Times New Roman"/>
          <w:color w:val="000000"/>
          <w:lang w:val="en-GB"/>
        </w:rPr>
        <w:t>(5): p. 560-4.</w:t>
      </w:r>
    </w:p>
    <w:p w14:paraId="50CA1537" w14:textId="77777777" w:rsidR="00AA3057" w:rsidRDefault="00AA3057" w:rsidP="00A611A2">
      <w:pPr>
        <w:jc w:val="both"/>
        <w:rPr>
          <w:rFonts w:ascii="Times New Roman" w:hAnsi="Times New Roman" w:cs="Times New Roman"/>
          <w:color w:val="000000"/>
          <w:lang w:val="en-GB"/>
        </w:rPr>
      </w:pPr>
    </w:p>
    <w:p w14:paraId="0140984E" w14:textId="77777777" w:rsidR="008246A4" w:rsidRPr="008246A4" w:rsidRDefault="008246A4" w:rsidP="008246A4">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Rico, C., et al., </w:t>
      </w:r>
      <w:r w:rsidRPr="008246A4">
        <w:rPr>
          <w:rFonts w:ascii="Times New Roman" w:hAnsi="Times New Roman" w:cs="Times New Roman"/>
          <w:i/>
          <w:iCs/>
          <w:color w:val="000000"/>
          <w:lang w:val="en-GB"/>
        </w:rPr>
        <w:t>Pharmacological targeting of mammalian target of rapamycin inhibits ovarian granulosa cell tumor growth.</w:t>
      </w:r>
      <w:r w:rsidRPr="008246A4">
        <w:rPr>
          <w:rFonts w:ascii="Times New Roman" w:hAnsi="Times New Roman" w:cs="Times New Roman"/>
          <w:color w:val="000000"/>
          <w:lang w:val="en-GB"/>
        </w:rPr>
        <w:t xml:space="preserve"> Carcinogenesis, 2012. </w:t>
      </w:r>
      <w:r w:rsidRPr="008246A4">
        <w:rPr>
          <w:rFonts w:ascii="Times New Roman" w:hAnsi="Times New Roman" w:cs="Times New Roman"/>
          <w:b/>
          <w:bCs/>
          <w:color w:val="000000"/>
          <w:lang w:val="en-GB"/>
        </w:rPr>
        <w:t>33</w:t>
      </w:r>
      <w:r w:rsidRPr="008246A4">
        <w:rPr>
          <w:rFonts w:ascii="Times New Roman" w:hAnsi="Times New Roman" w:cs="Times New Roman"/>
          <w:color w:val="000000"/>
          <w:lang w:val="en-GB"/>
        </w:rPr>
        <w:t>(11): p. 2283-2292.</w:t>
      </w:r>
    </w:p>
    <w:p w14:paraId="586705A1" w14:textId="052A9F88" w:rsidR="000D6948" w:rsidRDefault="000D6948" w:rsidP="00A611A2">
      <w:pPr>
        <w:jc w:val="both"/>
        <w:rPr>
          <w:rFonts w:ascii="Times New Roman" w:hAnsi="Times New Roman" w:cs="Times New Roman"/>
          <w:color w:val="000000"/>
          <w:lang w:val="en-GB"/>
        </w:rPr>
      </w:pPr>
    </w:p>
    <w:p w14:paraId="07E1F54F" w14:textId="77777777" w:rsidR="00464FE0" w:rsidRDefault="00464FE0" w:rsidP="00464FE0">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Pilsworth, J.A., et al., </w:t>
      </w:r>
      <w:r w:rsidRPr="008246A4">
        <w:rPr>
          <w:rFonts w:ascii="Times New Roman" w:hAnsi="Times New Roman" w:cs="Times New Roman"/>
          <w:i/>
          <w:iCs/>
          <w:color w:val="000000"/>
          <w:lang w:val="en-GB"/>
        </w:rPr>
        <w:t>TERT promoter mutation in adult granulosa cell tumor of the ovary.</w:t>
      </w:r>
      <w:r w:rsidRPr="008246A4">
        <w:rPr>
          <w:rFonts w:ascii="Times New Roman" w:hAnsi="Times New Roman" w:cs="Times New Roman"/>
          <w:color w:val="000000"/>
          <w:lang w:val="en-GB"/>
        </w:rPr>
        <w:t xml:space="preserve"> Mod Pathol, 2018. </w:t>
      </w:r>
      <w:r w:rsidRPr="008246A4">
        <w:rPr>
          <w:rFonts w:ascii="Times New Roman" w:hAnsi="Times New Roman" w:cs="Times New Roman"/>
          <w:b/>
          <w:bCs/>
          <w:color w:val="000000"/>
          <w:lang w:val="en-GB"/>
        </w:rPr>
        <w:t>31</w:t>
      </w:r>
      <w:r w:rsidRPr="008246A4">
        <w:rPr>
          <w:rFonts w:ascii="Times New Roman" w:hAnsi="Times New Roman" w:cs="Times New Roman"/>
          <w:color w:val="000000"/>
          <w:lang w:val="en-GB"/>
        </w:rPr>
        <w:t>(7): p. 1107-1115.</w:t>
      </w:r>
    </w:p>
    <w:p w14:paraId="4F36E452" w14:textId="77777777" w:rsidR="00464FE0" w:rsidRPr="000134F5" w:rsidRDefault="00464FE0" w:rsidP="00A611A2">
      <w:pPr>
        <w:jc w:val="both"/>
        <w:rPr>
          <w:rFonts w:ascii="Times New Roman" w:hAnsi="Times New Roman" w:cs="Times New Roman"/>
          <w:color w:val="000000"/>
          <w:lang w:val="en-GB"/>
        </w:rPr>
      </w:pPr>
    </w:p>
    <w:p w14:paraId="65AA04AC" w14:textId="77777777" w:rsidR="00464FE0" w:rsidRPr="008246A4" w:rsidRDefault="00464FE0" w:rsidP="00464FE0">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Roze, J., et al., </w:t>
      </w:r>
      <w:r w:rsidRPr="008246A4">
        <w:rPr>
          <w:rFonts w:ascii="Times New Roman" w:hAnsi="Times New Roman" w:cs="Times New Roman"/>
          <w:i/>
          <w:iCs/>
          <w:color w:val="000000"/>
          <w:lang w:val="en-GB"/>
        </w:rPr>
        <w:t>Whole Genome Analysis of Ovarian Granulosa Cell Tumors Reveals Tumor Heterogeneity and a High-Grade TP53-Specific Subgroup.</w:t>
      </w:r>
      <w:r w:rsidRPr="008246A4">
        <w:rPr>
          <w:rFonts w:ascii="Times New Roman" w:hAnsi="Times New Roman" w:cs="Times New Roman"/>
          <w:color w:val="000000"/>
          <w:lang w:val="en-GB"/>
        </w:rPr>
        <w:t xml:space="preserve"> Cancers (Basel), 2020. </w:t>
      </w:r>
      <w:r w:rsidRPr="008246A4">
        <w:rPr>
          <w:rFonts w:ascii="Times New Roman" w:hAnsi="Times New Roman" w:cs="Times New Roman"/>
          <w:b/>
          <w:bCs/>
          <w:color w:val="000000"/>
          <w:lang w:val="en-GB"/>
        </w:rPr>
        <w:t>12</w:t>
      </w:r>
      <w:r w:rsidRPr="008246A4">
        <w:rPr>
          <w:rFonts w:ascii="Times New Roman" w:hAnsi="Times New Roman" w:cs="Times New Roman"/>
          <w:color w:val="000000"/>
          <w:lang w:val="en-GB"/>
        </w:rPr>
        <w:t>(5).</w:t>
      </w:r>
    </w:p>
    <w:p w14:paraId="099742B5" w14:textId="77777777" w:rsidR="00464FE0" w:rsidRDefault="00464FE0" w:rsidP="00464FE0">
      <w:pPr>
        <w:pStyle w:val="Lijstalinea"/>
        <w:jc w:val="both"/>
        <w:rPr>
          <w:rFonts w:ascii="Times New Roman" w:hAnsi="Times New Roman" w:cs="Times New Roman"/>
          <w:color w:val="000000"/>
          <w:lang w:val="en-GB"/>
        </w:rPr>
      </w:pPr>
    </w:p>
    <w:p w14:paraId="226B264A" w14:textId="46822376" w:rsidR="00AA3057" w:rsidRPr="008246A4" w:rsidRDefault="00AA3057" w:rsidP="008246A4">
      <w:pPr>
        <w:pStyle w:val="Lijstalinea"/>
        <w:numPr>
          <w:ilvl w:val="0"/>
          <w:numId w:val="12"/>
        </w:numPr>
        <w:jc w:val="both"/>
        <w:rPr>
          <w:rFonts w:ascii="Times New Roman" w:hAnsi="Times New Roman" w:cs="Times New Roman"/>
          <w:color w:val="000000"/>
          <w:lang w:val="en-GB"/>
        </w:rPr>
      </w:pPr>
      <w:r w:rsidRPr="008246A4">
        <w:rPr>
          <w:rFonts w:ascii="Times New Roman" w:hAnsi="Times New Roman" w:cs="Times New Roman"/>
          <w:color w:val="000000"/>
          <w:lang w:val="en-GB"/>
        </w:rPr>
        <w:t xml:space="preserve">Owen, S.C., et al., </w:t>
      </w:r>
      <w:r w:rsidRPr="008246A4">
        <w:rPr>
          <w:rFonts w:ascii="Times New Roman" w:hAnsi="Times New Roman" w:cs="Times New Roman"/>
          <w:i/>
          <w:iCs/>
          <w:color w:val="000000"/>
          <w:lang w:val="en-GB"/>
        </w:rPr>
        <w:t>Colloidal aggregation affects the efficacy of anticancer drugs in cell culture.</w:t>
      </w:r>
      <w:r w:rsidRPr="008246A4">
        <w:rPr>
          <w:rFonts w:ascii="Times New Roman" w:hAnsi="Times New Roman" w:cs="Times New Roman"/>
          <w:color w:val="000000"/>
          <w:lang w:val="en-GB"/>
        </w:rPr>
        <w:t xml:space="preserve"> ACS Chem Biol, 2012. </w:t>
      </w:r>
      <w:r w:rsidRPr="008246A4">
        <w:rPr>
          <w:rFonts w:ascii="Times New Roman" w:hAnsi="Times New Roman" w:cs="Times New Roman"/>
          <w:b/>
          <w:bCs/>
          <w:color w:val="000000"/>
          <w:lang w:val="en-GB"/>
        </w:rPr>
        <w:t>7</w:t>
      </w:r>
      <w:r w:rsidRPr="008246A4">
        <w:rPr>
          <w:rFonts w:ascii="Times New Roman" w:hAnsi="Times New Roman" w:cs="Times New Roman"/>
          <w:color w:val="000000"/>
          <w:lang w:val="en-GB"/>
        </w:rPr>
        <w:t>(8): p. 1429-35.</w:t>
      </w:r>
    </w:p>
    <w:p w14:paraId="71B43EE0" w14:textId="77777777" w:rsidR="008246A4" w:rsidRPr="00464FE0" w:rsidRDefault="008246A4" w:rsidP="00464FE0">
      <w:pPr>
        <w:rPr>
          <w:rFonts w:ascii="Times New Roman" w:hAnsi="Times New Roman" w:cs="Times New Roman"/>
          <w:color w:val="000000"/>
          <w:lang w:val="en-GB"/>
        </w:rPr>
      </w:pPr>
    </w:p>
    <w:p w14:paraId="293BAEF9" w14:textId="1EDF3120" w:rsidR="008246A4" w:rsidRPr="008246A4" w:rsidRDefault="008246A4" w:rsidP="008246A4">
      <w:pPr>
        <w:pStyle w:val="Lijstalinea"/>
        <w:numPr>
          <w:ilvl w:val="0"/>
          <w:numId w:val="12"/>
        </w:numPr>
        <w:autoSpaceDE w:val="0"/>
        <w:autoSpaceDN w:val="0"/>
        <w:adjustRightInd w:val="0"/>
        <w:rPr>
          <w:rFonts w:ascii="Times New Roman" w:hAnsi="Times New Roman" w:cs="Times New Roman"/>
          <w:color w:val="000000"/>
          <w:lang w:val="en-GB"/>
        </w:rPr>
      </w:pPr>
      <w:r w:rsidRPr="008246A4">
        <w:rPr>
          <w:rFonts w:ascii="Times New Roman" w:hAnsi="Times New Roman" w:cs="Times New Roman"/>
          <w:color w:val="000000"/>
          <w:lang w:val="en-GB"/>
        </w:rPr>
        <w:t xml:space="preserve">Puechl, A.M., et al., </w:t>
      </w:r>
      <w:r w:rsidRPr="008246A4">
        <w:rPr>
          <w:rFonts w:ascii="Times New Roman" w:hAnsi="Times New Roman" w:cs="Times New Roman"/>
          <w:i/>
          <w:iCs/>
          <w:color w:val="000000"/>
          <w:lang w:val="en-GB"/>
        </w:rPr>
        <w:t>The association between progesterone receptor expression and survival in women with adult granulosa cell tumors.</w:t>
      </w:r>
      <w:r w:rsidRPr="008246A4">
        <w:rPr>
          <w:rFonts w:ascii="Times New Roman" w:hAnsi="Times New Roman" w:cs="Times New Roman"/>
          <w:color w:val="000000"/>
          <w:lang w:val="en-GB"/>
        </w:rPr>
        <w:t xml:space="preserve"> Gynecologic Oncology, 2019. </w:t>
      </w:r>
      <w:r w:rsidRPr="008246A4">
        <w:rPr>
          <w:rFonts w:ascii="Times New Roman" w:hAnsi="Times New Roman" w:cs="Times New Roman"/>
          <w:b/>
          <w:bCs/>
          <w:color w:val="000000"/>
          <w:lang w:val="en-GB"/>
        </w:rPr>
        <w:t>153</w:t>
      </w:r>
      <w:r w:rsidRPr="008246A4">
        <w:rPr>
          <w:rFonts w:ascii="Times New Roman" w:hAnsi="Times New Roman" w:cs="Times New Roman"/>
          <w:color w:val="000000"/>
          <w:lang w:val="en-GB"/>
        </w:rPr>
        <w:t>(1): p. 74-79.</w:t>
      </w:r>
    </w:p>
    <w:p w14:paraId="5567BA91" w14:textId="4067C5B4" w:rsidR="000D6948" w:rsidRDefault="000D6948" w:rsidP="00A611A2">
      <w:pPr>
        <w:jc w:val="both"/>
        <w:rPr>
          <w:rFonts w:ascii="Times New Roman" w:hAnsi="Times New Roman" w:cs="Times New Roman"/>
        </w:rPr>
      </w:pPr>
    </w:p>
    <w:p w14:paraId="55372A8A" w14:textId="77777777" w:rsidR="00AA3057" w:rsidRPr="000134F5" w:rsidRDefault="00AA3057" w:rsidP="00A611A2">
      <w:pPr>
        <w:jc w:val="both"/>
        <w:rPr>
          <w:rFonts w:ascii="Times New Roman" w:hAnsi="Times New Roman" w:cs="Times New Roman"/>
        </w:rPr>
      </w:pPr>
    </w:p>
    <w:p w14:paraId="7BD0E109" w14:textId="17560FA8" w:rsidR="000D6948" w:rsidRPr="000134F5" w:rsidRDefault="000D6948" w:rsidP="00A611A2">
      <w:pPr>
        <w:jc w:val="both"/>
        <w:rPr>
          <w:rFonts w:ascii="Times New Roman" w:hAnsi="Times New Roman" w:cs="Times New Roman"/>
          <w:color w:val="000000"/>
          <w:lang w:val="en-GB"/>
        </w:rPr>
      </w:pPr>
    </w:p>
    <w:p w14:paraId="5D4508BA" w14:textId="3C6CBC62" w:rsidR="000D6948" w:rsidRPr="000134F5" w:rsidRDefault="000D6948" w:rsidP="00A611A2">
      <w:pPr>
        <w:jc w:val="both"/>
        <w:rPr>
          <w:rFonts w:ascii="Times New Roman" w:hAnsi="Times New Roman" w:cs="Times New Roman"/>
          <w:color w:val="000000"/>
          <w:lang w:val="en-GB"/>
        </w:rPr>
      </w:pPr>
    </w:p>
    <w:p w14:paraId="0D616D50" w14:textId="6DAB3D79" w:rsidR="000D6948" w:rsidRPr="000134F5" w:rsidRDefault="000D6948" w:rsidP="00A611A2">
      <w:pPr>
        <w:jc w:val="both"/>
        <w:rPr>
          <w:rFonts w:ascii="Times New Roman" w:hAnsi="Times New Roman" w:cs="Times New Roman"/>
          <w:color w:val="000000"/>
          <w:lang w:val="en-GB"/>
        </w:rPr>
      </w:pPr>
    </w:p>
    <w:p w14:paraId="576A9620" w14:textId="77777777" w:rsidR="00DB22BE" w:rsidRPr="000134F5" w:rsidRDefault="00DB22BE" w:rsidP="00A611A2">
      <w:pPr>
        <w:jc w:val="both"/>
        <w:rPr>
          <w:rFonts w:ascii="Times New Roman" w:hAnsi="Times New Roman" w:cs="Times New Roman"/>
        </w:rPr>
      </w:pPr>
    </w:p>
    <w:sectPr w:rsidR="00DB22BE" w:rsidRPr="000134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44227"/>
    <w:multiLevelType w:val="hybridMultilevel"/>
    <w:tmpl w:val="29309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02903"/>
    <w:multiLevelType w:val="multilevel"/>
    <w:tmpl w:val="30A203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D475A"/>
    <w:multiLevelType w:val="hybridMultilevel"/>
    <w:tmpl w:val="313C1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27A5C"/>
    <w:multiLevelType w:val="multilevel"/>
    <w:tmpl w:val="6EF411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B6812"/>
    <w:multiLevelType w:val="hybridMultilevel"/>
    <w:tmpl w:val="855CB38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361861"/>
    <w:multiLevelType w:val="hybridMultilevel"/>
    <w:tmpl w:val="EF44A7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85A4C06"/>
    <w:multiLevelType w:val="multilevel"/>
    <w:tmpl w:val="96CA501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B26424"/>
    <w:multiLevelType w:val="hybridMultilevel"/>
    <w:tmpl w:val="467A2E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9279B4"/>
    <w:multiLevelType w:val="hybridMultilevel"/>
    <w:tmpl w:val="929CEE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47D76B4"/>
    <w:multiLevelType w:val="multilevel"/>
    <w:tmpl w:val="96CA501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AC1E79"/>
    <w:multiLevelType w:val="multilevel"/>
    <w:tmpl w:val="30A203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35F52E2"/>
    <w:multiLevelType w:val="hybridMultilevel"/>
    <w:tmpl w:val="C7CED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1"/>
  </w:num>
  <w:num w:numId="5">
    <w:abstractNumId w:val="4"/>
  </w:num>
  <w:num w:numId="6">
    <w:abstractNumId w:val="11"/>
  </w:num>
  <w:num w:numId="7">
    <w:abstractNumId w:val="2"/>
  </w:num>
  <w:num w:numId="8">
    <w:abstractNumId w:val="10"/>
  </w:num>
  <w:num w:numId="9">
    <w:abstractNumId w:val="5"/>
  </w:num>
  <w:num w:numId="10">
    <w:abstractNumId w:val="8"/>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063"/>
    <w:rsid w:val="000134F5"/>
    <w:rsid w:val="00023E21"/>
    <w:rsid w:val="000558DE"/>
    <w:rsid w:val="000D6948"/>
    <w:rsid w:val="000E171D"/>
    <w:rsid w:val="00105977"/>
    <w:rsid w:val="001F2C2F"/>
    <w:rsid w:val="002046CF"/>
    <w:rsid w:val="00215228"/>
    <w:rsid w:val="00226770"/>
    <w:rsid w:val="002D03A0"/>
    <w:rsid w:val="002D2D25"/>
    <w:rsid w:val="002D4D59"/>
    <w:rsid w:val="002F1063"/>
    <w:rsid w:val="002F7E04"/>
    <w:rsid w:val="00356070"/>
    <w:rsid w:val="0038422B"/>
    <w:rsid w:val="003C60A8"/>
    <w:rsid w:val="003E4332"/>
    <w:rsid w:val="003F49EA"/>
    <w:rsid w:val="0044324C"/>
    <w:rsid w:val="00446613"/>
    <w:rsid w:val="00464FE0"/>
    <w:rsid w:val="0047462F"/>
    <w:rsid w:val="004A117E"/>
    <w:rsid w:val="004C7B26"/>
    <w:rsid w:val="00513FB8"/>
    <w:rsid w:val="00535A73"/>
    <w:rsid w:val="005825D6"/>
    <w:rsid w:val="0058688B"/>
    <w:rsid w:val="005A237B"/>
    <w:rsid w:val="00654BBF"/>
    <w:rsid w:val="00670CDC"/>
    <w:rsid w:val="006803C7"/>
    <w:rsid w:val="006A1188"/>
    <w:rsid w:val="006D1061"/>
    <w:rsid w:val="00702D85"/>
    <w:rsid w:val="007058C6"/>
    <w:rsid w:val="007169FD"/>
    <w:rsid w:val="00731F30"/>
    <w:rsid w:val="007B07B1"/>
    <w:rsid w:val="007D5F42"/>
    <w:rsid w:val="008246A4"/>
    <w:rsid w:val="00864135"/>
    <w:rsid w:val="00883594"/>
    <w:rsid w:val="00891C2D"/>
    <w:rsid w:val="008C1590"/>
    <w:rsid w:val="008C7BC3"/>
    <w:rsid w:val="009C1F57"/>
    <w:rsid w:val="009D4281"/>
    <w:rsid w:val="009E38A9"/>
    <w:rsid w:val="00A611A2"/>
    <w:rsid w:val="00A70C6E"/>
    <w:rsid w:val="00AA3057"/>
    <w:rsid w:val="00AD010A"/>
    <w:rsid w:val="00B36B84"/>
    <w:rsid w:val="00B41B11"/>
    <w:rsid w:val="00B41C88"/>
    <w:rsid w:val="00B53EAC"/>
    <w:rsid w:val="00BD0730"/>
    <w:rsid w:val="00BD2BD2"/>
    <w:rsid w:val="00C562AC"/>
    <w:rsid w:val="00C765D2"/>
    <w:rsid w:val="00D01B98"/>
    <w:rsid w:val="00D27878"/>
    <w:rsid w:val="00D840E0"/>
    <w:rsid w:val="00DA0AB2"/>
    <w:rsid w:val="00DA5B75"/>
    <w:rsid w:val="00DB22BE"/>
    <w:rsid w:val="00E43E85"/>
    <w:rsid w:val="00E501F0"/>
    <w:rsid w:val="00E53979"/>
    <w:rsid w:val="00E56A2E"/>
    <w:rsid w:val="00EE4AB4"/>
    <w:rsid w:val="00F829F2"/>
    <w:rsid w:val="00F87FAC"/>
    <w:rsid w:val="00F9425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F51B0"/>
  <w15:chartTrackingRefBased/>
  <w15:docId w15:val="{E65C8D45-4AC5-E643-929C-5BA15AC43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D694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2F1063"/>
    <w:pPr>
      <w:spacing w:before="100" w:beforeAutospacing="1" w:after="100" w:afterAutospacing="1"/>
    </w:pPr>
    <w:rPr>
      <w:rFonts w:ascii="Times New Roman" w:eastAsia="Times New Roman" w:hAnsi="Times New Roman" w:cs="Times New Roman"/>
    </w:rPr>
  </w:style>
  <w:style w:type="paragraph" w:styleId="Ballontekst">
    <w:name w:val="Balloon Text"/>
    <w:basedOn w:val="Standaard"/>
    <w:link w:val="BallontekstChar"/>
    <w:uiPriority w:val="99"/>
    <w:semiHidden/>
    <w:unhideWhenUsed/>
    <w:rsid w:val="002F7E04"/>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2F7E04"/>
    <w:rPr>
      <w:rFonts w:ascii="Times New Roman" w:hAnsi="Times New Roman" w:cs="Times New Roman"/>
      <w:sz w:val="18"/>
      <w:szCs w:val="18"/>
    </w:rPr>
  </w:style>
  <w:style w:type="character" w:styleId="Hyperlink">
    <w:name w:val="Hyperlink"/>
    <w:basedOn w:val="Standaardalinea-lettertype"/>
    <w:uiPriority w:val="99"/>
    <w:unhideWhenUsed/>
    <w:rsid w:val="00DA5B75"/>
    <w:rPr>
      <w:color w:val="0563C1" w:themeColor="hyperlink"/>
      <w:u w:val="single"/>
    </w:rPr>
  </w:style>
  <w:style w:type="character" w:customStyle="1" w:styleId="UnresolvedMention1">
    <w:name w:val="Unresolved Mention1"/>
    <w:basedOn w:val="Standaardalinea-lettertype"/>
    <w:uiPriority w:val="99"/>
    <w:semiHidden/>
    <w:unhideWhenUsed/>
    <w:rsid w:val="00DA5B75"/>
    <w:rPr>
      <w:color w:val="605E5C"/>
      <w:shd w:val="clear" w:color="auto" w:fill="E1DFDD"/>
    </w:rPr>
  </w:style>
  <w:style w:type="paragraph" w:styleId="Lijstalinea">
    <w:name w:val="List Paragraph"/>
    <w:basedOn w:val="Standaard"/>
    <w:uiPriority w:val="34"/>
    <w:qFormat/>
    <w:rsid w:val="008C7BC3"/>
    <w:pPr>
      <w:ind w:left="720"/>
      <w:contextualSpacing/>
    </w:pPr>
  </w:style>
  <w:style w:type="character" w:styleId="Verwijzingopmerking">
    <w:name w:val="annotation reference"/>
    <w:basedOn w:val="Standaardalinea-lettertype"/>
    <w:uiPriority w:val="99"/>
    <w:semiHidden/>
    <w:unhideWhenUsed/>
    <w:rsid w:val="00356070"/>
    <w:rPr>
      <w:sz w:val="16"/>
      <w:szCs w:val="16"/>
    </w:rPr>
  </w:style>
  <w:style w:type="paragraph" w:styleId="Tekstopmerking">
    <w:name w:val="annotation text"/>
    <w:basedOn w:val="Standaard"/>
    <w:link w:val="TekstopmerkingChar"/>
    <w:uiPriority w:val="99"/>
    <w:semiHidden/>
    <w:unhideWhenUsed/>
    <w:rsid w:val="00356070"/>
    <w:rPr>
      <w:sz w:val="20"/>
      <w:szCs w:val="20"/>
      <w:lang w:val="nl-NL"/>
    </w:rPr>
  </w:style>
  <w:style w:type="character" w:customStyle="1" w:styleId="TekstopmerkingChar">
    <w:name w:val="Tekst opmerking Char"/>
    <w:basedOn w:val="Standaardalinea-lettertype"/>
    <w:link w:val="Tekstopmerking"/>
    <w:uiPriority w:val="99"/>
    <w:semiHidden/>
    <w:rsid w:val="00356070"/>
    <w:rPr>
      <w:sz w:val="20"/>
      <w:szCs w:val="20"/>
      <w:lang w:val="nl-NL"/>
    </w:rPr>
  </w:style>
  <w:style w:type="paragraph" w:customStyle="1" w:styleId="Default">
    <w:name w:val="Default"/>
    <w:rsid w:val="00356070"/>
    <w:pPr>
      <w:autoSpaceDE w:val="0"/>
      <w:autoSpaceDN w:val="0"/>
      <w:adjustRightInd w:val="0"/>
    </w:pPr>
    <w:rPr>
      <w:rFonts w:ascii="Arial" w:hAnsi="Arial" w:cs="Arial"/>
      <w:color w:val="000000"/>
      <w:lang w:val="nl-NL"/>
    </w:rPr>
  </w:style>
  <w:style w:type="paragraph" w:styleId="Onderwerpvanopmerking">
    <w:name w:val="annotation subject"/>
    <w:basedOn w:val="Tekstopmerking"/>
    <w:next w:val="Tekstopmerking"/>
    <w:link w:val="OnderwerpvanopmerkingChar"/>
    <w:uiPriority w:val="99"/>
    <w:semiHidden/>
    <w:unhideWhenUsed/>
    <w:rsid w:val="00356070"/>
    <w:rPr>
      <w:b/>
      <w:bCs/>
    </w:rPr>
  </w:style>
  <w:style w:type="character" w:customStyle="1" w:styleId="OnderwerpvanopmerkingChar">
    <w:name w:val="Onderwerp van opmerking Char"/>
    <w:basedOn w:val="TekstopmerkingChar"/>
    <w:link w:val="Onderwerpvanopmerking"/>
    <w:uiPriority w:val="99"/>
    <w:semiHidden/>
    <w:rsid w:val="00356070"/>
    <w:rPr>
      <w:b/>
      <w:bCs/>
      <w:sz w:val="20"/>
      <w:szCs w:val="20"/>
      <w:lang w:val="nl-NL"/>
    </w:rPr>
  </w:style>
  <w:style w:type="paragraph" w:customStyle="1" w:styleId="MDPI12title">
    <w:name w:val="MDPI_1.2_title"/>
    <w:next w:val="Standaard"/>
    <w:qFormat/>
    <w:rsid w:val="009E38A9"/>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 w:type="character" w:styleId="GevolgdeHyperlink">
    <w:name w:val="FollowedHyperlink"/>
    <w:basedOn w:val="Standaardalinea-lettertype"/>
    <w:uiPriority w:val="99"/>
    <w:semiHidden/>
    <w:unhideWhenUsed/>
    <w:rsid w:val="001F2C2F"/>
    <w:rPr>
      <w:color w:val="954F72" w:themeColor="followedHyperlink"/>
      <w:u w:val="single"/>
    </w:rPr>
  </w:style>
  <w:style w:type="character" w:customStyle="1" w:styleId="UnresolvedMention10">
    <w:name w:val="Unresolved Mention1"/>
    <w:basedOn w:val="Standaardalinea-lettertype"/>
    <w:uiPriority w:val="99"/>
    <w:semiHidden/>
    <w:unhideWhenUsed/>
    <w:rsid w:val="007B07B1"/>
    <w:rPr>
      <w:color w:val="605E5C"/>
      <w:shd w:val="clear" w:color="auto" w:fill="E1DFDD"/>
    </w:rPr>
  </w:style>
  <w:style w:type="character" w:customStyle="1" w:styleId="UnresolvedMention">
    <w:name w:val="Unresolved Mention"/>
    <w:basedOn w:val="Standaardalinea-lettertype"/>
    <w:uiPriority w:val="99"/>
    <w:semiHidden/>
    <w:unhideWhenUsed/>
    <w:rsid w:val="00883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664378">
      <w:bodyDiv w:val="1"/>
      <w:marLeft w:val="0"/>
      <w:marRight w:val="0"/>
      <w:marTop w:val="0"/>
      <w:marBottom w:val="0"/>
      <w:divBdr>
        <w:top w:val="none" w:sz="0" w:space="0" w:color="auto"/>
        <w:left w:val="none" w:sz="0" w:space="0" w:color="auto"/>
        <w:bottom w:val="none" w:sz="0" w:space="0" w:color="auto"/>
        <w:right w:val="none" w:sz="0" w:space="0" w:color="auto"/>
      </w:divBdr>
    </w:div>
    <w:div w:id="1496217864">
      <w:bodyDiv w:val="1"/>
      <w:marLeft w:val="0"/>
      <w:marRight w:val="0"/>
      <w:marTop w:val="0"/>
      <w:marBottom w:val="0"/>
      <w:divBdr>
        <w:top w:val="none" w:sz="0" w:space="0" w:color="auto"/>
        <w:left w:val="none" w:sz="0" w:space="0" w:color="auto"/>
        <w:bottom w:val="none" w:sz="0" w:space="0" w:color="auto"/>
        <w:right w:val="none" w:sz="0" w:space="0" w:color="auto"/>
      </w:divBdr>
    </w:div>
    <w:div w:id="153414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9F414-A3F0-4452-8936-167F76DB6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3864</Words>
  <Characters>21256</Characters>
  <Application>Microsoft Office Word</Application>
  <DocSecurity>4</DocSecurity>
  <Lines>177</Lines>
  <Paragraphs>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Roze-2, J.F.</cp:lastModifiedBy>
  <cp:revision>2</cp:revision>
  <dcterms:created xsi:type="dcterms:W3CDTF">2020-12-23T17:52:00Z</dcterms:created>
  <dcterms:modified xsi:type="dcterms:W3CDTF">2020-12-23T17:52:00Z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http://www.zotero.org/styles/cancers</vt:lpwstr>
  </property>
  <property fmtid="{D5CDD505-2E9C-101B-9397-08002B2CF9AE}" pid="9" name="Mendeley Recent Style Name 3_1">
    <vt:lpwstr>Cancers</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c7e61c7b-3de0-343d-84f0-bc393923f7d8</vt:lpwstr>
  </property>
  <property fmtid="{D5CDD505-2E9C-101B-9397-08002B2CF9AE}" pid="24" name="Mendeley Citation Style_1">
    <vt:lpwstr>http://www.zotero.org/styles/cancers</vt:lpwstr>
  </property>
</Properties>
</file>