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62B" w:rsidRPr="00090243" w:rsidRDefault="00090243">
      <w:pPr>
        <w:rPr>
          <w:rFonts w:ascii="Times New Roman" w:hAnsi="Times New Roman" w:cs="Times New Roman"/>
          <w:b/>
          <w:sz w:val="28"/>
          <w:szCs w:val="28"/>
          <w:u w:val="single"/>
        </w:rPr>
      </w:pPr>
      <w:r w:rsidRPr="00090243">
        <w:rPr>
          <w:rFonts w:ascii="Times New Roman" w:hAnsi="Times New Roman" w:cs="Times New Roman"/>
          <w:b/>
          <w:sz w:val="28"/>
          <w:szCs w:val="28"/>
          <w:u w:val="single"/>
        </w:rPr>
        <w:t>REVIEWER 1</w:t>
      </w:r>
    </w:p>
    <w:p w:rsidR="00090243" w:rsidRPr="00090243" w:rsidRDefault="00090243" w:rsidP="00090243">
      <w:pPr>
        <w:spacing w:after="0" w:line="240" w:lineRule="auto"/>
        <w:rPr>
          <w:rFonts w:ascii="Times New Roman" w:eastAsia="Times New Roman" w:hAnsi="Times New Roman" w:cs="Times New Roman"/>
          <w:color w:val="0A0A0A"/>
          <w:sz w:val="28"/>
          <w:szCs w:val="28"/>
        </w:rPr>
      </w:pPr>
      <w:r w:rsidRPr="00090243">
        <w:rPr>
          <w:rFonts w:ascii="Times New Roman" w:eastAsia="Times New Roman" w:hAnsi="Times New Roman" w:cs="Times New Roman"/>
          <w:color w:val="0A0A0A"/>
          <w:sz w:val="28"/>
          <w:szCs w:val="28"/>
        </w:rPr>
        <w:t>Comments and Suggestions for Authors</w:t>
      </w:r>
    </w:p>
    <w:p w:rsidR="00090243" w:rsidRDefault="00090243" w:rsidP="00090243">
      <w:pPr>
        <w:spacing w:before="100" w:beforeAutospacing="1" w:after="100" w:afterAutospacing="1" w:line="240" w:lineRule="auto"/>
        <w:rPr>
          <w:rFonts w:ascii="Times New Roman" w:eastAsia="Times New Roman" w:hAnsi="Times New Roman" w:cs="Times New Roman"/>
          <w:color w:val="0A0A0A"/>
          <w:sz w:val="28"/>
          <w:szCs w:val="28"/>
        </w:rPr>
      </w:pPr>
      <w:r w:rsidRPr="00090243">
        <w:rPr>
          <w:rFonts w:ascii="Times New Roman" w:eastAsia="Times New Roman" w:hAnsi="Times New Roman" w:cs="Times New Roman"/>
          <w:color w:val="0A0A0A"/>
          <w:sz w:val="28"/>
          <w:szCs w:val="28"/>
        </w:rPr>
        <w:t xml:space="preserve">The clarification of the mediation analysis and the information from MacKinnon et al. was especially helpful. Similarly, the later reference to a </w:t>
      </w:r>
      <w:proofErr w:type="spellStart"/>
      <w:r w:rsidRPr="00090243">
        <w:rPr>
          <w:rFonts w:ascii="Times New Roman" w:eastAsia="Times New Roman" w:hAnsi="Times New Roman" w:cs="Times New Roman"/>
          <w:color w:val="0A0A0A"/>
          <w:sz w:val="28"/>
          <w:szCs w:val="28"/>
        </w:rPr>
        <w:t>micromediationnal</w:t>
      </w:r>
      <w:proofErr w:type="spellEnd"/>
      <w:r w:rsidRPr="00090243">
        <w:rPr>
          <w:rFonts w:ascii="Times New Roman" w:eastAsia="Times New Roman" w:hAnsi="Times New Roman" w:cs="Times New Roman"/>
          <w:color w:val="0A0A0A"/>
          <w:sz w:val="28"/>
          <w:szCs w:val="28"/>
        </w:rPr>
        <w:t xml:space="preserve"> chain. The inclusion of reference to top-down and bottom-up also strengthened the paper. Here the only reference you point a reader to is Bridgett et al. (2013). That paper is not about appetite self-regulation and it contains one brief reference to the top-down bottom-up approach. As this approach has recently been used in a number of publications about food-related self-regulation in children, it would probably help a reader not familiar with this approach if you included a couple of relevant references.</w:t>
      </w:r>
    </w:p>
    <w:p w:rsidR="005E4C8B" w:rsidRPr="004F6A2A" w:rsidRDefault="00D17FCF" w:rsidP="004F6A2A">
      <w:pPr>
        <w:pStyle w:val="ListParagraph"/>
        <w:numPr>
          <w:ilvl w:val="0"/>
          <w:numId w:val="3"/>
        </w:numPr>
        <w:spacing w:before="100" w:beforeAutospacing="1" w:after="100" w:afterAutospacing="1" w:line="240" w:lineRule="auto"/>
        <w:rPr>
          <w:rFonts w:ascii="Times New Roman" w:eastAsia="Times New Roman" w:hAnsi="Times New Roman" w:cs="Times New Roman"/>
          <w:b/>
          <w:color w:val="0A0A0A"/>
          <w:sz w:val="28"/>
          <w:szCs w:val="28"/>
        </w:rPr>
      </w:pPr>
      <w:r w:rsidRPr="004F6A2A">
        <w:rPr>
          <w:rFonts w:ascii="Times New Roman" w:eastAsia="Times New Roman" w:hAnsi="Times New Roman" w:cs="Times New Roman"/>
          <w:b/>
          <w:color w:val="0A0A0A"/>
          <w:sz w:val="28"/>
          <w:szCs w:val="28"/>
        </w:rPr>
        <w:t>We agree that the Bridgett et al. (2013) article is focused on emotional self-regulation rather than appetite self-regulation.</w:t>
      </w:r>
      <w:r w:rsidR="00FB2E01">
        <w:rPr>
          <w:rFonts w:ascii="Times New Roman" w:eastAsia="Times New Roman" w:hAnsi="Times New Roman" w:cs="Times New Roman"/>
          <w:b/>
          <w:color w:val="0A0A0A"/>
          <w:sz w:val="28"/>
          <w:szCs w:val="28"/>
        </w:rPr>
        <w:t xml:space="preserve"> Our measures are more directly relevant to child temperament (reactivity and self-regulation) and what we refer to as emotional self-regulation. However, w</w:t>
      </w:r>
      <w:r w:rsidR="00AD1B03" w:rsidRPr="004F6A2A">
        <w:rPr>
          <w:rFonts w:ascii="Times New Roman" w:eastAsia="Times New Roman" w:hAnsi="Times New Roman" w:cs="Times New Roman"/>
          <w:b/>
          <w:color w:val="0A0A0A"/>
          <w:sz w:val="28"/>
          <w:szCs w:val="28"/>
        </w:rPr>
        <w:t>e</w:t>
      </w:r>
      <w:r w:rsidR="00FB2E01">
        <w:rPr>
          <w:rFonts w:ascii="Times New Roman" w:eastAsia="Times New Roman" w:hAnsi="Times New Roman" w:cs="Times New Roman"/>
          <w:b/>
          <w:color w:val="0A0A0A"/>
          <w:sz w:val="28"/>
          <w:szCs w:val="28"/>
        </w:rPr>
        <w:t xml:space="preserve"> do</w:t>
      </w:r>
      <w:r w:rsidR="00AD1B03" w:rsidRPr="004F6A2A">
        <w:rPr>
          <w:rFonts w:ascii="Times New Roman" w:eastAsia="Times New Roman" w:hAnsi="Times New Roman" w:cs="Times New Roman"/>
          <w:b/>
          <w:color w:val="0A0A0A"/>
          <w:sz w:val="28"/>
          <w:szCs w:val="28"/>
        </w:rPr>
        <w:t xml:space="preserve"> appreciate Reviewer 1 calling our attention to the emerging work on the construct of “appetite self-regulation” which is very relevant to our study. </w:t>
      </w:r>
      <w:r w:rsidR="005C4856">
        <w:rPr>
          <w:rFonts w:ascii="Times New Roman" w:eastAsia="Times New Roman" w:hAnsi="Times New Roman" w:cs="Times New Roman"/>
          <w:b/>
          <w:color w:val="0A0A0A"/>
          <w:sz w:val="28"/>
          <w:szCs w:val="28"/>
        </w:rPr>
        <w:t>We have revised section 4.2 to reference “appetite self-regulation”.</w:t>
      </w:r>
      <w:r w:rsidR="00FB2E01">
        <w:rPr>
          <w:rFonts w:ascii="Times New Roman" w:eastAsia="Times New Roman" w:hAnsi="Times New Roman" w:cs="Times New Roman"/>
          <w:b/>
          <w:color w:val="0A0A0A"/>
          <w:sz w:val="28"/>
          <w:szCs w:val="28"/>
        </w:rPr>
        <w:t xml:space="preserve"> We now reference work by </w:t>
      </w:r>
      <w:proofErr w:type="spellStart"/>
      <w:r w:rsidR="00FB2E01">
        <w:rPr>
          <w:rFonts w:ascii="Times New Roman" w:eastAsia="Times New Roman" w:hAnsi="Times New Roman" w:cs="Times New Roman"/>
          <w:b/>
          <w:color w:val="0A0A0A"/>
          <w:sz w:val="28"/>
          <w:szCs w:val="28"/>
        </w:rPr>
        <w:t>Stoeckel</w:t>
      </w:r>
      <w:proofErr w:type="spellEnd"/>
      <w:r w:rsidR="00FB2E01">
        <w:rPr>
          <w:rFonts w:ascii="Times New Roman" w:eastAsia="Times New Roman" w:hAnsi="Times New Roman" w:cs="Times New Roman"/>
          <w:b/>
          <w:color w:val="0A0A0A"/>
          <w:sz w:val="28"/>
          <w:szCs w:val="28"/>
        </w:rPr>
        <w:t xml:space="preserve"> et al. (2017) and Saltzman et al. (2018) to focus attention more specifically on potential relations between emotional self-regulation and appetite self-regulation. </w:t>
      </w:r>
      <w:r w:rsidR="00FF5E4A">
        <w:rPr>
          <w:rFonts w:ascii="Times New Roman" w:eastAsia="Times New Roman" w:hAnsi="Times New Roman" w:cs="Times New Roman"/>
          <w:b/>
          <w:color w:val="0A0A0A"/>
          <w:sz w:val="28"/>
          <w:szCs w:val="28"/>
        </w:rPr>
        <w:t>We believe these constructs are related but also somewhat different from one another, so we refer to both constructs in the manuscript</w:t>
      </w:r>
      <w:r w:rsidR="00B6215B">
        <w:rPr>
          <w:rFonts w:ascii="Times New Roman" w:eastAsia="Times New Roman" w:hAnsi="Times New Roman" w:cs="Times New Roman"/>
          <w:b/>
          <w:color w:val="0A0A0A"/>
          <w:sz w:val="28"/>
          <w:szCs w:val="28"/>
        </w:rPr>
        <w:t xml:space="preserve"> and have revised multiple parts of the manuscript to reflect this nuance</w:t>
      </w:r>
      <w:r w:rsidR="00FF5E4A">
        <w:rPr>
          <w:rFonts w:ascii="Times New Roman" w:eastAsia="Times New Roman" w:hAnsi="Times New Roman" w:cs="Times New Roman"/>
          <w:b/>
          <w:color w:val="0A0A0A"/>
          <w:sz w:val="28"/>
          <w:szCs w:val="28"/>
        </w:rPr>
        <w:t>. As a result, we also modified the title of the manuscript to reflect the recognition of the construct of appetite self-regulation.</w:t>
      </w:r>
    </w:p>
    <w:p w:rsidR="00090243" w:rsidRDefault="00090243" w:rsidP="00090243">
      <w:pPr>
        <w:spacing w:before="100" w:beforeAutospacing="1" w:after="100" w:afterAutospacing="1" w:line="240" w:lineRule="auto"/>
        <w:rPr>
          <w:rFonts w:ascii="Times New Roman" w:eastAsia="Times New Roman" w:hAnsi="Times New Roman" w:cs="Times New Roman"/>
          <w:color w:val="0A0A0A"/>
          <w:sz w:val="28"/>
          <w:szCs w:val="28"/>
        </w:rPr>
      </w:pPr>
      <w:r w:rsidRPr="00090243">
        <w:rPr>
          <w:rFonts w:ascii="Times New Roman" w:eastAsia="Times New Roman" w:hAnsi="Times New Roman" w:cs="Times New Roman"/>
          <w:color w:val="0A0A0A"/>
          <w:sz w:val="28"/>
          <w:szCs w:val="28"/>
        </w:rPr>
        <w:t>In section 3.3 where you summarize relationships between variables you use “low” and “high”. It would be more accurate here to use “lower” and “higher” throughout that paragraph.</w:t>
      </w:r>
    </w:p>
    <w:p w:rsidR="004F6A2A" w:rsidRPr="004F6A2A" w:rsidRDefault="004F6A2A" w:rsidP="004F6A2A">
      <w:pPr>
        <w:pStyle w:val="ListParagraph"/>
        <w:numPr>
          <w:ilvl w:val="0"/>
          <w:numId w:val="2"/>
        </w:numPr>
        <w:spacing w:before="100" w:beforeAutospacing="1" w:after="100" w:afterAutospacing="1" w:line="240" w:lineRule="auto"/>
        <w:rPr>
          <w:rFonts w:ascii="Times New Roman" w:eastAsia="Times New Roman" w:hAnsi="Times New Roman" w:cs="Times New Roman"/>
          <w:b/>
          <w:color w:val="0A0A0A"/>
          <w:sz w:val="28"/>
          <w:szCs w:val="28"/>
        </w:rPr>
      </w:pPr>
      <w:r w:rsidRPr="004F6A2A">
        <w:rPr>
          <w:rFonts w:ascii="Times New Roman" w:eastAsia="Times New Roman" w:hAnsi="Times New Roman" w:cs="Times New Roman"/>
          <w:b/>
          <w:color w:val="0A0A0A"/>
          <w:sz w:val="28"/>
          <w:szCs w:val="28"/>
        </w:rPr>
        <w:t>Thank you for pointing out this detail and nuance and in Section 3.3. We have now revised this section.</w:t>
      </w:r>
    </w:p>
    <w:p w:rsidR="00090243" w:rsidRDefault="00090243" w:rsidP="00090243">
      <w:pPr>
        <w:spacing w:before="100" w:beforeAutospacing="1" w:after="100" w:afterAutospacing="1" w:line="240" w:lineRule="auto"/>
        <w:rPr>
          <w:rFonts w:ascii="Times New Roman" w:eastAsia="Times New Roman" w:hAnsi="Times New Roman" w:cs="Times New Roman"/>
          <w:color w:val="0A0A0A"/>
          <w:sz w:val="28"/>
          <w:szCs w:val="28"/>
        </w:rPr>
      </w:pPr>
      <w:r w:rsidRPr="00090243">
        <w:rPr>
          <w:rFonts w:ascii="Times New Roman" w:eastAsia="Times New Roman" w:hAnsi="Times New Roman" w:cs="Times New Roman"/>
          <w:color w:val="0A0A0A"/>
          <w:sz w:val="28"/>
          <w:szCs w:val="28"/>
        </w:rPr>
        <w:t>I am still finding it a little difficult to master the role and idea of “</w:t>
      </w:r>
      <w:r w:rsidRPr="00090243">
        <w:rPr>
          <w:rFonts w:ascii="Times New Roman" w:eastAsia="Times New Roman" w:hAnsi="Times New Roman" w:cs="Times New Roman"/>
          <w:b/>
          <w:bCs/>
          <w:color w:val="0A0A0A"/>
          <w:sz w:val="28"/>
          <w:szCs w:val="28"/>
        </w:rPr>
        <w:t>emotion</w:t>
      </w:r>
      <w:r w:rsidRPr="00090243">
        <w:rPr>
          <w:rFonts w:ascii="Times New Roman" w:eastAsia="Times New Roman" w:hAnsi="Times New Roman" w:cs="Times New Roman"/>
          <w:color w:val="0A0A0A"/>
          <w:sz w:val="28"/>
          <w:szCs w:val="28"/>
        </w:rPr>
        <w:t> self-regulation” as you use it. In the abstract when you wrote about the main objective of the study you simply referred to the investigation of pathways from child temperament to body composition. The word or idea of emotion self-regulation did not appear in the abstract, and the abstract was clear and coherent without it. I looked at the title and wondered about whether or how the concept of emotion self-regulation added clarity to your work. I wondered whether it might work for you if the title was “Parental child-feeding in the context of child temperament and appetitive traits: Evidence for a biopsychosocial process model of childhood eating and weight status”.  Similarly, throughout the paper, I was not sure whether the term “emotion” was helpful. For example, on line 43 you refer to the temperamental basis for emotional self-regulation. Why refer here to only emotional self-regulation. Rather, it seems throughout the paper that you are arguing that temperament is related to self-regulation (not just emotion self-</w:t>
      </w:r>
      <w:r w:rsidRPr="00090243">
        <w:rPr>
          <w:rFonts w:ascii="Times New Roman" w:eastAsia="Times New Roman" w:hAnsi="Times New Roman" w:cs="Times New Roman"/>
          <w:color w:val="0A0A0A"/>
          <w:sz w:val="28"/>
          <w:szCs w:val="28"/>
        </w:rPr>
        <w:lastRenderedPageBreak/>
        <w:t>regulation). In particular, you refer to the two dimensions of temperament as contributing to bottom-up (negative affectivity) and top-down (effortful control) processes in self-regulation.   In the conclusion you also focus only on temperament and there is no mention of emotion self-regulation.</w:t>
      </w:r>
    </w:p>
    <w:p w:rsidR="007F77BE" w:rsidRPr="007E6B53" w:rsidRDefault="007F77BE" w:rsidP="007F77BE">
      <w:pPr>
        <w:pStyle w:val="ListParagraph"/>
        <w:numPr>
          <w:ilvl w:val="0"/>
          <w:numId w:val="2"/>
        </w:numPr>
        <w:spacing w:before="100" w:beforeAutospacing="1" w:after="100" w:afterAutospacing="1" w:line="240" w:lineRule="auto"/>
        <w:rPr>
          <w:rFonts w:ascii="Times New Roman" w:eastAsia="Times New Roman" w:hAnsi="Times New Roman" w:cs="Times New Roman"/>
          <w:b/>
          <w:color w:val="0A0A0A"/>
          <w:sz w:val="28"/>
          <w:szCs w:val="28"/>
        </w:rPr>
      </w:pPr>
      <w:bookmarkStart w:id="0" w:name="_GoBack"/>
      <w:r w:rsidRPr="007E6B53">
        <w:rPr>
          <w:rFonts w:ascii="Times New Roman" w:eastAsia="Times New Roman" w:hAnsi="Times New Roman" w:cs="Times New Roman"/>
          <w:b/>
          <w:color w:val="0A0A0A"/>
          <w:sz w:val="28"/>
          <w:szCs w:val="28"/>
        </w:rPr>
        <w:t>We really appreciate Reviewer 1’s comments about our construct of emotional self-regulation. As noted earlier in response to the point about appetite self-regulation, we have revised multiple parts of the manuscript to reflect the nuance between emotional self-regulation and appetite self-regulation, with the former referring to temperament-based self-regulation that is non-specific to foods and includes measures of negative affectivity (i.e., a measure of emotionality) and effortful control (i.e., a measure self-regulation).</w:t>
      </w:r>
      <w:r w:rsidR="003D3D1C" w:rsidRPr="007E6B53">
        <w:rPr>
          <w:rFonts w:ascii="Times New Roman" w:eastAsia="Times New Roman" w:hAnsi="Times New Roman" w:cs="Times New Roman"/>
          <w:b/>
          <w:color w:val="0A0A0A"/>
          <w:sz w:val="28"/>
          <w:szCs w:val="28"/>
        </w:rPr>
        <w:t xml:space="preserve"> However, we now explicitly acknowledge the distinction between emotional self-regulation and appetite self-regulation. We believe that appetite self-regulation can be represented by the processes of both emotional self-regulation and appetitive traits. We have revised our manuscript to reflect this conceptualization. We appreciate Reviewer 1 helping us to clarify and refine our own thinking about these issues in this manuscript.</w:t>
      </w:r>
    </w:p>
    <w:bookmarkEnd w:id="0"/>
    <w:p w:rsidR="00090243" w:rsidRDefault="00090243" w:rsidP="00090243">
      <w:pPr>
        <w:spacing w:before="100" w:beforeAutospacing="1" w:after="100" w:afterAutospacing="1" w:line="240" w:lineRule="auto"/>
        <w:rPr>
          <w:rFonts w:ascii="Times New Roman" w:eastAsia="Times New Roman" w:hAnsi="Times New Roman" w:cs="Times New Roman"/>
          <w:color w:val="0A0A0A"/>
          <w:sz w:val="28"/>
          <w:szCs w:val="28"/>
        </w:rPr>
      </w:pPr>
      <w:r w:rsidRPr="00090243">
        <w:rPr>
          <w:rFonts w:ascii="Times New Roman" w:eastAsia="Times New Roman" w:hAnsi="Times New Roman" w:cs="Times New Roman"/>
          <w:color w:val="0A0A0A"/>
          <w:sz w:val="28"/>
          <w:szCs w:val="28"/>
        </w:rPr>
        <w:t>On line 64 you mention “effortful control representing control or reflective (e.g., top-down) processes.”  Here it might be more appropriate to use the term “regulatory” rather than “reflective”.</w:t>
      </w:r>
    </w:p>
    <w:p w:rsidR="00202D79" w:rsidRPr="007E6B53" w:rsidRDefault="00202D79" w:rsidP="00202D79">
      <w:pPr>
        <w:pStyle w:val="ListParagraph"/>
        <w:numPr>
          <w:ilvl w:val="0"/>
          <w:numId w:val="2"/>
        </w:numPr>
        <w:spacing w:before="100" w:beforeAutospacing="1" w:after="100" w:afterAutospacing="1" w:line="240" w:lineRule="auto"/>
        <w:rPr>
          <w:rFonts w:ascii="Times New Roman" w:eastAsia="Times New Roman" w:hAnsi="Times New Roman" w:cs="Times New Roman"/>
          <w:b/>
          <w:color w:val="0A0A0A"/>
          <w:sz w:val="28"/>
          <w:szCs w:val="28"/>
        </w:rPr>
      </w:pPr>
      <w:r w:rsidRPr="007E6B53">
        <w:rPr>
          <w:rFonts w:ascii="Times New Roman" w:eastAsia="Times New Roman" w:hAnsi="Times New Roman" w:cs="Times New Roman"/>
          <w:b/>
          <w:color w:val="0A0A0A"/>
          <w:sz w:val="28"/>
          <w:szCs w:val="28"/>
        </w:rPr>
        <w:t>We have made this revision.</w:t>
      </w:r>
    </w:p>
    <w:p w:rsidR="00090243" w:rsidRDefault="00090243" w:rsidP="00090243">
      <w:pPr>
        <w:spacing w:before="100" w:beforeAutospacing="1" w:after="100" w:afterAutospacing="1" w:line="240" w:lineRule="auto"/>
        <w:rPr>
          <w:rFonts w:ascii="Times New Roman" w:eastAsia="Times New Roman" w:hAnsi="Times New Roman" w:cs="Times New Roman"/>
          <w:color w:val="0A0A0A"/>
          <w:sz w:val="28"/>
          <w:szCs w:val="28"/>
        </w:rPr>
      </w:pPr>
      <w:r w:rsidRPr="00090243">
        <w:rPr>
          <w:rFonts w:ascii="Times New Roman" w:eastAsia="Times New Roman" w:hAnsi="Times New Roman" w:cs="Times New Roman"/>
          <w:color w:val="0A0A0A"/>
          <w:sz w:val="28"/>
          <w:szCs w:val="28"/>
        </w:rPr>
        <w:t>Line 496 there is a “to” missing.</w:t>
      </w:r>
    </w:p>
    <w:p w:rsidR="0016478D" w:rsidRPr="007E6B53" w:rsidRDefault="0016478D" w:rsidP="0016478D">
      <w:pPr>
        <w:pStyle w:val="ListParagraph"/>
        <w:numPr>
          <w:ilvl w:val="0"/>
          <w:numId w:val="2"/>
        </w:numPr>
        <w:spacing w:before="100" w:beforeAutospacing="1" w:after="100" w:afterAutospacing="1" w:line="240" w:lineRule="auto"/>
        <w:rPr>
          <w:rFonts w:ascii="Times New Roman" w:eastAsia="Times New Roman" w:hAnsi="Times New Roman" w:cs="Times New Roman"/>
          <w:b/>
          <w:color w:val="0A0A0A"/>
          <w:sz w:val="28"/>
          <w:szCs w:val="28"/>
        </w:rPr>
      </w:pPr>
      <w:r w:rsidRPr="007E6B53">
        <w:rPr>
          <w:rFonts w:ascii="Times New Roman" w:eastAsia="Times New Roman" w:hAnsi="Times New Roman" w:cs="Times New Roman"/>
          <w:b/>
          <w:color w:val="0A0A0A"/>
          <w:sz w:val="28"/>
          <w:szCs w:val="28"/>
        </w:rPr>
        <w:t>We have made this correction</w:t>
      </w:r>
      <w:r w:rsidR="008D46CA" w:rsidRPr="007E6B53">
        <w:rPr>
          <w:rFonts w:ascii="Times New Roman" w:eastAsia="Times New Roman" w:hAnsi="Times New Roman" w:cs="Times New Roman"/>
          <w:b/>
          <w:color w:val="0A0A0A"/>
          <w:sz w:val="28"/>
          <w:szCs w:val="28"/>
        </w:rPr>
        <w:t>s</w:t>
      </w:r>
      <w:r w:rsidRPr="007E6B53">
        <w:rPr>
          <w:rFonts w:ascii="Times New Roman" w:eastAsia="Times New Roman" w:hAnsi="Times New Roman" w:cs="Times New Roman"/>
          <w:b/>
          <w:color w:val="0A0A0A"/>
          <w:sz w:val="28"/>
          <w:szCs w:val="28"/>
        </w:rPr>
        <w:t xml:space="preserve"> to the funding section.</w:t>
      </w:r>
    </w:p>
    <w:p w:rsidR="00090243" w:rsidRDefault="00090243" w:rsidP="00090243">
      <w:pPr>
        <w:spacing w:before="100" w:beforeAutospacing="1" w:after="100" w:afterAutospacing="1" w:line="240" w:lineRule="auto"/>
        <w:rPr>
          <w:rFonts w:ascii="Arial" w:eastAsia="Times New Roman" w:hAnsi="Arial" w:cs="Arial"/>
          <w:color w:val="0A0A0A"/>
          <w:sz w:val="20"/>
          <w:szCs w:val="20"/>
        </w:rPr>
      </w:pPr>
    </w:p>
    <w:sectPr w:rsidR="00090243" w:rsidSect="0009024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4EB3"/>
    <w:multiLevelType w:val="hybridMultilevel"/>
    <w:tmpl w:val="41DCECB2"/>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9469B3"/>
    <w:multiLevelType w:val="hybridMultilevel"/>
    <w:tmpl w:val="FEB88FCA"/>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011722"/>
    <w:multiLevelType w:val="hybridMultilevel"/>
    <w:tmpl w:val="0DCE0884"/>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243"/>
    <w:rsid w:val="00090243"/>
    <w:rsid w:val="0016478D"/>
    <w:rsid w:val="00202D79"/>
    <w:rsid w:val="003D3D1C"/>
    <w:rsid w:val="004F6A2A"/>
    <w:rsid w:val="005C4856"/>
    <w:rsid w:val="005E4C8B"/>
    <w:rsid w:val="0070062B"/>
    <w:rsid w:val="007E6B53"/>
    <w:rsid w:val="007F77BE"/>
    <w:rsid w:val="008D46CA"/>
    <w:rsid w:val="00AD1B03"/>
    <w:rsid w:val="00B6215B"/>
    <w:rsid w:val="00D17FCF"/>
    <w:rsid w:val="00DC23E1"/>
    <w:rsid w:val="00FB2E01"/>
    <w:rsid w:val="00FF5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76AD2"/>
  <w15:chartTrackingRefBased/>
  <w15:docId w15:val="{263B7831-ABA3-451A-ACD3-5DDF35D06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024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90243"/>
    <w:rPr>
      <w:b/>
      <w:bCs/>
    </w:rPr>
  </w:style>
  <w:style w:type="paragraph" w:styleId="BalloonText">
    <w:name w:val="Balloon Text"/>
    <w:basedOn w:val="Normal"/>
    <w:link w:val="BalloonTextChar"/>
    <w:uiPriority w:val="99"/>
    <w:semiHidden/>
    <w:unhideWhenUsed/>
    <w:rsid w:val="000902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243"/>
    <w:rPr>
      <w:rFonts w:ascii="Segoe UI" w:hAnsi="Segoe UI" w:cs="Segoe UI"/>
      <w:sz w:val="18"/>
      <w:szCs w:val="18"/>
    </w:rPr>
  </w:style>
  <w:style w:type="paragraph" w:styleId="ListParagraph">
    <w:name w:val="List Paragraph"/>
    <w:basedOn w:val="Normal"/>
    <w:uiPriority w:val="34"/>
    <w:qFormat/>
    <w:rsid w:val="004F6A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6946345">
      <w:bodyDiv w:val="1"/>
      <w:marLeft w:val="0"/>
      <w:marRight w:val="0"/>
      <w:marTop w:val="0"/>
      <w:marBottom w:val="0"/>
      <w:divBdr>
        <w:top w:val="none" w:sz="0" w:space="0" w:color="auto"/>
        <w:left w:val="none" w:sz="0" w:space="0" w:color="auto"/>
        <w:bottom w:val="none" w:sz="0" w:space="0" w:color="auto"/>
        <w:right w:val="none" w:sz="0" w:space="0" w:color="auto"/>
      </w:divBdr>
      <w:divsChild>
        <w:div w:id="1546990418">
          <w:marLeft w:val="0"/>
          <w:marRight w:val="0"/>
          <w:marTop w:val="0"/>
          <w:marBottom w:val="0"/>
          <w:divBdr>
            <w:top w:val="none" w:sz="0" w:space="0" w:color="auto"/>
            <w:left w:val="none" w:sz="0" w:space="0" w:color="auto"/>
            <w:bottom w:val="none" w:sz="0" w:space="0" w:color="auto"/>
            <w:right w:val="none" w:sz="0" w:space="0" w:color="auto"/>
          </w:divBdr>
        </w:div>
        <w:div w:id="1746216991">
          <w:marLeft w:val="0"/>
          <w:marRight w:val="0"/>
          <w:marTop w:val="0"/>
          <w:marBottom w:val="0"/>
          <w:divBdr>
            <w:top w:val="none" w:sz="0" w:space="0" w:color="auto"/>
            <w:left w:val="none" w:sz="0" w:space="0" w:color="auto"/>
            <w:bottom w:val="none" w:sz="0" w:space="0" w:color="auto"/>
            <w:right w:val="none" w:sz="0" w:space="0" w:color="auto"/>
          </w:divBdr>
        </w:div>
        <w:div w:id="1281258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Liew, Jeffrey C</dc:creator>
  <cp:keywords/>
  <dc:description/>
  <cp:lastModifiedBy>Liew, Jeffrey C</cp:lastModifiedBy>
  <cp:revision>11</cp:revision>
  <cp:lastPrinted>2020-10-16T17:10:00Z</cp:lastPrinted>
  <dcterms:created xsi:type="dcterms:W3CDTF">2020-10-16T17:08:00Z</dcterms:created>
  <dcterms:modified xsi:type="dcterms:W3CDTF">2020-10-17T20:48:00Z</dcterms:modified>
</cp:coreProperties>
</file>