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D84EC" w14:textId="77777777" w:rsidR="00D83F9A" w:rsidRDefault="00D83F9A" w:rsidP="00D83F9A">
      <w:pPr>
        <w:spacing w:after="120"/>
        <w:jc w:val="center"/>
        <w:rPr>
          <w:rFonts w:ascii="Arial" w:hAnsi="Arial" w:cs="Arial"/>
          <w:b/>
          <w:bCs/>
        </w:rPr>
      </w:pPr>
      <w:r w:rsidRPr="00737ED6">
        <w:rPr>
          <w:rFonts w:ascii="Arial" w:hAnsi="Arial" w:cs="Arial"/>
          <w:b/>
          <w:bCs/>
        </w:rPr>
        <w:t>Accuracy of self-reported items to screening for depression in the general populatio</w:t>
      </w:r>
      <w:r>
        <w:rPr>
          <w:rFonts w:ascii="Arial" w:hAnsi="Arial" w:cs="Arial"/>
          <w:b/>
          <w:bCs/>
        </w:rPr>
        <w:t xml:space="preserve">n </w:t>
      </w:r>
      <w:r w:rsidRPr="006F770B">
        <w:rPr>
          <w:rFonts w:ascii="Arial" w:hAnsi="Arial" w:cs="Arial"/>
          <w:b/>
          <w:bCs/>
        </w:rPr>
        <w:t xml:space="preserve">[Manuscript </w:t>
      </w:r>
      <w:r>
        <w:rPr>
          <w:rFonts w:ascii="Arial" w:hAnsi="Arial" w:cs="Arial"/>
          <w:b/>
          <w:bCs/>
        </w:rPr>
        <w:t>ID:</w:t>
      </w:r>
      <w:r w:rsidRPr="006F770B">
        <w:rPr>
          <w:rFonts w:ascii="Arial" w:hAnsi="Arial" w:cs="Arial"/>
          <w:b/>
          <w:bCs/>
        </w:rPr>
        <w:t xml:space="preserve"> </w:t>
      </w:r>
      <w:r w:rsidRPr="00B77B40">
        <w:rPr>
          <w:rFonts w:ascii="Arial" w:hAnsi="Arial" w:cs="Arial"/>
          <w:b/>
          <w:bCs/>
        </w:rPr>
        <w:t>ijerph-933540</w:t>
      </w:r>
      <w:r w:rsidRPr="006F770B">
        <w:rPr>
          <w:rFonts w:ascii="Arial" w:hAnsi="Arial" w:cs="Arial"/>
          <w:b/>
          <w:bCs/>
        </w:rPr>
        <w:t>]</w:t>
      </w:r>
    </w:p>
    <w:p w14:paraId="74E0F6D2" w14:textId="77777777" w:rsidR="00D83F9A" w:rsidRPr="003A224B" w:rsidRDefault="00D83F9A" w:rsidP="00D83F9A">
      <w:pPr>
        <w:pStyle w:val="PlainText"/>
        <w:spacing w:after="120"/>
        <w:jc w:val="both"/>
        <w:rPr>
          <w:rFonts w:ascii="Arial" w:hAnsi="Arial" w:cs="Arial"/>
          <w:b/>
          <w:bCs/>
          <w:szCs w:val="22"/>
        </w:rPr>
      </w:pPr>
      <w:r w:rsidRPr="00CF582F">
        <w:rPr>
          <w:rFonts w:ascii="Arial" w:hAnsi="Arial" w:cs="Arial"/>
          <w:b/>
          <w:bCs/>
          <w:szCs w:val="22"/>
        </w:rPr>
        <w:t>Reviewer #</w:t>
      </w:r>
      <w:r>
        <w:rPr>
          <w:rFonts w:ascii="Arial" w:hAnsi="Arial" w:cs="Arial"/>
          <w:b/>
          <w:bCs/>
          <w:szCs w:val="22"/>
        </w:rPr>
        <w:t>3</w:t>
      </w:r>
      <w:r w:rsidRPr="00CF582F">
        <w:rPr>
          <w:rFonts w:ascii="Arial" w:hAnsi="Arial" w:cs="Arial"/>
          <w:b/>
          <w:bCs/>
          <w:szCs w:val="22"/>
        </w:rPr>
        <w:t>:</w:t>
      </w:r>
    </w:p>
    <w:p w14:paraId="7569D31E" w14:textId="77777777" w:rsidR="00D83F9A" w:rsidRPr="006F770B" w:rsidRDefault="00D83F9A" w:rsidP="00D83F9A">
      <w:pPr>
        <w:pStyle w:val="PlainText"/>
        <w:spacing w:after="120"/>
        <w:jc w:val="both"/>
        <w:rPr>
          <w:rFonts w:ascii="Arial" w:hAnsi="Arial" w:cs="Arial"/>
          <w:szCs w:val="22"/>
        </w:rPr>
      </w:pPr>
    </w:p>
    <w:p w14:paraId="77D51769" w14:textId="77777777" w:rsidR="00D83F9A" w:rsidRPr="003A224B" w:rsidRDefault="00D83F9A" w:rsidP="00D83F9A">
      <w:pPr>
        <w:pStyle w:val="PlainText"/>
        <w:spacing w:after="120"/>
        <w:jc w:val="both"/>
        <w:rPr>
          <w:rFonts w:ascii="Arial" w:hAnsi="Arial" w:cs="Arial"/>
          <w:b/>
          <w:bCs/>
          <w:szCs w:val="22"/>
        </w:rPr>
      </w:pPr>
      <w:r w:rsidRPr="003A224B">
        <w:rPr>
          <w:rFonts w:ascii="Arial" w:hAnsi="Arial" w:cs="Arial"/>
          <w:b/>
          <w:bCs/>
          <w:szCs w:val="22"/>
        </w:rPr>
        <w:t xml:space="preserve">Frankly, I </w:t>
      </w:r>
      <w:proofErr w:type="gramStart"/>
      <w:r w:rsidRPr="003A224B">
        <w:rPr>
          <w:rFonts w:ascii="Arial" w:hAnsi="Arial" w:cs="Arial"/>
          <w:b/>
          <w:bCs/>
          <w:szCs w:val="22"/>
        </w:rPr>
        <w:t>don't</w:t>
      </w:r>
      <w:proofErr w:type="gramEnd"/>
      <w:r w:rsidRPr="003A224B">
        <w:rPr>
          <w:rFonts w:ascii="Arial" w:hAnsi="Arial" w:cs="Arial"/>
          <w:b/>
          <w:bCs/>
          <w:szCs w:val="22"/>
        </w:rPr>
        <w:t xml:space="preserve"> think this is enough for a paper. Seven persons have collaborated on a STATA analysis of </w:t>
      </w:r>
      <w:proofErr w:type="gramStart"/>
      <w:r w:rsidRPr="003A224B">
        <w:rPr>
          <w:rFonts w:ascii="Arial" w:hAnsi="Arial" w:cs="Arial"/>
          <w:b/>
          <w:bCs/>
          <w:szCs w:val="22"/>
        </w:rPr>
        <w:t>data</w:t>
      </w:r>
      <w:proofErr w:type="gramEnd"/>
      <w:r w:rsidRPr="003A224B">
        <w:rPr>
          <w:rFonts w:ascii="Arial" w:hAnsi="Arial" w:cs="Arial"/>
          <w:b/>
          <w:bCs/>
          <w:szCs w:val="22"/>
        </w:rPr>
        <w:t xml:space="preserve"> but it seems that they are not responsible for the data or any of the instruments, and they haven't even done the minimal job of equating the two tests. This reflects in the conclusion: the two tests are not equivalent, but the short one has the advantage of being short.</w:t>
      </w:r>
    </w:p>
    <w:p w14:paraId="44F01E8A" w14:textId="77777777" w:rsidR="00D83F9A" w:rsidRPr="00977892" w:rsidRDefault="00D83F9A" w:rsidP="00D83F9A">
      <w:pPr>
        <w:pStyle w:val="PlainText"/>
        <w:spacing w:after="120"/>
        <w:jc w:val="both"/>
        <w:rPr>
          <w:rFonts w:ascii="Arial" w:hAnsi="Arial" w:cs="Arial"/>
          <w:szCs w:val="22"/>
        </w:rPr>
      </w:pPr>
      <w:r w:rsidRPr="0068701B">
        <w:rPr>
          <w:rFonts w:ascii="Arial" w:hAnsi="Arial" w:cs="Arial"/>
          <w:szCs w:val="22"/>
        </w:rPr>
        <w:t xml:space="preserve">R: Thank you for </w:t>
      </w:r>
      <w:r>
        <w:rPr>
          <w:rFonts w:ascii="Arial" w:hAnsi="Arial" w:cs="Arial"/>
          <w:szCs w:val="22"/>
        </w:rPr>
        <w:t>raising these concerns. We have now changed the manuscript to address some of them trying to be as accurate as possible and, furthermore, to clarify the rationale for performing this study.</w:t>
      </w:r>
    </w:p>
    <w:p w14:paraId="4AD076AA" w14:textId="77777777" w:rsidR="00D83F9A" w:rsidRPr="003A224B" w:rsidRDefault="00D83F9A" w:rsidP="00D83F9A">
      <w:pPr>
        <w:pStyle w:val="PlainText"/>
        <w:spacing w:after="120"/>
        <w:jc w:val="both"/>
        <w:rPr>
          <w:rFonts w:ascii="Arial" w:hAnsi="Arial" w:cs="Arial"/>
          <w:b/>
          <w:bCs/>
          <w:szCs w:val="22"/>
        </w:rPr>
      </w:pPr>
    </w:p>
    <w:p w14:paraId="3A652C21" w14:textId="77777777" w:rsidR="00D83F9A" w:rsidRDefault="00D83F9A" w:rsidP="00D83F9A">
      <w:pPr>
        <w:pStyle w:val="PlainText"/>
        <w:spacing w:after="120"/>
        <w:jc w:val="both"/>
        <w:rPr>
          <w:rFonts w:ascii="Arial" w:hAnsi="Arial" w:cs="Arial"/>
          <w:b/>
          <w:bCs/>
          <w:szCs w:val="22"/>
        </w:rPr>
      </w:pPr>
      <w:r w:rsidRPr="003A224B">
        <w:rPr>
          <w:rFonts w:ascii="Arial" w:hAnsi="Arial" w:cs="Arial"/>
          <w:b/>
          <w:bCs/>
          <w:szCs w:val="22"/>
        </w:rPr>
        <w:t>When we have two tests with cut points defined independently and arbitrarily, equivalence can happen only by chance. The short test is extremely granular, having only four possible scores. So</w:t>
      </w:r>
      <w:r>
        <w:rPr>
          <w:rFonts w:ascii="Arial" w:hAnsi="Arial" w:cs="Arial"/>
          <w:b/>
          <w:bCs/>
          <w:szCs w:val="22"/>
        </w:rPr>
        <w:t>,</w:t>
      </w:r>
      <w:r w:rsidRPr="003A224B">
        <w:rPr>
          <w:rFonts w:ascii="Arial" w:hAnsi="Arial" w:cs="Arial"/>
          <w:b/>
          <w:bCs/>
          <w:szCs w:val="22"/>
        </w:rPr>
        <w:t xml:space="preserve"> one would take the unusual step of equating the established test (24 possible scores) to the new one. Take a look, for example, at this page in our blog: </w:t>
      </w:r>
      <w:hyperlink r:id="rId5" w:history="1">
        <w:r w:rsidRPr="00B92943">
          <w:rPr>
            <w:rStyle w:val="Hyperlink"/>
            <w:rFonts w:ascii="Arial" w:hAnsi="Arial" w:cs="Arial"/>
            <w:b/>
            <w:bCs/>
            <w:szCs w:val="22"/>
          </w:rPr>
          <w:t>https://dexterities.netlify.app/2018/05/25/equating-a-pass-fail-score-with-dexter/</w:t>
        </w:r>
      </w:hyperlink>
    </w:p>
    <w:p w14:paraId="565AB5B2" w14:textId="77777777" w:rsidR="00D83F9A" w:rsidRPr="003A224B" w:rsidRDefault="00D83F9A" w:rsidP="00D83F9A">
      <w:pPr>
        <w:pStyle w:val="PlainText"/>
        <w:spacing w:after="120"/>
        <w:jc w:val="both"/>
        <w:rPr>
          <w:rFonts w:ascii="Arial" w:hAnsi="Arial" w:cs="Arial"/>
          <w:b/>
          <w:bCs/>
          <w:szCs w:val="22"/>
        </w:rPr>
      </w:pPr>
      <w:r w:rsidRPr="003A224B">
        <w:rPr>
          <w:rFonts w:ascii="Arial" w:hAnsi="Arial" w:cs="Arial"/>
          <w:b/>
          <w:bCs/>
          <w:szCs w:val="22"/>
        </w:rPr>
        <w:t>Of course, one would not expect the authors to read our blog or know about work that has not been published in a major journal. But the originality of our approach has to do with equating with data missing by design -- for compete data, it is not so original. If the authors had performed an equating, they could have come up with at least the modest result that having two positive responses on the SRD is roughly equivalent to that many points on the PHQ-8.</w:t>
      </w:r>
    </w:p>
    <w:p w14:paraId="70F940FB" w14:textId="77777777" w:rsidR="00D83F9A" w:rsidRDefault="00D83F9A" w:rsidP="00D83F9A">
      <w:pPr>
        <w:pStyle w:val="PlainText"/>
        <w:spacing w:after="120"/>
        <w:jc w:val="both"/>
        <w:rPr>
          <w:rFonts w:ascii="Arial" w:hAnsi="Arial" w:cs="Arial"/>
          <w:szCs w:val="22"/>
        </w:rPr>
      </w:pPr>
      <w:r w:rsidRPr="0068701B">
        <w:rPr>
          <w:rFonts w:ascii="Arial" w:hAnsi="Arial" w:cs="Arial"/>
          <w:szCs w:val="22"/>
        </w:rPr>
        <w:t xml:space="preserve">R: </w:t>
      </w:r>
      <w:r>
        <w:rPr>
          <w:rFonts w:ascii="Arial" w:hAnsi="Arial" w:cs="Arial"/>
          <w:szCs w:val="22"/>
        </w:rPr>
        <w:t>We t</w:t>
      </w:r>
      <w:r w:rsidRPr="0068701B">
        <w:rPr>
          <w:rFonts w:ascii="Arial" w:hAnsi="Arial" w:cs="Arial"/>
          <w:szCs w:val="22"/>
        </w:rPr>
        <w:t xml:space="preserve">hank </w:t>
      </w:r>
      <w:r>
        <w:rPr>
          <w:rFonts w:ascii="Arial" w:hAnsi="Arial" w:cs="Arial"/>
          <w:szCs w:val="22"/>
        </w:rPr>
        <w:t xml:space="preserve">the Reviewer </w:t>
      </w:r>
      <w:r w:rsidRPr="0068701B">
        <w:rPr>
          <w:rFonts w:ascii="Arial" w:hAnsi="Arial" w:cs="Arial"/>
          <w:szCs w:val="22"/>
        </w:rPr>
        <w:t>for this comment.</w:t>
      </w:r>
      <w:r>
        <w:rPr>
          <w:rFonts w:ascii="Arial" w:hAnsi="Arial" w:cs="Arial"/>
          <w:szCs w:val="22"/>
        </w:rPr>
        <w:t xml:space="preserve"> We have read the blog post with attention and made changes in the manuscript accordingly. It should be noted that, as all participants have answered both tests, our data could be considered complete data (using the blog’s terminology). Therefore, equating with data missing by design is not possible.</w:t>
      </w:r>
    </w:p>
    <w:p w14:paraId="253EDCCA" w14:textId="77777777" w:rsidR="00D83F9A" w:rsidRDefault="00D83F9A" w:rsidP="00D83F9A">
      <w:pPr>
        <w:pStyle w:val="PlainText"/>
        <w:spacing w:after="120"/>
        <w:jc w:val="both"/>
        <w:rPr>
          <w:rFonts w:ascii="Arial" w:hAnsi="Arial" w:cs="Arial"/>
          <w:szCs w:val="22"/>
        </w:rPr>
      </w:pPr>
      <w:r>
        <w:rPr>
          <w:rFonts w:ascii="Arial" w:hAnsi="Arial" w:cs="Arial"/>
          <w:szCs w:val="22"/>
        </w:rPr>
        <w:t xml:space="preserve">About the equating proposed, in fact, we had performed it but not for the PHQ-8 but for the SRD items. The decision of taking the PHQ-8 as reference </w:t>
      </w:r>
      <w:r w:rsidRPr="001B119C">
        <w:rPr>
          <w:rFonts w:ascii="Arial" w:hAnsi="Arial" w:cs="Arial"/>
          <w:szCs w:val="22"/>
        </w:rPr>
        <w:t xml:space="preserve">was based on </w:t>
      </w:r>
      <w:r>
        <w:rPr>
          <w:rFonts w:ascii="Arial" w:hAnsi="Arial" w:cs="Arial"/>
          <w:szCs w:val="22"/>
        </w:rPr>
        <w:t>its</w:t>
      </w:r>
      <w:r w:rsidRPr="001B119C">
        <w:rPr>
          <w:rFonts w:ascii="Arial" w:hAnsi="Arial" w:cs="Arial"/>
          <w:szCs w:val="22"/>
        </w:rPr>
        <w:t xml:space="preserve"> </w:t>
      </w:r>
      <w:r>
        <w:rPr>
          <w:rFonts w:ascii="Arial" w:hAnsi="Arial" w:cs="Arial"/>
          <w:szCs w:val="22"/>
        </w:rPr>
        <w:t xml:space="preserve">widely proved </w:t>
      </w:r>
      <w:r w:rsidRPr="001B119C">
        <w:rPr>
          <w:rFonts w:ascii="Arial" w:hAnsi="Arial" w:cs="Arial"/>
          <w:szCs w:val="22"/>
        </w:rPr>
        <w:t>valid</w:t>
      </w:r>
      <w:r>
        <w:rPr>
          <w:rFonts w:ascii="Arial" w:hAnsi="Arial" w:cs="Arial"/>
          <w:szCs w:val="22"/>
        </w:rPr>
        <w:t>ity</w:t>
      </w:r>
      <w:r w:rsidRPr="001B119C">
        <w:rPr>
          <w:rFonts w:ascii="Arial" w:hAnsi="Arial" w:cs="Arial"/>
          <w:szCs w:val="22"/>
        </w:rPr>
        <w:t xml:space="preserve"> and reli</w:t>
      </w:r>
      <w:r>
        <w:rPr>
          <w:rFonts w:ascii="Arial" w:hAnsi="Arial" w:cs="Arial"/>
          <w:szCs w:val="22"/>
        </w:rPr>
        <w:t xml:space="preserve">ability. The PHQ-8 </w:t>
      </w:r>
      <w:r w:rsidRPr="001B119C">
        <w:rPr>
          <w:rFonts w:ascii="Arial" w:hAnsi="Arial" w:cs="Arial"/>
          <w:szCs w:val="22"/>
        </w:rPr>
        <w:t>questionnaire and the selected cut-off score (10</w:t>
      </w:r>
      <w:r>
        <w:rPr>
          <w:rFonts w:ascii="Arial" w:hAnsi="Arial" w:cs="Arial"/>
          <w:szCs w:val="22"/>
        </w:rPr>
        <w:t>+</w:t>
      </w:r>
      <w:r w:rsidRPr="001B119C">
        <w:rPr>
          <w:rFonts w:ascii="Arial" w:hAnsi="Arial" w:cs="Arial"/>
          <w:szCs w:val="22"/>
        </w:rPr>
        <w:t xml:space="preserve">) have shown a </w:t>
      </w:r>
      <w:r>
        <w:rPr>
          <w:rFonts w:ascii="Arial" w:hAnsi="Arial" w:cs="Arial"/>
          <w:szCs w:val="22"/>
        </w:rPr>
        <w:t xml:space="preserve">very </w:t>
      </w:r>
      <w:r w:rsidRPr="001B119C">
        <w:rPr>
          <w:rFonts w:ascii="Arial" w:hAnsi="Arial" w:cs="Arial"/>
          <w:szCs w:val="22"/>
        </w:rPr>
        <w:t>good balance between sensitivity and specificity maximizing the area under ROC</w:t>
      </w:r>
      <w:r>
        <w:rPr>
          <w:rFonts w:ascii="Arial" w:hAnsi="Arial" w:cs="Arial"/>
          <w:szCs w:val="22"/>
        </w:rPr>
        <w:t xml:space="preserve"> in different contexts and with different populations as shown in the meta-analyses published about it </w:t>
      </w:r>
      <w:r w:rsidRPr="00F91A4E">
        <w:rPr>
          <w:rFonts w:ascii="Arial" w:hAnsi="Arial" w:cs="Arial"/>
          <w:szCs w:val="22"/>
        </w:rPr>
        <w:t xml:space="preserve">(Diez-Quevedo et al., 2001; </w:t>
      </w:r>
      <w:proofErr w:type="spellStart"/>
      <w:r w:rsidRPr="00F91A4E">
        <w:rPr>
          <w:rFonts w:ascii="Arial" w:hAnsi="Arial" w:cs="Arial"/>
          <w:szCs w:val="22"/>
        </w:rPr>
        <w:t>Levis</w:t>
      </w:r>
      <w:proofErr w:type="spellEnd"/>
      <w:r w:rsidRPr="00F91A4E">
        <w:rPr>
          <w:rFonts w:ascii="Arial" w:hAnsi="Arial" w:cs="Arial"/>
          <w:szCs w:val="22"/>
        </w:rPr>
        <w:t xml:space="preserve"> et al., 2019; </w:t>
      </w:r>
      <w:proofErr w:type="spellStart"/>
      <w:r w:rsidRPr="00F91A4E">
        <w:rPr>
          <w:rFonts w:ascii="Arial" w:hAnsi="Arial" w:cs="Arial"/>
          <w:szCs w:val="22"/>
        </w:rPr>
        <w:t>Manea</w:t>
      </w:r>
      <w:proofErr w:type="spellEnd"/>
      <w:r w:rsidRPr="00F91A4E">
        <w:rPr>
          <w:rFonts w:ascii="Arial" w:hAnsi="Arial" w:cs="Arial"/>
          <w:szCs w:val="22"/>
        </w:rPr>
        <w:t xml:space="preserve"> et al., 2015; Moriarty et al., 2015)</w:t>
      </w:r>
      <w:r w:rsidRPr="001B119C">
        <w:rPr>
          <w:rFonts w:ascii="Arial" w:hAnsi="Arial" w:cs="Arial"/>
          <w:szCs w:val="22"/>
        </w:rPr>
        <w:t xml:space="preserve">. </w:t>
      </w:r>
      <w:r>
        <w:rPr>
          <w:rFonts w:ascii="Arial" w:hAnsi="Arial" w:cs="Arial"/>
          <w:szCs w:val="22"/>
        </w:rPr>
        <w:t>As t</w:t>
      </w:r>
      <w:r w:rsidRPr="001B119C">
        <w:rPr>
          <w:rFonts w:ascii="Arial" w:hAnsi="Arial" w:cs="Arial"/>
          <w:szCs w:val="22"/>
        </w:rPr>
        <w:t>he accuracy of SRD questions was not proved</w:t>
      </w:r>
      <w:r>
        <w:rPr>
          <w:rFonts w:ascii="Arial" w:hAnsi="Arial" w:cs="Arial"/>
          <w:szCs w:val="22"/>
        </w:rPr>
        <w:t>,</w:t>
      </w:r>
      <w:r w:rsidRPr="001B119C">
        <w:rPr>
          <w:rFonts w:ascii="Arial" w:hAnsi="Arial" w:cs="Arial"/>
          <w:szCs w:val="22"/>
        </w:rPr>
        <w:t xml:space="preserve"> we deem </w:t>
      </w:r>
      <w:r>
        <w:rPr>
          <w:rFonts w:ascii="Arial" w:hAnsi="Arial" w:cs="Arial"/>
          <w:szCs w:val="22"/>
        </w:rPr>
        <w:t>that their use as a reference might be less suitable than the</w:t>
      </w:r>
      <w:r w:rsidRPr="001B119C">
        <w:rPr>
          <w:rFonts w:ascii="Arial" w:hAnsi="Arial" w:cs="Arial"/>
          <w:szCs w:val="22"/>
        </w:rPr>
        <w:t xml:space="preserve"> use </w:t>
      </w:r>
      <w:r>
        <w:rPr>
          <w:rFonts w:ascii="Arial" w:hAnsi="Arial" w:cs="Arial"/>
          <w:szCs w:val="22"/>
        </w:rPr>
        <w:t>of a</w:t>
      </w:r>
      <w:r w:rsidRPr="001B119C">
        <w:rPr>
          <w:rFonts w:ascii="Arial" w:hAnsi="Arial" w:cs="Arial"/>
          <w:szCs w:val="22"/>
        </w:rPr>
        <w:t xml:space="preserve"> valid and reliable tool</w:t>
      </w:r>
      <w:r>
        <w:rPr>
          <w:rFonts w:ascii="Arial" w:hAnsi="Arial" w:cs="Arial"/>
          <w:szCs w:val="22"/>
        </w:rPr>
        <w:t xml:space="preserve">, as is </w:t>
      </w:r>
      <w:r w:rsidRPr="001B119C">
        <w:rPr>
          <w:rFonts w:ascii="Arial" w:hAnsi="Arial" w:cs="Arial"/>
          <w:szCs w:val="22"/>
        </w:rPr>
        <w:t>the PHQ-8.</w:t>
      </w:r>
    </w:p>
    <w:p w14:paraId="77A8F1BE" w14:textId="77777777" w:rsidR="00D83F9A" w:rsidRPr="00977892" w:rsidRDefault="00D83F9A" w:rsidP="00D83F9A">
      <w:pPr>
        <w:pStyle w:val="PlainText"/>
        <w:spacing w:after="120"/>
        <w:jc w:val="both"/>
        <w:rPr>
          <w:rFonts w:ascii="Arial" w:hAnsi="Arial" w:cs="Arial"/>
          <w:szCs w:val="22"/>
        </w:rPr>
      </w:pPr>
      <w:r>
        <w:rPr>
          <w:rFonts w:ascii="Arial" w:hAnsi="Arial" w:cs="Arial"/>
          <w:szCs w:val="22"/>
        </w:rPr>
        <w:t>Despite this, considering the comments done by the Reviewer and the equating approach proposed on his blog post, we have calculated</w:t>
      </w:r>
      <w:r w:rsidRPr="0056531C">
        <w:rPr>
          <w:rFonts w:ascii="Arial" w:hAnsi="Arial" w:cs="Arial"/>
          <w:szCs w:val="22"/>
        </w:rPr>
        <w:t xml:space="preserve"> </w:t>
      </w:r>
      <w:r w:rsidRPr="008510CE">
        <w:rPr>
          <w:rFonts w:ascii="Arial" w:hAnsi="Arial" w:cs="Arial"/>
          <w:szCs w:val="22"/>
        </w:rPr>
        <w:t xml:space="preserve">the sensitivity and specificity </w:t>
      </w:r>
      <w:r>
        <w:rPr>
          <w:rFonts w:ascii="Arial" w:hAnsi="Arial" w:cs="Arial"/>
          <w:szCs w:val="22"/>
        </w:rPr>
        <w:t xml:space="preserve">for </w:t>
      </w:r>
      <w:r w:rsidRPr="0056531C">
        <w:rPr>
          <w:rFonts w:ascii="Arial" w:hAnsi="Arial" w:cs="Arial"/>
          <w:szCs w:val="22"/>
        </w:rPr>
        <w:t>the PHQ-8 using the SRD</w:t>
      </w:r>
      <w:r>
        <w:rPr>
          <w:rFonts w:ascii="Arial" w:hAnsi="Arial" w:cs="Arial"/>
          <w:szCs w:val="22"/>
        </w:rPr>
        <w:t xml:space="preserve"> </w:t>
      </w:r>
      <w:r w:rsidRPr="0056531C">
        <w:rPr>
          <w:rFonts w:ascii="Arial" w:hAnsi="Arial" w:cs="Arial"/>
          <w:szCs w:val="22"/>
        </w:rPr>
        <w:t>as standard</w:t>
      </w:r>
      <w:r>
        <w:rPr>
          <w:rFonts w:ascii="Arial" w:hAnsi="Arial" w:cs="Arial"/>
          <w:szCs w:val="22"/>
        </w:rPr>
        <w:t xml:space="preserve"> as</w:t>
      </w:r>
      <w:r w:rsidRPr="0056531C">
        <w:rPr>
          <w:rFonts w:ascii="Arial" w:hAnsi="Arial" w:cs="Arial"/>
          <w:szCs w:val="22"/>
        </w:rPr>
        <w:t xml:space="preserve"> supplementary analysis</w:t>
      </w:r>
      <w:r>
        <w:rPr>
          <w:rFonts w:ascii="Arial" w:hAnsi="Arial" w:cs="Arial"/>
          <w:szCs w:val="22"/>
        </w:rPr>
        <w:t>. Furthermore,</w:t>
      </w:r>
      <w:r w:rsidRPr="0056531C">
        <w:rPr>
          <w:rFonts w:ascii="Arial" w:hAnsi="Arial" w:cs="Arial"/>
          <w:szCs w:val="22"/>
        </w:rPr>
        <w:t xml:space="preserve"> </w:t>
      </w:r>
      <w:r>
        <w:rPr>
          <w:rFonts w:ascii="Arial" w:hAnsi="Arial" w:cs="Arial"/>
          <w:szCs w:val="22"/>
        </w:rPr>
        <w:t>we have now included a figure (Figure 1) showing the ROC curve for the SRD indicator to add more information about the equating performed. Finally,</w:t>
      </w:r>
      <w:r w:rsidRPr="0056531C">
        <w:rPr>
          <w:rFonts w:ascii="Arial" w:hAnsi="Arial" w:cs="Arial"/>
          <w:szCs w:val="22"/>
        </w:rPr>
        <w:t xml:space="preserve"> </w:t>
      </w:r>
      <w:r>
        <w:rPr>
          <w:rFonts w:ascii="Arial" w:hAnsi="Arial" w:cs="Arial"/>
          <w:szCs w:val="22"/>
        </w:rPr>
        <w:t>we have included new information supporting the validity of the use as reference the PHQ-8 in the methods section, and some discussion about the questions raised related to the approach adopted and its limitations.</w:t>
      </w:r>
    </w:p>
    <w:p w14:paraId="274F075A" w14:textId="77777777" w:rsidR="00D83F9A" w:rsidRDefault="00D83F9A" w:rsidP="00D83F9A">
      <w:pPr>
        <w:pStyle w:val="PlainText"/>
        <w:spacing w:after="120"/>
        <w:jc w:val="both"/>
        <w:rPr>
          <w:rFonts w:ascii="Arial" w:hAnsi="Arial" w:cs="Arial"/>
          <w:i/>
          <w:iCs/>
          <w:szCs w:val="22"/>
        </w:rPr>
      </w:pPr>
      <w:r w:rsidRPr="00105731">
        <w:rPr>
          <w:rFonts w:ascii="Arial" w:hAnsi="Arial" w:cs="Arial"/>
          <w:i/>
          <w:iCs/>
          <w:szCs w:val="22"/>
        </w:rPr>
        <w:t xml:space="preserve">Changes in text: </w:t>
      </w:r>
    </w:p>
    <w:p w14:paraId="1DD9CEF4" w14:textId="77777777" w:rsidR="00D83F9A" w:rsidRDefault="00D83F9A" w:rsidP="00D83F9A">
      <w:pPr>
        <w:pStyle w:val="PlainText"/>
        <w:numPr>
          <w:ilvl w:val="0"/>
          <w:numId w:val="1"/>
        </w:numPr>
        <w:spacing w:after="120"/>
        <w:jc w:val="both"/>
        <w:rPr>
          <w:rFonts w:ascii="Arial" w:hAnsi="Arial" w:cs="Arial"/>
          <w:i/>
          <w:iCs/>
          <w:szCs w:val="22"/>
        </w:rPr>
      </w:pPr>
      <w:r w:rsidRPr="00105731">
        <w:rPr>
          <w:rFonts w:ascii="Arial" w:hAnsi="Arial" w:cs="Arial"/>
          <w:i/>
          <w:iCs/>
          <w:szCs w:val="22"/>
        </w:rPr>
        <w:t xml:space="preserve">Please see lines </w:t>
      </w:r>
      <w:r>
        <w:rPr>
          <w:rFonts w:ascii="Arial" w:hAnsi="Arial" w:cs="Arial"/>
          <w:i/>
          <w:iCs/>
          <w:szCs w:val="22"/>
        </w:rPr>
        <w:t>67</w:t>
      </w:r>
      <w:r w:rsidRPr="00105731">
        <w:rPr>
          <w:rFonts w:ascii="Arial" w:hAnsi="Arial" w:cs="Arial"/>
          <w:i/>
          <w:iCs/>
          <w:szCs w:val="22"/>
        </w:rPr>
        <w:t xml:space="preserve"> to </w:t>
      </w:r>
      <w:r>
        <w:rPr>
          <w:rFonts w:ascii="Arial" w:hAnsi="Arial" w:cs="Arial"/>
          <w:i/>
          <w:iCs/>
          <w:szCs w:val="22"/>
        </w:rPr>
        <w:t>72</w:t>
      </w:r>
      <w:r w:rsidRPr="00105731">
        <w:rPr>
          <w:rFonts w:ascii="Arial" w:hAnsi="Arial" w:cs="Arial"/>
          <w:i/>
          <w:iCs/>
          <w:szCs w:val="22"/>
        </w:rPr>
        <w:t xml:space="preserve"> of </w:t>
      </w:r>
      <w:r>
        <w:rPr>
          <w:rFonts w:ascii="Arial" w:hAnsi="Arial" w:cs="Arial"/>
          <w:i/>
          <w:iCs/>
          <w:szCs w:val="22"/>
        </w:rPr>
        <w:t>introduction:</w:t>
      </w:r>
    </w:p>
    <w:p w14:paraId="47E53684" w14:textId="77777777" w:rsidR="00D83F9A" w:rsidRPr="007956A9" w:rsidRDefault="00D83F9A" w:rsidP="00D83F9A">
      <w:pPr>
        <w:pStyle w:val="PlainText"/>
        <w:spacing w:after="120"/>
        <w:ind w:left="720"/>
        <w:jc w:val="both"/>
        <w:rPr>
          <w:rFonts w:ascii="Arial" w:hAnsi="Arial" w:cs="Arial"/>
          <w:i/>
          <w:iCs/>
          <w:szCs w:val="22"/>
        </w:rPr>
      </w:pPr>
      <w:r>
        <w:rPr>
          <w:rFonts w:ascii="Arial" w:hAnsi="Arial" w:cs="Arial"/>
          <w:i/>
          <w:iCs/>
          <w:szCs w:val="22"/>
        </w:rPr>
        <w:t>“</w:t>
      </w:r>
      <w:r w:rsidRPr="007E5C05">
        <w:rPr>
          <w:rFonts w:ascii="Arial" w:hAnsi="Arial" w:cs="Arial"/>
          <w:i/>
          <w:iCs/>
          <w:szCs w:val="22"/>
        </w:rPr>
        <w:t>One of these screening tools that it</w:t>
      </w:r>
      <w:r>
        <w:rPr>
          <w:rFonts w:ascii="Arial" w:hAnsi="Arial" w:cs="Arial"/>
          <w:i/>
          <w:iCs/>
          <w:szCs w:val="22"/>
        </w:rPr>
        <w:t>s</w:t>
      </w:r>
      <w:r w:rsidRPr="007E5C05">
        <w:rPr>
          <w:rFonts w:ascii="Arial" w:hAnsi="Arial" w:cs="Arial"/>
          <w:i/>
          <w:iCs/>
          <w:szCs w:val="22"/>
        </w:rPr>
        <w:t xml:space="preserve"> use has substantially increase during the last years is the Patient Health Questionnaire (PHQ) (Kroenke et al., 2001). This tool has </w:t>
      </w:r>
      <w:r w:rsidRPr="007E5C05">
        <w:rPr>
          <w:rFonts w:ascii="Arial" w:hAnsi="Arial" w:cs="Arial"/>
          <w:i/>
          <w:iCs/>
          <w:szCs w:val="22"/>
        </w:rPr>
        <w:lastRenderedPageBreak/>
        <w:t>been included within health interview surveys and cohort studies both inside and outside Europe (</w:t>
      </w:r>
      <w:proofErr w:type="spellStart"/>
      <w:r w:rsidRPr="007E5C05">
        <w:rPr>
          <w:rFonts w:ascii="Arial" w:hAnsi="Arial" w:cs="Arial"/>
          <w:i/>
          <w:iCs/>
          <w:szCs w:val="22"/>
        </w:rPr>
        <w:t>Levis</w:t>
      </w:r>
      <w:proofErr w:type="spellEnd"/>
      <w:r w:rsidRPr="007E5C05">
        <w:rPr>
          <w:rFonts w:ascii="Arial" w:hAnsi="Arial" w:cs="Arial"/>
          <w:i/>
          <w:iCs/>
          <w:szCs w:val="22"/>
        </w:rPr>
        <w:t xml:space="preserve"> et al., 2019; Moriarty et al., 2015; </w:t>
      </w:r>
      <w:proofErr w:type="spellStart"/>
      <w:r w:rsidRPr="007E5C05">
        <w:rPr>
          <w:rFonts w:ascii="Arial" w:hAnsi="Arial" w:cs="Arial"/>
          <w:i/>
          <w:iCs/>
          <w:szCs w:val="22"/>
        </w:rPr>
        <w:t>Tomitaka</w:t>
      </w:r>
      <w:proofErr w:type="spellEnd"/>
      <w:r w:rsidRPr="007E5C05">
        <w:rPr>
          <w:rFonts w:ascii="Arial" w:hAnsi="Arial" w:cs="Arial"/>
          <w:i/>
          <w:iCs/>
          <w:szCs w:val="22"/>
        </w:rPr>
        <w:t xml:space="preserve"> et al., 2018). Furthermore, in difference with previous tools, is based on the standard criteria for depression as defined by DSM-IV, thus allowing consider it as a suitable proxy to determine it</w:t>
      </w:r>
      <w:r>
        <w:rPr>
          <w:rFonts w:ascii="Arial" w:hAnsi="Arial" w:cs="Arial"/>
          <w:i/>
          <w:iCs/>
          <w:szCs w:val="22"/>
        </w:rPr>
        <w:t>”.</w:t>
      </w:r>
    </w:p>
    <w:p w14:paraId="3F69318E" w14:textId="77777777" w:rsidR="00D83F9A" w:rsidRDefault="00D83F9A" w:rsidP="00D83F9A">
      <w:pPr>
        <w:pStyle w:val="PlainText"/>
        <w:numPr>
          <w:ilvl w:val="0"/>
          <w:numId w:val="1"/>
        </w:numPr>
        <w:spacing w:after="120"/>
        <w:jc w:val="both"/>
        <w:rPr>
          <w:rFonts w:ascii="Arial" w:hAnsi="Arial" w:cs="Arial"/>
          <w:i/>
          <w:iCs/>
          <w:szCs w:val="22"/>
        </w:rPr>
      </w:pPr>
      <w:r w:rsidRPr="00105731">
        <w:rPr>
          <w:rFonts w:ascii="Arial" w:hAnsi="Arial" w:cs="Arial"/>
          <w:i/>
          <w:iCs/>
          <w:szCs w:val="22"/>
        </w:rPr>
        <w:t xml:space="preserve">Please see lines </w:t>
      </w:r>
      <w:r>
        <w:rPr>
          <w:rFonts w:ascii="Arial" w:hAnsi="Arial" w:cs="Arial"/>
          <w:i/>
          <w:iCs/>
          <w:szCs w:val="22"/>
        </w:rPr>
        <w:t>107 to 109</w:t>
      </w:r>
      <w:r w:rsidRPr="00105731">
        <w:rPr>
          <w:rFonts w:ascii="Arial" w:hAnsi="Arial" w:cs="Arial"/>
          <w:i/>
          <w:iCs/>
          <w:szCs w:val="22"/>
        </w:rPr>
        <w:t xml:space="preserve"> of </w:t>
      </w:r>
      <w:r>
        <w:rPr>
          <w:rFonts w:ascii="Arial" w:hAnsi="Arial" w:cs="Arial"/>
          <w:i/>
          <w:iCs/>
          <w:szCs w:val="22"/>
        </w:rPr>
        <w:t>materials and methods:</w:t>
      </w:r>
    </w:p>
    <w:p w14:paraId="419EF8FD" w14:textId="77777777" w:rsidR="00D83F9A" w:rsidRDefault="00D83F9A" w:rsidP="00D83F9A">
      <w:pPr>
        <w:pStyle w:val="PlainText"/>
        <w:spacing w:after="120"/>
        <w:ind w:left="720"/>
        <w:jc w:val="both"/>
        <w:rPr>
          <w:rFonts w:ascii="Arial" w:hAnsi="Arial" w:cs="Arial"/>
          <w:i/>
          <w:iCs/>
          <w:szCs w:val="22"/>
        </w:rPr>
      </w:pPr>
      <w:r>
        <w:rPr>
          <w:rFonts w:ascii="Arial" w:hAnsi="Arial" w:cs="Arial"/>
          <w:i/>
          <w:iCs/>
          <w:szCs w:val="22"/>
        </w:rPr>
        <w:t>“</w:t>
      </w:r>
      <w:r w:rsidRPr="007B718E">
        <w:rPr>
          <w:rFonts w:ascii="Arial" w:hAnsi="Arial" w:cs="Arial"/>
          <w:i/>
          <w:iCs/>
          <w:szCs w:val="22"/>
        </w:rPr>
        <w:t>Due to their known reliability and validity when compared to structured clinical interviews (Diez-Quevedo et al., 2001; Kroenke et al., 2001; Wu et al., 2019)”.</w:t>
      </w:r>
    </w:p>
    <w:p w14:paraId="0AC2EB0A" w14:textId="77777777" w:rsidR="00D83F9A" w:rsidRDefault="00D83F9A" w:rsidP="00D83F9A">
      <w:pPr>
        <w:pStyle w:val="PlainText"/>
        <w:numPr>
          <w:ilvl w:val="0"/>
          <w:numId w:val="1"/>
        </w:numPr>
        <w:spacing w:after="120"/>
        <w:jc w:val="both"/>
        <w:rPr>
          <w:rFonts w:ascii="Arial" w:hAnsi="Arial" w:cs="Arial"/>
          <w:i/>
          <w:iCs/>
          <w:szCs w:val="22"/>
        </w:rPr>
      </w:pPr>
      <w:r w:rsidRPr="00105731">
        <w:rPr>
          <w:rFonts w:ascii="Arial" w:hAnsi="Arial" w:cs="Arial"/>
          <w:i/>
          <w:iCs/>
          <w:szCs w:val="22"/>
        </w:rPr>
        <w:t xml:space="preserve">Please see lines </w:t>
      </w:r>
      <w:r>
        <w:rPr>
          <w:rFonts w:ascii="Arial" w:hAnsi="Arial" w:cs="Arial"/>
          <w:i/>
          <w:iCs/>
          <w:szCs w:val="22"/>
        </w:rPr>
        <w:t xml:space="preserve">132 and 133 </w:t>
      </w:r>
      <w:r w:rsidRPr="00105731">
        <w:rPr>
          <w:rFonts w:ascii="Arial" w:hAnsi="Arial" w:cs="Arial"/>
          <w:i/>
          <w:iCs/>
          <w:szCs w:val="22"/>
        </w:rPr>
        <w:t xml:space="preserve">of </w:t>
      </w:r>
      <w:r>
        <w:rPr>
          <w:rFonts w:ascii="Arial" w:hAnsi="Arial" w:cs="Arial"/>
          <w:i/>
          <w:iCs/>
          <w:szCs w:val="22"/>
        </w:rPr>
        <w:t>materials and methods:</w:t>
      </w:r>
    </w:p>
    <w:p w14:paraId="72BF8C09" w14:textId="77777777" w:rsidR="00D83F9A" w:rsidRPr="007B718E" w:rsidRDefault="00D83F9A" w:rsidP="00D83F9A">
      <w:pPr>
        <w:pStyle w:val="PlainText"/>
        <w:spacing w:after="120"/>
        <w:ind w:left="720"/>
        <w:jc w:val="both"/>
        <w:rPr>
          <w:rFonts w:ascii="Arial" w:hAnsi="Arial" w:cs="Arial"/>
          <w:i/>
          <w:iCs/>
          <w:szCs w:val="22"/>
        </w:rPr>
      </w:pPr>
      <w:r>
        <w:rPr>
          <w:rFonts w:ascii="Arial" w:hAnsi="Arial" w:cs="Arial"/>
          <w:i/>
          <w:iCs/>
          <w:szCs w:val="22"/>
        </w:rPr>
        <w:t>“</w:t>
      </w:r>
      <w:r w:rsidRPr="00E80F7E">
        <w:rPr>
          <w:rFonts w:ascii="Arial" w:hAnsi="Arial" w:cs="Arial"/>
          <w:i/>
          <w:iCs/>
          <w:szCs w:val="22"/>
        </w:rPr>
        <w:t>Furthermore, as supplementary analysis, the sensitivity and specificity were also calculated for the PHQ-8 using the SRD as standard</w:t>
      </w:r>
      <w:r w:rsidRPr="007B718E">
        <w:rPr>
          <w:rFonts w:ascii="Arial" w:hAnsi="Arial" w:cs="Arial"/>
          <w:i/>
          <w:iCs/>
          <w:szCs w:val="22"/>
        </w:rPr>
        <w:t>”.</w:t>
      </w:r>
    </w:p>
    <w:p w14:paraId="396C3852" w14:textId="77777777" w:rsidR="00D83F9A" w:rsidRDefault="00D83F9A" w:rsidP="00D83F9A">
      <w:pPr>
        <w:pStyle w:val="PlainText"/>
        <w:numPr>
          <w:ilvl w:val="0"/>
          <w:numId w:val="1"/>
        </w:numPr>
        <w:spacing w:after="120"/>
        <w:jc w:val="both"/>
        <w:rPr>
          <w:rFonts w:ascii="Arial" w:hAnsi="Arial" w:cs="Arial"/>
          <w:i/>
          <w:iCs/>
          <w:szCs w:val="22"/>
        </w:rPr>
      </w:pPr>
      <w:r w:rsidRPr="00105731">
        <w:rPr>
          <w:rFonts w:ascii="Arial" w:hAnsi="Arial" w:cs="Arial"/>
          <w:i/>
          <w:iCs/>
          <w:szCs w:val="22"/>
        </w:rPr>
        <w:t xml:space="preserve">Please see lines </w:t>
      </w:r>
      <w:r>
        <w:rPr>
          <w:rFonts w:ascii="Arial" w:hAnsi="Arial" w:cs="Arial"/>
          <w:i/>
          <w:iCs/>
          <w:szCs w:val="22"/>
        </w:rPr>
        <w:t>166</w:t>
      </w:r>
      <w:r w:rsidRPr="00105731">
        <w:rPr>
          <w:rFonts w:ascii="Arial" w:hAnsi="Arial" w:cs="Arial"/>
          <w:i/>
          <w:iCs/>
          <w:szCs w:val="22"/>
        </w:rPr>
        <w:t xml:space="preserve"> </w:t>
      </w:r>
      <w:r>
        <w:rPr>
          <w:rFonts w:ascii="Arial" w:hAnsi="Arial" w:cs="Arial"/>
          <w:i/>
          <w:iCs/>
          <w:szCs w:val="22"/>
        </w:rPr>
        <w:t>and 168</w:t>
      </w:r>
      <w:r w:rsidRPr="00105731">
        <w:rPr>
          <w:rFonts w:ascii="Arial" w:hAnsi="Arial" w:cs="Arial"/>
          <w:i/>
          <w:iCs/>
          <w:szCs w:val="22"/>
        </w:rPr>
        <w:t xml:space="preserve"> of </w:t>
      </w:r>
      <w:r>
        <w:rPr>
          <w:rFonts w:ascii="Arial" w:hAnsi="Arial" w:cs="Arial"/>
          <w:i/>
          <w:iCs/>
          <w:szCs w:val="22"/>
        </w:rPr>
        <w:t>results:</w:t>
      </w:r>
    </w:p>
    <w:p w14:paraId="07B96FCB" w14:textId="77777777" w:rsidR="00D83F9A" w:rsidRPr="005C7B34" w:rsidRDefault="00D83F9A" w:rsidP="00D83F9A">
      <w:pPr>
        <w:pStyle w:val="PlainText"/>
        <w:spacing w:after="120"/>
        <w:ind w:left="720"/>
        <w:jc w:val="both"/>
        <w:rPr>
          <w:rFonts w:ascii="Arial" w:hAnsi="Arial" w:cs="Arial"/>
          <w:i/>
          <w:iCs/>
          <w:szCs w:val="22"/>
        </w:rPr>
      </w:pPr>
      <w:r>
        <w:rPr>
          <w:rFonts w:ascii="Arial" w:hAnsi="Arial" w:cs="Arial"/>
          <w:i/>
          <w:iCs/>
          <w:szCs w:val="22"/>
        </w:rPr>
        <w:t>“</w:t>
      </w:r>
      <w:r w:rsidRPr="00896F36">
        <w:rPr>
          <w:rFonts w:ascii="Arial" w:hAnsi="Arial" w:cs="Arial"/>
          <w:i/>
          <w:iCs/>
          <w:szCs w:val="22"/>
        </w:rPr>
        <w:t>Furthermore, the supplementary analysis shows that the sensitivity and specificity of the PHQ-8 considering the SRD indicator as standard were respectively 40.4%, (95% CI: 40.4-40.5) and 97.0%, (95% CI: 97.0-97.0)</w:t>
      </w:r>
      <w:r>
        <w:rPr>
          <w:rFonts w:ascii="Arial" w:hAnsi="Arial" w:cs="Arial"/>
          <w:i/>
          <w:iCs/>
          <w:szCs w:val="22"/>
        </w:rPr>
        <w:t>”.</w:t>
      </w:r>
    </w:p>
    <w:p w14:paraId="70027597" w14:textId="77777777" w:rsidR="00D83F9A" w:rsidRDefault="00D83F9A" w:rsidP="00D83F9A">
      <w:pPr>
        <w:pStyle w:val="PlainText"/>
        <w:numPr>
          <w:ilvl w:val="0"/>
          <w:numId w:val="1"/>
        </w:numPr>
        <w:spacing w:after="120"/>
        <w:jc w:val="both"/>
        <w:rPr>
          <w:rFonts w:ascii="Arial" w:hAnsi="Arial" w:cs="Arial"/>
          <w:szCs w:val="22"/>
        </w:rPr>
      </w:pPr>
      <w:r>
        <w:rPr>
          <w:rFonts w:ascii="Arial" w:hAnsi="Arial" w:cs="Arial"/>
          <w:szCs w:val="22"/>
        </w:rPr>
        <w:t>Please see Figure 1.</w:t>
      </w:r>
    </w:p>
    <w:p w14:paraId="29662090" w14:textId="77777777" w:rsidR="00D83F9A" w:rsidRDefault="00D83F9A" w:rsidP="00D83F9A">
      <w:pPr>
        <w:pStyle w:val="PlainText"/>
        <w:numPr>
          <w:ilvl w:val="0"/>
          <w:numId w:val="1"/>
        </w:numPr>
        <w:spacing w:after="120"/>
        <w:jc w:val="both"/>
        <w:rPr>
          <w:rFonts w:ascii="Arial" w:hAnsi="Arial" w:cs="Arial"/>
          <w:i/>
          <w:iCs/>
          <w:szCs w:val="22"/>
        </w:rPr>
      </w:pPr>
      <w:r w:rsidRPr="00105731">
        <w:rPr>
          <w:rFonts w:ascii="Arial" w:hAnsi="Arial" w:cs="Arial"/>
          <w:i/>
          <w:iCs/>
          <w:szCs w:val="22"/>
        </w:rPr>
        <w:t xml:space="preserve">Please see lines </w:t>
      </w:r>
      <w:r>
        <w:rPr>
          <w:rFonts w:ascii="Arial" w:hAnsi="Arial" w:cs="Arial"/>
          <w:i/>
          <w:iCs/>
          <w:szCs w:val="22"/>
        </w:rPr>
        <w:t xml:space="preserve">186 to 190 </w:t>
      </w:r>
      <w:r w:rsidRPr="00105731">
        <w:rPr>
          <w:rFonts w:ascii="Arial" w:hAnsi="Arial" w:cs="Arial"/>
          <w:i/>
          <w:iCs/>
          <w:szCs w:val="22"/>
        </w:rPr>
        <w:t xml:space="preserve">of </w:t>
      </w:r>
      <w:r>
        <w:rPr>
          <w:rFonts w:ascii="Arial" w:hAnsi="Arial" w:cs="Arial"/>
          <w:i/>
          <w:iCs/>
          <w:szCs w:val="22"/>
        </w:rPr>
        <w:t>discussion:</w:t>
      </w:r>
    </w:p>
    <w:p w14:paraId="4DFBEDC8" w14:textId="77777777" w:rsidR="00D83F9A" w:rsidRDefault="00D83F9A" w:rsidP="00D83F9A">
      <w:pPr>
        <w:pStyle w:val="PlainText"/>
        <w:spacing w:after="120"/>
        <w:ind w:left="720"/>
        <w:jc w:val="both"/>
        <w:rPr>
          <w:rFonts w:ascii="Arial" w:hAnsi="Arial" w:cs="Arial"/>
          <w:i/>
          <w:iCs/>
          <w:szCs w:val="22"/>
        </w:rPr>
      </w:pPr>
      <w:r>
        <w:rPr>
          <w:rFonts w:ascii="Arial" w:hAnsi="Arial" w:cs="Arial"/>
          <w:i/>
          <w:iCs/>
          <w:szCs w:val="22"/>
        </w:rPr>
        <w:t>“</w:t>
      </w:r>
      <w:r w:rsidRPr="00834EBB">
        <w:rPr>
          <w:rFonts w:ascii="Arial" w:hAnsi="Arial" w:cs="Arial"/>
          <w:i/>
          <w:iCs/>
          <w:szCs w:val="22"/>
        </w:rPr>
        <w:t>The results of this study, based on a large sample representative of the Spanish general population, show that SRD assessed by two questions usually included in population health surveys and cohort studies, might overestimate the prevalence of depression when compared with estimates from the PHQ-8, a valid and reliable tool for the assessment of depression (</w:t>
      </w:r>
      <w:proofErr w:type="spellStart"/>
      <w:r w:rsidRPr="00834EBB">
        <w:rPr>
          <w:rFonts w:ascii="Arial" w:hAnsi="Arial" w:cs="Arial"/>
          <w:i/>
          <w:iCs/>
          <w:szCs w:val="22"/>
        </w:rPr>
        <w:t>Gilbody</w:t>
      </w:r>
      <w:proofErr w:type="spellEnd"/>
      <w:r w:rsidRPr="00834EBB">
        <w:rPr>
          <w:rFonts w:ascii="Arial" w:hAnsi="Arial" w:cs="Arial"/>
          <w:i/>
          <w:iCs/>
          <w:szCs w:val="22"/>
        </w:rPr>
        <w:t xml:space="preserve"> et al., 2008; </w:t>
      </w:r>
      <w:proofErr w:type="spellStart"/>
      <w:r w:rsidRPr="00834EBB">
        <w:rPr>
          <w:rFonts w:ascii="Arial" w:hAnsi="Arial" w:cs="Arial"/>
          <w:i/>
          <w:iCs/>
          <w:szCs w:val="22"/>
        </w:rPr>
        <w:t>Manea</w:t>
      </w:r>
      <w:proofErr w:type="spellEnd"/>
      <w:r w:rsidRPr="00834EBB">
        <w:rPr>
          <w:rFonts w:ascii="Arial" w:hAnsi="Arial" w:cs="Arial"/>
          <w:i/>
          <w:iCs/>
          <w:szCs w:val="22"/>
        </w:rPr>
        <w:t xml:space="preserve"> et al., 2012; Moriarty et al., 2015; Wu et al., 2019)</w:t>
      </w:r>
      <w:r>
        <w:rPr>
          <w:rFonts w:ascii="Arial" w:hAnsi="Arial" w:cs="Arial"/>
          <w:i/>
          <w:iCs/>
          <w:szCs w:val="22"/>
        </w:rPr>
        <w:t>”.</w:t>
      </w:r>
    </w:p>
    <w:p w14:paraId="54DDF7B5" w14:textId="77777777" w:rsidR="00D83F9A" w:rsidRDefault="00D83F9A" w:rsidP="00D83F9A">
      <w:pPr>
        <w:pStyle w:val="PlainText"/>
        <w:numPr>
          <w:ilvl w:val="0"/>
          <w:numId w:val="1"/>
        </w:numPr>
        <w:spacing w:after="120"/>
        <w:jc w:val="both"/>
        <w:rPr>
          <w:rFonts w:ascii="Arial" w:hAnsi="Arial" w:cs="Arial"/>
          <w:i/>
          <w:iCs/>
          <w:szCs w:val="22"/>
        </w:rPr>
      </w:pPr>
      <w:r w:rsidRPr="00105731">
        <w:rPr>
          <w:rFonts w:ascii="Arial" w:hAnsi="Arial" w:cs="Arial"/>
          <w:i/>
          <w:iCs/>
          <w:szCs w:val="22"/>
        </w:rPr>
        <w:t xml:space="preserve">Please see lines </w:t>
      </w:r>
      <w:r>
        <w:rPr>
          <w:rFonts w:ascii="Arial" w:hAnsi="Arial" w:cs="Arial"/>
          <w:i/>
          <w:iCs/>
          <w:szCs w:val="22"/>
        </w:rPr>
        <w:t xml:space="preserve">206 to 208 </w:t>
      </w:r>
      <w:r w:rsidRPr="00105731">
        <w:rPr>
          <w:rFonts w:ascii="Arial" w:hAnsi="Arial" w:cs="Arial"/>
          <w:i/>
          <w:iCs/>
          <w:szCs w:val="22"/>
        </w:rPr>
        <w:t xml:space="preserve">of </w:t>
      </w:r>
      <w:r>
        <w:rPr>
          <w:rFonts w:ascii="Arial" w:hAnsi="Arial" w:cs="Arial"/>
          <w:i/>
          <w:iCs/>
          <w:szCs w:val="22"/>
        </w:rPr>
        <w:t>discussion:</w:t>
      </w:r>
    </w:p>
    <w:p w14:paraId="6274C3BA" w14:textId="77777777" w:rsidR="00D83F9A" w:rsidRPr="00834EBB" w:rsidRDefault="00D83F9A" w:rsidP="00D83F9A">
      <w:pPr>
        <w:pStyle w:val="PlainText"/>
        <w:spacing w:after="120"/>
        <w:ind w:left="720"/>
        <w:jc w:val="both"/>
        <w:rPr>
          <w:rFonts w:ascii="Arial" w:hAnsi="Arial" w:cs="Arial"/>
          <w:i/>
          <w:iCs/>
          <w:szCs w:val="22"/>
        </w:rPr>
      </w:pPr>
      <w:r>
        <w:rPr>
          <w:rFonts w:ascii="Arial" w:hAnsi="Arial" w:cs="Arial"/>
          <w:i/>
          <w:iCs/>
          <w:szCs w:val="22"/>
        </w:rPr>
        <w:t>“</w:t>
      </w:r>
      <w:r w:rsidRPr="00834EBB">
        <w:rPr>
          <w:rFonts w:ascii="Arial" w:hAnsi="Arial" w:cs="Arial"/>
          <w:i/>
          <w:iCs/>
          <w:szCs w:val="22"/>
        </w:rPr>
        <w:t>Additionally, as suggested by the supplementary analysis, further research using the SRD indicator as reference might be valuable to determine its relationship with the PHQ-8 as well as with other screening tools for depression and with clinical interviews (e.g. CIDI or SCID).</w:t>
      </w:r>
      <w:r>
        <w:rPr>
          <w:rFonts w:ascii="Arial" w:hAnsi="Arial" w:cs="Arial"/>
          <w:i/>
          <w:iCs/>
          <w:szCs w:val="22"/>
        </w:rPr>
        <w:t>”.</w:t>
      </w:r>
    </w:p>
    <w:p w14:paraId="3485A2C5" w14:textId="77777777" w:rsidR="00D83F9A" w:rsidRDefault="00D83F9A" w:rsidP="00D83F9A">
      <w:pPr>
        <w:pStyle w:val="PlainText"/>
        <w:numPr>
          <w:ilvl w:val="0"/>
          <w:numId w:val="1"/>
        </w:numPr>
        <w:spacing w:after="120"/>
        <w:jc w:val="both"/>
        <w:rPr>
          <w:rFonts w:ascii="Arial" w:hAnsi="Arial" w:cs="Arial"/>
          <w:i/>
          <w:iCs/>
          <w:szCs w:val="22"/>
        </w:rPr>
      </w:pPr>
      <w:r w:rsidRPr="00105731">
        <w:rPr>
          <w:rFonts w:ascii="Arial" w:hAnsi="Arial" w:cs="Arial"/>
          <w:i/>
          <w:iCs/>
          <w:szCs w:val="22"/>
        </w:rPr>
        <w:t xml:space="preserve">Please see lines </w:t>
      </w:r>
      <w:r>
        <w:rPr>
          <w:rFonts w:ascii="Arial" w:hAnsi="Arial" w:cs="Arial"/>
          <w:i/>
          <w:iCs/>
          <w:szCs w:val="22"/>
        </w:rPr>
        <w:t xml:space="preserve">236 to 245 </w:t>
      </w:r>
      <w:r w:rsidRPr="00105731">
        <w:rPr>
          <w:rFonts w:ascii="Arial" w:hAnsi="Arial" w:cs="Arial"/>
          <w:i/>
          <w:iCs/>
          <w:szCs w:val="22"/>
        </w:rPr>
        <w:t xml:space="preserve">of </w:t>
      </w:r>
      <w:r>
        <w:rPr>
          <w:rFonts w:ascii="Arial" w:hAnsi="Arial" w:cs="Arial"/>
          <w:i/>
          <w:iCs/>
          <w:szCs w:val="22"/>
        </w:rPr>
        <w:t>discussion:</w:t>
      </w:r>
    </w:p>
    <w:p w14:paraId="05C21E23" w14:textId="77777777" w:rsidR="00D83F9A" w:rsidRDefault="00D83F9A" w:rsidP="00D83F9A">
      <w:pPr>
        <w:pStyle w:val="PlainText"/>
        <w:spacing w:after="120"/>
        <w:ind w:left="720"/>
        <w:jc w:val="both"/>
        <w:rPr>
          <w:rFonts w:ascii="Arial" w:hAnsi="Arial" w:cs="Arial"/>
          <w:i/>
          <w:iCs/>
          <w:szCs w:val="22"/>
        </w:rPr>
      </w:pPr>
      <w:r>
        <w:rPr>
          <w:rFonts w:ascii="Arial" w:hAnsi="Arial" w:cs="Arial"/>
          <w:i/>
          <w:iCs/>
          <w:szCs w:val="22"/>
        </w:rPr>
        <w:t>“</w:t>
      </w:r>
      <w:r w:rsidRPr="00834EBB">
        <w:rPr>
          <w:rFonts w:ascii="Arial" w:hAnsi="Arial" w:cs="Arial"/>
          <w:i/>
          <w:iCs/>
          <w:szCs w:val="22"/>
        </w:rPr>
        <w:t xml:space="preserve">There are some limitations in this study that should be discussed apart from the differences in temporal frameworks between indicators addressed in their description. Though one limitation is assessing the SRD indicator using a screening tool (the PHQ-8), the cut-off value of 10+ of the PHQ-8 has shown high reliability and validity in detecting depressive disorders (including Major Depressive Disorder and dysthymia) when compared with the CIDI, SCID or MINI, and a suitable concordance when compared with the clinical diagnosis. </w:t>
      </w:r>
      <w:r w:rsidRPr="00834EBB">
        <w:rPr>
          <w:rFonts w:ascii="Arial" w:hAnsi="Arial" w:cs="Arial"/>
          <w:i/>
          <w:iCs/>
          <w:szCs w:val="22"/>
          <w:lang w:val="es-ES"/>
        </w:rPr>
        <w:t xml:space="preserve">(Diez-Quevedo et al., 2001; Levis et al., 2019; Manea et al., 2015; Moriarty et al., 2015). </w:t>
      </w:r>
      <w:r w:rsidRPr="00834EBB">
        <w:rPr>
          <w:rFonts w:ascii="Arial" w:hAnsi="Arial" w:cs="Arial"/>
          <w:i/>
          <w:iCs/>
          <w:szCs w:val="22"/>
        </w:rPr>
        <w:t>In addition, the PHQ-8 is based on the DSM-IV criteria for Major Depressive Disorder and have shown its validity to be used in different contexts and population groups (Moriarty et al., 2015; Wu et al., 2019). These characteristics makes it an indicator that could be considered as reference for screening depression at population level.</w:t>
      </w:r>
    </w:p>
    <w:p w14:paraId="030ACB88" w14:textId="77777777" w:rsidR="00D83F9A" w:rsidRPr="00834EBB" w:rsidRDefault="00D83F9A" w:rsidP="00D83F9A">
      <w:pPr>
        <w:pStyle w:val="PlainText"/>
        <w:numPr>
          <w:ilvl w:val="0"/>
          <w:numId w:val="1"/>
        </w:numPr>
        <w:spacing w:after="120"/>
        <w:jc w:val="both"/>
        <w:rPr>
          <w:rFonts w:ascii="Arial" w:hAnsi="Arial" w:cs="Arial"/>
          <w:i/>
          <w:iCs/>
          <w:szCs w:val="22"/>
        </w:rPr>
      </w:pPr>
      <w:r w:rsidRPr="00105731">
        <w:rPr>
          <w:rFonts w:ascii="Arial" w:hAnsi="Arial" w:cs="Arial"/>
          <w:i/>
          <w:iCs/>
          <w:szCs w:val="22"/>
        </w:rPr>
        <w:t xml:space="preserve">Please see lines </w:t>
      </w:r>
      <w:r>
        <w:rPr>
          <w:rFonts w:ascii="Arial" w:hAnsi="Arial" w:cs="Arial"/>
          <w:i/>
          <w:iCs/>
          <w:szCs w:val="22"/>
        </w:rPr>
        <w:t xml:space="preserve">259 to 261 </w:t>
      </w:r>
      <w:r w:rsidRPr="00105731">
        <w:rPr>
          <w:rFonts w:ascii="Arial" w:hAnsi="Arial" w:cs="Arial"/>
          <w:i/>
          <w:iCs/>
          <w:szCs w:val="22"/>
        </w:rPr>
        <w:t xml:space="preserve">of </w:t>
      </w:r>
      <w:r>
        <w:rPr>
          <w:rFonts w:ascii="Arial" w:hAnsi="Arial" w:cs="Arial"/>
          <w:i/>
          <w:iCs/>
          <w:szCs w:val="22"/>
        </w:rPr>
        <w:t>conclusions:</w:t>
      </w:r>
    </w:p>
    <w:p w14:paraId="502ED754" w14:textId="77777777" w:rsidR="00D83F9A" w:rsidRPr="00834EBB" w:rsidRDefault="00D83F9A" w:rsidP="00D83F9A">
      <w:pPr>
        <w:pStyle w:val="PlainText"/>
        <w:spacing w:after="120"/>
        <w:ind w:left="720"/>
        <w:jc w:val="both"/>
        <w:rPr>
          <w:rFonts w:ascii="Arial" w:hAnsi="Arial" w:cs="Arial"/>
          <w:i/>
          <w:iCs/>
          <w:szCs w:val="22"/>
        </w:rPr>
      </w:pPr>
      <w:r>
        <w:rPr>
          <w:rFonts w:ascii="Arial" w:hAnsi="Arial" w:cs="Arial"/>
          <w:i/>
          <w:iCs/>
          <w:szCs w:val="22"/>
        </w:rPr>
        <w:t>“</w:t>
      </w:r>
      <w:r w:rsidRPr="00834EBB">
        <w:rPr>
          <w:rFonts w:ascii="Arial" w:hAnsi="Arial" w:cs="Arial"/>
          <w:i/>
          <w:iCs/>
          <w:szCs w:val="22"/>
        </w:rPr>
        <w:t>While the use the SRD indicator is not adequate for assessing the prevalence of depression nor for diagnostic use at the individual level in clinical contexts, its use could be valuable in health surveys and cohort studies as a quick way to screen for depression and as a measure the need for mental health care</w:t>
      </w:r>
      <w:r>
        <w:rPr>
          <w:rFonts w:ascii="Arial" w:hAnsi="Arial" w:cs="Arial"/>
          <w:i/>
          <w:iCs/>
          <w:szCs w:val="22"/>
        </w:rPr>
        <w:t>”</w:t>
      </w:r>
      <w:r w:rsidRPr="00834EBB">
        <w:rPr>
          <w:rFonts w:ascii="Arial" w:hAnsi="Arial" w:cs="Arial"/>
          <w:i/>
          <w:iCs/>
          <w:szCs w:val="22"/>
        </w:rPr>
        <w:t xml:space="preserve">.  </w:t>
      </w:r>
    </w:p>
    <w:p w14:paraId="300790D4" w14:textId="77777777" w:rsidR="00D83F9A" w:rsidRDefault="00D83F9A" w:rsidP="00D83F9A">
      <w:pPr>
        <w:pStyle w:val="PlainText"/>
        <w:numPr>
          <w:ilvl w:val="0"/>
          <w:numId w:val="1"/>
        </w:numPr>
        <w:spacing w:after="120"/>
        <w:jc w:val="both"/>
        <w:rPr>
          <w:rFonts w:ascii="Arial" w:hAnsi="Arial" w:cs="Arial"/>
          <w:i/>
          <w:iCs/>
          <w:szCs w:val="22"/>
        </w:rPr>
      </w:pPr>
      <w:r w:rsidRPr="00105731">
        <w:rPr>
          <w:rFonts w:ascii="Arial" w:hAnsi="Arial" w:cs="Arial"/>
          <w:i/>
          <w:iCs/>
          <w:szCs w:val="22"/>
        </w:rPr>
        <w:t xml:space="preserve">Please see </w:t>
      </w:r>
      <w:r>
        <w:rPr>
          <w:rFonts w:ascii="Arial" w:hAnsi="Arial" w:cs="Arial"/>
          <w:i/>
          <w:iCs/>
          <w:szCs w:val="22"/>
        </w:rPr>
        <w:t>the following references:</w:t>
      </w:r>
    </w:p>
    <w:p w14:paraId="2D4BE14B" w14:textId="77777777" w:rsidR="00D83F9A" w:rsidRDefault="00D83F9A" w:rsidP="00D83F9A">
      <w:pPr>
        <w:pStyle w:val="PlainText"/>
        <w:numPr>
          <w:ilvl w:val="0"/>
          <w:numId w:val="2"/>
        </w:numPr>
        <w:spacing w:after="120"/>
        <w:jc w:val="both"/>
        <w:rPr>
          <w:rFonts w:ascii="Arial" w:hAnsi="Arial" w:cs="Arial"/>
          <w:i/>
          <w:iCs/>
          <w:szCs w:val="22"/>
        </w:rPr>
      </w:pPr>
      <w:r>
        <w:rPr>
          <w:rFonts w:ascii="Arial" w:hAnsi="Arial" w:cs="Arial"/>
          <w:i/>
          <w:iCs/>
          <w:szCs w:val="22"/>
        </w:rPr>
        <w:lastRenderedPageBreak/>
        <w:t>“</w:t>
      </w:r>
      <w:r w:rsidRPr="00834EBB">
        <w:rPr>
          <w:rFonts w:ascii="Arial" w:hAnsi="Arial" w:cs="Arial"/>
          <w:i/>
          <w:iCs/>
          <w:szCs w:val="22"/>
        </w:rPr>
        <w:t xml:space="preserve">Wu, Y., </w:t>
      </w:r>
      <w:proofErr w:type="spellStart"/>
      <w:r w:rsidRPr="00834EBB">
        <w:rPr>
          <w:rFonts w:ascii="Arial" w:hAnsi="Arial" w:cs="Arial"/>
          <w:i/>
          <w:iCs/>
          <w:szCs w:val="22"/>
        </w:rPr>
        <w:t>Levis</w:t>
      </w:r>
      <w:proofErr w:type="spellEnd"/>
      <w:r w:rsidRPr="00834EBB">
        <w:rPr>
          <w:rFonts w:ascii="Arial" w:hAnsi="Arial" w:cs="Arial"/>
          <w:i/>
          <w:iCs/>
          <w:szCs w:val="22"/>
        </w:rPr>
        <w:t xml:space="preserve">, B., </w:t>
      </w:r>
      <w:proofErr w:type="spellStart"/>
      <w:r w:rsidRPr="00834EBB">
        <w:rPr>
          <w:rFonts w:ascii="Arial" w:hAnsi="Arial" w:cs="Arial"/>
          <w:i/>
          <w:iCs/>
          <w:szCs w:val="22"/>
        </w:rPr>
        <w:t>Riehm</w:t>
      </w:r>
      <w:proofErr w:type="spellEnd"/>
      <w:r w:rsidRPr="00834EBB">
        <w:rPr>
          <w:rFonts w:ascii="Arial" w:hAnsi="Arial" w:cs="Arial"/>
          <w:i/>
          <w:iCs/>
          <w:szCs w:val="22"/>
        </w:rPr>
        <w:t xml:space="preserve">, K.E., Saadat, N., </w:t>
      </w:r>
      <w:proofErr w:type="spellStart"/>
      <w:r w:rsidRPr="00834EBB">
        <w:rPr>
          <w:rFonts w:ascii="Arial" w:hAnsi="Arial" w:cs="Arial"/>
          <w:i/>
          <w:iCs/>
          <w:szCs w:val="22"/>
        </w:rPr>
        <w:t>Levis</w:t>
      </w:r>
      <w:proofErr w:type="spellEnd"/>
      <w:r w:rsidRPr="00834EBB">
        <w:rPr>
          <w:rFonts w:ascii="Arial" w:hAnsi="Arial" w:cs="Arial"/>
          <w:i/>
          <w:iCs/>
          <w:szCs w:val="22"/>
        </w:rPr>
        <w:t xml:space="preserve">, A.W., Azar, M., Rice, D.B., </w:t>
      </w:r>
      <w:proofErr w:type="spellStart"/>
      <w:r w:rsidRPr="00834EBB">
        <w:rPr>
          <w:rFonts w:ascii="Arial" w:hAnsi="Arial" w:cs="Arial"/>
          <w:i/>
          <w:iCs/>
          <w:szCs w:val="22"/>
        </w:rPr>
        <w:t>Boruff</w:t>
      </w:r>
      <w:proofErr w:type="spellEnd"/>
      <w:r w:rsidRPr="00834EBB">
        <w:rPr>
          <w:rFonts w:ascii="Arial" w:hAnsi="Arial" w:cs="Arial"/>
          <w:i/>
          <w:iCs/>
          <w:szCs w:val="22"/>
        </w:rPr>
        <w:t xml:space="preserve">, J., </w:t>
      </w:r>
      <w:proofErr w:type="spellStart"/>
      <w:r w:rsidRPr="00834EBB">
        <w:rPr>
          <w:rFonts w:ascii="Arial" w:hAnsi="Arial" w:cs="Arial"/>
          <w:i/>
          <w:iCs/>
          <w:szCs w:val="22"/>
        </w:rPr>
        <w:t>Cuijpers</w:t>
      </w:r>
      <w:proofErr w:type="spellEnd"/>
      <w:r w:rsidRPr="00834EBB">
        <w:rPr>
          <w:rFonts w:ascii="Arial" w:hAnsi="Arial" w:cs="Arial"/>
          <w:i/>
          <w:iCs/>
          <w:szCs w:val="22"/>
        </w:rPr>
        <w:t xml:space="preserve">, P., </w:t>
      </w:r>
      <w:proofErr w:type="spellStart"/>
      <w:r w:rsidRPr="00834EBB">
        <w:rPr>
          <w:rFonts w:ascii="Arial" w:hAnsi="Arial" w:cs="Arial"/>
          <w:i/>
          <w:iCs/>
          <w:szCs w:val="22"/>
        </w:rPr>
        <w:t>Gilbody</w:t>
      </w:r>
      <w:proofErr w:type="spellEnd"/>
      <w:r w:rsidRPr="00834EBB">
        <w:rPr>
          <w:rFonts w:ascii="Arial" w:hAnsi="Arial" w:cs="Arial"/>
          <w:i/>
          <w:iCs/>
          <w:szCs w:val="22"/>
        </w:rPr>
        <w:t xml:space="preserve">, S., Ioannidis, J.P.A., </w:t>
      </w:r>
      <w:proofErr w:type="spellStart"/>
      <w:r w:rsidRPr="00834EBB">
        <w:rPr>
          <w:rFonts w:ascii="Arial" w:hAnsi="Arial" w:cs="Arial"/>
          <w:i/>
          <w:iCs/>
          <w:szCs w:val="22"/>
        </w:rPr>
        <w:t>Kloda</w:t>
      </w:r>
      <w:proofErr w:type="spellEnd"/>
      <w:r w:rsidRPr="00834EBB">
        <w:rPr>
          <w:rFonts w:ascii="Arial" w:hAnsi="Arial" w:cs="Arial"/>
          <w:i/>
          <w:iCs/>
          <w:szCs w:val="22"/>
        </w:rPr>
        <w:t xml:space="preserve">, L.A., McMillan, D., Patten, S.B., </w:t>
      </w:r>
      <w:proofErr w:type="spellStart"/>
      <w:r w:rsidRPr="00834EBB">
        <w:rPr>
          <w:rFonts w:ascii="Arial" w:hAnsi="Arial" w:cs="Arial"/>
          <w:i/>
          <w:iCs/>
          <w:szCs w:val="22"/>
        </w:rPr>
        <w:t>Shrier</w:t>
      </w:r>
      <w:proofErr w:type="spellEnd"/>
      <w:r w:rsidRPr="00834EBB">
        <w:rPr>
          <w:rFonts w:ascii="Arial" w:hAnsi="Arial" w:cs="Arial"/>
          <w:i/>
          <w:iCs/>
          <w:szCs w:val="22"/>
        </w:rPr>
        <w:t xml:space="preserve">, I., </w:t>
      </w:r>
      <w:proofErr w:type="spellStart"/>
      <w:r w:rsidRPr="00834EBB">
        <w:rPr>
          <w:rFonts w:ascii="Arial" w:hAnsi="Arial" w:cs="Arial"/>
          <w:i/>
          <w:iCs/>
          <w:szCs w:val="22"/>
        </w:rPr>
        <w:t>Ziegelstein</w:t>
      </w:r>
      <w:proofErr w:type="spellEnd"/>
      <w:r w:rsidRPr="00834EBB">
        <w:rPr>
          <w:rFonts w:ascii="Arial" w:hAnsi="Arial" w:cs="Arial"/>
          <w:i/>
          <w:iCs/>
          <w:szCs w:val="22"/>
        </w:rPr>
        <w:t xml:space="preserve">, R.C., </w:t>
      </w:r>
      <w:proofErr w:type="spellStart"/>
      <w:r w:rsidRPr="00834EBB">
        <w:rPr>
          <w:rFonts w:ascii="Arial" w:hAnsi="Arial" w:cs="Arial"/>
          <w:i/>
          <w:iCs/>
          <w:szCs w:val="22"/>
        </w:rPr>
        <w:t>Akena</w:t>
      </w:r>
      <w:proofErr w:type="spellEnd"/>
      <w:r w:rsidRPr="00834EBB">
        <w:rPr>
          <w:rFonts w:ascii="Arial" w:hAnsi="Arial" w:cs="Arial"/>
          <w:i/>
          <w:iCs/>
          <w:szCs w:val="22"/>
        </w:rPr>
        <w:t xml:space="preserve">, D.H., </w:t>
      </w:r>
      <w:proofErr w:type="spellStart"/>
      <w:r w:rsidRPr="00834EBB">
        <w:rPr>
          <w:rFonts w:ascii="Arial" w:hAnsi="Arial" w:cs="Arial"/>
          <w:i/>
          <w:iCs/>
          <w:szCs w:val="22"/>
        </w:rPr>
        <w:t>Arroll</w:t>
      </w:r>
      <w:proofErr w:type="spellEnd"/>
      <w:r w:rsidRPr="00834EBB">
        <w:rPr>
          <w:rFonts w:ascii="Arial" w:hAnsi="Arial" w:cs="Arial"/>
          <w:i/>
          <w:iCs/>
          <w:szCs w:val="22"/>
        </w:rPr>
        <w:t xml:space="preserve">, B., Ayalon, L., </w:t>
      </w:r>
      <w:proofErr w:type="spellStart"/>
      <w:r w:rsidRPr="00834EBB">
        <w:rPr>
          <w:rFonts w:ascii="Arial" w:hAnsi="Arial" w:cs="Arial"/>
          <w:i/>
          <w:iCs/>
          <w:szCs w:val="22"/>
        </w:rPr>
        <w:t>Baradaran</w:t>
      </w:r>
      <w:proofErr w:type="spellEnd"/>
      <w:r w:rsidRPr="00834EBB">
        <w:rPr>
          <w:rFonts w:ascii="Arial" w:hAnsi="Arial" w:cs="Arial"/>
          <w:i/>
          <w:iCs/>
          <w:szCs w:val="22"/>
        </w:rPr>
        <w:t xml:space="preserve">, H.R., Baron, M., Bombardier, C.H., Butterworth, P., Carter, G., Chagas, M.H., Chan, J.C.N., Cholera, R., Conwell, Y., de Man-van </w:t>
      </w:r>
      <w:proofErr w:type="spellStart"/>
      <w:r w:rsidRPr="00834EBB">
        <w:rPr>
          <w:rFonts w:ascii="Arial" w:hAnsi="Arial" w:cs="Arial"/>
          <w:i/>
          <w:iCs/>
          <w:szCs w:val="22"/>
        </w:rPr>
        <w:t>Ginkel</w:t>
      </w:r>
      <w:proofErr w:type="spellEnd"/>
      <w:r w:rsidRPr="00834EBB">
        <w:rPr>
          <w:rFonts w:ascii="Arial" w:hAnsi="Arial" w:cs="Arial"/>
          <w:i/>
          <w:iCs/>
          <w:szCs w:val="22"/>
        </w:rPr>
        <w:t xml:space="preserve">, J.M., </w:t>
      </w:r>
      <w:proofErr w:type="spellStart"/>
      <w:r w:rsidRPr="00834EBB">
        <w:rPr>
          <w:rFonts w:ascii="Arial" w:hAnsi="Arial" w:cs="Arial"/>
          <w:i/>
          <w:iCs/>
          <w:szCs w:val="22"/>
        </w:rPr>
        <w:t>Fann</w:t>
      </w:r>
      <w:proofErr w:type="spellEnd"/>
      <w:r w:rsidRPr="00834EBB">
        <w:rPr>
          <w:rFonts w:ascii="Arial" w:hAnsi="Arial" w:cs="Arial"/>
          <w:i/>
          <w:iCs/>
          <w:szCs w:val="22"/>
        </w:rPr>
        <w:t xml:space="preserve">, J.R., Fischer, F.H., Fung, D., </w:t>
      </w:r>
      <w:proofErr w:type="spellStart"/>
      <w:r w:rsidRPr="00834EBB">
        <w:rPr>
          <w:rFonts w:ascii="Arial" w:hAnsi="Arial" w:cs="Arial"/>
          <w:i/>
          <w:iCs/>
          <w:szCs w:val="22"/>
        </w:rPr>
        <w:t>Gelaye</w:t>
      </w:r>
      <w:proofErr w:type="spellEnd"/>
      <w:r w:rsidRPr="00834EBB">
        <w:rPr>
          <w:rFonts w:ascii="Arial" w:hAnsi="Arial" w:cs="Arial"/>
          <w:i/>
          <w:iCs/>
          <w:szCs w:val="22"/>
        </w:rPr>
        <w:t xml:space="preserve">, B., Goodyear-Smith, F., </w:t>
      </w:r>
      <w:proofErr w:type="spellStart"/>
      <w:r w:rsidRPr="00834EBB">
        <w:rPr>
          <w:rFonts w:ascii="Arial" w:hAnsi="Arial" w:cs="Arial"/>
          <w:i/>
          <w:iCs/>
          <w:szCs w:val="22"/>
        </w:rPr>
        <w:t>Greeno</w:t>
      </w:r>
      <w:proofErr w:type="spellEnd"/>
      <w:r w:rsidRPr="00834EBB">
        <w:rPr>
          <w:rFonts w:ascii="Arial" w:hAnsi="Arial" w:cs="Arial"/>
          <w:i/>
          <w:iCs/>
          <w:szCs w:val="22"/>
        </w:rPr>
        <w:t xml:space="preserve">, C.G., Hall, B.J., Harrison, P.A., </w:t>
      </w:r>
      <w:proofErr w:type="spellStart"/>
      <w:r w:rsidRPr="00834EBB">
        <w:rPr>
          <w:rFonts w:ascii="Arial" w:hAnsi="Arial" w:cs="Arial"/>
          <w:i/>
          <w:iCs/>
          <w:szCs w:val="22"/>
        </w:rPr>
        <w:t>Härter</w:t>
      </w:r>
      <w:proofErr w:type="spellEnd"/>
      <w:r w:rsidRPr="00834EBB">
        <w:rPr>
          <w:rFonts w:ascii="Arial" w:hAnsi="Arial" w:cs="Arial"/>
          <w:i/>
          <w:iCs/>
          <w:szCs w:val="22"/>
        </w:rPr>
        <w:t xml:space="preserve">, M., </w:t>
      </w:r>
      <w:proofErr w:type="spellStart"/>
      <w:r w:rsidRPr="00834EBB">
        <w:rPr>
          <w:rFonts w:ascii="Arial" w:hAnsi="Arial" w:cs="Arial"/>
          <w:i/>
          <w:iCs/>
          <w:szCs w:val="22"/>
        </w:rPr>
        <w:t>Hegerl</w:t>
      </w:r>
      <w:proofErr w:type="spellEnd"/>
      <w:r w:rsidRPr="00834EBB">
        <w:rPr>
          <w:rFonts w:ascii="Arial" w:hAnsi="Arial" w:cs="Arial"/>
          <w:i/>
          <w:iCs/>
          <w:szCs w:val="22"/>
        </w:rPr>
        <w:t xml:space="preserve">, U., Hides, L., </w:t>
      </w:r>
      <w:proofErr w:type="spellStart"/>
      <w:r w:rsidRPr="00834EBB">
        <w:rPr>
          <w:rFonts w:ascii="Arial" w:hAnsi="Arial" w:cs="Arial"/>
          <w:i/>
          <w:iCs/>
          <w:szCs w:val="22"/>
        </w:rPr>
        <w:t>Hobfoll</w:t>
      </w:r>
      <w:proofErr w:type="spellEnd"/>
      <w:r w:rsidRPr="00834EBB">
        <w:rPr>
          <w:rFonts w:ascii="Arial" w:hAnsi="Arial" w:cs="Arial"/>
          <w:i/>
          <w:iCs/>
          <w:szCs w:val="22"/>
        </w:rPr>
        <w:t xml:space="preserve">, S.E., Hudson, M., </w:t>
      </w:r>
      <w:proofErr w:type="spellStart"/>
      <w:r w:rsidRPr="00834EBB">
        <w:rPr>
          <w:rFonts w:ascii="Arial" w:hAnsi="Arial" w:cs="Arial"/>
          <w:i/>
          <w:iCs/>
          <w:szCs w:val="22"/>
        </w:rPr>
        <w:t>Hyphantis</w:t>
      </w:r>
      <w:proofErr w:type="spellEnd"/>
      <w:r w:rsidRPr="00834EBB">
        <w:rPr>
          <w:rFonts w:ascii="Arial" w:hAnsi="Arial" w:cs="Arial"/>
          <w:i/>
          <w:iCs/>
          <w:szCs w:val="22"/>
        </w:rPr>
        <w:t xml:space="preserve">, T., Inagaki, M., </w:t>
      </w:r>
      <w:proofErr w:type="spellStart"/>
      <w:r w:rsidRPr="00834EBB">
        <w:rPr>
          <w:rFonts w:ascii="Arial" w:hAnsi="Arial" w:cs="Arial"/>
          <w:i/>
          <w:iCs/>
          <w:szCs w:val="22"/>
        </w:rPr>
        <w:t>Jetté</w:t>
      </w:r>
      <w:proofErr w:type="spellEnd"/>
      <w:r w:rsidRPr="00834EBB">
        <w:rPr>
          <w:rFonts w:ascii="Arial" w:hAnsi="Arial" w:cs="Arial"/>
          <w:i/>
          <w:iCs/>
          <w:szCs w:val="22"/>
        </w:rPr>
        <w:t xml:space="preserve">, N., </w:t>
      </w:r>
      <w:proofErr w:type="spellStart"/>
      <w:r w:rsidRPr="00834EBB">
        <w:rPr>
          <w:rFonts w:ascii="Arial" w:hAnsi="Arial" w:cs="Arial"/>
          <w:i/>
          <w:iCs/>
          <w:szCs w:val="22"/>
        </w:rPr>
        <w:t>Khamseh</w:t>
      </w:r>
      <w:proofErr w:type="spellEnd"/>
      <w:r w:rsidRPr="00834EBB">
        <w:rPr>
          <w:rFonts w:ascii="Arial" w:hAnsi="Arial" w:cs="Arial"/>
          <w:i/>
          <w:iCs/>
          <w:szCs w:val="22"/>
        </w:rPr>
        <w:t xml:space="preserve">, M.E., Kiely, K.M., Kwan, Y., </w:t>
      </w:r>
      <w:proofErr w:type="spellStart"/>
      <w:r w:rsidRPr="00834EBB">
        <w:rPr>
          <w:rFonts w:ascii="Arial" w:hAnsi="Arial" w:cs="Arial"/>
          <w:i/>
          <w:iCs/>
          <w:szCs w:val="22"/>
        </w:rPr>
        <w:t>Lamers</w:t>
      </w:r>
      <w:proofErr w:type="spellEnd"/>
      <w:r w:rsidRPr="00834EBB">
        <w:rPr>
          <w:rFonts w:ascii="Arial" w:hAnsi="Arial" w:cs="Arial"/>
          <w:i/>
          <w:iCs/>
          <w:szCs w:val="22"/>
        </w:rPr>
        <w:t xml:space="preserve">, F., Liu, S.-I., </w:t>
      </w:r>
      <w:proofErr w:type="spellStart"/>
      <w:r w:rsidRPr="00834EBB">
        <w:rPr>
          <w:rFonts w:ascii="Arial" w:hAnsi="Arial" w:cs="Arial"/>
          <w:i/>
          <w:iCs/>
          <w:szCs w:val="22"/>
        </w:rPr>
        <w:t>Lotrakul</w:t>
      </w:r>
      <w:proofErr w:type="spellEnd"/>
      <w:r w:rsidRPr="00834EBB">
        <w:rPr>
          <w:rFonts w:ascii="Arial" w:hAnsi="Arial" w:cs="Arial"/>
          <w:i/>
          <w:iCs/>
          <w:szCs w:val="22"/>
        </w:rPr>
        <w:t xml:space="preserve">, M., Loureiro, S.R., </w:t>
      </w:r>
      <w:proofErr w:type="spellStart"/>
      <w:r w:rsidRPr="00834EBB">
        <w:rPr>
          <w:rFonts w:ascii="Arial" w:hAnsi="Arial" w:cs="Arial"/>
          <w:i/>
          <w:iCs/>
          <w:szCs w:val="22"/>
        </w:rPr>
        <w:t>Löwe</w:t>
      </w:r>
      <w:proofErr w:type="spellEnd"/>
      <w:r w:rsidRPr="00834EBB">
        <w:rPr>
          <w:rFonts w:ascii="Arial" w:hAnsi="Arial" w:cs="Arial"/>
          <w:i/>
          <w:iCs/>
          <w:szCs w:val="22"/>
        </w:rPr>
        <w:t xml:space="preserve">, B., McGuire, A., </w:t>
      </w:r>
      <w:proofErr w:type="spellStart"/>
      <w:r w:rsidRPr="00834EBB">
        <w:rPr>
          <w:rFonts w:ascii="Arial" w:hAnsi="Arial" w:cs="Arial"/>
          <w:i/>
          <w:iCs/>
          <w:szCs w:val="22"/>
        </w:rPr>
        <w:t>Mohd-Sidik</w:t>
      </w:r>
      <w:proofErr w:type="spellEnd"/>
      <w:r w:rsidRPr="00834EBB">
        <w:rPr>
          <w:rFonts w:ascii="Arial" w:hAnsi="Arial" w:cs="Arial"/>
          <w:i/>
          <w:iCs/>
          <w:szCs w:val="22"/>
        </w:rPr>
        <w:t xml:space="preserve">, S., </w:t>
      </w:r>
      <w:proofErr w:type="spellStart"/>
      <w:r w:rsidRPr="00834EBB">
        <w:rPr>
          <w:rFonts w:ascii="Arial" w:hAnsi="Arial" w:cs="Arial"/>
          <w:i/>
          <w:iCs/>
          <w:szCs w:val="22"/>
        </w:rPr>
        <w:t>Munhoz</w:t>
      </w:r>
      <w:proofErr w:type="spellEnd"/>
      <w:r w:rsidRPr="00834EBB">
        <w:rPr>
          <w:rFonts w:ascii="Arial" w:hAnsi="Arial" w:cs="Arial"/>
          <w:i/>
          <w:iCs/>
          <w:szCs w:val="22"/>
        </w:rPr>
        <w:t xml:space="preserve">, T.N., </w:t>
      </w:r>
      <w:proofErr w:type="spellStart"/>
      <w:r w:rsidRPr="00834EBB">
        <w:rPr>
          <w:rFonts w:ascii="Arial" w:hAnsi="Arial" w:cs="Arial"/>
          <w:i/>
          <w:iCs/>
          <w:szCs w:val="22"/>
        </w:rPr>
        <w:t>Muramatsu</w:t>
      </w:r>
      <w:proofErr w:type="spellEnd"/>
      <w:r w:rsidRPr="00834EBB">
        <w:rPr>
          <w:rFonts w:ascii="Arial" w:hAnsi="Arial" w:cs="Arial"/>
          <w:i/>
          <w:iCs/>
          <w:szCs w:val="22"/>
        </w:rPr>
        <w:t xml:space="preserve">, K., </w:t>
      </w:r>
      <w:proofErr w:type="spellStart"/>
      <w:r w:rsidRPr="00834EBB">
        <w:rPr>
          <w:rFonts w:ascii="Arial" w:hAnsi="Arial" w:cs="Arial"/>
          <w:i/>
          <w:iCs/>
          <w:szCs w:val="22"/>
        </w:rPr>
        <w:t>Osório</w:t>
      </w:r>
      <w:proofErr w:type="spellEnd"/>
      <w:r w:rsidRPr="00834EBB">
        <w:rPr>
          <w:rFonts w:ascii="Arial" w:hAnsi="Arial" w:cs="Arial"/>
          <w:i/>
          <w:iCs/>
          <w:szCs w:val="22"/>
        </w:rPr>
        <w:t xml:space="preserve">, F.L., Patel, V., Pence, B.W., </w:t>
      </w:r>
      <w:proofErr w:type="spellStart"/>
      <w:r w:rsidRPr="00834EBB">
        <w:rPr>
          <w:rFonts w:ascii="Arial" w:hAnsi="Arial" w:cs="Arial"/>
          <w:i/>
          <w:iCs/>
          <w:szCs w:val="22"/>
        </w:rPr>
        <w:t>Persoons</w:t>
      </w:r>
      <w:proofErr w:type="spellEnd"/>
      <w:r w:rsidRPr="00834EBB">
        <w:rPr>
          <w:rFonts w:ascii="Arial" w:hAnsi="Arial" w:cs="Arial"/>
          <w:i/>
          <w:iCs/>
          <w:szCs w:val="22"/>
        </w:rPr>
        <w:t xml:space="preserve">, P., </w:t>
      </w:r>
      <w:proofErr w:type="spellStart"/>
      <w:r w:rsidRPr="00834EBB">
        <w:rPr>
          <w:rFonts w:ascii="Arial" w:hAnsi="Arial" w:cs="Arial"/>
          <w:i/>
          <w:iCs/>
          <w:szCs w:val="22"/>
        </w:rPr>
        <w:t>Picardi</w:t>
      </w:r>
      <w:proofErr w:type="spellEnd"/>
      <w:r w:rsidRPr="00834EBB">
        <w:rPr>
          <w:rFonts w:ascii="Arial" w:hAnsi="Arial" w:cs="Arial"/>
          <w:i/>
          <w:iCs/>
          <w:szCs w:val="22"/>
        </w:rPr>
        <w:t xml:space="preserve">, A., Reuter, K., Rooney, A.G., Santos, I.S., Shaaban, J., Sidebottom, A., </w:t>
      </w:r>
      <w:proofErr w:type="spellStart"/>
      <w:r w:rsidRPr="00834EBB">
        <w:rPr>
          <w:rFonts w:ascii="Arial" w:hAnsi="Arial" w:cs="Arial"/>
          <w:i/>
          <w:iCs/>
          <w:szCs w:val="22"/>
        </w:rPr>
        <w:t>Simning</w:t>
      </w:r>
      <w:proofErr w:type="spellEnd"/>
      <w:r w:rsidRPr="00834EBB">
        <w:rPr>
          <w:rFonts w:ascii="Arial" w:hAnsi="Arial" w:cs="Arial"/>
          <w:i/>
          <w:iCs/>
          <w:szCs w:val="22"/>
        </w:rPr>
        <w:t xml:space="preserve">, A., Stafford, L., Sung, S., Tan, P.L.L., Turner, A., van </w:t>
      </w:r>
      <w:proofErr w:type="spellStart"/>
      <w:r w:rsidRPr="00834EBB">
        <w:rPr>
          <w:rFonts w:ascii="Arial" w:hAnsi="Arial" w:cs="Arial"/>
          <w:i/>
          <w:iCs/>
          <w:szCs w:val="22"/>
        </w:rPr>
        <w:t>Weert</w:t>
      </w:r>
      <w:proofErr w:type="spellEnd"/>
      <w:r w:rsidRPr="00834EBB">
        <w:rPr>
          <w:rFonts w:ascii="Arial" w:hAnsi="Arial" w:cs="Arial"/>
          <w:i/>
          <w:iCs/>
          <w:szCs w:val="22"/>
        </w:rPr>
        <w:t xml:space="preserve">, H.C., White, J., </w:t>
      </w:r>
      <w:proofErr w:type="spellStart"/>
      <w:r w:rsidRPr="00834EBB">
        <w:rPr>
          <w:rFonts w:ascii="Arial" w:hAnsi="Arial" w:cs="Arial"/>
          <w:i/>
          <w:iCs/>
          <w:szCs w:val="22"/>
        </w:rPr>
        <w:t>Whooley</w:t>
      </w:r>
      <w:proofErr w:type="spellEnd"/>
      <w:r w:rsidRPr="00834EBB">
        <w:rPr>
          <w:rFonts w:ascii="Arial" w:hAnsi="Arial" w:cs="Arial"/>
          <w:i/>
          <w:iCs/>
          <w:szCs w:val="22"/>
        </w:rPr>
        <w:t xml:space="preserve">, M.A., Winkley, K., Yamada, M., Benedetti, A., Thombs, B.D., 2019. Equivalency of the diagnostic accuracy of the PHQ-8 and PHQ-9: a systematic review and individual participant data meta-analysis. Psychol. Med. 1–13. </w:t>
      </w:r>
      <w:hyperlink r:id="rId6" w:history="1">
        <w:r w:rsidRPr="0015409B">
          <w:rPr>
            <w:rStyle w:val="Hyperlink"/>
            <w:rFonts w:ascii="Arial" w:hAnsi="Arial" w:cs="Arial"/>
            <w:i/>
            <w:iCs/>
            <w:szCs w:val="22"/>
          </w:rPr>
          <w:t>https://doi.org/10.1017/S0033291719001314</w:t>
        </w:r>
      </w:hyperlink>
    </w:p>
    <w:p w14:paraId="530ED0A3" w14:textId="77777777" w:rsidR="00D83F9A" w:rsidRPr="00834EBB" w:rsidRDefault="00D83F9A" w:rsidP="00D83F9A">
      <w:pPr>
        <w:pStyle w:val="PlainText"/>
        <w:numPr>
          <w:ilvl w:val="0"/>
          <w:numId w:val="2"/>
        </w:numPr>
        <w:spacing w:after="120"/>
        <w:jc w:val="both"/>
        <w:rPr>
          <w:rFonts w:ascii="Arial" w:hAnsi="Arial" w:cs="Arial"/>
          <w:i/>
          <w:iCs/>
          <w:szCs w:val="22"/>
        </w:rPr>
      </w:pPr>
      <w:r w:rsidRPr="00834EBB">
        <w:rPr>
          <w:rFonts w:ascii="Arial" w:hAnsi="Arial" w:cs="Arial"/>
          <w:i/>
          <w:iCs/>
          <w:szCs w:val="22"/>
        </w:rPr>
        <w:t xml:space="preserve">Diez-Quevedo, C., </w:t>
      </w:r>
      <w:proofErr w:type="spellStart"/>
      <w:r w:rsidRPr="00834EBB">
        <w:rPr>
          <w:rFonts w:ascii="Arial" w:hAnsi="Arial" w:cs="Arial"/>
          <w:i/>
          <w:iCs/>
          <w:szCs w:val="22"/>
        </w:rPr>
        <w:t>Rangil</w:t>
      </w:r>
      <w:proofErr w:type="spellEnd"/>
      <w:r w:rsidRPr="00834EBB">
        <w:rPr>
          <w:rFonts w:ascii="Arial" w:hAnsi="Arial" w:cs="Arial"/>
          <w:i/>
          <w:iCs/>
          <w:szCs w:val="22"/>
        </w:rPr>
        <w:t>, T., Sanchez-</w:t>
      </w:r>
      <w:proofErr w:type="spellStart"/>
      <w:r w:rsidRPr="00834EBB">
        <w:rPr>
          <w:rFonts w:ascii="Arial" w:hAnsi="Arial" w:cs="Arial"/>
          <w:i/>
          <w:iCs/>
          <w:szCs w:val="22"/>
        </w:rPr>
        <w:t>Planell</w:t>
      </w:r>
      <w:proofErr w:type="spellEnd"/>
      <w:r w:rsidRPr="00834EBB">
        <w:rPr>
          <w:rFonts w:ascii="Arial" w:hAnsi="Arial" w:cs="Arial"/>
          <w:i/>
          <w:iCs/>
          <w:szCs w:val="22"/>
        </w:rPr>
        <w:t xml:space="preserve">, L., Kroenke, K., Spitzer, R.L., 2001. Validation and utility of the patient health questionnaire in diagnosing mental disorders in 1003 general hospital Spanish inpatients. </w:t>
      </w:r>
      <w:proofErr w:type="spellStart"/>
      <w:r w:rsidRPr="00834EBB">
        <w:rPr>
          <w:rFonts w:ascii="Arial" w:hAnsi="Arial" w:cs="Arial"/>
          <w:i/>
          <w:iCs/>
          <w:szCs w:val="22"/>
        </w:rPr>
        <w:t>Psychosom</w:t>
      </w:r>
      <w:proofErr w:type="spellEnd"/>
      <w:r w:rsidRPr="00834EBB">
        <w:rPr>
          <w:rFonts w:ascii="Arial" w:hAnsi="Arial" w:cs="Arial"/>
          <w:i/>
          <w:iCs/>
          <w:szCs w:val="22"/>
        </w:rPr>
        <w:t>. Med. 63, 679–86</w:t>
      </w:r>
    </w:p>
    <w:p w14:paraId="7A66E79C" w14:textId="77777777" w:rsidR="00D83F9A" w:rsidRPr="00834EBB" w:rsidRDefault="00D83F9A" w:rsidP="00D83F9A">
      <w:pPr>
        <w:pStyle w:val="PlainText"/>
        <w:numPr>
          <w:ilvl w:val="0"/>
          <w:numId w:val="2"/>
        </w:numPr>
        <w:spacing w:after="120"/>
        <w:jc w:val="both"/>
        <w:rPr>
          <w:rFonts w:ascii="Arial" w:hAnsi="Arial" w:cs="Arial"/>
          <w:i/>
          <w:iCs/>
          <w:szCs w:val="22"/>
        </w:rPr>
      </w:pPr>
      <w:proofErr w:type="spellStart"/>
      <w:r w:rsidRPr="00834EBB">
        <w:rPr>
          <w:rFonts w:ascii="Arial" w:hAnsi="Arial" w:cs="Arial"/>
          <w:i/>
          <w:iCs/>
          <w:szCs w:val="22"/>
        </w:rPr>
        <w:t>Gilbody</w:t>
      </w:r>
      <w:proofErr w:type="spellEnd"/>
      <w:r w:rsidRPr="00834EBB">
        <w:rPr>
          <w:rFonts w:ascii="Arial" w:hAnsi="Arial" w:cs="Arial"/>
          <w:i/>
          <w:iCs/>
          <w:szCs w:val="22"/>
        </w:rPr>
        <w:t>, S., Sheldon, T., House, A., 2008. Screening and case-finding instruments for depression: a meta-analysis. Can. Med. Assoc. J. 178, 997–1003. https://doi.org/10.1503/cmaj.070281</w:t>
      </w:r>
    </w:p>
    <w:p w14:paraId="58D0492D" w14:textId="77777777" w:rsidR="00D83F9A" w:rsidRPr="00834EBB" w:rsidRDefault="00D83F9A" w:rsidP="00D83F9A">
      <w:pPr>
        <w:pStyle w:val="PlainText"/>
        <w:numPr>
          <w:ilvl w:val="0"/>
          <w:numId w:val="2"/>
        </w:numPr>
        <w:spacing w:after="120"/>
        <w:jc w:val="both"/>
        <w:rPr>
          <w:rFonts w:ascii="Arial" w:hAnsi="Arial" w:cs="Arial"/>
          <w:i/>
          <w:iCs/>
          <w:szCs w:val="22"/>
        </w:rPr>
      </w:pPr>
      <w:r w:rsidRPr="00834EBB">
        <w:rPr>
          <w:rFonts w:ascii="Arial" w:hAnsi="Arial" w:cs="Arial"/>
          <w:i/>
          <w:iCs/>
          <w:szCs w:val="22"/>
        </w:rPr>
        <w:t>Kroenke, K., Spitzer, R.L., Williams, J.B., 2001. The PHQ-9: validity of a brief depression severity measure. J. Gen. Intern. Med. 16, 606–13.</w:t>
      </w:r>
    </w:p>
    <w:p w14:paraId="499426C7" w14:textId="77777777" w:rsidR="00D83F9A" w:rsidRPr="00834EBB" w:rsidRDefault="00D83F9A" w:rsidP="00D83F9A">
      <w:pPr>
        <w:pStyle w:val="PlainText"/>
        <w:numPr>
          <w:ilvl w:val="0"/>
          <w:numId w:val="2"/>
        </w:numPr>
        <w:spacing w:after="120"/>
        <w:jc w:val="both"/>
        <w:rPr>
          <w:rFonts w:ascii="Arial" w:hAnsi="Arial" w:cs="Arial"/>
          <w:i/>
          <w:iCs/>
          <w:szCs w:val="22"/>
        </w:rPr>
      </w:pPr>
      <w:proofErr w:type="spellStart"/>
      <w:r w:rsidRPr="00834EBB">
        <w:rPr>
          <w:rFonts w:ascii="Arial" w:hAnsi="Arial" w:cs="Arial"/>
          <w:i/>
          <w:iCs/>
          <w:szCs w:val="22"/>
        </w:rPr>
        <w:t>Levis</w:t>
      </w:r>
      <w:proofErr w:type="spellEnd"/>
      <w:r w:rsidRPr="00834EBB">
        <w:rPr>
          <w:rFonts w:ascii="Arial" w:hAnsi="Arial" w:cs="Arial"/>
          <w:i/>
          <w:iCs/>
          <w:szCs w:val="22"/>
        </w:rPr>
        <w:t>, B., Benedetti, A., Thombs, B.D., 2019. Accuracy of Patient Health Questionnaire-9 (PHQ-9) for screening to detect major depression: individual participant data meta-analysis. BMJ l1476. https://doi.org/10.1136/bmj.l1476</w:t>
      </w:r>
    </w:p>
    <w:p w14:paraId="53A07B8E" w14:textId="77777777" w:rsidR="00D83F9A" w:rsidRPr="00834EBB" w:rsidRDefault="00D83F9A" w:rsidP="00D83F9A">
      <w:pPr>
        <w:pStyle w:val="PlainText"/>
        <w:numPr>
          <w:ilvl w:val="0"/>
          <w:numId w:val="2"/>
        </w:numPr>
        <w:spacing w:after="120"/>
        <w:jc w:val="both"/>
        <w:rPr>
          <w:rFonts w:ascii="Arial" w:hAnsi="Arial" w:cs="Arial"/>
          <w:i/>
          <w:iCs/>
          <w:szCs w:val="22"/>
        </w:rPr>
      </w:pPr>
      <w:proofErr w:type="spellStart"/>
      <w:r w:rsidRPr="00834EBB">
        <w:rPr>
          <w:rFonts w:ascii="Arial" w:hAnsi="Arial" w:cs="Arial"/>
          <w:i/>
          <w:iCs/>
          <w:szCs w:val="22"/>
        </w:rPr>
        <w:t>Manea</w:t>
      </w:r>
      <w:proofErr w:type="spellEnd"/>
      <w:r w:rsidRPr="00834EBB">
        <w:rPr>
          <w:rFonts w:ascii="Arial" w:hAnsi="Arial" w:cs="Arial"/>
          <w:i/>
          <w:iCs/>
          <w:szCs w:val="22"/>
        </w:rPr>
        <w:t xml:space="preserve">, L., </w:t>
      </w:r>
      <w:proofErr w:type="spellStart"/>
      <w:r w:rsidRPr="00834EBB">
        <w:rPr>
          <w:rFonts w:ascii="Arial" w:hAnsi="Arial" w:cs="Arial"/>
          <w:i/>
          <w:iCs/>
          <w:szCs w:val="22"/>
        </w:rPr>
        <w:t>Gilbody</w:t>
      </w:r>
      <w:proofErr w:type="spellEnd"/>
      <w:r w:rsidRPr="00834EBB">
        <w:rPr>
          <w:rFonts w:ascii="Arial" w:hAnsi="Arial" w:cs="Arial"/>
          <w:i/>
          <w:iCs/>
          <w:szCs w:val="22"/>
        </w:rPr>
        <w:t>, S., McMillan, D., 2015. A diagnostic meta-analysis of the Patient Health Questionnaire-9 (PHQ-9) algorithm scoring method as a screen for depression. Gen. Hosp. Psychiatry 37, 67–75. https://doi.org/10.1016/j.genhosppsych.2014.09.009</w:t>
      </w:r>
    </w:p>
    <w:p w14:paraId="4EB0D991" w14:textId="77777777" w:rsidR="00D83F9A" w:rsidRPr="00834EBB" w:rsidRDefault="00D83F9A" w:rsidP="00D83F9A">
      <w:pPr>
        <w:pStyle w:val="PlainText"/>
        <w:numPr>
          <w:ilvl w:val="0"/>
          <w:numId w:val="2"/>
        </w:numPr>
        <w:spacing w:after="120"/>
        <w:jc w:val="both"/>
        <w:rPr>
          <w:rFonts w:ascii="Arial" w:hAnsi="Arial" w:cs="Arial"/>
          <w:i/>
          <w:iCs/>
          <w:szCs w:val="22"/>
        </w:rPr>
      </w:pPr>
      <w:proofErr w:type="spellStart"/>
      <w:r w:rsidRPr="00834EBB">
        <w:rPr>
          <w:rFonts w:ascii="Arial" w:hAnsi="Arial" w:cs="Arial"/>
          <w:i/>
          <w:iCs/>
          <w:szCs w:val="22"/>
        </w:rPr>
        <w:t>Manea</w:t>
      </w:r>
      <w:proofErr w:type="spellEnd"/>
      <w:r w:rsidRPr="00834EBB">
        <w:rPr>
          <w:rFonts w:ascii="Arial" w:hAnsi="Arial" w:cs="Arial"/>
          <w:i/>
          <w:iCs/>
          <w:szCs w:val="22"/>
        </w:rPr>
        <w:t xml:space="preserve">, L., </w:t>
      </w:r>
      <w:proofErr w:type="spellStart"/>
      <w:r w:rsidRPr="00834EBB">
        <w:rPr>
          <w:rFonts w:ascii="Arial" w:hAnsi="Arial" w:cs="Arial"/>
          <w:i/>
          <w:iCs/>
          <w:szCs w:val="22"/>
        </w:rPr>
        <w:t>Gilbody</w:t>
      </w:r>
      <w:proofErr w:type="spellEnd"/>
      <w:r w:rsidRPr="00834EBB">
        <w:rPr>
          <w:rFonts w:ascii="Arial" w:hAnsi="Arial" w:cs="Arial"/>
          <w:i/>
          <w:iCs/>
          <w:szCs w:val="22"/>
        </w:rPr>
        <w:t>, S., McMillan, D., 2012. Optimal cut-off score for diagnosing depression with the Patient Health Questionnaire (PHQ-9): a meta-analysis. Can. Med. Assoc. J. 184, E191–E196. https://doi.org/10.1503/cmaj.110829</w:t>
      </w:r>
    </w:p>
    <w:p w14:paraId="7197677D" w14:textId="77777777" w:rsidR="00D83F9A" w:rsidRDefault="00D83F9A" w:rsidP="00D83F9A">
      <w:pPr>
        <w:pStyle w:val="PlainText"/>
        <w:numPr>
          <w:ilvl w:val="0"/>
          <w:numId w:val="2"/>
        </w:numPr>
        <w:spacing w:after="120"/>
        <w:jc w:val="both"/>
        <w:rPr>
          <w:rFonts w:ascii="Arial" w:hAnsi="Arial" w:cs="Arial"/>
          <w:i/>
          <w:iCs/>
          <w:szCs w:val="22"/>
        </w:rPr>
      </w:pPr>
      <w:r w:rsidRPr="00834EBB">
        <w:rPr>
          <w:rFonts w:ascii="Arial" w:hAnsi="Arial" w:cs="Arial"/>
          <w:i/>
          <w:iCs/>
          <w:szCs w:val="22"/>
        </w:rPr>
        <w:t xml:space="preserve">Moriarty, A.S., </w:t>
      </w:r>
      <w:proofErr w:type="spellStart"/>
      <w:r w:rsidRPr="00834EBB">
        <w:rPr>
          <w:rFonts w:ascii="Arial" w:hAnsi="Arial" w:cs="Arial"/>
          <w:i/>
          <w:iCs/>
          <w:szCs w:val="22"/>
        </w:rPr>
        <w:t>Gilbody</w:t>
      </w:r>
      <w:proofErr w:type="spellEnd"/>
      <w:r w:rsidRPr="00834EBB">
        <w:rPr>
          <w:rFonts w:ascii="Arial" w:hAnsi="Arial" w:cs="Arial"/>
          <w:i/>
          <w:iCs/>
          <w:szCs w:val="22"/>
        </w:rPr>
        <w:t xml:space="preserve">, S., McMillan, D., </w:t>
      </w:r>
      <w:proofErr w:type="spellStart"/>
      <w:r w:rsidRPr="00834EBB">
        <w:rPr>
          <w:rFonts w:ascii="Arial" w:hAnsi="Arial" w:cs="Arial"/>
          <w:i/>
          <w:iCs/>
          <w:szCs w:val="22"/>
        </w:rPr>
        <w:t>Manea</w:t>
      </w:r>
      <w:proofErr w:type="spellEnd"/>
      <w:r w:rsidRPr="00834EBB">
        <w:rPr>
          <w:rFonts w:ascii="Arial" w:hAnsi="Arial" w:cs="Arial"/>
          <w:i/>
          <w:iCs/>
          <w:szCs w:val="22"/>
        </w:rPr>
        <w:t>, L., 2015. Screening and case finding for major depressive disorder using the Patient Health Questionnaire (PHQ-9): a meta-analysis. Gen. Hosp. Psychiatry 37, 567–576. https://doi.org/10.1016/j.genhosppsych.2015.06.012</w:t>
      </w:r>
      <w:r>
        <w:rPr>
          <w:rFonts w:ascii="Arial" w:hAnsi="Arial" w:cs="Arial"/>
          <w:i/>
          <w:iCs/>
          <w:szCs w:val="22"/>
        </w:rPr>
        <w:t>”.</w:t>
      </w:r>
    </w:p>
    <w:p w14:paraId="586A221E" w14:textId="77777777" w:rsidR="00D83F9A" w:rsidRPr="00587EF7" w:rsidRDefault="00D83F9A" w:rsidP="00D83F9A">
      <w:pPr>
        <w:pStyle w:val="PlainText"/>
        <w:spacing w:after="120"/>
        <w:ind w:left="720"/>
        <w:jc w:val="both"/>
        <w:rPr>
          <w:rFonts w:ascii="Arial" w:hAnsi="Arial" w:cs="Arial"/>
          <w:i/>
          <w:iCs/>
          <w:szCs w:val="22"/>
        </w:rPr>
      </w:pPr>
    </w:p>
    <w:p w14:paraId="7AABAE8A" w14:textId="77777777" w:rsidR="00D83F9A" w:rsidRPr="006F770B" w:rsidRDefault="00D83F9A" w:rsidP="00D83F9A">
      <w:pPr>
        <w:pStyle w:val="PlainText"/>
        <w:spacing w:after="120"/>
        <w:jc w:val="both"/>
        <w:rPr>
          <w:rFonts w:ascii="Arial" w:hAnsi="Arial" w:cs="Arial"/>
          <w:szCs w:val="22"/>
        </w:rPr>
      </w:pPr>
      <w:r w:rsidRPr="003A224B">
        <w:rPr>
          <w:rFonts w:ascii="Arial" w:hAnsi="Arial" w:cs="Arial"/>
          <w:b/>
          <w:bCs/>
          <w:szCs w:val="22"/>
        </w:rPr>
        <w:t>I am not very convinced by the logistic regressions either. Most of the demographic variables are practically uncorrelated or weakly or trivially correlated. Why not tackle each of them with a loglinear analysis of the three-way table including the two alternative measures and the background variable?</w:t>
      </w:r>
    </w:p>
    <w:p w14:paraId="2753D593" w14:textId="77777777" w:rsidR="00D83F9A" w:rsidRPr="00587EF7" w:rsidRDefault="00D83F9A" w:rsidP="00D83F9A">
      <w:pPr>
        <w:pStyle w:val="PlainText"/>
        <w:spacing w:after="120"/>
        <w:jc w:val="both"/>
        <w:rPr>
          <w:rFonts w:ascii="Arial" w:hAnsi="Arial" w:cs="Arial"/>
          <w:szCs w:val="22"/>
        </w:rPr>
      </w:pPr>
      <w:r w:rsidRPr="0068701B">
        <w:rPr>
          <w:rFonts w:ascii="Arial" w:hAnsi="Arial" w:cs="Arial"/>
          <w:szCs w:val="22"/>
        </w:rPr>
        <w:t xml:space="preserve">R: Thank you for </w:t>
      </w:r>
      <w:r>
        <w:rPr>
          <w:rFonts w:ascii="Arial" w:hAnsi="Arial" w:cs="Arial"/>
          <w:szCs w:val="22"/>
        </w:rPr>
        <w:t>raising this concern. We want to highlight that one of the main assumptions of the logistic model is the absence of multicollinearity. This situation usually appears when the variables included as predictors</w:t>
      </w:r>
      <w:r w:rsidRPr="00A9705F">
        <w:rPr>
          <w:rFonts w:ascii="Arial" w:hAnsi="Arial" w:cs="Arial"/>
          <w:szCs w:val="22"/>
        </w:rPr>
        <w:t xml:space="preserve"> </w:t>
      </w:r>
      <w:r>
        <w:rPr>
          <w:rFonts w:ascii="Arial" w:hAnsi="Arial" w:cs="Arial"/>
          <w:szCs w:val="22"/>
        </w:rPr>
        <w:t xml:space="preserve">within the model are correlated. Therefore, we consider that (among other reasons e.g. the dichotomous nature of the dependent variable) the use of a logistic model is justified in absence of correlation between the demographic variables </w:t>
      </w:r>
      <w:r>
        <w:rPr>
          <w:rFonts w:ascii="Arial" w:hAnsi="Arial" w:cs="Arial"/>
          <w:szCs w:val="22"/>
        </w:rPr>
        <w:lastRenderedPageBreak/>
        <w:t xml:space="preserve">(please see the reference: </w:t>
      </w:r>
      <w:proofErr w:type="spellStart"/>
      <w:r>
        <w:rPr>
          <w:rFonts w:ascii="Arial" w:hAnsi="Arial" w:cs="Arial"/>
          <w:szCs w:val="22"/>
        </w:rPr>
        <w:t>Szklo</w:t>
      </w:r>
      <w:proofErr w:type="spellEnd"/>
      <w:r>
        <w:rPr>
          <w:rFonts w:ascii="Arial" w:hAnsi="Arial" w:cs="Arial"/>
          <w:szCs w:val="22"/>
        </w:rPr>
        <w:t xml:space="preserve"> and Nieto, 2014). Despite this, we have now included more information to justify its use and a suggestion for further research to </w:t>
      </w:r>
      <w:bookmarkStart w:id="0" w:name="_Hlk52281783"/>
      <w:r>
        <w:rPr>
          <w:rFonts w:ascii="Arial" w:hAnsi="Arial" w:cs="Arial"/>
          <w:szCs w:val="22"/>
        </w:rPr>
        <w:t>explore other analytical approaches such as a log-linear analysis</w:t>
      </w:r>
      <w:bookmarkEnd w:id="0"/>
      <w:r>
        <w:rPr>
          <w:rFonts w:ascii="Arial" w:hAnsi="Arial" w:cs="Arial"/>
          <w:szCs w:val="22"/>
        </w:rPr>
        <w:t>.</w:t>
      </w:r>
    </w:p>
    <w:p w14:paraId="5635428A" w14:textId="77777777" w:rsidR="00D83F9A" w:rsidRDefault="00D83F9A" w:rsidP="00D83F9A">
      <w:pPr>
        <w:pStyle w:val="PlainText"/>
        <w:spacing w:after="120"/>
        <w:jc w:val="both"/>
        <w:rPr>
          <w:rFonts w:ascii="Arial" w:hAnsi="Arial" w:cs="Arial"/>
          <w:i/>
          <w:iCs/>
          <w:szCs w:val="22"/>
        </w:rPr>
      </w:pPr>
      <w:r w:rsidRPr="00A4141F">
        <w:rPr>
          <w:rFonts w:ascii="Arial" w:hAnsi="Arial" w:cs="Arial"/>
          <w:i/>
          <w:iCs/>
          <w:szCs w:val="22"/>
        </w:rPr>
        <w:t xml:space="preserve">Changes in text: </w:t>
      </w:r>
    </w:p>
    <w:p w14:paraId="544695AD" w14:textId="77777777" w:rsidR="00D83F9A" w:rsidRDefault="00D83F9A" w:rsidP="00D83F9A">
      <w:pPr>
        <w:pStyle w:val="PlainText"/>
        <w:numPr>
          <w:ilvl w:val="0"/>
          <w:numId w:val="1"/>
        </w:numPr>
        <w:spacing w:after="120"/>
        <w:jc w:val="both"/>
        <w:rPr>
          <w:rFonts w:ascii="Arial" w:hAnsi="Arial" w:cs="Arial"/>
          <w:i/>
          <w:iCs/>
          <w:szCs w:val="22"/>
        </w:rPr>
      </w:pPr>
      <w:r>
        <w:rPr>
          <w:rFonts w:ascii="Arial" w:hAnsi="Arial" w:cs="Arial"/>
          <w:i/>
          <w:iCs/>
          <w:szCs w:val="22"/>
        </w:rPr>
        <w:t>Please see lines 136 and 137 of materials and methods:</w:t>
      </w:r>
    </w:p>
    <w:p w14:paraId="32E8FD1E" w14:textId="77777777" w:rsidR="00D83F9A" w:rsidRDefault="00D83F9A" w:rsidP="00D83F9A">
      <w:pPr>
        <w:pStyle w:val="PlainText"/>
        <w:spacing w:after="120"/>
        <w:ind w:left="720"/>
        <w:jc w:val="both"/>
        <w:rPr>
          <w:rFonts w:ascii="Arial" w:hAnsi="Arial" w:cs="Arial"/>
          <w:i/>
          <w:iCs/>
          <w:szCs w:val="22"/>
        </w:rPr>
      </w:pPr>
      <w:r>
        <w:rPr>
          <w:rFonts w:ascii="Arial" w:hAnsi="Arial" w:cs="Arial"/>
          <w:i/>
          <w:iCs/>
          <w:szCs w:val="22"/>
        </w:rPr>
        <w:t>“</w:t>
      </w:r>
      <w:r w:rsidRPr="006639CD">
        <w:rPr>
          <w:rFonts w:ascii="Arial" w:hAnsi="Arial" w:cs="Arial"/>
          <w:i/>
          <w:iCs/>
          <w:szCs w:val="22"/>
        </w:rPr>
        <w:t>Logistic models were used due to the binary (dichotomous) nature of the dependent variables used in this study (</w:t>
      </w:r>
      <w:proofErr w:type="spellStart"/>
      <w:r w:rsidRPr="006639CD">
        <w:rPr>
          <w:rFonts w:ascii="Arial" w:hAnsi="Arial" w:cs="Arial"/>
          <w:i/>
          <w:iCs/>
          <w:szCs w:val="22"/>
        </w:rPr>
        <w:t>Szklo</w:t>
      </w:r>
      <w:proofErr w:type="spellEnd"/>
      <w:r w:rsidRPr="006639CD">
        <w:rPr>
          <w:rFonts w:ascii="Arial" w:hAnsi="Arial" w:cs="Arial"/>
          <w:i/>
          <w:iCs/>
          <w:szCs w:val="22"/>
        </w:rPr>
        <w:t xml:space="preserve"> and Nieto, 2014)</w:t>
      </w:r>
      <w:r>
        <w:rPr>
          <w:rFonts w:ascii="Arial" w:hAnsi="Arial" w:cs="Arial"/>
          <w:i/>
          <w:iCs/>
          <w:szCs w:val="22"/>
        </w:rPr>
        <w:t>”.</w:t>
      </w:r>
    </w:p>
    <w:p w14:paraId="2F4337A0" w14:textId="77777777" w:rsidR="00D83F9A" w:rsidRDefault="00D83F9A" w:rsidP="00D83F9A">
      <w:pPr>
        <w:pStyle w:val="PlainText"/>
        <w:numPr>
          <w:ilvl w:val="0"/>
          <w:numId w:val="1"/>
        </w:numPr>
        <w:spacing w:after="120"/>
        <w:jc w:val="both"/>
        <w:rPr>
          <w:rFonts w:ascii="Arial" w:hAnsi="Arial" w:cs="Arial"/>
          <w:i/>
          <w:iCs/>
          <w:szCs w:val="22"/>
        </w:rPr>
      </w:pPr>
      <w:r>
        <w:rPr>
          <w:rFonts w:ascii="Arial" w:hAnsi="Arial" w:cs="Arial"/>
          <w:i/>
          <w:iCs/>
          <w:szCs w:val="22"/>
        </w:rPr>
        <w:t>P</w:t>
      </w:r>
      <w:r w:rsidRPr="00A4141F">
        <w:rPr>
          <w:rFonts w:ascii="Arial" w:hAnsi="Arial" w:cs="Arial"/>
          <w:i/>
          <w:iCs/>
          <w:szCs w:val="22"/>
        </w:rPr>
        <w:t xml:space="preserve">lease see lines </w:t>
      </w:r>
      <w:r>
        <w:rPr>
          <w:rFonts w:ascii="Arial" w:hAnsi="Arial" w:cs="Arial"/>
          <w:i/>
          <w:iCs/>
          <w:szCs w:val="22"/>
        </w:rPr>
        <w:t>252 to 254 of discussion:</w:t>
      </w:r>
    </w:p>
    <w:p w14:paraId="40B9B2CB" w14:textId="77777777" w:rsidR="00D83F9A" w:rsidRDefault="00D83F9A" w:rsidP="00D83F9A">
      <w:pPr>
        <w:pStyle w:val="PlainText"/>
        <w:spacing w:after="120"/>
        <w:ind w:left="720"/>
        <w:jc w:val="both"/>
        <w:rPr>
          <w:rFonts w:ascii="Arial" w:hAnsi="Arial" w:cs="Arial"/>
          <w:i/>
          <w:iCs/>
          <w:szCs w:val="22"/>
        </w:rPr>
      </w:pPr>
      <w:r>
        <w:rPr>
          <w:rFonts w:ascii="Arial" w:hAnsi="Arial" w:cs="Arial"/>
          <w:i/>
          <w:iCs/>
          <w:szCs w:val="22"/>
        </w:rPr>
        <w:t>“</w:t>
      </w:r>
      <w:r w:rsidRPr="006639CD">
        <w:rPr>
          <w:rFonts w:ascii="Arial" w:hAnsi="Arial" w:cs="Arial"/>
          <w:i/>
          <w:iCs/>
          <w:szCs w:val="22"/>
        </w:rPr>
        <w:t>Finally, we should mention that the use of other statistical approaches (e.g. log-linear analyses) might be useful to better understand the relationship between the SRD and the PHQ-8 and give new information about the accuracy of the former</w:t>
      </w:r>
      <w:r>
        <w:rPr>
          <w:rFonts w:ascii="Arial" w:hAnsi="Arial" w:cs="Arial"/>
          <w:i/>
          <w:iCs/>
          <w:szCs w:val="22"/>
        </w:rPr>
        <w:t>”</w:t>
      </w:r>
      <w:r w:rsidRPr="00B23E33">
        <w:rPr>
          <w:rFonts w:ascii="Arial" w:hAnsi="Arial" w:cs="Arial"/>
          <w:i/>
          <w:iCs/>
          <w:szCs w:val="22"/>
        </w:rPr>
        <w:t>.</w:t>
      </w:r>
    </w:p>
    <w:p w14:paraId="2F0CDC08" w14:textId="77777777" w:rsidR="00D83F9A" w:rsidRDefault="00D83F9A" w:rsidP="00D83F9A">
      <w:pPr>
        <w:pStyle w:val="PlainText"/>
        <w:numPr>
          <w:ilvl w:val="0"/>
          <w:numId w:val="1"/>
        </w:numPr>
        <w:spacing w:after="120"/>
        <w:jc w:val="both"/>
        <w:rPr>
          <w:rFonts w:ascii="Arial" w:hAnsi="Arial" w:cs="Arial"/>
          <w:i/>
          <w:iCs/>
          <w:szCs w:val="22"/>
        </w:rPr>
      </w:pPr>
      <w:r>
        <w:rPr>
          <w:rFonts w:ascii="Arial" w:hAnsi="Arial" w:cs="Arial"/>
          <w:i/>
          <w:iCs/>
          <w:szCs w:val="22"/>
        </w:rPr>
        <w:t>P</w:t>
      </w:r>
      <w:r w:rsidRPr="00A4141F">
        <w:rPr>
          <w:rFonts w:ascii="Arial" w:hAnsi="Arial" w:cs="Arial"/>
          <w:i/>
          <w:iCs/>
          <w:szCs w:val="22"/>
        </w:rPr>
        <w:t xml:space="preserve">lease see </w:t>
      </w:r>
      <w:r>
        <w:rPr>
          <w:rFonts w:ascii="Arial" w:hAnsi="Arial" w:cs="Arial"/>
          <w:i/>
          <w:iCs/>
          <w:szCs w:val="22"/>
        </w:rPr>
        <w:t>the following references:</w:t>
      </w:r>
    </w:p>
    <w:p w14:paraId="1B61E0EC" w14:textId="77777777" w:rsidR="00D83F9A" w:rsidRPr="007C41F9" w:rsidRDefault="00D83F9A" w:rsidP="00D83F9A">
      <w:pPr>
        <w:pStyle w:val="PlainText"/>
        <w:numPr>
          <w:ilvl w:val="0"/>
          <w:numId w:val="3"/>
        </w:numPr>
        <w:spacing w:after="120"/>
        <w:jc w:val="both"/>
        <w:rPr>
          <w:rFonts w:ascii="Arial" w:hAnsi="Arial" w:cs="Arial"/>
          <w:i/>
          <w:iCs/>
          <w:szCs w:val="22"/>
        </w:rPr>
      </w:pPr>
      <w:r>
        <w:rPr>
          <w:rFonts w:ascii="Arial" w:hAnsi="Arial" w:cs="Arial"/>
          <w:i/>
          <w:iCs/>
          <w:szCs w:val="22"/>
        </w:rPr>
        <w:t>“</w:t>
      </w:r>
      <w:proofErr w:type="spellStart"/>
      <w:r w:rsidRPr="006639CD">
        <w:rPr>
          <w:rFonts w:ascii="Arial" w:hAnsi="Arial" w:cs="Arial"/>
          <w:i/>
          <w:iCs/>
          <w:szCs w:val="22"/>
        </w:rPr>
        <w:t>Szklo</w:t>
      </w:r>
      <w:proofErr w:type="spellEnd"/>
      <w:r w:rsidRPr="006639CD">
        <w:rPr>
          <w:rFonts w:ascii="Arial" w:hAnsi="Arial" w:cs="Arial"/>
          <w:i/>
          <w:iCs/>
          <w:szCs w:val="22"/>
        </w:rPr>
        <w:t>, M., Nieto, J., 2014. Epidemiology, Beyond the Basics (3rd Edition), Sudbury, MA: Jones &amp; Bartlett Publishers.</w:t>
      </w:r>
      <w:r>
        <w:rPr>
          <w:rFonts w:ascii="Arial" w:hAnsi="Arial" w:cs="Arial"/>
          <w:i/>
          <w:iCs/>
          <w:szCs w:val="22"/>
        </w:rPr>
        <w:t>”.</w:t>
      </w:r>
    </w:p>
    <w:p w14:paraId="14FE7230" w14:textId="77777777" w:rsidR="00D83F9A" w:rsidRPr="007C41F9" w:rsidRDefault="00D83F9A" w:rsidP="00D83F9A">
      <w:pPr>
        <w:pStyle w:val="PlainText"/>
        <w:spacing w:after="120"/>
        <w:ind w:left="720"/>
        <w:jc w:val="both"/>
        <w:rPr>
          <w:rFonts w:ascii="Arial" w:hAnsi="Arial" w:cs="Arial"/>
          <w:i/>
          <w:iCs/>
          <w:szCs w:val="22"/>
        </w:rPr>
      </w:pPr>
    </w:p>
    <w:p w14:paraId="5DADC885" w14:textId="77777777" w:rsidR="007D773C" w:rsidRDefault="00D83F9A"/>
    <w:sectPr w:rsidR="007D77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A349FC"/>
    <w:multiLevelType w:val="hybridMultilevel"/>
    <w:tmpl w:val="0F3CC10C"/>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15:restartNumberingAfterBreak="0">
    <w:nsid w:val="37C665FF"/>
    <w:multiLevelType w:val="hybridMultilevel"/>
    <w:tmpl w:val="738C3A9C"/>
    <w:lvl w:ilvl="0" w:tplc="CC243D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E36C27"/>
    <w:multiLevelType w:val="hybridMultilevel"/>
    <w:tmpl w:val="A5B832F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F9A"/>
    <w:rsid w:val="005C5A4C"/>
    <w:rsid w:val="00D83F9A"/>
    <w:rsid w:val="00E338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D1680"/>
  <w15:chartTrackingRefBased/>
  <w15:docId w15:val="{0392546C-3350-458F-A401-5F242FF33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F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83F9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83F9A"/>
    <w:rPr>
      <w:rFonts w:ascii="Calibri" w:hAnsi="Calibri"/>
      <w:szCs w:val="21"/>
    </w:rPr>
  </w:style>
  <w:style w:type="character" w:styleId="Hyperlink">
    <w:name w:val="Hyperlink"/>
    <w:basedOn w:val="DefaultParagraphFont"/>
    <w:uiPriority w:val="99"/>
    <w:unhideWhenUsed/>
    <w:rsid w:val="00D83F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7/S0033291719001314" TargetMode="External"/><Relationship Id="rId5" Type="http://schemas.openxmlformats.org/officeDocument/2006/relationships/hyperlink" Target="https://dexterities.netlify.app/2018/05/25/equating-a-pass-fail-score-with-dext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1702</Words>
  <Characters>9702</Characters>
  <Application>Microsoft Office Word</Application>
  <DocSecurity>0</DocSecurity>
  <Lines>80</Lines>
  <Paragraphs>22</Paragraphs>
  <ScaleCrop>false</ScaleCrop>
  <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Arias de la Torre, Jorge</dc:creator>
  <cp:keywords/>
  <dc:description/>
  <cp:lastModifiedBy>Arias de la Torre, Jorge</cp:lastModifiedBy>
  <cp:revision>1</cp:revision>
  <dcterms:created xsi:type="dcterms:W3CDTF">2020-10-02T09:23:00Z</dcterms:created>
  <dcterms:modified xsi:type="dcterms:W3CDTF">2020-10-02T09:23:00Z</dcterms:modified>
</cp:coreProperties>
</file>