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AA0E8" w14:textId="77777777" w:rsidR="00E81BEB" w:rsidRPr="005C0DF1" w:rsidRDefault="00E81BEB" w:rsidP="00E81BEB">
      <w:pPr>
        <w:tabs>
          <w:tab w:val="left" w:pos="360"/>
        </w:tabs>
        <w:rPr>
          <w:rFonts w:asciiTheme="minorHAnsi" w:hAnsiTheme="minorHAnsi" w:cstheme="minorHAnsi"/>
          <w:b/>
          <w:bCs/>
          <w:color w:val="000000" w:themeColor="text1"/>
          <w:sz w:val="22"/>
          <w:szCs w:val="22"/>
          <w:u w:val="single"/>
        </w:rPr>
      </w:pPr>
      <w:r w:rsidRPr="005C0DF1">
        <w:rPr>
          <w:rFonts w:asciiTheme="minorHAnsi" w:hAnsiTheme="minorHAnsi" w:cstheme="minorHAnsi"/>
          <w:b/>
          <w:bCs/>
          <w:color w:val="000000" w:themeColor="text1"/>
          <w:sz w:val="22"/>
          <w:szCs w:val="22"/>
          <w:u w:val="single"/>
        </w:rPr>
        <w:t>Reviewer 3</w:t>
      </w:r>
    </w:p>
    <w:p w14:paraId="596B9057" w14:textId="77777777" w:rsidR="00E81BEB" w:rsidRPr="005C0DF1" w:rsidRDefault="00E81BEB" w:rsidP="00E81BEB">
      <w:pPr>
        <w:tabs>
          <w:tab w:val="left" w:pos="360"/>
        </w:tabs>
        <w:rPr>
          <w:rFonts w:asciiTheme="minorHAnsi" w:hAnsiTheme="minorHAnsi" w:cstheme="minorHAnsi"/>
          <w:color w:val="000000" w:themeColor="text1"/>
          <w:sz w:val="22"/>
          <w:szCs w:val="22"/>
        </w:rPr>
      </w:pPr>
    </w:p>
    <w:p w14:paraId="0E8D42F5" w14:textId="77777777" w:rsidR="00E81BEB" w:rsidRPr="005C0DF1" w:rsidRDefault="00E81BEB" w:rsidP="00E81BEB">
      <w:pPr>
        <w:pStyle w:val="NormalWeb"/>
        <w:rPr>
          <w:rFonts w:asciiTheme="minorHAnsi" w:hAnsiTheme="minorHAnsi" w:cstheme="minorHAnsi"/>
          <w:color w:val="000000"/>
          <w:sz w:val="22"/>
          <w:szCs w:val="22"/>
        </w:rPr>
      </w:pPr>
      <w:r w:rsidRPr="005C0DF1">
        <w:rPr>
          <w:rFonts w:asciiTheme="minorHAnsi" w:hAnsiTheme="minorHAnsi" w:cstheme="minorHAnsi"/>
          <w:color w:val="000000" w:themeColor="text1"/>
          <w:sz w:val="22"/>
          <w:szCs w:val="22"/>
          <w:u w:val="single"/>
        </w:rPr>
        <w:t>Reviewer comment</w:t>
      </w:r>
      <w:r>
        <w:rPr>
          <w:rFonts w:asciiTheme="minorHAnsi" w:hAnsiTheme="minorHAnsi" w:cstheme="minorHAnsi"/>
          <w:color w:val="000000" w:themeColor="text1"/>
          <w:sz w:val="22"/>
          <w:szCs w:val="22"/>
          <w:u w:val="single"/>
        </w:rPr>
        <w:t>s:</w:t>
      </w:r>
      <w:r w:rsidRPr="005C0DF1">
        <w:rPr>
          <w:rFonts w:asciiTheme="minorHAnsi" w:hAnsiTheme="minorHAnsi" w:cstheme="minorHAnsi"/>
          <w:color w:val="000000" w:themeColor="text1"/>
          <w:sz w:val="22"/>
          <w:szCs w:val="22"/>
        </w:rPr>
        <w:t xml:space="preserve"> </w:t>
      </w:r>
      <w:r w:rsidRPr="005C0DF1">
        <w:rPr>
          <w:rFonts w:asciiTheme="minorHAnsi" w:hAnsiTheme="minorHAnsi" w:cstheme="minorHAnsi"/>
          <w:color w:val="0A0A0A"/>
          <w:sz w:val="22"/>
          <w:szCs w:val="22"/>
        </w:rPr>
        <w:t>This article seeks to quantify and compare the cost of TPW externalities on thirty American cities, to assist decision making on policies regarding commercial tobacco products and waste management. By putting dollar values on what is often a visible, but ignored, cost to jurisdictions this analysis helps to elevate the importance of TPW management in urban areas.</w:t>
      </w:r>
    </w:p>
    <w:p w14:paraId="5C4E7350" w14:textId="77777777" w:rsidR="00E81BEB" w:rsidRPr="001B5C11" w:rsidRDefault="00E81BEB" w:rsidP="00E81BEB">
      <w:pPr>
        <w:spacing w:before="100" w:beforeAutospacing="1" w:after="100" w:afterAutospacing="1"/>
        <w:rPr>
          <w:rFonts w:asciiTheme="minorHAnsi" w:hAnsiTheme="minorHAnsi" w:cstheme="minorHAnsi"/>
          <w:color w:val="0A0A0A"/>
          <w:sz w:val="22"/>
          <w:szCs w:val="22"/>
        </w:rPr>
      </w:pPr>
      <w:r w:rsidRPr="00D92DF3">
        <w:rPr>
          <w:rFonts w:asciiTheme="minorHAnsi" w:hAnsiTheme="minorHAnsi" w:cstheme="minorHAnsi"/>
          <w:color w:val="0A0A0A"/>
          <w:sz w:val="22"/>
          <w:szCs w:val="22"/>
        </w:rPr>
        <w:t>Generally, there is an issue of terminology that the authors might want to adjust. While the article refers to TPW in its discussion and findings, it seems that the majority of the underlying data regard the most frequently-found source of TPW, cigarette butts. This is understandable, and indeed cigarette butts are the predominate littered TPW, however it does have the potential to mislead readers into thinking this is the "total costs" rather than the costs of the most prevalent form of TPW today. </w:t>
      </w:r>
      <w:r w:rsidRPr="005C0DF1">
        <w:rPr>
          <w:rFonts w:asciiTheme="minorHAnsi" w:hAnsiTheme="minorHAnsi" w:cstheme="minorHAnsi"/>
          <w:color w:val="0A0A0A"/>
          <w:sz w:val="22"/>
          <w:szCs w:val="22"/>
        </w:rPr>
        <w:t>It would be helpful to have some additional discussion within the introduction about how novel products have the potential to be significantly more costly to dispose of correctly. Two specific examples come to mind: e-cigarettes and IQOS.</w:t>
      </w:r>
    </w:p>
    <w:p w14:paraId="48AABAC0" w14:textId="77777777" w:rsidR="00E81BEB" w:rsidRDefault="00E81BEB" w:rsidP="00E81BEB">
      <w:pPr>
        <w:pStyle w:val="NormalWeb"/>
        <w:rPr>
          <w:rFonts w:asciiTheme="minorHAnsi" w:hAnsiTheme="minorHAnsi" w:cstheme="minorHAnsi"/>
          <w:color w:val="0A0A0A"/>
          <w:sz w:val="22"/>
          <w:szCs w:val="22"/>
        </w:rPr>
      </w:pPr>
      <w:r w:rsidRPr="005C0DF1">
        <w:rPr>
          <w:rFonts w:asciiTheme="minorHAnsi" w:hAnsiTheme="minorHAnsi" w:cstheme="minorHAnsi"/>
          <w:color w:val="0A0A0A"/>
          <w:sz w:val="22"/>
          <w:szCs w:val="22"/>
        </w:rPr>
        <w:t>More specifically on the above point: The liquid nicotine in e-cigarettes is a listed acute hazardous waste under federal law, and so schools, courthouses, and other public entities that accumulate these wastes will be saddled with the compliance costs that come with handling nicotine responsibly. These are costs from TPW that cities will incur, and they will vary significantly based on costs of disposal in each relevant state, but such costs are not incorporated into your modeling. More information on this regulatory burden is available in this government guidance</w:t>
      </w:r>
      <w:r w:rsidRPr="005C0DF1">
        <w:rPr>
          <w:rStyle w:val="apple-converted-space"/>
          <w:rFonts w:asciiTheme="minorHAnsi" w:hAnsiTheme="minorHAnsi" w:cstheme="minorHAnsi"/>
          <w:color w:val="0A0A0A"/>
          <w:sz w:val="22"/>
          <w:szCs w:val="22"/>
        </w:rPr>
        <w:t> </w:t>
      </w:r>
      <w:hyperlink r:id="rId4" w:history="1">
        <w:r w:rsidRPr="005C0DF1">
          <w:rPr>
            <w:rStyle w:val="Hyperlink"/>
            <w:rFonts w:asciiTheme="minorHAnsi" w:hAnsiTheme="minorHAnsi" w:cstheme="minorHAnsi"/>
            <w:sz w:val="22"/>
            <w:szCs w:val="22"/>
          </w:rPr>
          <w:t>https://environmentalrecords.colorado.gov/HPRMWebDrawerHM/RecordView/434101</w:t>
        </w:r>
      </w:hyperlink>
      <w:r w:rsidRPr="005C0DF1">
        <w:rPr>
          <w:rStyle w:val="apple-converted-space"/>
          <w:rFonts w:asciiTheme="minorHAnsi" w:hAnsiTheme="minorHAnsi" w:cstheme="minorHAnsi"/>
          <w:color w:val="0A0A0A"/>
          <w:sz w:val="22"/>
          <w:szCs w:val="22"/>
        </w:rPr>
        <w:t> </w:t>
      </w:r>
      <w:r w:rsidRPr="005C0DF1">
        <w:rPr>
          <w:rFonts w:asciiTheme="minorHAnsi" w:hAnsiTheme="minorHAnsi" w:cstheme="minorHAnsi"/>
          <w:color w:val="0A0A0A"/>
          <w:sz w:val="22"/>
          <w:szCs w:val="22"/>
        </w:rPr>
        <w:t>and</w:t>
      </w:r>
      <w:r w:rsidRPr="005C0DF1">
        <w:rPr>
          <w:rStyle w:val="apple-converted-space"/>
          <w:rFonts w:asciiTheme="minorHAnsi" w:hAnsiTheme="minorHAnsi" w:cstheme="minorHAnsi"/>
          <w:color w:val="0A0A0A"/>
          <w:sz w:val="22"/>
          <w:szCs w:val="22"/>
        </w:rPr>
        <w:t> </w:t>
      </w:r>
      <w:hyperlink r:id="rId5" w:history="1">
        <w:r w:rsidRPr="005C0DF1">
          <w:rPr>
            <w:rStyle w:val="Hyperlink"/>
            <w:rFonts w:asciiTheme="minorHAnsi" w:hAnsiTheme="minorHAnsi" w:cstheme="minorHAnsi"/>
            <w:sz w:val="22"/>
            <w:szCs w:val="22"/>
          </w:rPr>
          <w:t>https://rcrapublic.epa.gov/files/14850.pdf</w:t>
        </w:r>
      </w:hyperlink>
      <w:r w:rsidRPr="005C0DF1">
        <w:rPr>
          <w:rFonts w:asciiTheme="minorHAnsi" w:hAnsiTheme="minorHAnsi" w:cstheme="minorHAnsi"/>
          <w:color w:val="0A0A0A"/>
          <w:sz w:val="22"/>
          <w:szCs w:val="22"/>
        </w:rPr>
        <w:t xml:space="preserve">. </w:t>
      </w:r>
    </w:p>
    <w:p w14:paraId="58CB26CC" w14:textId="77777777" w:rsidR="00E81BEB" w:rsidRDefault="00E81BEB" w:rsidP="00E81BEB">
      <w:pPr>
        <w:pStyle w:val="NormalWeb"/>
        <w:rPr>
          <w:rFonts w:asciiTheme="minorHAnsi" w:hAnsiTheme="minorHAnsi" w:cstheme="minorHAnsi"/>
          <w:color w:val="0A0A0A"/>
          <w:sz w:val="22"/>
          <w:szCs w:val="22"/>
        </w:rPr>
      </w:pPr>
    </w:p>
    <w:p w14:paraId="049C5227" w14:textId="77777777" w:rsidR="00E81BEB" w:rsidRDefault="00E81BEB" w:rsidP="00E81BEB">
      <w:pPr>
        <w:pStyle w:val="NormalWeb"/>
        <w:rPr>
          <w:rFonts w:asciiTheme="minorHAnsi" w:hAnsiTheme="minorHAnsi" w:cstheme="minorHAnsi"/>
          <w:color w:val="0A0A0A"/>
          <w:sz w:val="22"/>
          <w:szCs w:val="22"/>
        </w:rPr>
      </w:pPr>
      <w:r w:rsidRPr="005C0DF1">
        <w:rPr>
          <w:rFonts w:asciiTheme="minorHAnsi" w:hAnsiTheme="minorHAnsi" w:cstheme="minorHAnsi"/>
          <w:color w:val="0A0A0A"/>
          <w:sz w:val="22"/>
          <w:szCs w:val="22"/>
        </w:rPr>
        <w:t>For IQOS, which can now legally be sold in the U.S., FDA's Environmental Assessment on this novel product estimates that modest switching among people who smoke to primarily dual use of the product will result in an increased weight of discarded "sticks" equivalent to 74,100,000 more butts per year. See</w:t>
      </w:r>
      <w:r w:rsidRPr="005C0DF1">
        <w:rPr>
          <w:rStyle w:val="apple-converted-space"/>
          <w:rFonts w:asciiTheme="minorHAnsi" w:hAnsiTheme="minorHAnsi" w:cstheme="minorHAnsi"/>
          <w:color w:val="0A0A0A"/>
          <w:sz w:val="22"/>
          <w:szCs w:val="22"/>
        </w:rPr>
        <w:t> </w:t>
      </w:r>
      <w:hyperlink r:id="rId6" w:history="1">
        <w:r w:rsidRPr="005C0DF1">
          <w:rPr>
            <w:rStyle w:val="Hyperlink"/>
            <w:rFonts w:asciiTheme="minorHAnsi" w:hAnsiTheme="minorHAnsi" w:cstheme="minorHAnsi"/>
            <w:sz w:val="22"/>
            <w:szCs w:val="22"/>
          </w:rPr>
          <w:t>https://www.fda.gov/media/134458/download</w:t>
        </w:r>
      </w:hyperlink>
      <w:r w:rsidRPr="005C0DF1">
        <w:rPr>
          <w:rStyle w:val="apple-converted-space"/>
          <w:rFonts w:asciiTheme="minorHAnsi" w:hAnsiTheme="minorHAnsi" w:cstheme="minorHAnsi"/>
          <w:color w:val="0A0A0A"/>
          <w:sz w:val="22"/>
          <w:szCs w:val="22"/>
        </w:rPr>
        <w:t> </w:t>
      </w:r>
      <w:r w:rsidRPr="005C0DF1">
        <w:rPr>
          <w:rFonts w:asciiTheme="minorHAnsi" w:hAnsiTheme="minorHAnsi" w:cstheme="minorHAnsi"/>
          <w:color w:val="0A0A0A"/>
          <w:sz w:val="22"/>
          <w:szCs w:val="22"/>
        </w:rPr>
        <w:t xml:space="preserve">(FDA estimated additional solid waste at “a negligible 0.03 percent (by weight) increase in the total litter from all 247 billion cigarette butts consumed in 2017 in the United States.”). That is only one of several heated tobacco products that might change the future of TPW significantly, if FDA continues to approve of such products' sales. </w:t>
      </w:r>
    </w:p>
    <w:p w14:paraId="7C08672C" w14:textId="77777777" w:rsidR="00E81BEB" w:rsidRDefault="00E81BEB" w:rsidP="00E81BEB">
      <w:pPr>
        <w:pStyle w:val="NormalWeb"/>
        <w:rPr>
          <w:rFonts w:asciiTheme="minorHAnsi" w:hAnsiTheme="minorHAnsi" w:cstheme="minorHAnsi"/>
          <w:color w:val="0A0A0A"/>
          <w:sz w:val="22"/>
          <w:szCs w:val="22"/>
        </w:rPr>
      </w:pPr>
    </w:p>
    <w:p w14:paraId="696B0E59" w14:textId="77777777" w:rsidR="00E81BEB" w:rsidRPr="00D92DF3" w:rsidRDefault="00E81BEB" w:rsidP="00E81BEB">
      <w:pPr>
        <w:pStyle w:val="NormalWeb"/>
        <w:rPr>
          <w:rFonts w:asciiTheme="minorHAnsi" w:hAnsiTheme="minorHAnsi" w:cstheme="minorHAnsi"/>
          <w:color w:val="000000"/>
          <w:sz w:val="22"/>
          <w:szCs w:val="22"/>
        </w:rPr>
      </w:pPr>
      <w:r w:rsidRPr="005C0DF1">
        <w:rPr>
          <w:rFonts w:asciiTheme="minorHAnsi" w:hAnsiTheme="minorHAnsi" w:cstheme="minorHAnsi"/>
          <w:color w:val="0A0A0A"/>
          <w:sz w:val="22"/>
          <w:szCs w:val="22"/>
        </w:rPr>
        <w:t>Additionally, both e-cigarettes and products like IQOS create a new waste stream of toxic e-waste that was not measured in relevant studies on cigarette butt littering. Although the electronics of e-cigarettes are more likely to be irresponsibly disposed of in the trash (in states like California this is illegal because they are "universal waste" and must be brought to a household hazardous waste facility) instead of littered, this is still a cost to society that indirectly will increase costs on cities.</w:t>
      </w:r>
    </w:p>
    <w:p w14:paraId="4B1266D7" w14:textId="77777777" w:rsidR="00E81BEB" w:rsidRDefault="00E81BEB" w:rsidP="00E81BEB">
      <w:pPr>
        <w:spacing w:before="100" w:beforeAutospacing="1" w:after="100" w:afterAutospacing="1"/>
        <w:ind w:right="720"/>
        <w:rPr>
          <w:rFonts w:asciiTheme="minorHAnsi" w:hAnsiTheme="minorHAnsi" w:cstheme="minorHAnsi"/>
          <w:color w:val="2F5597"/>
          <w:sz w:val="22"/>
          <w:szCs w:val="22"/>
        </w:rPr>
      </w:pPr>
      <w:r w:rsidRPr="0063631E">
        <w:rPr>
          <w:rFonts w:asciiTheme="minorHAnsi" w:hAnsiTheme="minorHAnsi" w:cstheme="minorHAnsi"/>
          <w:b/>
          <w:bCs/>
          <w:color w:val="4472C4" w:themeColor="accent1"/>
          <w:sz w:val="22"/>
          <w:szCs w:val="22"/>
        </w:rPr>
        <w:t>Author response:</w:t>
      </w:r>
      <w:r>
        <w:rPr>
          <w:rFonts w:asciiTheme="minorHAnsi" w:hAnsiTheme="minorHAnsi" w:cstheme="minorHAnsi"/>
          <w:color w:val="4472C4" w:themeColor="accent1"/>
          <w:sz w:val="22"/>
          <w:szCs w:val="22"/>
        </w:rPr>
        <w:t xml:space="preserve"> </w:t>
      </w:r>
      <w:r>
        <w:rPr>
          <w:rFonts w:asciiTheme="minorHAnsi" w:hAnsiTheme="minorHAnsi" w:cstheme="minorHAnsi"/>
          <w:color w:val="2F5597"/>
          <w:sz w:val="22"/>
          <w:szCs w:val="22"/>
        </w:rPr>
        <w:t xml:space="preserve">Thank you very much for your valuable comments. We agree with your point that these additional sources of TPW are important and should be addressed. As you stated, the majority of the TPW found are cigarette butts and </w:t>
      </w:r>
      <w:r w:rsidRPr="00D92DF3">
        <w:rPr>
          <w:rFonts w:asciiTheme="minorHAnsi" w:hAnsiTheme="minorHAnsi" w:cstheme="minorHAnsi"/>
          <w:color w:val="2F5597"/>
          <w:sz w:val="22"/>
          <w:szCs w:val="22"/>
        </w:rPr>
        <w:t xml:space="preserve">given the extremely small percentage of non-butt TPW, </w:t>
      </w:r>
      <w:r>
        <w:rPr>
          <w:rFonts w:asciiTheme="minorHAnsi" w:hAnsiTheme="minorHAnsi" w:cstheme="minorHAnsi"/>
          <w:color w:val="2F5597"/>
          <w:sz w:val="22"/>
          <w:szCs w:val="22"/>
        </w:rPr>
        <w:t xml:space="preserve">we believe </w:t>
      </w:r>
      <w:r w:rsidRPr="00D92DF3">
        <w:rPr>
          <w:rFonts w:asciiTheme="minorHAnsi" w:hAnsiTheme="minorHAnsi" w:cstheme="minorHAnsi"/>
          <w:color w:val="2F5597"/>
          <w:sz w:val="22"/>
          <w:szCs w:val="22"/>
        </w:rPr>
        <w:t>our confidence intervals easily cover non-butt wast</w:t>
      </w:r>
      <w:r>
        <w:rPr>
          <w:rFonts w:asciiTheme="minorHAnsi" w:hAnsiTheme="minorHAnsi" w:cstheme="minorHAnsi"/>
          <w:color w:val="2F5597"/>
          <w:sz w:val="22"/>
          <w:szCs w:val="22"/>
        </w:rPr>
        <w:t xml:space="preserve">e. However, given the importance of e-cigs and IQOS we added in additional language to the paper regarding these important and newer waste streams. In particular, we added the following language to the introduction section:  </w:t>
      </w:r>
    </w:p>
    <w:p w14:paraId="1C001F46" w14:textId="77777777" w:rsidR="00E81BEB" w:rsidRDefault="00E81BEB" w:rsidP="00E81BEB">
      <w:pPr>
        <w:spacing w:before="100" w:beforeAutospacing="1" w:after="100" w:afterAutospacing="1"/>
        <w:ind w:left="540" w:right="990"/>
        <w:rPr>
          <w:rFonts w:asciiTheme="minorHAnsi" w:hAnsiTheme="minorHAnsi" w:cstheme="minorHAnsi"/>
          <w:color w:val="2F5597"/>
          <w:sz w:val="22"/>
          <w:szCs w:val="22"/>
        </w:rPr>
      </w:pPr>
      <w:r w:rsidRPr="00A63A48">
        <w:rPr>
          <w:rFonts w:asciiTheme="minorHAnsi" w:hAnsiTheme="minorHAnsi" w:cstheme="minorHAnsi"/>
          <w:i/>
          <w:iCs/>
          <w:color w:val="2F5597"/>
          <w:sz w:val="22"/>
          <w:szCs w:val="22"/>
        </w:rPr>
        <w:lastRenderedPageBreak/>
        <w:t>Smoked cigarette butts are the main focus of this analysis, but we note the enormous increase in sales of electronic nicotine delivery systems (ENDS) beginning in 2007 in the United States. These products contain varying amounts of plastics, nicotine, flavorings, and lithium batteries that create additional waste.  The tobacco industry and smaller manufacturers have diversified production of these products and have already been able to market some of them with US Food and Drug Administration (FDA) approval, including heat-not-burn products (IQOS).  Producers will be submitting for pre-market approval additional tobacco products including ENDS, smokeless tobacco, and various other forms of nicotine and non-nicotine containing products. Currently, we are unable to estimate the total impact such products may have on waste streams, but FDA's Environmental Assessment on IQOS estimates that modest switching among people who smoke to primarily dual use of the product will result in an increased weight of discarded "sticks" equivalent to 74,100,000 more butts per year (over the previously stated estimate of 247 billion butts per year in 2017).  Further, the liquid nicotine in e-cigarettes is a listed acute hazardous waste product under federal law, and so disposal of ENDS waste may incur additional costs to cities when such waste is collected from public spaces such as schools and government buildings. Finally, the lithium ion batteries in many ENDS create further concern as these are considered “universal waste” requiring special handling for household disposal. Given the current lack of data on ENDS waste, we have excluded these products from our estimate of TPW costs. Future economic research should include these novel products as they are likely to grow in use throughout the United States.</w:t>
      </w:r>
    </w:p>
    <w:p w14:paraId="4BBC79C0" w14:textId="77777777" w:rsidR="00E81BEB" w:rsidRDefault="00E81BEB" w:rsidP="00E81BEB">
      <w:pPr>
        <w:spacing w:before="100" w:beforeAutospacing="1" w:after="100" w:afterAutospacing="1"/>
        <w:ind w:right="720"/>
        <w:rPr>
          <w:rFonts w:asciiTheme="minorHAnsi" w:hAnsiTheme="minorHAnsi" w:cstheme="minorHAnsi"/>
          <w:color w:val="2F5597"/>
          <w:sz w:val="22"/>
          <w:szCs w:val="22"/>
        </w:rPr>
      </w:pPr>
      <w:r>
        <w:rPr>
          <w:rFonts w:asciiTheme="minorHAnsi" w:hAnsiTheme="minorHAnsi" w:cstheme="minorHAnsi"/>
          <w:color w:val="2F5597"/>
          <w:sz w:val="22"/>
          <w:szCs w:val="22"/>
        </w:rPr>
        <w:t xml:space="preserve">We also added in our conclusions section a recommendation to repeat this analysis once new litter surveys include data on ENDS and other novel tobacco products so that we can </w:t>
      </w:r>
      <w:r w:rsidRPr="005C0DF1">
        <w:rPr>
          <w:rFonts w:asciiTheme="minorHAnsi" w:hAnsiTheme="minorHAnsi" w:cstheme="minorHAnsi"/>
          <w:color w:val="2F5597"/>
          <w:sz w:val="22"/>
          <w:szCs w:val="22"/>
        </w:rPr>
        <w:t>assess the degree of (a) drop in TPW due to e-cigs, and/or (b) a substitution of e-cig waste for butt waste. </w:t>
      </w:r>
    </w:p>
    <w:p w14:paraId="189792DE" w14:textId="77777777" w:rsidR="00E81BEB" w:rsidRPr="00A63A48" w:rsidRDefault="00E81BEB" w:rsidP="00E81BEB">
      <w:pPr>
        <w:pStyle w:val="NormalWeb"/>
        <w:ind w:left="540" w:right="990"/>
        <w:rPr>
          <w:rFonts w:asciiTheme="minorHAnsi" w:hAnsiTheme="minorHAnsi" w:cstheme="minorHAnsi"/>
          <w:i/>
          <w:iCs/>
          <w:color w:val="2F5597"/>
          <w:sz w:val="22"/>
          <w:szCs w:val="22"/>
        </w:rPr>
      </w:pPr>
      <w:r w:rsidRPr="00A63A48">
        <w:rPr>
          <w:rFonts w:asciiTheme="minorHAnsi" w:hAnsiTheme="minorHAnsi" w:cstheme="minorHAnsi"/>
          <w:i/>
          <w:iCs/>
          <w:color w:val="2F5597"/>
          <w:sz w:val="22"/>
          <w:szCs w:val="22"/>
        </w:rPr>
        <w:t xml:space="preserve">As mentioned in the introduction, this model does not include any additional or reduction in TPW costs associated with ENDS and other novel tobacco product use.  These may only represent a small percentage of total TPW at present, but it will be important to include in future models the effects of substitution or additional costs associated with these products. </w:t>
      </w:r>
    </w:p>
    <w:p w14:paraId="09EA1981" w14:textId="77777777" w:rsidR="00E81BEB" w:rsidRDefault="00E81BEB" w:rsidP="00E81BEB">
      <w:pPr>
        <w:pStyle w:val="NormalWeb"/>
        <w:rPr>
          <w:rFonts w:asciiTheme="minorHAnsi" w:hAnsiTheme="minorHAnsi" w:cstheme="minorHAnsi"/>
          <w:color w:val="2F5597"/>
          <w:sz w:val="22"/>
          <w:szCs w:val="22"/>
        </w:rPr>
      </w:pPr>
    </w:p>
    <w:p w14:paraId="74E12EF2" w14:textId="77777777" w:rsidR="00E81BEB" w:rsidRDefault="00E81BEB" w:rsidP="00E81BEB">
      <w:pPr>
        <w:pStyle w:val="NormalWeb"/>
        <w:rPr>
          <w:rFonts w:asciiTheme="minorHAnsi" w:hAnsiTheme="minorHAnsi" w:cstheme="minorHAnsi"/>
          <w:color w:val="0A0A0A"/>
          <w:sz w:val="22"/>
          <w:szCs w:val="22"/>
        </w:rPr>
      </w:pPr>
      <w:r w:rsidRPr="005C0DF1">
        <w:rPr>
          <w:rFonts w:asciiTheme="minorHAnsi" w:hAnsiTheme="minorHAnsi" w:cstheme="minorHAnsi"/>
          <w:color w:val="0A0A0A"/>
          <w:sz w:val="22"/>
          <w:szCs w:val="22"/>
        </w:rPr>
        <w:t>Additionally, in the "Indirect costs - ecosystems" it might also be worth mentioning that nicotine has been used for more than a century as an effective pesticide, only losing its ability to be sold as such with the EPA in 2014 (</w:t>
      </w:r>
      <w:hyperlink r:id="rId7" w:history="1">
        <w:r w:rsidRPr="005C0DF1">
          <w:rPr>
            <w:rStyle w:val="Hyperlink"/>
            <w:rFonts w:asciiTheme="minorHAnsi" w:hAnsiTheme="minorHAnsi" w:cstheme="minorHAnsi"/>
            <w:sz w:val="22"/>
            <w:szCs w:val="22"/>
          </w:rPr>
          <w:t>https://www3.epa.gov/pesticides/chem_search/reg_actions/reregistration/frn_PC-056702_3-Jun-09.pdf</w:t>
        </w:r>
      </w:hyperlink>
      <w:r w:rsidRPr="005C0DF1">
        <w:rPr>
          <w:rFonts w:asciiTheme="minorHAnsi" w:hAnsiTheme="minorHAnsi" w:cstheme="minorHAnsi"/>
          <w:color w:val="0A0A0A"/>
          <w:sz w:val="22"/>
          <w:szCs w:val="22"/>
        </w:rPr>
        <w:t>), and that available scientific information shows that e-cigarette liquid is harmful to marine life. See</w:t>
      </w:r>
      <w:r w:rsidRPr="005C0DF1">
        <w:rPr>
          <w:rStyle w:val="apple-converted-space"/>
          <w:rFonts w:asciiTheme="minorHAnsi" w:hAnsiTheme="minorHAnsi" w:cstheme="minorHAnsi"/>
          <w:color w:val="0A0A0A"/>
          <w:sz w:val="22"/>
          <w:szCs w:val="22"/>
        </w:rPr>
        <w:t> </w:t>
      </w:r>
      <w:hyperlink r:id="rId8" w:history="1">
        <w:r w:rsidRPr="005C0DF1">
          <w:rPr>
            <w:rStyle w:val="Hyperlink"/>
            <w:rFonts w:asciiTheme="minorHAnsi" w:hAnsiTheme="minorHAnsi" w:cstheme="minorHAnsi"/>
            <w:sz w:val="22"/>
            <w:szCs w:val="22"/>
          </w:rPr>
          <w:t>https://pubmed.ncbi.nlm.nih.gov/28957438/</w:t>
        </w:r>
      </w:hyperlink>
      <w:r w:rsidRPr="005C0DF1">
        <w:rPr>
          <w:rStyle w:val="apple-converted-space"/>
          <w:rFonts w:asciiTheme="minorHAnsi" w:hAnsiTheme="minorHAnsi" w:cstheme="minorHAnsi"/>
          <w:color w:val="0A0A0A"/>
          <w:sz w:val="22"/>
          <w:szCs w:val="22"/>
        </w:rPr>
        <w:t> </w:t>
      </w:r>
      <w:r w:rsidRPr="005C0DF1">
        <w:rPr>
          <w:rFonts w:asciiTheme="minorHAnsi" w:hAnsiTheme="minorHAnsi" w:cstheme="minorHAnsi"/>
          <w:color w:val="0A0A0A"/>
          <w:sz w:val="22"/>
          <w:szCs w:val="22"/>
        </w:rPr>
        <w:t xml:space="preserve">(e-liquid is toxic to Xenopus </w:t>
      </w:r>
      <w:proofErr w:type="spellStart"/>
      <w:r w:rsidRPr="005C0DF1">
        <w:rPr>
          <w:rFonts w:asciiTheme="minorHAnsi" w:hAnsiTheme="minorHAnsi" w:cstheme="minorHAnsi"/>
          <w:color w:val="0A0A0A"/>
          <w:sz w:val="22"/>
          <w:szCs w:val="22"/>
        </w:rPr>
        <w:t>laevis</w:t>
      </w:r>
      <w:proofErr w:type="spellEnd"/>
      <w:r w:rsidRPr="005C0DF1">
        <w:rPr>
          <w:rFonts w:asciiTheme="minorHAnsi" w:hAnsiTheme="minorHAnsi" w:cstheme="minorHAnsi"/>
          <w:color w:val="0A0A0A"/>
          <w:sz w:val="22"/>
          <w:szCs w:val="22"/>
        </w:rPr>
        <w:t xml:space="preserve"> embryos). Also, the lithium in these devices could be increasing toxic conditions in waterways, but this effect is still poorly studied.</w:t>
      </w:r>
      <w:r w:rsidRPr="005C0DF1">
        <w:rPr>
          <w:rStyle w:val="apple-converted-space"/>
          <w:rFonts w:asciiTheme="minorHAnsi" w:hAnsiTheme="minorHAnsi" w:cstheme="minorHAnsi"/>
          <w:color w:val="0A0A0A"/>
          <w:sz w:val="22"/>
          <w:szCs w:val="22"/>
        </w:rPr>
        <w:t> </w:t>
      </w:r>
      <w:hyperlink r:id="rId9" w:history="1">
        <w:r w:rsidRPr="005C0DF1">
          <w:rPr>
            <w:rStyle w:val="Hyperlink"/>
            <w:rFonts w:asciiTheme="minorHAnsi" w:hAnsiTheme="minorHAnsi" w:cstheme="minorHAnsi"/>
            <w:sz w:val="22"/>
            <w:szCs w:val="22"/>
          </w:rPr>
          <w:t>https://www.nature.com/articles/s41467-019-13376-y</w:t>
        </w:r>
      </w:hyperlink>
      <w:r w:rsidRPr="005C0DF1">
        <w:rPr>
          <w:rFonts w:asciiTheme="minorHAnsi" w:hAnsiTheme="minorHAnsi" w:cstheme="minorHAnsi"/>
          <w:color w:val="0A0A0A"/>
          <w:sz w:val="22"/>
          <w:szCs w:val="22"/>
        </w:rPr>
        <w:t>. All lithium-ion batteries studied in one 2013 publication were hazardous waste under California standards.</w:t>
      </w:r>
      <w:r w:rsidRPr="005C0DF1">
        <w:rPr>
          <w:rStyle w:val="apple-converted-space"/>
          <w:rFonts w:asciiTheme="minorHAnsi" w:hAnsiTheme="minorHAnsi" w:cstheme="minorHAnsi"/>
          <w:color w:val="0A0A0A"/>
          <w:sz w:val="22"/>
          <w:szCs w:val="22"/>
        </w:rPr>
        <w:t> </w:t>
      </w:r>
      <w:hyperlink r:id="rId10" w:history="1">
        <w:r w:rsidRPr="005C0DF1">
          <w:rPr>
            <w:rStyle w:val="Hyperlink"/>
            <w:rFonts w:asciiTheme="minorHAnsi" w:hAnsiTheme="minorHAnsi" w:cstheme="minorHAnsi"/>
            <w:sz w:val="22"/>
            <w:szCs w:val="22"/>
          </w:rPr>
          <w:t>https://pubs.acs.org/doi/abs/10.1021/es400614y</w:t>
        </w:r>
      </w:hyperlink>
      <w:r w:rsidRPr="005C0DF1">
        <w:rPr>
          <w:rFonts w:asciiTheme="minorHAnsi" w:hAnsiTheme="minorHAnsi" w:cstheme="minorHAnsi"/>
          <w:color w:val="0A0A0A"/>
          <w:sz w:val="22"/>
          <w:szCs w:val="22"/>
        </w:rPr>
        <w:t>.</w:t>
      </w:r>
    </w:p>
    <w:p w14:paraId="7DD2E5E2" w14:textId="77777777" w:rsidR="00E81BEB" w:rsidRDefault="00E81BEB" w:rsidP="00E81BEB">
      <w:pPr>
        <w:pStyle w:val="NormalWeb"/>
        <w:rPr>
          <w:rFonts w:asciiTheme="minorHAnsi" w:hAnsiTheme="minorHAnsi" w:cstheme="minorHAnsi"/>
          <w:color w:val="0A0A0A"/>
          <w:sz w:val="22"/>
          <w:szCs w:val="22"/>
        </w:rPr>
      </w:pPr>
    </w:p>
    <w:p w14:paraId="1ECA0591" w14:textId="77777777" w:rsidR="00E81BEB" w:rsidRDefault="00E81BEB" w:rsidP="00E81BEB">
      <w:pPr>
        <w:pStyle w:val="NormalWeb"/>
        <w:rPr>
          <w:rFonts w:asciiTheme="minorHAnsi" w:hAnsiTheme="minorHAnsi" w:cstheme="minorHAnsi"/>
          <w:color w:val="0A0A0A"/>
          <w:sz w:val="22"/>
          <w:szCs w:val="22"/>
        </w:rPr>
      </w:pPr>
      <w:r w:rsidRPr="0063631E">
        <w:rPr>
          <w:rFonts w:asciiTheme="minorHAnsi" w:hAnsiTheme="minorHAnsi" w:cstheme="minorHAnsi"/>
          <w:b/>
          <w:bCs/>
          <w:color w:val="4472C4" w:themeColor="accent1"/>
          <w:sz w:val="22"/>
          <w:szCs w:val="22"/>
        </w:rPr>
        <w:t>Author response:</w:t>
      </w:r>
      <w:r>
        <w:rPr>
          <w:rFonts w:asciiTheme="minorHAnsi" w:hAnsiTheme="minorHAnsi" w:cstheme="minorHAnsi"/>
          <w:color w:val="4472C4" w:themeColor="accent1"/>
          <w:sz w:val="22"/>
          <w:szCs w:val="22"/>
        </w:rPr>
        <w:t xml:space="preserve"> </w:t>
      </w:r>
      <w:r w:rsidRPr="0063631E">
        <w:rPr>
          <w:rFonts w:asciiTheme="minorHAnsi" w:hAnsiTheme="minorHAnsi" w:cstheme="minorHAnsi"/>
          <w:color w:val="4472C4" w:themeColor="accent1"/>
          <w:sz w:val="22"/>
          <w:szCs w:val="22"/>
        </w:rPr>
        <w:t xml:space="preserve">Thank you for bringing up this important point. We agree with your points and have added in </w:t>
      </w:r>
      <w:r>
        <w:rPr>
          <w:rFonts w:asciiTheme="minorHAnsi" w:hAnsiTheme="minorHAnsi" w:cstheme="minorHAnsi"/>
          <w:color w:val="4472C4" w:themeColor="accent1"/>
          <w:sz w:val="22"/>
          <w:szCs w:val="22"/>
        </w:rPr>
        <w:t xml:space="preserve">the following </w:t>
      </w:r>
      <w:r w:rsidRPr="0063631E">
        <w:rPr>
          <w:rFonts w:asciiTheme="minorHAnsi" w:hAnsiTheme="minorHAnsi" w:cstheme="minorHAnsi"/>
          <w:color w:val="4472C4" w:themeColor="accent1"/>
          <w:sz w:val="22"/>
          <w:szCs w:val="22"/>
        </w:rPr>
        <w:t>language to address these concerns</w:t>
      </w:r>
      <w:r>
        <w:rPr>
          <w:rFonts w:asciiTheme="minorHAnsi" w:hAnsiTheme="minorHAnsi" w:cstheme="minorHAnsi"/>
          <w:color w:val="4472C4" w:themeColor="accent1"/>
          <w:sz w:val="22"/>
          <w:szCs w:val="22"/>
        </w:rPr>
        <w:t xml:space="preserve"> in the section on ecosystems:</w:t>
      </w:r>
    </w:p>
    <w:p w14:paraId="474445E5" w14:textId="77777777" w:rsidR="00E81BEB" w:rsidRDefault="00E81BEB" w:rsidP="00E81BEB">
      <w:pPr>
        <w:pStyle w:val="NormalWeb"/>
        <w:rPr>
          <w:rFonts w:asciiTheme="minorHAnsi" w:hAnsiTheme="minorHAnsi" w:cstheme="minorHAnsi"/>
          <w:color w:val="2F5597"/>
          <w:sz w:val="22"/>
          <w:szCs w:val="22"/>
        </w:rPr>
      </w:pPr>
    </w:p>
    <w:p w14:paraId="213A4134" w14:textId="77777777" w:rsidR="00E81BEB" w:rsidRPr="00A63A48" w:rsidRDefault="00E81BEB" w:rsidP="00E81BEB">
      <w:pPr>
        <w:pStyle w:val="NormalWeb"/>
        <w:ind w:left="540" w:right="720"/>
        <w:rPr>
          <w:rFonts w:asciiTheme="minorHAnsi" w:hAnsiTheme="minorHAnsi" w:cstheme="minorHAnsi"/>
          <w:i/>
          <w:iCs/>
          <w:color w:val="2F5597"/>
          <w:sz w:val="22"/>
          <w:szCs w:val="22"/>
        </w:rPr>
      </w:pPr>
      <w:r w:rsidRPr="00A63A48">
        <w:rPr>
          <w:rFonts w:asciiTheme="minorHAnsi" w:hAnsiTheme="minorHAnsi" w:cstheme="minorHAnsi"/>
          <w:i/>
          <w:iCs/>
          <w:color w:val="2F5597"/>
          <w:sz w:val="22"/>
          <w:szCs w:val="22"/>
        </w:rPr>
        <w:t xml:space="preserve">Nicotine has been used for more than a century as a pesticide and was banned for such use by the EPA in 2014.  It is found in the leachates of TPW and is the most significant </w:t>
      </w:r>
      <w:r w:rsidRPr="00A63A48">
        <w:rPr>
          <w:rFonts w:asciiTheme="minorHAnsi" w:hAnsiTheme="minorHAnsi" w:cstheme="minorHAnsi"/>
          <w:i/>
          <w:iCs/>
          <w:color w:val="2F5597"/>
          <w:sz w:val="22"/>
          <w:szCs w:val="22"/>
        </w:rPr>
        <w:lastRenderedPageBreak/>
        <w:t>component of e-cigarette liquids.  Nicotine in TPW and ENDS has been shown to be harmful to marine and aquatic organisms.</w:t>
      </w:r>
    </w:p>
    <w:p w14:paraId="52E427A7" w14:textId="77777777" w:rsidR="00E81BEB" w:rsidRDefault="00E81BEB" w:rsidP="00E81BEB">
      <w:pPr>
        <w:pStyle w:val="NormalWeb"/>
        <w:rPr>
          <w:rFonts w:asciiTheme="minorHAnsi" w:hAnsiTheme="minorHAnsi" w:cstheme="minorHAnsi"/>
          <w:color w:val="2F5597"/>
          <w:sz w:val="22"/>
          <w:szCs w:val="22"/>
        </w:rPr>
      </w:pPr>
    </w:p>
    <w:p w14:paraId="15D2219D" w14:textId="77777777" w:rsidR="00E81BEB" w:rsidRDefault="00E81BEB" w:rsidP="00E81BEB">
      <w:pPr>
        <w:pStyle w:val="NormalWeb"/>
        <w:rPr>
          <w:rFonts w:asciiTheme="minorHAnsi" w:hAnsiTheme="minorHAnsi" w:cstheme="minorHAnsi"/>
          <w:color w:val="2F5597"/>
          <w:sz w:val="22"/>
          <w:szCs w:val="22"/>
        </w:rPr>
      </w:pPr>
      <w:r>
        <w:rPr>
          <w:rFonts w:asciiTheme="minorHAnsi" w:hAnsiTheme="minorHAnsi" w:cstheme="minorHAnsi"/>
          <w:color w:val="2F5597"/>
          <w:sz w:val="22"/>
          <w:szCs w:val="22"/>
        </w:rPr>
        <w:t xml:space="preserve">And in the Conclusion section: </w:t>
      </w:r>
    </w:p>
    <w:p w14:paraId="396045BF" w14:textId="77777777" w:rsidR="00E81BEB" w:rsidRDefault="00E81BEB" w:rsidP="00E81BEB">
      <w:pPr>
        <w:pStyle w:val="NormalWeb"/>
        <w:rPr>
          <w:rFonts w:asciiTheme="minorHAnsi" w:hAnsiTheme="minorHAnsi" w:cstheme="minorHAnsi"/>
          <w:color w:val="2F5597"/>
          <w:sz w:val="22"/>
          <w:szCs w:val="22"/>
        </w:rPr>
      </w:pPr>
    </w:p>
    <w:p w14:paraId="3D6095B1" w14:textId="77777777" w:rsidR="00E81BEB" w:rsidRPr="00A63A48" w:rsidRDefault="00E81BEB" w:rsidP="00E81BEB">
      <w:pPr>
        <w:pStyle w:val="NormalWeb"/>
        <w:ind w:left="540" w:right="720"/>
        <w:rPr>
          <w:rFonts w:asciiTheme="minorHAnsi" w:hAnsiTheme="minorHAnsi" w:cstheme="minorHAnsi"/>
          <w:i/>
          <w:iCs/>
          <w:color w:val="2F5597"/>
          <w:sz w:val="22"/>
          <w:szCs w:val="22"/>
        </w:rPr>
      </w:pPr>
      <w:r w:rsidRPr="00A63A48">
        <w:rPr>
          <w:rFonts w:asciiTheme="minorHAnsi" w:hAnsiTheme="minorHAnsi" w:cstheme="minorHAnsi"/>
          <w:i/>
          <w:iCs/>
          <w:color w:val="2F5597"/>
          <w:sz w:val="22"/>
          <w:szCs w:val="22"/>
        </w:rPr>
        <w:t>As mentioned in the introduction, this model does not include any additional or reduction in TPW costs associated with ENDS and other novel tobacco product use.  These may only represent a small percentage of total TPW at present, but it will be important to include in future models the effects of substitution or additional costs associated with these products. Also, in addition to the effects of nicotine mentioned, the lithium in these devices could contribute toxicity to the environment, but this impact is still poorly studied.</w:t>
      </w:r>
    </w:p>
    <w:p w14:paraId="3D5B70F5" w14:textId="77777777" w:rsidR="00E81BEB" w:rsidRDefault="00E81BEB" w:rsidP="00E81BEB">
      <w:pPr>
        <w:pStyle w:val="NormalWeb"/>
        <w:ind w:firstLine="720"/>
        <w:rPr>
          <w:rFonts w:asciiTheme="minorHAnsi" w:hAnsiTheme="minorHAnsi" w:cstheme="minorHAnsi"/>
          <w:color w:val="2F5597"/>
          <w:sz w:val="22"/>
          <w:szCs w:val="22"/>
        </w:rPr>
      </w:pPr>
    </w:p>
    <w:p w14:paraId="78092FAE" w14:textId="77777777" w:rsidR="00E81BEB" w:rsidRDefault="00E81BEB" w:rsidP="00E81BEB">
      <w:pPr>
        <w:pStyle w:val="NormalWeb"/>
        <w:ind w:firstLine="720"/>
        <w:rPr>
          <w:rFonts w:asciiTheme="minorHAnsi" w:hAnsiTheme="minorHAnsi" w:cstheme="minorHAnsi"/>
          <w:color w:val="0A0A0A"/>
          <w:sz w:val="22"/>
          <w:szCs w:val="22"/>
        </w:rPr>
      </w:pPr>
      <w:r w:rsidRPr="005C0DF1">
        <w:rPr>
          <w:rFonts w:asciiTheme="minorHAnsi" w:hAnsiTheme="minorHAnsi" w:cstheme="minorHAnsi"/>
          <w:color w:val="0A0A0A"/>
          <w:sz w:val="22"/>
          <w:szCs w:val="22"/>
        </w:rPr>
        <w:t xml:space="preserve">It also seems that when referencing the "broken window effect" it would be helpful to cite to the </w:t>
      </w:r>
      <w:proofErr w:type="spellStart"/>
      <w:r w:rsidRPr="005C0DF1">
        <w:rPr>
          <w:rFonts w:asciiTheme="minorHAnsi" w:hAnsiTheme="minorHAnsi" w:cstheme="minorHAnsi"/>
          <w:color w:val="0A0A0A"/>
          <w:sz w:val="22"/>
          <w:szCs w:val="22"/>
        </w:rPr>
        <w:t>Latkin</w:t>
      </w:r>
      <w:proofErr w:type="spellEnd"/>
      <w:r w:rsidRPr="005C0DF1">
        <w:rPr>
          <w:rFonts w:asciiTheme="minorHAnsi" w:hAnsiTheme="minorHAnsi" w:cstheme="minorHAnsi"/>
          <w:color w:val="0A0A0A"/>
          <w:sz w:val="22"/>
          <w:szCs w:val="22"/>
        </w:rPr>
        <w:t xml:space="preserve"> study in endnote 61. The term "broken window" has a negative connotation of being linked to a racist form of community-wide policing, as you allude to. Since that practice has been used to over police the same people who have been targeted the most by the tobacco industry, that reference might be better framed to discuss how TPW puts additional disproportionate stress on specific targeted communities. Consider removing the term.</w:t>
      </w:r>
    </w:p>
    <w:p w14:paraId="13772DC2" w14:textId="77777777" w:rsidR="00E81BEB" w:rsidRDefault="00E81BEB" w:rsidP="00E81BEB">
      <w:pPr>
        <w:pStyle w:val="NormalWeb"/>
        <w:rPr>
          <w:rFonts w:asciiTheme="minorHAnsi" w:hAnsiTheme="minorHAnsi" w:cstheme="minorHAnsi"/>
          <w:color w:val="0A0A0A"/>
          <w:sz w:val="22"/>
          <w:szCs w:val="22"/>
        </w:rPr>
      </w:pPr>
    </w:p>
    <w:p w14:paraId="5E233594" w14:textId="77777777" w:rsidR="00E81BEB" w:rsidRDefault="00E81BEB" w:rsidP="00E81BEB">
      <w:pPr>
        <w:pStyle w:val="NormalWeb"/>
        <w:rPr>
          <w:rFonts w:asciiTheme="minorHAnsi" w:hAnsiTheme="minorHAnsi" w:cstheme="minorHAnsi"/>
          <w:color w:val="4472C4" w:themeColor="accent1"/>
          <w:sz w:val="22"/>
          <w:szCs w:val="22"/>
        </w:rPr>
      </w:pPr>
      <w:r w:rsidRPr="0063631E">
        <w:rPr>
          <w:rFonts w:asciiTheme="minorHAnsi" w:hAnsiTheme="minorHAnsi" w:cstheme="minorHAnsi"/>
          <w:b/>
          <w:bCs/>
          <w:color w:val="4472C4" w:themeColor="accent1"/>
          <w:sz w:val="22"/>
          <w:szCs w:val="22"/>
        </w:rPr>
        <w:t>Author response:</w:t>
      </w:r>
      <w:r>
        <w:rPr>
          <w:rFonts w:asciiTheme="minorHAnsi" w:hAnsiTheme="minorHAnsi" w:cstheme="minorHAnsi"/>
          <w:color w:val="4472C4" w:themeColor="accent1"/>
          <w:sz w:val="22"/>
          <w:szCs w:val="22"/>
        </w:rPr>
        <w:t xml:space="preserve"> </w:t>
      </w:r>
      <w:r w:rsidRPr="0063631E">
        <w:rPr>
          <w:rFonts w:asciiTheme="minorHAnsi" w:hAnsiTheme="minorHAnsi" w:cstheme="minorHAnsi"/>
          <w:color w:val="4472C4" w:themeColor="accent1"/>
          <w:sz w:val="22"/>
          <w:szCs w:val="22"/>
        </w:rPr>
        <w:t xml:space="preserve">We really appreciate your pointing out this important concern. We completely agree with you and have removed this language from the paper. In its place we have included </w:t>
      </w:r>
      <w:r>
        <w:rPr>
          <w:rFonts w:asciiTheme="minorHAnsi" w:hAnsiTheme="minorHAnsi" w:cstheme="minorHAnsi"/>
          <w:color w:val="4472C4" w:themeColor="accent1"/>
          <w:sz w:val="22"/>
          <w:szCs w:val="22"/>
        </w:rPr>
        <w:t xml:space="preserve">more appropriate language as you suggested regarding the disproportionate impact on specific communities: </w:t>
      </w:r>
    </w:p>
    <w:p w14:paraId="07CB6143" w14:textId="77777777" w:rsidR="00E81BEB" w:rsidRDefault="00E81BEB" w:rsidP="00E81BEB">
      <w:pPr>
        <w:pStyle w:val="NormalWeb"/>
        <w:rPr>
          <w:rFonts w:asciiTheme="minorHAnsi" w:hAnsiTheme="minorHAnsi" w:cstheme="minorHAnsi"/>
          <w:color w:val="4472C4" w:themeColor="accent1"/>
          <w:sz w:val="22"/>
          <w:szCs w:val="22"/>
        </w:rPr>
      </w:pPr>
    </w:p>
    <w:p w14:paraId="205EE96F" w14:textId="77777777" w:rsidR="00E81BEB" w:rsidRPr="00765192" w:rsidRDefault="00E81BEB" w:rsidP="00E81BEB">
      <w:pPr>
        <w:pStyle w:val="NormalWeb"/>
        <w:ind w:left="630" w:right="990"/>
        <w:rPr>
          <w:rFonts w:asciiTheme="minorHAnsi" w:hAnsiTheme="minorHAnsi" w:cstheme="minorHAnsi"/>
          <w:i/>
          <w:iCs/>
          <w:color w:val="4472C4" w:themeColor="accent1"/>
          <w:sz w:val="22"/>
          <w:szCs w:val="22"/>
        </w:rPr>
      </w:pPr>
      <w:r w:rsidRPr="00765192">
        <w:rPr>
          <w:rFonts w:asciiTheme="minorHAnsi" w:hAnsiTheme="minorHAnsi" w:cstheme="minorHAnsi"/>
          <w:i/>
          <w:iCs/>
          <w:color w:val="4472C4" w:themeColor="accent1"/>
          <w:sz w:val="22"/>
          <w:szCs w:val="22"/>
        </w:rPr>
        <w:t>TPW also puts additional disproportionate stress on specific targeted communities</w:t>
      </w:r>
      <w:r w:rsidRPr="00765192">
        <w:rPr>
          <w:rFonts w:asciiTheme="minorHAnsi" w:hAnsiTheme="minorHAnsi" w:cstheme="minorHAnsi"/>
          <w:i/>
          <w:iCs/>
          <w:color w:val="4472C4" w:themeColor="accent1"/>
          <w:spacing w:val="-2"/>
          <w:sz w:val="22"/>
          <w:szCs w:val="22"/>
        </w:rPr>
        <w:t xml:space="preserve"> by further adding to urban degradation and </w:t>
      </w:r>
      <w:r>
        <w:rPr>
          <w:rFonts w:asciiTheme="minorHAnsi" w:hAnsiTheme="minorHAnsi" w:cstheme="minorHAnsi"/>
          <w:i/>
          <w:iCs/>
          <w:color w:val="4472C4" w:themeColor="accent1"/>
          <w:spacing w:val="-2"/>
          <w:sz w:val="22"/>
          <w:szCs w:val="22"/>
        </w:rPr>
        <w:t xml:space="preserve">potentially creating poor perceptions of neighborhoods </w:t>
      </w:r>
      <w:r w:rsidRPr="00765192">
        <w:rPr>
          <w:rFonts w:asciiTheme="minorHAnsi" w:hAnsiTheme="minorHAnsi" w:cstheme="minorHAnsi"/>
          <w:i/>
          <w:iCs/>
          <w:color w:val="4472C4" w:themeColor="accent1"/>
          <w:spacing w:val="-2"/>
          <w:sz w:val="22"/>
          <w:szCs w:val="22"/>
        </w:rPr>
        <w:t>(</w:t>
      </w:r>
      <w:proofErr w:type="spellStart"/>
      <w:r w:rsidRPr="00765192">
        <w:rPr>
          <w:rFonts w:asciiTheme="minorHAnsi" w:hAnsiTheme="minorHAnsi" w:cstheme="minorHAnsi"/>
          <w:i/>
          <w:iCs/>
          <w:color w:val="4472C4" w:themeColor="accent1"/>
          <w:spacing w:val="-2"/>
          <w:sz w:val="22"/>
          <w:szCs w:val="22"/>
        </w:rPr>
        <w:t>Latkin</w:t>
      </w:r>
      <w:proofErr w:type="spellEnd"/>
      <w:r w:rsidRPr="00765192">
        <w:rPr>
          <w:rFonts w:asciiTheme="minorHAnsi" w:hAnsiTheme="minorHAnsi" w:cstheme="minorHAnsi"/>
          <w:i/>
          <w:iCs/>
          <w:color w:val="4472C4" w:themeColor="accent1"/>
          <w:spacing w:val="-2"/>
          <w:sz w:val="22"/>
          <w:szCs w:val="22"/>
        </w:rPr>
        <w:t xml:space="preserve"> and Curry, 2003).</w:t>
      </w:r>
    </w:p>
    <w:p w14:paraId="4113B9E8" w14:textId="77777777" w:rsidR="001319A1" w:rsidRDefault="001319A1"/>
    <w:sectPr w:rsidR="001319A1" w:rsidSect="005028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BEB"/>
    <w:rsid w:val="000D0426"/>
    <w:rsid w:val="00127E49"/>
    <w:rsid w:val="001319A1"/>
    <w:rsid w:val="005028F9"/>
    <w:rsid w:val="005B25CA"/>
    <w:rsid w:val="00795CB7"/>
    <w:rsid w:val="00A34458"/>
    <w:rsid w:val="00BA7266"/>
    <w:rsid w:val="00C140C9"/>
    <w:rsid w:val="00C26892"/>
    <w:rsid w:val="00DE4B7C"/>
    <w:rsid w:val="00E81BEB"/>
    <w:rsid w:val="00E83EAC"/>
    <w:rsid w:val="00FF1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CF815F"/>
  <w15:chartTrackingRefBased/>
  <w15:docId w15:val="{7BF4DB6C-3D9E-FA47-8423-19A72A1DC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BEB"/>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81BEB"/>
    <w:rPr>
      <w:color w:val="0000FF"/>
      <w:u w:val="single"/>
    </w:rPr>
  </w:style>
  <w:style w:type="paragraph" w:styleId="NormalWeb">
    <w:name w:val="Normal (Web)"/>
    <w:basedOn w:val="Normal"/>
    <w:uiPriority w:val="99"/>
    <w:unhideWhenUsed/>
    <w:rsid w:val="00E81BEB"/>
    <w:rPr>
      <w:szCs w:val="24"/>
    </w:rPr>
  </w:style>
  <w:style w:type="character" w:customStyle="1" w:styleId="apple-converted-space">
    <w:name w:val="apple-converted-space"/>
    <w:basedOn w:val="DefaultParagraphFont"/>
    <w:rsid w:val="00E81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pubmed.ncbi.nlm.nih.gov%2F28957438%2F&amp;data=02%7C01%7Cpsgranados%40txstate.edu%7Ce194169aea9e430aeeee08d81515fff9%7Cb19c134a14c94d4caf65c420f94c8cbb%7C0%7C1%7C637282531526460543&amp;sdata=V7GAsHUomJWRz2BvcXHcFfiF9Ha%2FW2tPap%2FJI1aWkLw%3D&amp;reserved=0" TargetMode="External"/><Relationship Id="rId3" Type="http://schemas.openxmlformats.org/officeDocument/2006/relationships/webSettings" Target="webSettings.xml"/><Relationship Id="rId7" Type="http://schemas.openxmlformats.org/officeDocument/2006/relationships/hyperlink" Target="https://nam04.safelinks.protection.outlook.com/?url=https%3A%2F%2Fwww3.epa.gov%2Fpesticides%2Fchem_search%2Freg_actions%2Freregistration%2Ffrn_PC-056702_3-Jun-09.pdf&amp;data=02%7C01%7Cpsgranados%40txstate.edu%7Ce194169aea9e430aeeee08d81515fff9%7Cb19c134a14c94d4caf65c420f94c8cbb%7C0%7C1%7C637282531526460543&amp;sdata=fGPdRT15OybEARWF54QsmV96UJU2SVElNZpxLA9FMvM%3D&amp;reserved=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m04.safelinks.protection.outlook.com/?url=https%3A%2F%2Fwww.fda.gov%2Fmedia%2F134458%2Fdownload&amp;data=02%7C01%7Cpsgranados%40txstate.edu%7Ce194169aea9e430aeeee08d81515fff9%7Cb19c134a14c94d4caf65c420f94c8cbb%7C0%7C1%7C637282531526450547&amp;sdata=J2AKwHAeue9y2LUkPTEs8TZl3jauXe56EtMmz7zr38Q%3D&amp;reserved=0" TargetMode="External"/><Relationship Id="rId11" Type="http://schemas.openxmlformats.org/officeDocument/2006/relationships/fontTable" Target="fontTable.xml"/><Relationship Id="rId5" Type="http://schemas.openxmlformats.org/officeDocument/2006/relationships/hyperlink" Target="https://nam04.safelinks.protection.outlook.com/?url=https%3A%2F%2Frcrapublic.epa.gov%2Ffiles%2F14850.pdf&amp;data=02%7C01%7Cpsgranados%40txstate.edu%7Ce194169aea9e430aeeee08d81515fff9%7Cb19c134a14c94d4caf65c420f94c8cbb%7C0%7C1%7C637282531526450547&amp;sdata=xWmvAvWT%2BfLl7k%2FRza6CL6sE7A7aRJSk6J7TWKYqeww%3D&amp;reserved=0" TargetMode="External"/><Relationship Id="rId10" Type="http://schemas.openxmlformats.org/officeDocument/2006/relationships/hyperlink" Target="https://nam04.safelinks.protection.outlook.com/?url=https%3A%2F%2Fpubs.acs.org%2Fdoi%2Fabs%2F10.1021%2Fes400614y&amp;data=02%7C01%7Cpsgranados%40txstate.edu%7Ce194169aea9e430aeeee08d81515fff9%7Cb19c134a14c94d4caf65c420f94c8cbb%7C0%7C1%7C637282531526480530&amp;sdata=QDJ27NLO6G0cjnxfYyWuKVmJbHs7QQUijsZoMEldwG8%3D&amp;reserved=0" TargetMode="External"/><Relationship Id="rId4" Type="http://schemas.openxmlformats.org/officeDocument/2006/relationships/hyperlink" Target="https://nam04.safelinks.protection.outlook.com/?url=https%3A%2F%2Fenvironmentalrecords.colorado.gov%2FHPRMWebDrawerHM%2FRecordView%2F434101&amp;data=02%7C01%7Cpsgranados%40txstate.edu%7Ce194169aea9e430aeeee08d81515fff9%7Cb19c134a14c94d4caf65c420f94c8cbb%7C0%7C1%7C637282531526440554&amp;sdata=ZePOXGoWkGJFXoXEGrQ5KNYmBxn53y8i2DSWev3HT7I%3D&amp;reserved=0" TargetMode="External"/><Relationship Id="rId9" Type="http://schemas.openxmlformats.org/officeDocument/2006/relationships/hyperlink" Target="https://nam04.safelinks.protection.outlook.com/?url=https%3A%2F%2Fwww.nature.com%2Farticles%2Fs41467-019-13376-y&amp;data=02%7C01%7Cpsgranados%40txstate.edu%7Ce194169aea9e430aeeee08d81515fff9%7Cb19c134a14c94d4caf65c420f94c8cbb%7C0%7C1%7C637282531526470537&amp;sdata=4XyNZHNJsa6mZESba%2Bfr5xyczzwJeaR%2Fxb84FTcnzA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1706</Words>
  <Characters>9725</Characters>
  <Application>Microsoft Office Word</Application>
  <DocSecurity>0</DocSecurity>
  <Lines>81</Lines>
  <Paragraphs>22</Paragraphs>
  <ScaleCrop>false</ScaleCrop>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Stigler Granados, Paula</dc:creator>
  <cp:keywords/>
  <dc:description/>
  <cp:lastModifiedBy>Stigler Granados, Paula</cp:lastModifiedBy>
  <cp:revision>1</cp:revision>
  <dcterms:created xsi:type="dcterms:W3CDTF">2020-06-23T03:34:00Z</dcterms:created>
  <dcterms:modified xsi:type="dcterms:W3CDTF">2020-06-23T03:34:00Z</dcterms:modified>
</cp:coreProperties>
</file>