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3156E" w14:textId="77777777" w:rsidR="00C01FF4" w:rsidRPr="0049517C" w:rsidRDefault="00D230AF" w:rsidP="0049517C">
      <w:pPr>
        <w:pStyle w:val="Title"/>
      </w:pPr>
      <w:r w:rsidRPr="0049517C">
        <w:t>Response to Reviewer 1 Comments</w:t>
      </w:r>
    </w:p>
    <w:p w14:paraId="63DA2242" w14:textId="77777777" w:rsidR="00D230AF" w:rsidRPr="00BD6E57" w:rsidRDefault="00D230AF">
      <w:pPr>
        <w:rPr>
          <w:rFonts w:ascii="Times New Roman" w:hAnsi="Times New Roman" w:cs="Times New Roman"/>
        </w:rPr>
      </w:pPr>
    </w:p>
    <w:p w14:paraId="163B1DF3" w14:textId="4FADC43F" w:rsidR="00BD6E57" w:rsidRPr="00BD6E57" w:rsidRDefault="001C3BFA" w:rsidP="00D230AF">
      <w:pPr>
        <w:rPr>
          <w:rFonts w:ascii="Times New Roman" w:hAnsi="Times New Roman" w:cs="Times New Roman"/>
        </w:rPr>
      </w:pPr>
      <w:r>
        <w:rPr>
          <w:rFonts w:ascii="Times New Roman" w:hAnsi="Times New Roman" w:cs="Times New Roman"/>
        </w:rPr>
        <w:t>We appreciate and acknowledge the effort from the reviewers.</w:t>
      </w:r>
    </w:p>
    <w:p w14:paraId="0338DF3F" w14:textId="77777777" w:rsidR="00D230AF" w:rsidRPr="00BD6E57" w:rsidRDefault="00D230AF">
      <w:pPr>
        <w:rPr>
          <w:rFonts w:ascii="Times New Roman" w:hAnsi="Times New Roman" w:cs="Times New Roman"/>
        </w:rPr>
      </w:pPr>
    </w:p>
    <w:p w14:paraId="19FB4062" w14:textId="0A1C3686" w:rsidR="0049517C" w:rsidRPr="00BD6E57" w:rsidRDefault="0049517C" w:rsidP="0049517C">
      <w:pPr>
        <w:jc w:val="both"/>
        <w:rPr>
          <w:rFonts w:ascii="Times New Roman" w:hAnsi="Times New Roman" w:cs="Times New Roman"/>
        </w:rPr>
      </w:pPr>
      <w:r>
        <w:rPr>
          <w:rFonts w:ascii="Times New Roman" w:hAnsi="Times New Roman" w:cs="Times New Roman"/>
          <w:b/>
        </w:rPr>
        <w:t xml:space="preserve">Point 1: </w:t>
      </w:r>
      <w:r w:rsidR="001C3BFA" w:rsidRPr="001C3BFA">
        <w:rPr>
          <w:rFonts w:ascii="Times New Roman" w:hAnsi="Times New Roman" w:cs="Times New Roman"/>
        </w:rPr>
        <w:t xml:space="preserve">The paper is based on a good premise, that we have not proven what the effect of wearing glasses is on the rate of progression of myopia. The conclusions in the paper are: 1) that there is no reason not to prescribe the full myopic correction to children who are myopic and 2) the study period may be too short to draw a solid conclusion. But,  I feel the main point lacking in the paper is an acknowledgement that there are other interventions (not glasses, but Atropine, </w:t>
      </w:r>
      <w:proofErr w:type="spellStart"/>
      <w:r w:rsidR="001C3BFA" w:rsidRPr="001C3BFA">
        <w:rPr>
          <w:rFonts w:ascii="Times New Roman" w:hAnsi="Times New Roman" w:cs="Times New Roman"/>
        </w:rPr>
        <w:t>OrthoK</w:t>
      </w:r>
      <w:proofErr w:type="spellEnd"/>
      <w:r w:rsidR="001C3BFA" w:rsidRPr="001C3BFA">
        <w:rPr>
          <w:rFonts w:ascii="Times New Roman" w:hAnsi="Times New Roman" w:cs="Times New Roman"/>
        </w:rPr>
        <w:t xml:space="preserve"> and Soft MF lenses) that have been shown to slow the rate of myopic progression more than in those wearing spectacles of full or partial correction prescription.</w:t>
      </w:r>
      <w:r w:rsidRPr="00BD6E57">
        <w:rPr>
          <w:rFonts w:ascii="Times New Roman" w:hAnsi="Times New Roman" w:cs="Times New Roman"/>
        </w:rPr>
        <w:t xml:space="preserve"> </w:t>
      </w:r>
      <w:r w:rsidRPr="00BD6E57">
        <w:rPr>
          <w:rFonts w:ascii="MS Mincho" w:eastAsia="MS Mincho" w:hAnsi="MS Mincho" w:cs="MS Mincho"/>
        </w:rPr>
        <w:t> </w:t>
      </w:r>
    </w:p>
    <w:p w14:paraId="0F167972" w14:textId="07D5ABBD" w:rsidR="0049517C" w:rsidRDefault="0049517C">
      <w:pPr>
        <w:rPr>
          <w:rFonts w:ascii="Times New Roman" w:hAnsi="Times New Roman" w:cs="Times New Roman"/>
          <w:b/>
        </w:rPr>
      </w:pPr>
    </w:p>
    <w:p w14:paraId="15AAFC86" w14:textId="6C027494" w:rsidR="0049517C" w:rsidRDefault="0049517C">
      <w:pPr>
        <w:rPr>
          <w:rFonts w:ascii="Times New Roman" w:hAnsi="Times New Roman" w:cs="Times New Roman"/>
          <w:b/>
          <w:color w:val="FF0000"/>
        </w:rPr>
      </w:pPr>
      <w:r w:rsidRPr="002B4EE5">
        <w:rPr>
          <w:rFonts w:ascii="Times New Roman" w:hAnsi="Times New Roman" w:cs="Times New Roman"/>
          <w:b/>
          <w:color w:val="FF0000"/>
        </w:rPr>
        <w:t xml:space="preserve">Response 1: </w:t>
      </w:r>
      <w:r w:rsidR="001C3BFA">
        <w:rPr>
          <w:rFonts w:ascii="Times New Roman" w:hAnsi="Times New Roman" w:cs="Times New Roman"/>
          <w:b/>
          <w:color w:val="FF0000"/>
        </w:rPr>
        <w:t>We agree that a reference to this fact should be included, therefore the lines 273 and 274 (Discussion) have been modified and now can be read as:</w:t>
      </w:r>
    </w:p>
    <w:p w14:paraId="45876576" w14:textId="764C446B" w:rsidR="001C3BFA" w:rsidRPr="00884348" w:rsidRDefault="001C3BFA" w:rsidP="001C3BFA">
      <w:pPr>
        <w:pStyle w:val="MDPI31text"/>
      </w:pPr>
      <w:r w:rsidRPr="00884348">
        <w:t>Unless there is no clear inhibition / slowing down of myopia progression from the under</w:t>
      </w:r>
      <w:r>
        <w:t>-</w:t>
      </w:r>
      <w:r w:rsidRPr="00884348">
        <w:t>correction, it should not be recommended as a first choice intervention strategy</w:t>
      </w:r>
      <w:r w:rsidRPr="001C3BFA">
        <w:rPr>
          <w:color w:val="FF0000"/>
        </w:rPr>
        <w:t>, moreover when there are alternatives that had proven capable of slowing the rate of myopia progression</w:t>
      </w:r>
      <w:r>
        <w:rPr>
          <w:color w:val="FF0000"/>
        </w:rPr>
        <w:t xml:space="preserve"> </w:t>
      </w:r>
      <w:r w:rsidRPr="001C3BFA">
        <w:rPr>
          <w:color w:val="FF0000"/>
        </w:rPr>
        <w:fldChar w:fldCharType="begin" w:fldLock="1"/>
      </w:r>
      <w:r w:rsidRPr="001C3BFA">
        <w:rPr>
          <w:color w:val="FF0000"/>
        </w:rPr>
        <w:instrText>ADDIN CSL_CITATION {"citationItems":[{"id":"ITEM-1","itemData":{"DOI":"10.1016/j.ophtha.2015.11.010","ISBN":"1549-4713 (Electronic)\\r0161-6420 (Linking)","ISSN":"15494713","PMID":"26826749","abstract":"Purpose To determine the effectiveness of different interventions to slow down the progression of myopia in children. Methods We searched MEDLINE, EMBASE, Cochrane Central Register of Controlled Trials, World Health Organization International Clinical Trials Registry Platform, and ClinicalTrials.gov from inception to August 2014. We selected randomized controlled trials (RCTs) involving interventions for controlling the progression of myopia in children with a treatment duration of at least 1 year for analysis. Main Outcome Measures The primary outcomes were mean annual change in refraction (diopters/year) and mean annual change in axial length (millimeters/year). Results Thirty RCTs (involving 5422 eyes) were identified. Network meta-analysis showed that in comparison with placebo or single vision spectacle lenses, high-dose atropine (refraction change: 0.68 [0.52-0.84]; axial length change: -0.21 [-0.28 to -0.16]), moderate-dose atropine (refraction change: 0.53 [0.28-0.77]; axial length change: -0.21 [-0.32 to -0.12]), and low-dose atropine (refraction change: 0.53 [0.21-0.85]; axial length change: -0.15 [-0.25 to -0.05]) markedly slowed myopia progression. Pirenzepine (refraction change: 0.29 [0.05-0.52]; axial length change: -0.09 [-0.17 to -0.01]), orthokeratology (axial length change: -0.15 [-0.22 to -0.08]), and peripheral defocus modifying contact lenses (axial length change: -0.11 [-0.20 to -0.03]) showed moderate effects. Progressive addition spectacle lenses (refraction change: 0.14 [0.02-0.26]; axial length change: -0.04 [-0.09 to -0.01]) showed slight effects. Conclusions This network analysis indicates that a range of interventions can significantly reduce myopia progression when compared with single vision spectacle lenses or placebo. In terms of refraction, atropine, pirenzepine, and progressive addition spectacle lenses were effective. In terms of axial length, atropine, orthokeratology, peripheral defocus modifying contact lenses, pirenzepine, and progressive addition spectacle lenses were effective. The most effective interventions were pharmacologic, that is, muscarinic antagonists such as atropine and pirenzepine. Certain specially designed contact lenses, including orthokeratology and peripheral defocus modifying contact lenses, had moderate effects, whereas specially designed spectacle lenses showed minimal effect.","author":[{"dropping-particle":"","family":"Huang","given":"Jinhai","non-dropping-particle":"","parse-names":false,"suffix":""},{"dropping-particle":"","family":"Wen","given":"Daizong","non-dropping-particle":"","parse-names":false,"suffix":""},{"dropping-particle":"","family":"Wang","given":"Qinmei","non-dropping-particle":"","parse-names":false,"suffix":""},{"dropping-particle":"","family":"McAlinden","given":"Colm","non-dropping-particle":"","parse-names":false,"suffix":""},{"dropping-particle":"","family":"Flitcroft","given":"Ian","non-dropping-particle":"","parse-names":false,"suffix":""},{"dropping-particle":"","family":"Chen","given":"Hao Haisi","non-dropping-particle":"","parse-names":false,"suffix":""},{"dropping-particle":"","family":"Saw","given":"Seang Mei","non-dropping-particle":"","parse-names":false,"suffix":""},{"dropping-particle":"","family":"Chen","given":"Hao Haisi","non-dropping-particle":"","parse-names":false,"suffix":""},{"dropping-particle":"","family":"Bao","given":"Fangjun","non-dropping-particle":"","parse-names":false,"suffix":""},{"dropping-particle":"","family":"Zhao","given":"Yune","non-dropping-particle":"","parse-names":false,"suffix":""},{"dropping-particle":"","family":"Hu","given":"Liang","non-dropping-particle":"","parse-names":false,"suffix":""},{"dropping-particle":"","family":"Li","given":"Xuexi","non-dropping-particle":"","parse-names":false,"suffix":""},{"dropping-particle":"","family":"Gao","given":"Rongrong","non-dropping-particle":"","parse-names":false,"suffix":""},{"dropping-particle":"","family":"Lu","given":"Weicong","non-dropping-particle":"","parse-names":false,"suffix":""},{"dropping-particle":"","family":"Du","given":"Yaoqiang","non-dropping-particle":"","parse-names":false,"suffix":""},{"dropping-particle":"","family":"Jinag","given":"Zhengxuan","non-dropping-particle":"","parse-names":false,"suffix":""},{"dropping-particle":"","family":"Yu","given":"Ayong","non-dropping-particle":"","parse-names":false,"suffix":""},{"dropping-particle":"","family":"Lian","given":"Hengli","non-dropping-particle":"","parse-names":false,"suffix":""},{"dropping-particle":"","family":"Jiang","given":"Qiuruo","non-dropping-particle":"","parse-names":false,"suffix":""},{"dropping-particle":"","family":"Yu","given":"Ye","non-dropping-particle":"","parse-names":false,"suffix":""},{"dropping-particle":"","family":"Qu","given":"Jia","non-dropping-particle":"","parse-names":false,"suffix":""}],"container-title":"Ophthalmology","id":"ITEM-1","issue":"4","issued":{"date-parts":[["2016"]]},"page":"697-708","title":"Efficacy comparison of 16 interventions for myopia control in children: A network meta-analysis","type":"article-journal","volume":"123"},"uris":["http://www.mendeley.com/documents/?uuid=a75f74e9-2e58-4a0b-8688-a5678e3facd4"]}],"mendeley":{"formattedCitation":"[54]","plainTextFormattedCitation":"[54]"},"properties":{"noteIndex":0},"schema":"https://github.com/citation-style-language/schema/raw/master/csl-citation.json"}</w:instrText>
      </w:r>
      <w:r w:rsidRPr="001C3BFA">
        <w:rPr>
          <w:color w:val="FF0000"/>
        </w:rPr>
        <w:fldChar w:fldCharType="separate"/>
      </w:r>
      <w:r w:rsidRPr="001C3BFA">
        <w:rPr>
          <w:noProof/>
          <w:color w:val="FF0000"/>
        </w:rPr>
        <w:t>[54]</w:t>
      </w:r>
      <w:r w:rsidRPr="001C3BFA">
        <w:rPr>
          <w:color w:val="FF0000"/>
        </w:rPr>
        <w:fldChar w:fldCharType="end"/>
      </w:r>
      <w:r>
        <w:t xml:space="preserve">. In this perspective, a different approach to determine the effect of </w:t>
      </w:r>
      <w:proofErr w:type="gramStart"/>
      <w:r>
        <w:t>full-correction</w:t>
      </w:r>
      <w:proofErr w:type="gramEnd"/>
      <w:r>
        <w:t xml:space="preserve"> with single vision spectacles wear is described, redefining how this research can be done in the future.</w:t>
      </w:r>
    </w:p>
    <w:p w14:paraId="4530F645" w14:textId="77777777" w:rsidR="001C3BFA" w:rsidRPr="001C3BFA" w:rsidRDefault="001C3BFA">
      <w:pPr>
        <w:rPr>
          <w:rFonts w:ascii="Times New Roman" w:hAnsi="Times New Roman" w:cs="Times New Roman"/>
          <w:lang w:val="en-US"/>
        </w:rPr>
      </w:pPr>
    </w:p>
    <w:p w14:paraId="4C024137" w14:textId="0D8CC41C" w:rsidR="0049517C" w:rsidRDefault="0049517C">
      <w:pPr>
        <w:rPr>
          <w:rFonts w:ascii="Times New Roman" w:hAnsi="Times New Roman" w:cs="Times New Roman"/>
        </w:rPr>
      </w:pPr>
    </w:p>
    <w:p w14:paraId="09F1005B" w14:textId="3159B033" w:rsidR="0049517C" w:rsidRDefault="0049517C" w:rsidP="001C3BFA">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 xml:space="preserve">oint </w:t>
      </w:r>
      <w:r w:rsidRPr="0049517C">
        <w:rPr>
          <w:rFonts w:ascii="Times New Roman" w:hAnsi="Times New Roman" w:cs="Times New Roman"/>
          <w:b/>
        </w:rPr>
        <w:t>2:</w:t>
      </w:r>
      <w:r>
        <w:rPr>
          <w:rFonts w:ascii="Times New Roman" w:hAnsi="Times New Roman" w:cs="Times New Roman"/>
        </w:rPr>
        <w:t xml:space="preserve"> </w:t>
      </w:r>
      <w:r w:rsidR="001C3BFA" w:rsidRPr="001C3BFA">
        <w:rPr>
          <w:rFonts w:ascii="Times New Roman" w:hAnsi="Times New Roman" w:cs="Times New Roman"/>
          <w:color w:val="000000"/>
        </w:rPr>
        <w:t xml:space="preserve">In the first line, you </w:t>
      </w:r>
      <w:proofErr w:type="spellStart"/>
      <w:r w:rsidR="001C3BFA" w:rsidRPr="001C3BFA">
        <w:rPr>
          <w:rFonts w:ascii="Times New Roman" w:hAnsi="Times New Roman" w:cs="Times New Roman"/>
          <w:color w:val="000000"/>
        </w:rPr>
        <w:t>can not</w:t>
      </w:r>
      <w:proofErr w:type="spellEnd"/>
      <w:r w:rsidR="001C3BFA" w:rsidRPr="001C3BFA">
        <w:rPr>
          <w:rFonts w:ascii="Times New Roman" w:hAnsi="Times New Roman" w:cs="Times New Roman"/>
          <w:color w:val="000000"/>
        </w:rPr>
        <w:t xml:space="preserve"> say spectacles are risk-free. Although glasses provide protection from small projectile objects, there are numerous instances of children who are injured from an object hitting glasses (soccer ball, baseball, etc.) and incurring injuries due to wearing glasses. Also, the premise of the paper is in question as a risk. Does wearing glasses induce faster increases in axial length than other forms of correction? There is a potential risk in wearing glasses that accelerate the rate of axial length increase.</w:t>
      </w:r>
    </w:p>
    <w:p w14:paraId="58C9581D" w14:textId="77777777" w:rsidR="001C3BFA" w:rsidRDefault="001C3BFA" w:rsidP="001C3BFA">
      <w:pPr>
        <w:jc w:val="both"/>
        <w:rPr>
          <w:rFonts w:ascii="Times New Roman" w:hAnsi="Times New Roman" w:cs="Times New Roman"/>
          <w:color w:val="000000"/>
        </w:rPr>
      </w:pPr>
    </w:p>
    <w:p w14:paraId="3B799EC7" w14:textId="3CCE3AC0" w:rsidR="00D230AF" w:rsidRDefault="009574F6">
      <w:pPr>
        <w:rPr>
          <w:rFonts w:ascii="Times New Roman" w:hAnsi="Times New Roman" w:cs="Times New Roman"/>
          <w:color w:val="FF0000"/>
        </w:rPr>
      </w:pPr>
      <w:r w:rsidRPr="002B4EE5">
        <w:rPr>
          <w:rFonts w:ascii="Times New Roman" w:hAnsi="Times New Roman" w:cs="Times New Roman"/>
          <w:b/>
          <w:color w:val="FF0000"/>
        </w:rPr>
        <w:t xml:space="preserve">Response </w:t>
      </w:r>
      <w:r w:rsidR="0049517C" w:rsidRPr="002B4EE5">
        <w:rPr>
          <w:rFonts w:ascii="Times New Roman" w:hAnsi="Times New Roman" w:cs="Times New Roman"/>
          <w:b/>
          <w:color w:val="FF0000"/>
        </w:rPr>
        <w:t>2:</w:t>
      </w:r>
      <w:r w:rsidR="0049517C" w:rsidRPr="002B4EE5">
        <w:rPr>
          <w:rFonts w:ascii="Times New Roman" w:hAnsi="Times New Roman" w:cs="Times New Roman"/>
          <w:color w:val="FF0000"/>
        </w:rPr>
        <w:t xml:space="preserve"> </w:t>
      </w:r>
      <w:r w:rsidR="001C3BFA">
        <w:rPr>
          <w:rFonts w:ascii="Times New Roman" w:hAnsi="Times New Roman" w:cs="Times New Roman"/>
          <w:color w:val="FF0000"/>
        </w:rPr>
        <w:t>For better phrasing, the introduction paragraph does not longer refer to them as risk-free but as non-invasive, simple and affordable.</w:t>
      </w:r>
    </w:p>
    <w:p w14:paraId="7C46C736" w14:textId="42555EDA" w:rsidR="001C3BFA" w:rsidRDefault="001C3BFA">
      <w:pPr>
        <w:rPr>
          <w:rFonts w:ascii="Times New Roman" w:hAnsi="Times New Roman" w:cs="Times New Roman"/>
          <w:color w:val="FF0000"/>
        </w:rPr>
      </w:pPr>
    </w:p>
    <w:p w14:paraId="1DB7BFC7" w14:textId="1C098955" w:rsidR="001C3BFA" w:rsidRPr="001C3BFA" w:rsidRDefault="001C3BFA" w:rsidP="001C3BFA">
      <w:pPr>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 xml:space="preserve">oint </w:t>
      </w:r>
      <w:r>
        <w:rPr>
          <w:rFonts w:ascii="Times New Roman" w:hAnsi="Times New Roman" w:cs="Times New Roman"/>
          <w:b/>
        </w:rPr>
        <w:t>3</w:t>
      </w:r>
      <w:r w:rsidRPr="0049517C">
        <w:rPr>
          <w:rFonts w:ascii="Times New Roman" w:hAnsi="Times New Roman" w:cs="Times New Roman"/>
          <w:b/>
        </w:rPr>
        <w:t>:</w:t>
      </w:r>
      <w:r>
        <w:rPr>
          <w:rFonts w:ascii="Times New Roman" w:hAnsi="Times New Roman" w:cs="Times New Roman"/>
        </w:rPr>
        <w:t xml:space="preserve"> </w:t>
      </w:r>
      <w:r w:rsidRPr="001C3BFA">
        <w:rPr>
          <w:rFonts w:ascii="Times New Roman" w:hAnsi="Times New Roman" w:cs="Times New Roman"/>
          <w:color w:val="000000"/>
        </w:rPr>
        <w:t>In</w:t>
      </w:r>
      <w:r w:rsidRPr="001C3BFA">
        <w:t xml:space="preserve"> </w:t>
      </w:r>
      <w:r w:rsidRPr="001C3BFA">
        <w:rPr>
          <w:rFonts w:ascii="Times New Roman" w:hAnsi="Times New Roman" w:cs="Times New Roman"/>
          <w:color w:val="000000"/>
        </w:rPr>
        <w:t>Minor spelling issues:</w:t>
      </w:r>
    </w:p>
    <w:p w14:paraId="2D44F9DB" w14:textId="77777777" w:rsidR="001C3BFA" w:rsidRPr="001C3BFA" w:rsidRDefault="001C3BFA" w:rsidP="001C3BFA">
      <w:pPr>
        <w:rPr>
          <w:rFonts w:ascii="Times New Roman" w:hAnsi="Times New Roman" w:cs="Times New Roman"/>
          <w:color w:val="000000"/>
        </w:rPr>
      </w:pPr>
    </w:p>
    <w:p w14:paraId="4A3201C0" w14:textId="77777777" w:rsidR="001C3BFA" w:rsidRPr="001C3BFA" w:rsidRDefault="001C3BFA" w:rsidP="001C3BFA">
      <w:pPr>
        <w:rPr>
          <w:rFonts w:ascii="Times New Roman" w:hAnsi="Times New Roman" w:cs="Times New Roman"/>
          <w:color w:val="000000"/>
        </w:rPr>
      </w:pPr>
      <w:proofErr w:type="spellStart"/>
      <w:r w:rsidRPr="001C3BFA">
        <w:rPr>
          <w:rFonts w:ascii="Times New Roman" w:hAnsi="Times New Roman" w:cs="Times New Roman"/>
          <w:color w:val="000000"/>
        </w:rPr>
        <w:t>Enroll</w:t>
      </w:r>
      <w:proofErr w:type="spellEnd"/>
      <w:r w:rsidRPr="001C3BFA">
        <w:rPr>
          <w:rFonts w:ascii="Times New Roman" w:hAnsi="Times New Roman" w:cs="Times New Roman"/>
          <w:color w:val="000000"/>
        </w:rPr>
        <w:t xml:space="preserve"> is with 2 “L’s”, also </w:t>
      </w:r>
      <w:proofErr w:type="spellStart"/>
      <w:r w:rsidRPr="001C3BFA">
        <w:rPr>
          <w:rFonts w:ascii="Times New Roman" w:hAnsi="Times New Roman" w:cs="Times New Roman"/>
          <w:color w:val="000000"/>
        </w:rPr>
        <w:t>enrollment</w:t>
      </w:r>
      <w:proofErr w:type="spellEnd"/>
      <w:r w:rsidRPr="001C3BFA">
        <w:rPr>
          <w:rFonts w:ascii="Times New Roman" w:hAnsi="Times New Roman" w:cs="Times New Roman"/>
          <w:color w:val="000000"/>
        </w:rPr>
        <w:t>.</w:t>
      </w:r>
    </w:p>
    <w:p w14:paraId="7B7A0F9E" w14:textId="77777777" w:rsidR="001C3BFA" w:rsidRPr="001C3BFA" w:rsidRDefault="001C3BFA" w:rsidP="001C3BFA">
      <w:pPr>
        <w:rPr>
          <w:rFonts w:ascii="Times New Roman" w:hAnsi="Times New Roman" w:cs="Times New Roman"/>
          <w:color w:val="000000"/>
        </w:rPr>
      </w:pPr>
    </w:p>
    <w:p w14:paraId="05010A3A" w14:textId="4BCD94A5" w:rsidR="001C3BFA" w:rsidRDefault="001C3BFA" w:rsidP="001C3BFA">
      <w:pPr>
        <w:rPr>
          <w:rFonts w:ascii="Times New Roman" w:hAnsi="Times New Roman" w:cs="Times New Roman"/>
          <w:color w:val="FF0000"/>
        </w:rPr>
      </w:pPr>
      <w:r w:rsidRPr="002B4EE5">
        <w:rPr>
          <w:rFonts w:ascii="Times New Roman" w:hAnsi="Times New Roman" w:cs="Times New Roman"/>
          <w:b/>
          <w:color w:val="FF0000"/>
        </w:rPr>
        <w:t xml:space="preserve">Response </w:t>
      </w:r>
      <w:r>
        <w:rPr>
          <w:rFonts w:ascii="Times New Roman" w:hAnsi="Times New Roman" w:cs="Times New Roman"/>
          <w:b/>
          <w:color w:val="FF0000"/>
        </w:rPr>
        <w:t>3</w:t>
      </w:r>
      <w:r w:rsidRPr="002B4EE5">
        <w:rPr>
          <w:rFonts w:ascii="Times New Roman" w:hAnsi="Times New Roman" w:cs="Times New Roman"/>
          <w:b/>
          <w:color w:val="FF0000"/>
        </w:rPr>
        <w:t>:</w:t>
      </w:r>
      <w:r w:rsidRPr="002B4EE5">
        <w:rPr>
          <w:rFonts w:ascii="Times New Roman" w:hAnsi="Times New Roman" w:cs="Times New Roman"/>
          <w:color w:val="FF0000"/>
        </w:rPr>
        <w:t xml:space="preserve"> </w:t>
      </w:r>
      <w:r>
        <w:rPr>
          <w:rFonts w:ascii="Times New Roman" w:hAnsi="Times New Roman" w:cs="Times New Roman"/>
          <w:color w:val="FF0000"/>
        </w:rPr>
        <w:t>As noted in the Cambridge dictionary, both variants are valid. Being usage of a single “</w:t>
      </w:r>
      <w:proofErr w:type="gramStart"/>
      <w:r>
        <w:rPr>
          <w:rFonts w:ascii="Times New Roman" w:hAnsi="Times New Roman" w:cs="Times New Roman"/>
          <w:color w:val="FF0000"/>
        </w:rPr>
        <w:t>l ”</w:t>
      </w:r>
      <w:proofErr w:type="gramEnd"/>
      <w:r>
        <w:rPr>
          <w:rFonts w:ascii="Times New Roman" w:hAnsi="Times New Roman" w:cs="Times New Roman"/>
          <w:color w:val="FF0000"/>
        </w:rPr>
        <w:t xml:space="preserve"> preferred for the British spelling.</w:t>
      </w:r>
    </w:p>
    <w:p w14:paraId="3EED00E8" w14:textId="3CAF4583" w:rsidR="001C3BFA" w:rsidRDefault="001C3BFA" w:rsidP="001C3BFA">
      <w:pPr>
        <w:rPr>
          <w:rFonts w:ascii="Times New Roman" w:hAnsi="Times New Roman" w:cs="Times New Roman"/>
          <w:color w:val="FF0000"/>
        </w:rPr>
      </w:pPr>
      <w:r w:rsidRPr="001C3BFA">
        <w:rPr>
          <w:rFonts w:ascii="Times New Roman" w:hAnsi="Times New Roman" w:cs="Times New Roman"/>
          <w:color w:val="FF0000"/>
        </w:rPr>
        <w:t>In the interest of consistency</w:t>
      </w:r>
      <w:r>
        <w:rPr>
          <w:rFonts w:ascii="Times New Roman" w:hAnsi="Times New Roman" w:cs="Times New Roman"/>
          <w:color w:val="FF0000"/>
        </w:rPr>
        <w:t>, we would stick to the British variant, as British spelling</w:t>
      </w:r>
      <w:bookmarkStart w:id="0" w:name="_GoBack"/>
      <w:bookmarkEnd w:id="0"/>
      <w:r>
        <w:rPr>
          <w:rFonts w:ascii="Times New Roman" w:hAnsi="Times New Roman" w:cs="Times New Roman"/>
          <w:color w:val="FF0000"/>
        </w:rPr>
        <w:t xml:space="preserve"> has been used across the manuscript (e.g. minimise, normalisation, randomisation, summarises…).</w:t>
      </w:r>
    </w:p>
    <w:p w14:paraId="4CD81303" w14:textId="06CE7C02" w:rsidR="001C3BFA" w:rsidRDefault="001C3BFA" w:rsidP="001C3BFA">
      <w:pPr>
        <w:rPr>
          <w:rFonts w:ascii="Times New Roman" w:hAnsi="Times New Roman" w:cs="Times New Roman"/>
          <w:color w:val="FF0000"/>
        </w:rPr>
      </w:pPr>
    </w:p>
    <w:p w14:paraId="3A77FB32" w14:textId="68C4AE65" w:rsidR="001C3BFA" w:rsidRDefault="001C3BFA" w:rsidP="001C3BFA">
      <w:pPr>
        <w:rPr>
          <w:rFonts w:ascii="Times New Roman" w:hAnsi="Times New Roman" w:cs="Times New Roman"/>
          <w:color w:val="FF0000"/>
        </w:rPr>
      </w:pPr>
      <w:r>
        <w:rPr>
          <w:rFonts w:ascii="Times New Roman" w:hAnsi="Times New Roman" w:cs="Times New Roman"/>
          <w:color w:val="FF0000"/>
        </w:rPr>
        <w:t xml:space="preserve">Source: </w:t>
      </w:r>
      <w:hyperlink r:id="rId7" w:history="1">
        <w:r>
          <w:rPr>
            <w:rStyle w:val="Hyperlink"/>
          </w:rPr>
          <w:t>https://dictionary.cambridge.org/dictionary/english/enrol</w:t>
        </w:r>
      </w:hyperlink>
    </w:p>
    <w:p w14:paraId="14B61DAE" w14:textId="77777777" w:rsidR="001C3BFA" w:rsidRPr="001C3BFA" w:rsidRDefault="001C3BFA" w:rsidP="001C3BFA">
      <w:pPr>
        <w:rPr>
          <w:rFonts w:ascii="Times New Roman" w:hAnsi="Times New Roman" w:cs="Times New Roman"/>
          <w:color w:val="000000"/>
        </w:rPr>
      </w:pPr>
    </w:p>
    <w:p w14:paraId="299D6AAA" w14:textId="77777777" w:rsidR="001C3BFA" w:rsidRPr="001C3BFA" w:rsidRDefault="001C3BFA" w:rsidP="001C3BFA">
      <w:pPr>
        <w:rPr>
          <w:rFonts w:ascii="Times New Roman" w:hAnsi="Times New Roman" w:cs="Times New Roman"/>
          <w:color w:val="000000"/>
        </w:rPr>
      </w:pPr>
    </w:p>
    <w:p w14:paraId="6024965A" w14:textId="2B0A7B59" w:rsidR="001C3BFA" w:rsidRDefault="001C3BFA" w:rsidP="001C3BFA">
      <w:pPr>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 xml:space="preserve">oint </w:t>
      </w:r>
      <w:r>
        <w:rPr>
          <w:rFonts w:ascii="Times New Roman" w:hAnsi="Times New Roman" w:cs="Times New Roman"/>
          <w:b/>
        </w:rPr>
        <w:t>4</w:t>
      </w:r>
      <w:r w:rsidRPr="0049517C">
        <w:rPr>
          <w:rFonts w:ascii="Times New Roman" w:hAnsi="Times New Roman" w:cs="Times New Roman"/>
          <w:b/>
        </w:rPr>
        <w:t>:</w:t>
      </w:r>
      <w:r>
        <w:rPr>
          <w:rFonts w:ascii="Times New Roman" w:hAnsi="Times New Roman" w:cs="Times New Roman"/>
        </w:rPr>
        <w:t xml:space="preserve"> </w:t>
      </w:r>
      <w:r w:rsidRPr="001C3BFA">
        <w:rPr>
          <w:rFonts w:ascii="Times New Roman" w:hAnsi="Times New Roman" w:cs="Times New Roman"/>
          <w:color w:val="000000"/>
        </w:rPr>
        <w:t xml:space="preserve">There are </w:t>
      </w:r>
      <w:proofErr w:type="gramStart"/>
      <w:r w:rsidRPr="001C3BFA">
        <w:rPr>
          <w:rFonts w:ascii="Times New Roman" w:hAnsi="Times New Roman" w:cs="Times New Roman"/>
          <w:color w:val="000000"/>
        </w:rPr>
        <w:t>a number of</w:t>
      </w:r>
      <w:proofErr w:type="gramEnd"/>
      <w:r w:rsidRPr="001C3BFA">
        <w:rPr>
          <w:rFonts w:ascii="Times New Roman" w:hAnsi="Times New Roman" w:cs="Times New Roman"/>
          <w:color w:val="000000"/>
        </w:rPr>
        <w:t xml:space="preserve"> minor grammatical errors that require editing by a native English speaker who is familiar with this topic.</w:t>
      </w:r>
    </w:p>
    <w:p w14:paraId="4C2AC71E" w14:textId="2025B62C" w:rsidR="001C3BFA" w:rsidRDefault="001C3BFA" w:rsidP="001C3BFA">
      <w:pPr>
        <w:rPr>
          <w:rFonts w:ascii="Times New Roman" w:hAnsi="Times New Roman" w:cs="Times New Roman"/>
          <w:color w:val="000000"/>
        </w:rPr>
      </w:pPr>
    </w:p>
    <w:p w14:paraId="61CA7B84" w14:textId="41353FDB" w:rsidR="001C3BFA" w:rsidRPr="009574F6" w:rsidRDefault="001C3BFA" w:rsidP="001C3BFA">
      <w:pPr>
        <w:rPr>
          <w:rFonts w:ascii="Times New Roman" w:hAnsi="Times New Roman" w:cs="Times New Roman"/>
        </w:rPr>
      </w:pPr>
      <w:r w:rsidRPr="002B4EE5">
        <w:rPr>
          <w:rFonts w:ascii="Times New Roman" w:hAnsi="Times New Roman" w:cs="Times New Roman"/>
          <w:b/>
          <w:color w:val="FF0000"/>
        </w:rPr>
        <w:t xml:space="preserve">Response </w:t>
      </w:r>
      <w:r>
        <w:rPr>
          <w:rFonts w:ascii="Times New Roman" w:hAnsi="Times New Roman" w:cs="Times New Roman"/>
          <w:b/>
          <w:color w:val="FF0000"/>
        </w:rPr>
        <w:t>4</w:t>
      </w:r>
      <w:r w:rsidRPr="002B4EE5">
        <w:rPr>
          <w:rFonts w:ascii="Times New Roman" w:hAnsi="Times New Roman" w:cs="Times New Roman"/>
          <w:b/>
          <w:color w:val="FF0000"/>
        </w:rPr>
        <w:t>:</w:t>
      </w:r>
      <w:r w:rsidRPr="002B4EE5">
        <w:rPr>
          <w:rFonts w:ascii="Times New Roman" w:hAnsi="Times New Roman" w:cs="Times New Roman"/>
          <w:color w:val="FF0000"/>
        </w:rPr>
        <w:t xml:space="preserve"> </w:t>
      </w:r>
      <w:r>
        <w:rPr>
          <w:rFonts w:ascii="Times New Roman" w:hAnsi="Times New Roman" w:cs="Times New Roman"/>
          <w:color w:val="FF0000"/>
        </w:rPr>
        <w:t>Several improvements to the grammatic and readability of the manuscript have been made. For more detail, please refer to the tracked version of the manuscript.</w:t>
      </w:r>
    </w:p>
    <w:sectPr w:rsidR="001C3BFA" w:rsidRPr="009574F6" w:rsidSect="003B38DA">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53642D" w14:textId="77777777" w:rsidR="001C3BFA" w:rsidRDefault="001C3BFA" w:rsidP="001C3BFA">
      <w:r>
        <w:separator/>
      </w:r>
    </w:p>
  </w:endnote>
  <w:endnote w:type="continuationSeparator" w:id="0">
    <w:p w14:paraId="7F9535F0" w14:textId="77777777" w:rsidR="001C3BFA" w:rsidRDefault="001C3BFA" w:rsidP="001C3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24322" w14:textId="77777777" w:rsidR="001C3BFA" w:rsidRDefault="001C3BFA" w:rsidP="001C3BFA">
      <w:r>
        <w:separator/>
      </w:r>
    </w:p>
  </w:footnote>
  <w:footnote w:type="continuationSeparator" w:id="0">
    <w:p w14:paraId="470F7910" w14:textId="77777777" w:rsidR="001C3BFA" w:rsidRDefault="001C3BFA" w:rsidP="001C3B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formsDesig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O0tDA2Mzc3tTA0tDBS0lEKTi0uzszPAykwrAUAIMDUkywAAAA="/>
  </w:docVars>
  <w:rsids>
    <w:rsidRoot w:val="00D230AF"/>
    <w:rsid w:val="000328FE"/>
    <w:rsid w:val="001C3BFA"/>
    <w:rsid w:val="002B4EE5"/>
    <w:rsid w:val="003738AD"/>
    <w:rsid w:val="003B38DA"/>
    <w:rsid w:val="0049517C"/>
    <w:rsid w:val="00806DA3"/>
    <w:rsid w:val="009574F6"/>
    <w:rsid w:val="00BA334E"/>
    <w:rsid w:val="00BB56F4"/>
    <w:rsid w:val="00BD6E57"/>
    <w:rsid w:val="00D230AF"/>
    <w:rsid w:val="00E54C4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090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17C"/>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4951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17C"/>
    <w:rPr>
      <w:rFonts w:ascii="Segoe UI" w:hAnsi="Segoe UI" w:cs="Segoe UI"/>
      <w:sz w:val="18"/>
      <w:szCs w:val="18"/>
    </w:rPr>
  </w:style>
  <w:style w:type="paragraph" w:customStyle="1" w:styleId="MDPI31text">
    <w:name w:val="MDPI_3.1_text"/>
    <w:qFormat/>
    <w:rsid w:val="001C3BFA"/>
    <w:pPr>
      <w:adjustRightInd w:val="0"/>
      <w:snapToGrid w:val="0"/>
      <w:spacing w:line="260" w:lineRule="atLeast"/>
      <w:ind w:firstLine="425"/>
      <w:jc w:val="both"/>
    </w:pPr>
    <w:rPr>
      <w:rFonts w:ascii="Palatino Linotype" w:eastAsia="Times New Roman" w:hAnsi="Palatino Linotype" w:cs="Times New Roman"/>
      <w:snapToGrid w:val="0"/>
      <w:color w:val="000000"/>
      <w:sz w:val="20"/>
      <w:szCs w:val="22"/>
      <w:lang w:val="en-US" w:eastAsia="de-DE" w:bidi="en-US"/>
    </w:rPr>
  </w:style>
  <w:style w:type="character" w:styleId="Hyperlink">
    <w:name w:val="Hyperlink"/>
    <w:basedOn w:val="DefaultParagraphFont"/>
    <w:uiPriority w:val="99"/>
    <w:semiHidden/>
    <w:unhideWhenUsed/>
    <w:rsid w:val="001C3B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485971216">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ictionary.cambridge.org/dictionary/english/enro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1168</Words>
  <Characters>7364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MDPI AG</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Garcia Garcia, Miguel</cp:lastModifiedBy>
  <cp:revision>2</cp:revision>
  <cp:lastPrinted>2018-03-20T10:29:00Z</cp:lastPrinted>
  <dcterms:created xsi:type="dcterms:W3CDTF">2020-06-19T00:22:00Z</dcterms:created>
  <dcterms:modified xsi:type="dcterms:W3CDTF">2020-06-19T00:22:00Z</dcterms:modified>
</cp:coreProperties>
</file>