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4BAE0" w14:textId="64311195" w:rsidR="0095204A" w:rsidRPr="00D26E8E" w:rsidRDefault="0095204A">
      <w:pPr>
        <w:rPr>
          <w:b/>
          <w:bCs/>
          <w:sz w:val="22"/>
          <w:szCs w:val="22"/>
          <w:lang w:val="en-US"/>
        </w:rPr>
      </w:pPr>
      <w:r w:rsidRPr="00D26E8E">
        <w:rPr>
          <w:b/>
          <w:bCs/>
          <w:sz w:val="22"/>
          <w:szCs w:val="22"/>
          <w:lang w:val="en-US"/>
        </w:rPr>
        <w:t>Point-to-point response to reviewer’s comments</w:t>
      </w:r>
    </w:p>
    <w:p w14:paraId="497C7258" w14:textId="463B856A" w:rsidR="0095204A" w:rsidRPr="00D26E8E" w:rsidRDefault="0095204A">
      <w:pPr>
        <w:rPr>
          <w:sz w:val="22"/>
          <w:szCs w:val="22"/>
          <w:lang w:val="en-US"/>
        </w:rPr>
      </w:pPr>
    </w:p>
    <w:p w14:paraId="747A1F7A" w14:textId="22ECE43D" w:rsidR="0095204A" w:rsidRPr="00D26E8E" w:rsidRDefault="0095204A">
      <w:pPr>
        <w:rPr>
          <w:sz w:val="22"/>
          <w:szCs w:val="22"/>
          <w:lang w:val="en-US"/>
        </w:rPr>
      </w:pPr>
      <w:r w:rsidRPr="00D26E8E">
        <w:rPr>
          <w:sz w:val="22"/>
          <w:szCs w:val="22"/>
          <w:lang w:val="en-US"/>
        </w:rPr>
        <w:t>Ms. Re</w:t>
      </w:r>
      <w:r w:rsidR="00057D46" w:rsidRPr="00D26E8E">
        <w:rPr>
          <w:sz w:val="22"/>
          <w:szCs w:val="22"/>
          <w:lang w:val="en-US"/>
        </w:rPr>
        <w:t>f</w:t>
      </w:r>
      <w:r w:rsidRPr="00D26E8E">
        <w:rPr>
          <w:sz w:val="22"/>
          <w:szCs w:val="22"/>
          <w:lang w:val="en-US"/>
        </w:rPr>
        <w:t>. No</w:t>
      </w:r>
      <w:r w:rsidR="00DB7A21" w:rsidRPr="00D26E8E">
        <w:rPr>
          <w:sz w:val="22"/>
          <w:szCs w:val="22"/>
          <w:lang w:val="en-US"/>
        </w:rPr>
        <w:t>: Pharmaceutics-735374</w:t>
      </w:r>
    </w:p>
    <w:p w14:paraId="367D9DA3" w14:textId="1E9603C4" w:rsidR="0095204A" w:rsidRPr="00D26E8E" w:rsidRDefault="0095204A">
      <w:pPr>
        <w:rPr>
          <w:sz w:val="22"/>
          <w:szCs w:val="22"/>
          <w:lang w:val="en-US"/>
        </w:rPr>
      </w:pPr>
      <w:r w:rsidRPr="00D26E8E">
        <w:rPr>
          <w:sz w:val="22"/>
          <w:szCs w:val="22"/>
          <w:lang w:val="en-US"/>
        </w:rPr>
        <w:t>Title</w:t>
      </w:r>
      <w:r w:rsidR="00DB7A21" w:rsidRPr="00D26E8E">
        <w:rPr>
          <w:sz w:val="22"/>
          <w:szCs w:val="22"/>
          <w:lang w:val="en-US"/>
        </w:rPr>
        <w:t>: Design of a gene panel to expose the versatile role of hepatic stellate cells in human liver fibrosis</w:t>
      </w:r>
    </w:p>
    <w:p w14:paraId="7C6500C5" w14:textId="0C1BD5FC" w:rsidR="0095204A" w:rsidRPr="00D26E8E" w:rsidRDefault="0095204A">
      <w:pPr>
        <w:rPr>
          <w:sz w:val="22"/>
          <w:szCs w:val="22"/>
          <w:lang w:val="en-US"/>
        </w:rPr>
      </w:pPr>
      <w:r w:rsidRPr="00D26E8E">
        <w:rPr>
          <w:sz w:val="22"/>
          <w:szCs w:val="22"/>
          <w:lang w:val="en-US"/>
        </w:rPr>
        <w:t>Journal</w:t>
      </w:r>
      <w:r w:rsidR="00DB7A21" w:rsidRPr="00D26E8E">
        <w:rPr>
          <w:sz w:val="22"/>
          <w:szCs w:val="22"/>
          <w:lang w:val="en-US"/>
        </w:rPr>
        <w:t>: Pharmaceutics (special issue Antifibrotic Drugs)</w:t>
      </w:r>
    </w:p>
    <w:p w14:paraId="0EC0C7E9" w14:textId="14C1EB12" w:rsidR="0095204A" w:rsidRPr="00D26E8E" w:rsidRDefault="0095204A">
      <w:pPr>
        <w:rPr>
          <w:sz w:val="22"/>
          <w:szCs w:val="22"/>
          <w:lang w:val="en-US"/>
        </w:rPr>
      </w:pPr>
    </w:p>
    <w:p w14:paraId="6E63D892" w14:textId="07B08AE8" w:rsidR="0095204A" w:rsidRPr="00D26E8E" w:rsidRDefault="0095204A">
      <w:pPr>
        <w:rPr>
          <w:sz w:val="22"/>
          <w:szCs w:val="22"/>
          <w:lang w:val="en-US"/>
        </w:rPr>
      </w:pPr>
      <w:r w:rsidRPr="00D26E8E">
        <w:rPr>
          <w:sz w:val="22"/>
          <w:szCs w:val="22"/>
          <w:lang w:val="en-US"/>
        </w:rPr>
        <w:t xml:space="preserve">We thank the reviewers for their valuable comments and we are pleased that we have the chance to submit our revised manuscript. Herewith we provide a point-to-point response to the comments of all reviewers and modified the manuscript accordingly. In the manuscript phrases in </w:t>
      </w:r>
      <w:r w:rsidRPr="00D26E8E">
        <w:rPr>
          <w:color w:val="FF0000"/>
          <w:sz w:val="22"/>
          <w:szCs w:val="22"/>
          <w:lang w:val="en-US"/>
        </w:rPr>
        <w:t>red</w:t>
      </w:r>
      <w:r w:rsidRPr="00D26E8E">
        <w:rPr>
          <w:sz w:val="22"/>
          <w:szCs w:val="22"/>
          <w:lang w:val="en-US"/>
        </w:rPr>
        <w:t xml:space="preserve"> are additions</w:t>
      </w:r>
      <w:r w:rsidR="00D26E8E">
        <w:rPr>
          <w:sz w:val="22"/>
          <w:szCs w:val="22"/>
          <w:lang w:val="en-US"/>
        </w:rPr>
        <w:t xml:space="preserve"> or </w:t>
      </w:r>
      <w:r w:rsidRPr="00D26E8E">
        <w:rPr>
          <w:sz w:val="22"/>
          <w:szCs w:val="22"/>
          <w:lang w:val="en-US"/>
        </w:rPr>
        <w:t>changes</w:t>
      </w:r>
      <w:r w:rsidR="00D26E8E">
        <w:rPr>
          <w:sz w:val="22"/>
          <w:szCs w:val="22"/>
          <w:lang w:val="en-US"/>
        </w:rPr>
        <w:t>.</w:t>
      </w:r>
    </w:p>
    <w:p w14:paraId="5680602C" w14:textId="15F6678E" w:rsidR="0095204A" w:rsidRPr="00D26E8E" w:rsidRDefault="0095204A">
      <w:pPr>
        <w:rPr>
          <w:sz w:val="22"/>
          <w:szCs w:val="22"/>
          <w:lang w:val="en-US"/>
        </w:rPr>
      </w:pPr>
    </w:p>
    <w:p w14:paraId="5BCF4EFA" w14:textId="358BB1F3" w:rsidR="00516A0B" w:rsidRPr="00D26E8E" w:rsidRDefault="00516A0B" w:rsidP="00D26E8E">
      <w:pPr>
        <w:pStyle w:val="ListParagraph"/>
        <w:ind w:left="0"/>
        <w:jc w:val="both"/>
        <w:rPr>
          <w:b/>
          <w:bCs/>
          <w:sz w:val="22"/>
          <w:szCs w:val="22"/>
          <w:u w:val="single"/>
          <w:lang w:val="en-US"/>
        </w:rPr>
      </w:pPr>
      <w:r w:rsidRPr="00D26E8E">
        <w:rPr>
          <w:b/>
          <w:bCs/>
          <w:sz w:val="22"/>
          <w:szCs w:val="22"/>
          <w:u w:val="single"/>
          <w:lang w:val="en-US"/>
        </w:rPr>
        <w:t>Reviewer 2.</w:t>
      </w:r>
    </w:p>
    <w:p w14:paraId="652BFD11" w14:textId="55480BB8" w:rsidR="00516A0B" w:rsidRPr="00D26E8E" w:rsidRDefault="00516A0B" w:rsidP="00516A0B">
      <w:pPr>
        <w:pStyle w:val="ListParagraph"/>
        <w:numPr>
          <w:ilvl w:val="0"/>
          <w:numId w:val="4"/>
        </w:numPr>
        <w:spacing w:after="100" w:afterAutospacing="1"/>
        <w:rPr>
          <w:rFonts w:eastAsia="Times New Roman" w:cs="Arial"/>
          <w:i/>
          <w:iCs/>
          <w:color w:val="0A0A0A"/>
          <w:sz w:val="22"/>
          <w:szCs w:val="22"/>
          <w:lang w:val="en-US" w:eastAsia="nl-NL"/>
        </w:rPr>
      </w:pPr>
      <w:r w:rsidRPr="00D26E8E">
        <w:rPr>
          <w:rFonts w:eastAsia="Times New Roman" w:cs="Arial"/>
          <w:i/>
          <w:iCs/>
          <w:color w:val="0A0A0A"/>
          <w:sz w:val="22"/>
          <w:szCs w:val="22"/>
          <w:lang w:val="en-US" w:eastAsia="nl-NL"/>
        </w:rPr>
        <w:t>Cell culture section: How did the authors choose the TGF-b and PDGF-BB experimental concentration and time? How did they exclude a different sensitivity to the stimuli among the different cell types?</w:t>
      </w:r>
    </w:p>
    <w:p w14:paraId="18E23DB4" w14:textId="71E1B50E" w:rsidR="00516A0B" w:rsidRPr="00D26E8E" w:rsidRDefault="00516A0B" w:rsidP="00D26E8E">
      <w:p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The choice for TGF and PDGF concentrations and time incubations were based on experience with various fibroblast cell cultures including HSC cultures. Furthermore, TGF 5 ng/ml and PDGF 50 ng/ml are very commonly used in the field.</w:t>
      </w:r>
    </w:p>
    <w:p w14:paraId="6A494281" w14:textId="7A8F4521" w:rsidR="00516A0B" w:rsidRPr="00D26E8E" w:rsidRDefault="00516A0B" w:rsidP="00516A0B">
      <w:pPr>
        <w:pStyle w:val="ListParagraph"/>
        <w:numPr>
          <w:ilvl w:val="0"/>
          <w:numId w:val="4"/>
        </w:numPr>
        <w:spacing w:after="100" w:afterAutospacing="1"/>
        <w:rPr>
          <w:rFonts w:eastAsia="Times New Roman" w:cs="Arial"/>
          <w:i/>
          <w:iCs/>
          <w:color w:val="0A0A0A"/>
          <w:sz w:val="22"/>
          <w:szCs w:val="22"/>
          <w:lang w:val="en-US" w:eastAsia="nl-NL"/>
        </w:rPr>
      </w:pPr>
      <w:r w:rsidRPr="00D26E8E">
        <w:rPr>
          <w:rFonts w:eastAsia="Times New Roman" w:cs="Arial"/>
          <w:i/>
          <w:iCs/>
          <w:color w:val="0A0A0A"/>
          <w:sz w:val="22"/>
          <w:szCs w:val="22"/>
          <w:lang w:val="en-US" w:eastAsia="nl-NL"/>
        </w:rPr>
        <w:t>Just a curiosity: LX2 cell line has been reported (PMID: 15591520 - Xu, L Gut 2005) that must be cultured in low FBS medium (1%) to avoid activation, the 10% FBS in the medium used in the present study could not affect the basal activation status of this cell line?</w:t>
      </w:r>
    </w:p>
    <w:p w14:paraId="0CEFA15E" w14:textId="5F6B3DCE" w:rsidR="00516A0B" w:rsidRPr="00D26E8E" w:rsidRDefault="00516A0B" w:rsidP="00D26E8E">
      <w:p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 xml:space="preserve">When experimental studies with LX2 cell assessing effects on the quiescent state, the reviewer is right. However, in our experiments we studied the LX2 cells in the activated state and 10% FBS culture medium serves this purpose the best. </w:t>
      </w:r>
    </w:p>
    <w:p w14:paraId="17893A9D" w14:textId="28EECCE2" w:rsidR="00516A0B" w:rsidRPr="00D26E8E" w:rsidRDefault="00516A0B" w:rsidP="00516A0B">
      <w:pPr>
        <w:pStyle w:val="ListParagraph"/>
        <w:numPr>
          <w:ilvl w:val="0"/>
          <w:numId w:val="4"/>
        </w:num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Precision-cut liver slices section:  could the authors mention how many different donors have been used for the preparations of the PCLS used for these analyses? It would be useful to report in this section which concentrations of TGF-b and PDGF-BB have been used for the stimulation of the PCLS.</w:t>
      </w:r>
    </w:p>
    <w:p w14:paraId="6975A29C" w14:textId="03D913F6" w:rsidR="00516A0B" w:rsidRPr="00D26E8E" w:rsidRDefault="00516A0B" w:rsidP="00D26E8E">
      <w:p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We added this to the M&amp;M section page 3, line 125 and 130</w:t>
      </w:r>
      <w:r w:rsidR="0071147A">
        <w:rPr>
          <w:rFonts w:eastAsia="Times New Roman" w:cs="Arial"/>
          <w:color w:val="0A0A0A"/>
          <w:sz w:val="22"/>
          <w:szCs w:val="22"/>
          <w:lang w:val="en-US" w:eastAsia="nl-NL"/>
        </w:rPr>
        <w:t>.</w:t>
      </w:r>
      <w:bookmarkStart w:id="0" w:name="_GoBack"/>
      <w:bookmarkEnd w:id="0"/>
    </w:p>
    <w:p w14:paraId="04428795" w14:textId="33473D7F" w:rsidR="00516A0B" w:rsidRPr="00D26E8E" w:rsidRDefault="00516A0B" w:rsidP="00516A0B">
      <w:pPr>
        <w:pStyle w:val="ListParagraph"/>
        <w:numPr>
          <w:ilvl w:val="0"/>
          <w:numId w:val="4"/>
        </w:numPr>
        <w:spacing w:after="100" w:afterAutospacing="1"/>
        <w:rPr>
          <w:rFonts w:eastAsia="Times New Roman" w:cs="Arial"/>
          <w:i/>
          <w:iCs/>
          <w:color w:val="0A0A0A"/>
          <w:sz w:val="22"/>
          <w:szCs w:val="22"/>
          <w:lang w:val="en-US" w:eastAsia="nl-NL"/>
        </w:rPr>
      </w:pPr>
      <w:r w:rsidRPr="00D26E8E">
        <w:rPr>
          <w:rFonts w:eastAsia="Times New Roman" w:cs="Arial"/>
          <w:i/>
          <w:iCs/>
          <w:color w:val="0A0A0A"/>
          <w:sz w:val="22"/>
          <w:szCs w:val="22"/>
          <w:lang w:val="en-US" w:eastAsia="nl-NL"/>
        </w:rPr>
        <w:t xml:space="preserve">In the section reporting the modulation of fibrotic response authors refer to the differences in the gene expression in % vs unstimulated controls, while in the graphs (figure 2) the data is plotted as folds of induction. In order to help the interpretation would be useful to unify the criteria. </w:t>
      </w:r>
    </w:p>
    <w:p w14:paraId="67641393" w14:textId="6EA6760E" w:rsidR="00516A0B" w:rsidRPr="00D26E8E" w:rsidRDefault="00516A0B" w:rsidP="00D26E8E">
      <w:p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To clarify this, we added additional information in the M&amp;M section page 3 lines 147-149.</w:t>
      </w:r>
    </w:p>
    <w:p w14:paraId="075806D8" w14:textId="030BD8B9" w:rsidR="00516A0B" w:rsidRPr="00D26E8E" w:rsidRDefault="00516A0B" w:rsidP="00516A0B">
      <w:pPr>
        <w:pStyle w:val="ListParagraph"/>
        <w:numPr>
          <w:ilvl w:val="0"/>
          <w:numId w:val="4"/>
        </w:numPr>
        <w:spacing w:after="100" w:afterAutospacing="1"/>
        <w:rPr>
          <w:rFonts w:eastAsia="Times New Roman" w:cs="Arial"/>
          <w:i/>
          <w:iCs/>
          <w:color w:val="0A0A0A"/>
          <w:sz w:val="22"/>
          <w:szCs w:val="22"/>
          <w:lang w:val="en-US" w:eastAsia="nl-NL"/>
        </w:rPr>
      </w:pPr>
      <w:r w:rsidRPr="00D26E8E">
        <w:rPr>
          <w:rFonts w:eastAsia="Times New Roman" w:cs="Arial"/>
          <w:i/>
          <w:iCs/>
          <w:color w:val="0A0A0A"/>
          <w:sz w:val="22"/>
          <w:szCs w:val="22"/>
          <w:lang w:val="en-US" w:eastAsia="nl-NL"/>
        </w:rPr>
        <w:t xml:space="preserve">Regarding the expression of some genes, for instance, CCL5 and PPARG in primary HSC; or CCL5 in TWNT-4: from table S1 I can infer that the expression levels were undetectable and that TGF-b and PDGF-BB stimulation did not induce any difference. If this assumption is correct would be useful to mention it in the main text. </w:t>
      </w:r>
    </w:p>
    <w:p w14:paraId="7885E3EE" w14:textId="31E1FD81" w:rsidR="00516A0B" w:rsidRPr="00D26E8E" w:rsidRDefault="00516A0B" w:rsidP="00D26E8E">
      <w:pPr>
        <w:spacing w:after="100" w:afterAutospacing="1"/>
        <w:rPr>
          <w:rFonts w:eastAsia="Times New Roman" w:cs="Arial"/>
          <w:color w:val="0A0A0A"/>
          <w:sz w:val="22"/>
          <w:szCs w:val="22"/>
          <w:lang w:val="en-US" w:eastAsia="nl-NL"/>
        </w:rPr>
      </w:pPr>
      <w:r w:rsidRPr="00D26E8E">
        <w:rPr>
          <w:rFonts w:eastAsia="Times New Roman" w:cs="Arial"/>
          <w:color w:val="0A0A0A"/>
          <w:sz w:val="22"/>
          <w:szCs w:val="22"/>
          <w:lang w:val="en-US" w:eastAsia="nl-NL"/>
        </w:rPr>
        <w:t xml:space="preserve">We included this in the legends of Figure 2 (lines 221-222) and Figure S1 (lines 355-356) and is visible in the overview figure 3 (in dark grey boxes). </w:t>
      </w:r>
    </w:p>
    <w:p w14:paraId="06E018DC" w14:textId="045F009F" w:rsidR="00057D46" w:rsidRPr="00D26E8E" w:rsidRDefault="00D26E8E" w:rsidP="00057D46">
      <w:pPr>
        <w:pStyle w:val="ListParagraph"/>
        <w:numPr>
          <w:ilvl w:val="0"/>
          <w:numId w:val="4"/>
        </w:numPr>
        <w:spacing w:after="100" w:afterAutospacing="1"/>
        <w:rPr>
          <w:rFonts w:eastAsia="Times New Roman" w:cs="Arial"/>
          <w:color w:val="0A0A0A"/>
          <w:sz w:val="22"/>
          <w:szCs w:val="22"/>
          <w:lang w:val="en-US" w:eastAsia="nl-NL"/>
        </w:rPr>
      </w:pPr>
      <w:r>
        <w:rPr>
          <w:rFonts w:eastAsia="Times New Roman" w:cs="Arial"/>
          <w:color w:val="0A0A0A"/>
          <w:sz w:val="22"/>
          <w:szCs w:val="22"/>
          <w:lang w:val="en-US" w:eastAsia="nl-NL"/>
        </w:rPr>
        <w:lastRenderedPageBreak/>
        <w:t>-</w:t>
      </w:r>
      <w:r w:rsidR="00516A0B" w:rsidRPr="00D26E8E">
        <w:rPr>
          <w:rFonts w:eastAsia="Times New Roman" w:cs="Arial"/>
          <w:color w:val="0A0A0A"/>
          <w:sz w:val="22"/>
          <w:szCs w:val="22"/>
          <w:lang w:val="en-US" w:eastAsia="nl-NL"/>
        </w:rPr>
        <w:t>Figure 2C and 2H: Authors are requested to put the respective cell names on the y-axis of the graphs.</w:t>
      </w:r>
    </w:p>
    <w:p w14:paraId="672DA6BD" w14:textId="4BA78B0F" w:rsidR="00516A0B" w:rsidRPr="00D26E8E" w:rsidRDefault="00D26E8E" w:rsidP="00D26E8E">
      <w:pPr>
        <w:spacing w:after="100" w:afterAutospacing="1"/>
        <w:ind w:firstLine="360"/>
        <w:rPr>
          <w:rFonts w:eastAsia="Times New Roman" w:cs="Arial"/>
          <w:color w:val="0A0A0A"/>
          <w:sz w:val="22"/>
          <w:szCs w:val="22"/>
          <w:lang w:val="en-US" w:eastAsia="nl-NL"/>
        </w:rPr>
      </w:pPr>
      <w:r>
        <w:rPr>
          <w:rFonts w:eastAsia="Times New Roman" w:cs="Arial"/>
          <w:color w:val="0A0A0A"/>
          <w:sz w:val="22"/>
          <w:szCs w:val="22"/>
          <w:lang w:val="en-US" w:eastAsia="nl-NL"/>
        </w:rPr>
        <w:t>-</w:t>
      </w:r>
      <w:r w:rsidR="00516A0B" w:rsidRPr="00D26E8E">
        <w:rPr>
          <w:rFonts w:eastAsia="Times New Roman" w:cs="Arial"/>
          <w:color w:val="0A0A0A"/>
          <w:sz w:val="22"/>
          <w:szCs w:val="22"/>
          <w:lang w:val="en-US" w:eastAsia="nl-NL"/>
        </w:rPr>
        <w:t>Figure 4C: PCLS should be added in the y-axis</w:t>
      </w:r>
    </w:p>
    <w:p w14:paraId="5D6280CB" w14:textId="758E9A3C" w:rsidR="00516A0B" w:rsidRPr="00D26E8E" w:rsidRDefault="00D26E8E" w:rsidP="00D26E8E">
      <w:pPr>
        <w:spacing w:after="100" w:afterAutospacing="1"/>
        <w:ind w:firstLine="360"/>
        <w:rPr>
          <w:rFonts w:eastAsia="Times New Roman" w:cs="Arial"/>
          <w:color w:val="0A0A0A"/>
          <w:sz w:val="22"/>
          <w:szCs w:val="22"/>
          <w:lang w:val="en-US" w:eastAsia="nl-NL"/>
        </w:rPr>
      </w:pPr>
      <w:r>
        <w:rPr>
          <w:rFonts w:eastAsia="Times New Roman" w:cs="Arial"/>
          <w:color w:val="0A0A0A"/>
          <w:sz w:val="22"/>
          <w:szCs w:val="22"/>
          <w:lang w:val="en-US" w:eastAsia="nl-NL"/>
        </w:rPr>
        <w:t>-</w:t>
      </w:r>
      <w:r w:rsidR="00516A0B" w:rsidRPr="00D26E8E">
        <w:rPr>
          <w:rFonts w:eastAsia="Times New Roman" w:cs="Arial"/>
          <w:color w:val="0A0A0A"/>
          <w:sz w:val="22"/>
          <w:szCs w:val="22"/>
          <w:lang w:val="en-US" w:eastAsia="nl-NL"/>
        </w:rPr>
        <w:t>Supplementary Figure S1 C and G: please add the cell line’s name in each y-axis</w:t>
      </w:r>
    </w:p>
    <w:p w14:paraId="26F3C74F" w14:textId="350EF819" w:rsidR="00516A0B" w:rsidRPr="00D26E8E" w:rsidRDefault="00057D46" w:rsidP="00516A0B">
      <w:pPr>
        <w:rPr>
          <w:sz w:val="22"/>
          <w:szCs w:val="22"/>
          <w:lang w:val="en-US"/>
        </w:rPr>
      </w:pPr>
      <w:r w:rsidRPr="00D26E8E">
        <w:rPr>
          <w:sz w:val="22"/>
          <w:szCs w:val="22"/>
          <w:lang w:val="en-US"/>
        </w:rPr>
        <w:t xml:space="preserve">We changed </w:t>
      </w:r>
      <w:r w:rsidR="00D26E8E">
        <w:rPr>
          <w:sz w:val="22"/>
          <w:szCs w:val="22"/>
          <w:lang w:val="en-US"/>
        </w:rPr>
        <w:t xml:space="preserve">the abovementioned figures </w:t>
      </w:r>
      <w:r w:rsidRPr="00D26E8E">
        <w:rPr>
          <w:sz w:val="22"/>
          <w:szCs w:val="22"/>
          <w:lang w:val="en-US"/>
        </w:rPr>
        <w:t>in the revised manuscript according to the suggestions of the reviewer.</w:t>
      </w:r>
    </w:p>
    <w:p w14:paraId="1B4AAE1A" w14:textId="77777777" w:rsidR="00516A0B" w:rsidRPr="00D26E8E" w:rsidRDefault="00516A0B" w:rsidP="0021768C">
      <w:pPr>
        <w:pStyle w:val="ListParagraph"/>
        <w:ind w:left="360"/>
        <w:jc w:val="both"/>
        <w:rPr>
          <w:sz w:val="22"/>
          <w:szCs w:val="22"/>
          <w:lang w:val="en-US"/>
        </w:rPr>
      </w:pPr>
    </w:p>
    <w:sectPr w:rsidR="00516A0B" w:rsidRPr="00D26E8E" w:rsidSect="007A669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A53F6"/>
    <w:multiLevelType w:val="hybridMultilevel"/>
    <w:tmpl w:val="993E53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7F55550"/>
    <w:multiLevelType w:val="hybridMultilevel"/>
    <w:tmpl w:val="97B2F474"/>
    <w:lvl w:ilvl="0" w:tplc="83AE29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B9A64A9"/>
    <w:multiLevelType w:val="multilevel"/>
    <w:tmpl w:val="4E100C52"/>
    <w:lvl w:ilvl="0">
      <w:start w:val="4"/>
      <w:numFmt w:val="decimal"/>
      <w:lvlText w:val="%1."/>
      <w:lvlJc w:val="left"/>
      <w:pPr>
        <w:ind w:left="360" w:hanging="360"/>
      </w:pPr>
      <w:rPr>
        <w:rFonts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73195A09"/>
    <w:multiLevelType w:val="multilevel"/>
    <w:tmpl w:val="4E100C52"/>
    <w:lvl w:ilvl="0">
      <w:start w:val="4"/>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04A"/>
    <w:rsid w:val="00057D46"/>
    <w:rsid w:val="00067C2A"/>
    <w:rsid w:val="0021768C"/>
    <w:rsid w:val="00360A30"/>
    <w:rsid w:val="003D3075"/>
    <w:rsid w:val="0042299B"/>
    <w:rsid w:val="00516A0B"/>
    <w:rsid w:val="005B3133"/>
    <w:rsid w:val="00640470"/>
    <w:rsid w:val="0071147A"/>
    <w:rsid w:val="0076439B"/>
    <w:rsid w:val="007A6690"/>
    <w:rsid w:val="007C4888"/>
    <w:rsid w:val="0095204A"/>
    <w:rsid w:val="00AA1179"/>
    <w:rsid w:val="00AE5411"/>
    <w:rsid w:val="00C1146A"/>
    <w:rsid w:val="00C85DC7"/>
    <w:rsid w:val="00D26E8E"/>
    <w:rsid w:val="00DB7A21"/>
    <w:rsid w:val="00E618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2D9B"/>
  <w15:chartTrackingRefBased/>
  <w15:docId w15:val="{EF863EED-6654-9A45-A08F-83CEF0D71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204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5204A"/>
    <w:rPr>
      <w:rFonts w:ascii="Times New Roman" w:hAnsi="Times New Roman" w:cs="Times New Roman"/>
      <w:sz w:val="18"/>
      <w:szCs w:val="18"/>
    </w:rPr>
  </w:style>
  <w:style w:type="paragraph" w:styleId="ListParagraph">
    <w:name w:val="List Paragraph"/>
    <w:basedOn w:val="Normal"/>
    <w:uiPriority w:val="34"/>
    <w:qFormat/>
    <w:rsid w:val="00E61853"/>
    <w:pPr>
      <w:ind w:left="720"/>
      <w:contextualSpacing/>
    </w:pPr>
  </w:style>
  <w:style w:type="character" w:styleId="CommentReference">
    <w:name w:val="annotation reference"/>
    <w:basedOn w:val="DefaultParagraphFont"/>
    <w:uiPriority w:val="99"/>
    <w:semiHidden/>
    <w:unhideWhenUsed/>
    <w:rsid w:val="00AE5411"/>
    <w:rPr>
      <w:sz w:val="16"/>
      <w:szCs w:val="16"/>
    </w:rPr>
  </w:style>
  <w:style w:type="paragraph" w:styleId="CommentText">
    <w:name w:val="annotation text"/>
    <w:basedOn w:val="Normal"/>
    <w:link w:val="CommentTextChar"/>
    <w:uiPriority w:val="99"/>
    <w:semiHidden/>
    <w:unhideWhenUsed/>
    <w:rsid w:val="00AE5411"/>
    <w:pPr>
      <w:spacing w:after="160"/>
    </w:pPr>
    <w:rPr>
      <w:sz w:val="20"/>
      <w:szCs w:val="20"/>
      <w:lang w:val="nl-NL"/>
    </w:rPr>
  </w:style>
  <w:style w:type="character" w:customStyle="1" w:styleId="CommentTextChar">
    <w:name w:val="Comment Text Char"/>
    <w:basedOn w:val="DefaultParagraphFont"/>
    <w:link w:val="CommentText"/>
    <w:uiPriority w:val="99"/>
    <w:semiHidden/>
    <w:rsid w:val="00AE5411"/>
    <w:rPr>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2597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Beljaars</dc:creator>
  <cp:keywords/>
  <dc:description/>
  <cp:lastModifiedBy>F. van Dijk</cp:lastModifiedBy>
  <cp:revision>3</cp:revision>
  <dcterms:created xsi:type="dcterms:W3CDTF">2020-03-12T12:10:00Z</dcterms:created>
  <dcterms:modified xsi:type="dcterms:W3CDTF">2020-03-12T12:11:00Z</dcterms:modified>
</cp:coreProperties>
</file>