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FA4" w:rsidRPr="001B6FA4" w:rsidRDefault="001B6FA4" w:rsidP="001B6FA4">
      <w:pPr>
        <w:pStyle w:val="MDPI12title"/>
        <w:tabs>
          <w:tab w:val="left" w:pos="2687"/>
        </w:tabs>
        <w:spacing w:line="240" w:lineRule="atLeast"/>
        <w:jc w:val="center"/>
        <w:rPr>
          <w:i/>
          <w:color w:val="auto"/>
          <w:sz w:val="20"/>
        </w:rPr>
      </w:pPr>
      <w:r>
        <w:rPr>
          <w:color w:val="auto"/>
          <w:sz w:val="20"/>
        </w:rPr>
        <w:t xml:space="preserve">Ref. </w:t>
      </w:r>
      <w:r w:rsidR="000E7DBF">
        <w:rPr>
          <w:i/>
          <w:color w:val="auto"/>
          <w:sz w:val="20"/>
        </w:rPr>
        <w:t>Polymers - 697779</w:t>
      </w:r>
    </w:p>
    <w:p w:rsidR="00205125" w:rsidRPr="00205125" w:rsidRDefault="00205125" w:rsidP="00205125">
      <w:pPr>
        <w:pStyle w:val="MDPI12title"/>
        <w:spacing w:line="240" w:lineRule="atLeast"/>
        <w:jc w:val="center"/>
        <w:rPr>
          <w:color w:val="auto"/>
          <w:sz w:val="24"/>
          <w:szCs w:val="24"/>
        </w:rPr>
      </w:pPr>
      <w:r w:rsidRPr="00205125">
        <w:rPr>
          <w:color w:val="auto"/>
          <w:sz w:val="24"/>
          <w:szCs w:val="24"/>
        </w:rPr>
        <w:t xml:space="preserve">Physical and mechanical properties of ammonia treated </w:t>
      </w:r>
      <w:r w:rsidR="006017DB">
        <w:rPr>
          <w:color w:val="auto"/>
          <w:sz w:val="24"/>
          <w:szCs w:val="24"/>
        </w:rPr>
        <w:t>black locust</w:t>
      </w:r>
      <w:bookmarkStart w:id="0" w:name="_GoBack"/>
      <w:bookmarkEnd w:id="0"/>
      <w:r w:rsidRPr="00205125">
        <w:rPr>
          <w:color w:val="auto"/>
          <w:sz w:val="24"/>
          <w:szCs w:val="24"/>
        </w:rPr>
        <w:t xml:space="preserve"> wood</w:t>
      </w:r>
    </w:p>
    <w:p w:rsidR="00205125" w:rsidRPr="003B0A94" w:rsidRDefault="00205125" w:rsidP="00205125">
      <w:pPr>
        <w:pStyle w:val="Default"/>
        <w:jc w:val="center"/>
        <w:rPr>
          <w:rFonts w:ascii="Palatino Linotype" w:hAnsi="Palatino Linotype"/>
          <w:b/>
          <w:color w:val="auto"/>
          <w:sz w:val="20"/>
          <w:szCs w:val="20"/>
        </w:rPr>
      </w:pPr>
      <w:r w:rsidRPr="003B0A94">
        <w:rPr>
          <w:rFonts w:ascii="Palatino Linotype" w:hAnsi="Palatino Linotype"/>
          <w:b/>
          <w:color w:val="auto"/>
          <w:sz w:val="20"/>
          <w:szCs w:val="20"/>
        </w:rPr>
        <w:t>Mariana D. Stanciu</w:t>
      </w:r>
      <w:proofErr w:type="gramStart"/>
      <w:r w:rsidRPr="003B0A94">
        <w:rPr>
          <w:rFonts w:ascii="Palatino Linotype" w:hAnsi="Palatino Linotype"/>
          <w:b/>
          <w:color w:val="auto"/>
          <w:sz w:val="20"/>
          <w:szCs w:val="20"/>
          <w:vertAlign w:val="superscript"/>
        </w:rPr>
        <w:t>1,</w:t>
      </w:r>
      <w:r w:rsidRPr="003B0A94">
        <w:rPr>
          <w:rFonts w:ascii="Palatino Linotype" w:hAnsi="Palatino Linotype"/>
          <w:b/>
          <w:color w:val="auto"/>
          <w:sz w:val="20"/>
          <w:szCs w:val="20"/>
        </w:rPr>
        <w:t>*</w:t>
      </w:r>
      <w:proofErr w:type="gramEnd"/>
      <w:r w:rsidRPr="003B0A94">
        <w:rPr>
          <w:rFonts w:ascii="Palatino Linotype" w:hAnsi="Palatino Linotype"/>
          <w:b/>
          <w:color w:val="auto"/>
          <w:sz w:val="20"/>
          <w:szCs w:val="20"/>
        </w:rPr>
        <w:t>, Daniela Șova</w:t>
      </w:r>
      <w:r w:rsidRPr="003B0A94">
        <w:rPr>
          <w:rFonts w:ascii="Palatino Linotype" w:hAnsi="Palatino Linotype"/>
          <w:b/>
          <w:color w:val="auto"/>
          <w:sz w:val="20"/>
          <w:szCs w:val="20"/>
          <w:vertAlign w:val="superscript"/>
        </w:rPr>
        <w:t>1</w:t>
      </w:r>
      <w:r w:rsidRPr="003B0A94">
        <w:rPr>
          <w:rFonts w:ascii="Palatino Linotype" w:hAnsi="Palatino Linotype"/>
          <w:b/>
          <w:color w:val="auto"/>
          <w:sz w:val="20"/>
          <w:szCs w:val="20"/>
        </w:rPr>
        <w:t>, Adriana Savin</w:t>
      </w:r>
      <w:r w:rsidRPr="003B0A94">
        <w:rPr>
          <w:rFonts w:ascii="Palatino Linotype" w:hAnsi="Palatino Linotype"/>
          <w:b/>
          <w:color w:val="auto"/>
          <w:sz w:val="20"/>
          <w:szCs w:val="20"/>
          <w:vertAlign w:val="superscript"/>
        </w:rPr>
        <w:t>2</w:t>
      </w:r>
      <w:r w:rsidRPr="003B0A94">
        <w:rPr>
          <w:rFonts w:ascii="Palatino Linotype" w:hAnsi="Palatino Linotype"/>
          <w:b/>
          <w:color w:val="auto"/>
          <w:sz w:val="20"/>
          <w:szCs w:val="20"/>
        </w:rPr>
        <w:t xml:space="preserve">, </w:t>
      </w:r>
      <w:proofErr w:type="spellStart"/>
      <w:r w:rsidRPr="003B0A94">
        <w:rPr>
          <w:rFonts w:ascii="Palatino Linotype" w:hAnsi="Palatino Linotype"/>
          <w:b/>
          <w:color w:val="auto"/>
          <w:sz w:val="20"/>
          <w:szCs w:val="20"/>
        </w:rPr>
        <w:t>Nicolae</w:t>
      </w:r>
      <w:proofErr w:type="spellEnd"/>
      <w:r w:rsidRPr="003B0A94">
        <w:rPr>
          <w:rFonts w:ascii="Palatino Linotype" w:hAnsi="Palatino Linotype"/>
          <w:b/>
          <w:color w:val="auto"/>
          <w:sz w:val="20"/>
          <w:szCs w:val="20"/>
        </w:rPr>
        <w:t xml:space="preserve"> Iliaș</w:t>
      </w:r>
      <w:r w:rsidRPr="003B0A94">
        <w:rPr>
          <w:rFonts w:ascii="Palatino Linotype" w:hAnsi="Palatino Linotype"/>
          <w:b/>
          <w:color w:val="auto"/>
          <w:sz w:val="20"/>
          <w:szCs w:val="20"/>
          <w:vertAlign w:val="superscript"/>
        </w:rPr>
        <w:t xml:space="preserve">3 </w:t>
      </w:r>
      <w:r w:rsidRPr="003B0A94">
        <w:rPr>
          <w:rFonts w:ascii="Palatino Linotype" w:hAnsi="Palatino Linotype"/>
          <w:b/>
          <w:color w:val="auto"/>
          <w:sz w:val="20"/>
          <w:szCs w:val="20"/>
        </w:rPr>
        <w:t>and Galina A.</w:t>
      </w:r>
      <w:r w:rsidRPr="003B0A94">
        <w:rPr>
          <w:rFonts w:ascii="Palatino Linotype" w:hAnsi="Palatino Linotype"/>
          <w:b/>
          <w:iCs/>
          <w:color w:val="auto"/>
          <w:sz w:val="20"/>
          <w:szCs w:val="20"/>
        </w:rPr>
        <w:t>Gorbacheva</w:t>
      </w:r>
      <w:r w:rsidRPr="003B0A94">
        <w:rPr>
          <w:rFonts w:ascii="Palatino Linotype" w:hAnsi="Palatino Linotype"/>
          <w:b/>
          <w:color w:val="auto"/>
          <w:sz w:val="20"/>
          <w:szCs w:val="20"/>
          <w:vertAlign w:val="superscript"/>
        </w:rPr>
        <w:t>4</w:t>
      </w:r>
    </w:p>
    <w:p w:rsidR="001B6FA4" w:rsidRDefault="001B6FA4" w:rsidP="001B6FA4">
      <w:pPr>
        <w:rPr>
          <w:rFonts w:ascii="Palatino Linotype" w:hAnsi="Palatino Linotype"/>
          <w:sz w:val="20"/>
          <w:szCs w:val="20"/>
        </w:rPr>
      </w:pPr>
    </w:p>
    <w:p w:rsidR="004E7C81" w:rsidRDefault="004E7C81" w:rsidP="004E7C81">
      <w:pPr>
        <w:jc w:val="center"/>
        <w:rPr>
          <w:rFonts w:ascii="Palatino Linotype" w:hAnsi="Palatino Linotype" w:cs="CMR12"/>
          <w:sz w:val="20"/>
          <w:szCs w:val="20"/>
        </w:rPr>
      </w:pPr>
      <w:r w:rsidRPr="004E7C81">
        <w:rPr>
          <w:rFonts w:ascii="Palatino Linotype" w:hAnsi="Palatino Linotype" w:cs="CMR12"/>
          <w:sz w:val="20"/>
          <w:szCs w:val="20"/>
        </w:rPr>
        <w:t>Authors' Amendments</w:t>
      </w:r>
    </w:p>
    <w:p w:rsidR="004E7C81" w:rsidRDefault="004E7C81" w:rsidP="004E7C81">
      <w:pPr>
        <w:jc w:val="center"/>
        <w:rPr>
          <w:rFonts w:ascii="Palatino Linotype" w:hAnsi="Palatino Linotype" w:cs="CMR12"/>
          <w:sz w:val="20"/>
          <w:szCs w:val="20"/>
        </w:rPr>
      </w:pPr>
    </w:p>
    <w:p w:rsidR="004E7C81" w:rsidRDefault="004E7C81" w:rsidP="004E7C81">
      <w:pPr>
        <w:autoSpaceDE w:val="0"/>
        <w:autoSpaceDN w:val="0"/>
        <w:adjustRightInd w:val="0"/>
        <w:spacing w:after="0" w:line="240" w:lineRule="auto"/>
        <w:jc w:val="both"/>
        <w:rPr>
          <w:rFonts w:ascii="Palatino Linotype" w:hAnsi="Palatino Linotype" w:cs="CMR12"/>
          <w:sz w:val="20"/>
          <w:szCs w:val="20"/>
        </w:rPr>
      </w:pPr>
      <w:r w:rsidRPr="004E7C81">
        <w:rPr>
          <w:rFonts w:ascii="Palatino Linotype" w:hAnsi="Palatino Linotype" w:cs="CMR12"/>
          <w:sz w:val="20"/>
          <w:szCs w:val="20"/>
        </w:rPr>
        <w:t>First we would like to thank the reviewers for carefully going through the manuscript and</w:t>
      </w:r>
      <w:r>
        <w:rPr>
          <w:rFonts w:ascii="Palatino Linotype" w:hAnsi="Palatino Linotype" w:cs="CMR12"/>
          <w:sz w:val="20"/>
          <w:szCs w:val="20"/>
        </w:rPr>
        <w:t xml:space="preserve"> </w:t>
      </w:r>
      <w:r w:rsidRPr="004E7C81">
        <w:rPr>
          <w:rFonts w:ascii="Palatino Linotype" w:hAnsi="Palatino Linotype" w:cs="CMR12"/>
          <w:sz w:val="20"/>
          <w:szCs w:val="20"/>
        </w:rPr>
        <w:t xml:space="preserve">providing helpful suggestions for its improvement. Thanks </w:t>
      </w:r>
      <w:r>
        <w:rPr>
          <w:rFonts w:ascii="Palatino Linotype" w:hAnsi="Palatino Linotype" w:cs="CMR12"/>
          <w:sz w:val="20"/>
          <w:szCs w:val="20"/>
        </w:rPr>
        <w:t xml:space="preserve">to their constructive comments, </w:t>
      </w:r>
      <w:r w:rsidR="002F7147">
        <w:rPr>
          <w:rFonts w:ascii="Palatino Linotype" w:hAnsi="Palatino Linotype" w:cs="CMR12"/>
          <w:sz w:val="20"/>
          <w:szCs w:val="20"/>
        </w:rPr>
        <w:t xml:space="preserve">we are able to present </w:t>
      </w:r>
      <w:r w:rsidRPr="004E7C81">
        <w:rPr>
          <w:rFonts w:ascii="Palatino Linotype" w:hAnsi="Palatino Linotype" w:cs="CMR12"/>
          <w:sz w:val="20"/>
          <w:szCs w:val="20"/>
        </w:rPr>
        <w:t>clear</w:t>
      </w:r>
      <w:r w:rsidR="002F7147">
        <w:rPr>
          <w:rFonts w:ascii="Palatino Linotype" w:hAnsi="Palatino Linotype" w:cs="CMR12"/>
          <w:sz w:val="20"/>
          <w:szCs w:val="20"/>
        </w:rPr>
        <w:t>ly</w:t>
      </w:r>
      <w:r w:rsidRPr="004E7C81">
        <w:rPr>
          <w:rFonts w:ascii="Palatino Linotype" w:hAnsi="Palatino Linotype" w:cs="CMR12"/>
          <w:sz w:val="20"/>
          <w:szCs w:val="20"/>
        </w:rPr>
        <w:t xml:space="preserve"> and better version th</w:t>
      </w:r>
      <w:r>
        <w:rPr>
          <w:rFonts w:ascii="Palatino Linotype" w:hAnsi="Palatino Linotype" w:cs="CMR12"/>
          <w:sz w:val="20"/>
          <w:szCs w:val="20"/>
        </w:rPr>
        <w:t xml:space="preserve">an the original manuscript. All </w:t>
      </w:r>
      <w:r w:rsidRPr="004E7C81">
        <w:rPr>
          <w:rFonts w:ascii="Palatino Linotype" w:hAnsi="Palatino Linotype" w:cs="CMR12"/>
          <w:sz w:val="20"/>
          <w:szCs w:val="20"/>
        </w:rPr>
        <w:t>the comments of the reviewers have been considered. In pa</w:t>
      </w:r>
      <w:r>
        <w:rPr>
          <w:rFonts w:ascii="Palatino Linotype" w:hAnsi="Palatino Linotype" w:cs="CMR12"/>
          <w:sz w:val="20"/>
          <w:szCs w:val="20"/>
        </w:rPr>
        <w:t xml:space="preserve">rticular, the following changes </w:t>
      </w:r>
      <w:r w:rsidRPr="004E7C81">
        <w:rPr>
          <w:rFonts w:ascii="Palatino Linotype" w:hAnsi="Palatino Linotype" w:cs="CMR12"/>
          <w:sz w:val="20"/>
          <w:szCs w:val="20"/>
        </w:rPr>
        <w:t xml:space="preserve">have been made according to the reviewers' suggestions, </w:t>
      </w:r>
      <w:r>
        <w:rPr>
          <w:rFonts w:ascii="Palatino Linotype" w:hAnsi="Palatino Linotype" w:cs="CMR12"/>
          <w:sz w:val="20"/>
          <w:szCs w:val="20"/>
        </w:rPr>
        <w:t xml:space="preserve">highlighted by </w:t>
      </w:r>
      <w:r w:rsidR="00205125">
        <w:rPr>
          <w:rFonts w:ascii="Palatino Linotype" w:hAnsi="Palatino Linotype" w:cs="CMR12"/>
          <w:sz w:val="20"/>
          <w:szCs w:val="20"/>
        </w:rPr>
        <w:t>yellow</w:t>
      </w:r>
      <w:r>
        <w:rPr>
          <w:rFonts w:ascii="Palatino Linotype" w:hAnsi="Palatino Linotype" w:cs="CMR12"/>
          <w:sz w:val="20"/>
          <w:szCs w:val="20"/>
        </w:rPr>
        <w:t xml:space="preserve"> colo</w:t>
      </w:r>
      <w:r w:rsidR="002F7147">
        <w:rPr>
          <w:rFonts w:ascii="Palatino Linotype" w:hAnsi="Palatino Linotype" w:cs="CMR12"/>
          <w:sz w:val="20"/>
          <w:szCs w:val="20"/>
        </w:rPr>
        <w:t>u</w:t>
      </w:r>
      <w:r>
        <w:rPr>
          <w:rFonts w:ascii="Palatino Linotype" w:hAnsi="Palatino Linotype" w:cs="CMR12"/>
          <w:sz w:val="20"/>
          <w:szCs w:val="20"/>
        </w:rPr>
        <w:t xml:space="preserve">r in the </w:t>
      </w:r>
      <w:r w:rsidRPr="004E7C81">
        <w:rPr>
          <w:rFonts w:ascii="Palatino Linotype" w:hAnsi="Palatino Linotype" w:cs="CMR12"/>
          <w:sz w:val="20"/>
          <w:szCs w:val="20"/>
        </w:rPr>
        <w:t>manuscript</w:t>
      </w:r>
      <w:r>
        <w:rPr>
          <w:rFonts w:ascii="Palatino Linotype" w:hAnsi="Palatino Linotype" w:cs="CMR12"/>
          <w:sz w:val="20"/>
          <w:szCs w:val="20"/>
        </w:rPr>
        <w:t>.</w:t>
      </w:r>
    </w:p>
    <w:p w:rsidR="004E7C81" w:rsidRDefault="004E7C81" w:rsidP="004E7C81">
      <w:pPr>
        <w:autoSpaceDE w:val="0"/>
        <w:autoSpaceDN w:val="0"/>
        <w:adjustRightInd w:val="0"/>
        <w:spacing w:after="0" w:line="240" w:lineRule="auto"/>
        <w:jc w:val="both"/>
        <w:rPr>
          <w:rFonts w:ascii="Palatino Linotype" w:hAnsi="Palatino Linotype" w:cs="CMR12"/>
          <w:sz w:val="20"/>
          <w:szCs w:val="20"/>
        </w:rPr>
      </w:pPr>
    </w:p>
    <w:p w:rsidR="004E7C81" w:rsidRPr="009E62F7" w:rsidRDefault="000F6F67" w:rsidP="004E7C81">
      <w:pPr>
        <w:autoSpaceDE w:val="0"/>
        <w:autoSpaceDN w:val="0"/>
        <w:adjustRightInd w:val="0"/>
        <w:spacing w:after="0" w:line="240" w:lineRule="auto"/>
        <w:jc w:val="both"/>
        <w:rPr>
          <w:rFonts w:ascii="Palatino Linotype" w:hAnsi="Palatino Linotype" w:cs="CMR12"/>
          <w:b/>
          <w:sz w:val="20"/>
          <w:szCs w:val="20"/>
        </w:rPr>
      </w:pPr>
      <w:r>
        <w:rPr>
          <w:rFonts w:ascii="Palatino Linotype" w:hAnsi="Palatino Linotype" w:cs="CMR12"/>
          <w:b/>
          <w:sz w:val="20"/>
          <w:szCs w:val="20"/>
        </w:rPr>
        <w:t>Response to Referee 2</w:t>
      </w:r>
    </w:p>
    <w:p w:rsidR="00A83A50" w:rsidRPr="009E62F7" w:rsidRDefault="00A83A50" w:rsidP="004E7C81">
      <w:pPr>
        <w:autoSpaceDE w:val="0"/>
        <w:autoSpaceDN w:val="0"/>
        <w:adjustRightInd w:val="0"/>
        <w:spacing w:after="0" w:line="240" w:lineRule="auto"/>
        <w:jc w:val="both"/>
        <w:rPr>
          <w:rFonts w:ascii="Palatino Linotype" w:hAnsi="Palatino Linotype" w:cs="CMR12"/>
          <w:b/>
          <w:sz w:val="20"/>
          <w:szCs w:val="20"/>
        </w:rPr>
      </w:pPr>
    </w:p>
    <w:p w:rsidR="00205125" w:rsidRDefault="00A83A50" w:rsidP="00205125">
      <w:pPr>
        <w:autoSpaceDE w:val="0"/>
        <w:autoSpaceDN w:val="0"/>
        <w:adjustRightInd w:val="0"/>
        <w:spacing w:after="0" w:line="240" w:lineRule="auto"/>
        <w:jc w:val="both"/>
        <w:rPr>
          <w:rFonts w:ascii="Palatino Linotype" w:hAnsi="Palatino Linotype" w:cs="CMSSBX10"/>
          <w:b/>
          <w:sz w:val="20"/>
          <w:szCs w:val="20"/>
        </w:rPr>
      </w:pPr>
      <w:r w:rsidRPr="009E62F7">
        <w:rPr>
          <w:rFonts w:ascii="Palatino Linotype" w:hAnsi="Palatino Linotype" w:cs="CMSSBX10"/>
          <w:b/>
          <w:sz w:val="20"/>
          <w:szCs w:val="20"/>
        </w:rPr>
        <w:t>Referee's comments:</w:t>
      </w:r>
      <w:r w:rsidR="009E62F7" w:rsidRPr="009E62F7">
        <w:rPr>
          <w:rFonts w:ascii="Palatino Linotype" w:hAnsi="Palatino Linotype" w:cs="CMSSBX10"/>
          <w:b/>
          <w:sz w:val="20"/>
          <w:szCs w:val="20"/>
        </w:rPr>
        <w:t xml:space="preserve"> </w:t>
      </w:r>
    </w:p>
    <w:p w:rsidR="00541ACD" w:rsidRPr="00541ACD" w:rsidRDefault="00541ACD" w:rsidP="00541ACD">
      <w:pPr>
        <w:pStyle w:val="ListParagraph"/>
        <w:numPr>
          <w:ilvl w:val="0"/>
          <w:numId w:val="2"/>
        </w:numPr>
        <w:rPr>
          <w:rFonts w:ascii="Palatino Linotype" w:hAnsi="Palatino Linotype" w:cs="Arial"/>
          <w:color w:val="0A0A0A"/>
          <w:sz w:val="20"/>
          <w:szCs w:val="20"/>
          <w:shd w:val="clear" w:color="auto" w:fill="F6F6F6"/>
        </w:rPr>
      </w:pPr>
      <w:r w:rsidRPr="00541ACD">
        <w:rPr>
          <w:rFonts w:ascii="Palatino Linotype" w:hAnsi="Palatino Linotype" w:cs="Arial"/>
          <w:color w:val="0A0A0A"/>
          <w:sz w:val="20"/>
          <w:szCs w:val="20"/>
          <w:shd w:val="clear" w:color="auto" w:fill="F6F6F6"/>
        </w:rPr>
        <w:t>The work explores the effect of ammonia hydroxide treatment of acacia wood on its physical and mechanical properties – the issue having a certain impact on the wood technology. The strength of the work is that the authors made quite well justified and thorough study using a set of appropriate preparation and characterization techniques, enabling to get convincing novel data in this specific subject. The weakness is that the work lacks information on how the chemical composition of the wood changes upon treatment and how it correlates with the mechanical and physical properties. Nevertheless, the work presents enough data of appropriate level, is well arranged, accurately prepared, supported by relevant reference list, and, thus, can be published in Polymers with account of minor corrections: </w:t>
      </w:r>
      <w:r w:rsidRPr="00541ACD">
        <w:rPr>
          <w:rFonts w:ascii="Palatino Linotype" w:hAnsi="Palatino Linotype" w:cs="Arial"/>
          <w:color w:val="0A0A0A"/>
          <w:sz w:val="20"/>
          <w:szCs w:val="20"/>
        </w:rPr>
        <w:br/>
      </w:r>
      <w:r w:rsidRPr="00541ACD">
        <w:rPr>
          <w:rFonts w:ascii="Palatino Linotype" w:hAnsi="Palatino Linotype" w:cs="Arial"/>
          <w:color w:val="0A0A0A"/>
          <w:sz w:val="20"/>
          <w:szCs w:val="20"/>
          <w:shd w:val="clear" w:color="auto" w:fill="F6F6F6"/>
        </w:rPr>
        <w:t>1)    There is no indication of how charging of the insulating sample was overcome in SEM.</w:t>
      </w:r>
    </w:p>
    <w:p w:rsidR="00541ACD" w:rsidRDefault="00541ACD" w:rsidP="00EF6C00">
      <w:pPr>
        <w:jc w:val="both"/>
        <w:rPr>
          <w:rFonts w:ascii="Palatino Linotype" w:hAnsi="Palatino Linotype" w:cs="CMR12"/>
          <w:i/>
          <w:color w:val="0000FF"/>
          <w:sz w:val="20"/>
          <w:szCs w:val="20"/>
        </w:rPr>
      </w:pPr>
      <w:r w:rsidRPr="00205125">
        <w:rPr>
          <w:rFonts w:ascii="Palatino Linotype" w:hAnsi="Palatino Linotype" w:cs="CMR12"/>
          <w:i/>
          <w:color w:val="0000FF"/>
          <w:sz w:val="20"/>
          <w:szCs w:val="20"/>
        </w:rPr>
        <w:t xml:space="preserve">We thank the reviewer for this relevant and </w:t>
      </w:r>
      <w:r w:rsidRPr="00205125">
        <w:rPr>
          <w:rFonts w:ascii="Palatino Linotype" w:hAnsi="Palatino Linotype"/>
          <w:i/>
          <w:color w:val="0000FF"/>
          <w:sz w:val="20"/>
          <w:szCs w:val="20"/>
        </w:rPr>
        <w:t>thoughtful remark</w:t>
      </w:r>
      <w:r w:rsidRPr="00205125">
        <w:rPr>
          <w:rFonts w:ascii="Palatino Linotype" w:hAnsi="Palatino Linotype" w:cs="CMR12"/>
          <w:i/>
          <w:color w:val="0000FF"/>
          <w:sz w:val="20"/>
          <w:szCs w:val="20"/>
        </w:rPr>
        <w:t xml:space="preserve"> in the current context. </w:t>
      </w:r>
      <w:r>
        <w:rPr>
          <w:rFonts w:ascii="Palatino Linotype" w:hAnsi="Palatino Linotype" w:cs="CMR12"/>
          <w:i/>
          <w:color w:val="0000FF"/>
          <w:sz w:val="20"/>
          <w:szCs w:val="20"/>
        </w:rPr>
        <w:t>We mentione</w:t>
      </w:r>
      <w:r w:rsidR="00EF6C00">
        <w:rPr>
          <w:rFonts w:ascii="Palatino Linotype" w:hAnsi="Palatino Linotype" w:cs="CMR12"/>
          <w:i/>
          <w:color w:val="0000FF"/>
          <w:sz w:val="20"/>
          <w:szCs w:val="20"/>
        </w:rPr>
        <w:t>d</w:t>
      </w:r>
      <w:r>
        <w:rPr>
          <w:rFonts w:ascii="Palatino Linotype" w:hAnsi="Palatino Linotype" w:cs="CMR12"/>
          <w:i/>
          <w:color w:val="0000FF"/>
          <w:sz w:val="20"/>
          <w:szCs w:val="20"/>
        </w:rPr>
        <w:t xml:space="preserve"> in manuscript, in section 2.2.4. the procedure of preparation of wood samples for SEM</w:t>
      </w:r>
      <w:r w:rsidR="00EF6C00">
        <w:rPr>
          <w:rFonts w:ascii="Palatino Linotype" w:hAnsi="Palatino Linotype" w:cs="CMR12"/>
          <w:i/>
          <w:color w:val="0000FF"/>
          <w:sz w:val="20"/>
          <w:szCs w:val="20"/>
        </w:rPr>
        <w:t xml:space="preserve"> and a figure </w:t>
      </w:r>
      <w:proofErr w:type="gramStart"/>
      <w:r w:rsidR="00EF6C00">
        <w:rPr>
          <w:rFonts w:ascii="Palatino Linotype" w:hAnsi="Palatino Linotype" w:cs="CMR12"/>
          <w:i/>
          <w:color w:val="0000FF"/>
          <w:sz w:val="20"/>
          <w:szCs w:val="20"/>
        </w:rPr>
        <w:t>with  coated</w:t>
      </w:r>
      <w:proofErr w:type="gramEnd"/>
      <w:r w:rsidR="00EF6C00">
        <w:rPr>
          <w:rFonts w:ascii="Palatino Linotype" w:hAnsi="Palatino Linotype" w:cs="CMR12"/>
          <w:i/>
          <w:color w:val="0000FF"/>
          <w:sz w:val="20"/>
          <w:szCs w:val="20"/>
        </w:rPr>
        <w:t xml:space="preserve"> samples.</w:t>
      </w:r>
    </w:p>
    <w:p w:rsidR="00541ACD" w:rsidRPr="00541ACD" w:rsidRDefault="00541ACD" w:rsidP="00541ACD">
      <w:pPr>
        <w:rPr>
          <w:rFonts w:ascii="Palatino Linotype" w:hAnsi="Palatino Linotype"/>
          <w:bCs/>
          <w:sz w:val="20"/>
          <w:szCs w:val="20"/>
        </w:rPr>
      </w:pPr>
      <w:r w:rsidRPr="00541ACD">
        <w:rPr>
          <w:rFonts w:ascii="Palatino Linotype" w:hAnsi="Palatino Linotype"/>
          <w:bCs/>
          <w:sz w:val="20"/>
          <w:szCs w:val="20"/>
          <w:highlight w:val="yellow"/>
        </w:rPr>
        <w:t>Before SEM, the wood samples were coated with a thin layer of gold (Au) as a conducting material. The SEM was performed in semi-vacuum condition.</w:t>
      </w:r>
    </w:p>
    <w:p w:rsidR="00541ACD" w:rsidRPr="00541ACD" w:rsidRDefault="00541ACD" w:rsidP="00541ACD">
      <w:pPr>
        <w:ind w:left="720"/>
        <w:rPr>
          <w:rFonts w:ascii="Palatino Linotype" w:hAnsi="Palatino Linotype" w:cs="Arial"/>
          <w:color w:val="0A0A0A"/>
          <w:sz w:val="20"/>
          <w:szCs w:val="20"/>
          <w:shd w:val="clear" w:color="auto" w:fill="F6F6F6"/>
        </w:rPr>
      </w:pPr>
      <w:r w:rsidRPr="00541ACD">
        <w:rPr>
          <w:rFonts w:ascii="Palatino Linotype" w:hAnsi="Palatino Linotype" w:cs="Arial"/>
          <w:color w:val="0A0A0A"/>
          <w:sz w:val="20"/>
          <w:szCs w:val="20"/>
        </w:rPr>
        <w:br/>
      </w:r>
      <w:r w:rsidRPr="00541ACD">
        <w:rPr>
          <w:rFonts w:ascii="Palatino Linotype" w:hAnsi="Palatino Linotype" w:cs="Arial"/>
          <w:color w:val="0A0A0A"/>
          <w:sz w:val="20"/>
          <w:szCs w:val="20"/>
          <w:shd w:val="clear" w:color="auto" w:fill="F6F6F6"/>
        </w:rPr>
        <w:t>2)    Authors are to be consistent in spelling, i.e.:</w:t>
      </w:r>
      <w:r>
        <w:rPr>
          <w:rFonts w:ascii="Palatino Linotype" w:hAnsi="Palatino Linotype" w:cs="Arial"/>
          <w:color w:val="0A0A0A"/>
          <w:sz w:val="20"/>
          <w:szCs w:val="20"/>
        </w:rPr>
        <w:t xml:space="preserve"> </w:t>
      </w:r>
      <w:r w:rsidRPr="00541ACD">
        <w:rPr>
          <w:rFonts w:ascii="Palatino Linotype" w:hAnsi="Palatino Linotype" w:cs="Arial"/>
          <w:color w:val="0A0A0A"/>
          <w:sz w:val="20"/>
          <w:szCs w:val="20"/>
          <w:shd w:val="clear" w:color="auto" w:fill="F6F6F6"/>
        </w:rPr>
        <w:t>lines 14, 145, etc. – “</w:t>
      </w:r>
      <w:proofErr w:type="spellStart"/>
      <w:r w:rsidRPr="00541ACD">
        <w:rPr>
          <w:rFonts w:ascii="Palatino Linotype" w:hAnsi="Palatino Linotype" w:cs="Arial"/>
          <w:color w:val="0A0A0A"/>
          <w:sz w:val="20"/>
          <w:szCs w:val="20"/>
          <w:shd w:val="clear" w:color="auto" w:fill="F6F6F6"/>
        </w:rPr>
        <w:t>color</w:t>
      </w:r>
      <w:proofErr w:type="spellEnd"/>
      <w:r w:rsidRPr="00541ACD">
        <w:rPr>
          <w:rFonts w:ascii="Palatino Linotype" w:hAnsi="Palatino Linotype" w:cs="Arial"/>
          <w:color w:val="0A0A0A"/>
          <w:sz w:val="20"/>
          <w:szCs w:val="20"/>
          <w:shd w:val="clear" w:color="auto" w:fill="F6F6F6"/>
        </w:rPr>
        <w:t>”</w:t>
      </w:r>
      <w:r>
        <w:rPr>
          <w:rFonts w:ascii="Palatino Linotype" w:hAnsi="Palatino Linotype" w:cs="Arial"/>
          <w:color w:val="0A0A0A"/>
          <w:sz w:val="20"/>
          <w:szCs w:val="20"/>
        </w:rPr>
        <w:t xml:space="preserve">; </w:t>
      </w:r>
      <w:r w:rsidRPr="00541ACD">
        <w:rPr>
          <w:rFonts w:ascii="Palatino Linotype" w:hAnsi="Palatino Linotype" w:cs="Arial"/>
          <w:color w:val="0A0A0A"/>
          <w:sz w:val="20"/>
          <w:szCs w:val="20"/>
          <w:shd w:val="clear" w:color="auto" w:fill="F6F6F6"/>
        </w:rPr>
        <w:t xml:space="preserve">lines 22, 236 – “colour”, </w:t>
      </w:r>
      <w:proofErr w:type="spellStart"/>
      <w:r w:rsidRPr="00541ACD">
        <w:rPr>
          <w:rFonts w:ascii="Palatino Linotype" w:hAnsi="Palatino Linotype" w:cs="Arial"/>
          <w:color w:val="0A0A0A"/>
          <w:sz w:val="20"/>
          <w:szCs w:val="20"/>
          <w:shd w:val="clear" w:color="auto" w:fill="F6F6F6"/>
        </w:rPr>
        <w:t>etc</w:t>
      </w:r>
      <w:proofErr w:type="spellEnd"/>
    </w:p>
    <w:p w:rsidR="00EF6C00" w:rsidRDefault="00541ACD" w:rsidP="00EF6C00">
      <w:pPr>
        <w:autoSpaceDE w:val="0"/>
        <w:autoSpaceDN w:val="0"/>
        <w:adjustRightInd w:val="0"/>
        <w:spacing w:after="0" w:line="240" w:lineRule="auto"/>
        <w:jc w:val="both"/>
        <w:rPr>
          <w:rFonts w:ascii="Palatino Linotype" w:hAnsi="Palatino Linotype" w:cs="CMR12"/>
          <w:i/>
          <w:color w:val="0000FF"/>
          <w:sz w:val="20"/>
          <w:szCs w:val="20"/>
        </w:rPr>
      </w:pPr>
      <w:r w:rsidRPr="002F7147">
        <w:rPr>
          <w:rFonts w:ascii="Palatino Linotype" w:hAnsi="Palatino Linotype" w:cs="CMR12"/>
          <w:i/>
          <w:color w:val="0000FF"/>
          <w:sz w:val="20"/>
          <w:szCs w:val="20"/>
        </w:rPr>
        <w:t>We are thankful for this useful recommendation which makes the paper more understandable</w:t>
      </w:r>
      <w:r>
        <w:rPr>
          <w:rFonts w:ascii="Palatino Linotype" w:hAnsi="Palatino Linotype" w:cs="ArialMT"/>
          <w:i/>
          <w:color w:val="0000FF"/>
          <w:sz w:val="20"/>
          <w:szCs w:val="20"/>
        </w:rPr>
        <w:t xml:space="preserve">. We use only the term ‘’colour’’ in all manuscript. </w:t>
      </w:r>
      <w:r w:rsidR="00EF6C00">
        <w:rPr>
          <w:rFonts w:ascii="Palatino Linotype" w:hAnsi="Palatino Linotype" w:cs="CMR12"/>
          <w:i/>
          <w:color w:val="0000FF"/>
          <w:sz w:val="20"/>
          <w:szCs w:val="20"/>
        </w:rPr>
        <w:t xml:space="preserve">We </w:t>
      </w:r>
      <w:r w:rsidR="00EF6C00">
        <w:rPr>
          <w:rFonts w:ascii="Palatino Linotype" w:hAnsi="Palatino Linotype" w:cs="CMR12"/>
          <w:i/>
          <w:color w:val="0000FF"/>
          <w:sz w:val="20"/>
          <w:szCs w:val="20"/>
        </w:rPr>
        <w:t xml:space="preserve">also </w:t>
      </w:r>
      <w:r w:rsidR="00EF6C00" w:rsidRPr="00BC3846">
        <w:rPr>
          <w:rFonts w:ascii="Palatino Linotype" w:hAnsi="Palatino Linotype" w:cs="CMR12"/>
          <w:i/>
          <w:color w:val="0000FF"/>
          <w:sz w:val="20"/>
          <w:szCs w:val="20"/>
        </w:rPr>
        <w:t>reorganized the presentation of the test st</w:t>
      </w:r>
      <w:r w:rsidR="00EF6C00">
        <w:rPr>
          <w:rFonts w:ascii="Palatino Linotype" w:hAnsi="Palatino Linotype" w:cs="CMR12"/>
          <w:i/>
          <w:color w:val="0000FF"/>
          <w:sz w:val="20"/>
          <w:szCs w:val="20"/>
        </w:rPr>
        <w:t>eps</w:t>
      </w:r>
      <w:r w:rsidR="00EF6C00" w:rsidRPr="00BC3846">
        <w:rPr>
          <w:rFonts w:ascii="Palatino Linotype" w:hAnsi="Palatino Linotype" w:cs="CMR12"/>
          <w:i/>
          <w:color w:val="0000FF"/>
          <w:sz w:val="20"/>
          <w:szCs w:val="20"/>
        </w:rPr>
        <w:t xml:space="preserve"> at the DMA, as well as the way of the results</w:t>
      </w:r>
      <w:r w:rsidR="00EF6C00">
        <w:rPr>
          <w:rFonts w:ascii="Palatino Linotype" w:hAnsi="Palatino Linotype" w:cs="CMR12"/>
          <w:i/>
          <w:color w:val="0000FF"/>
          <w:sz w:val="20"/>
          <w:szCs w:val="20"/>
        </w:rPr>
        <w:t xml:space="preserve"> representation</w:t>
      </w:r>
      <w:r w:rsidR="00EF6C00" w:rsidRPr="00BC3846">
        <w:rPr>
          <w:rFonts w:ascii="Palatino Linotype" w:hAnsi="Palatino Linotype" w:cs="CMR12"/>
          <w:i/>
          <w:color w:val="0000FF"/>
          <w:sz w:val="20"/>
          <w:szCs w:val="20"/>
        </w:rPr>
        <w:t>, especially those where the temperature was scanned</w:t>
      </w:r>
      <w:r w:rsidR="00EF6C00">
        <w:rPr>
          <w:rFonts w:ascii="Palatino Linotype" w:hAnsi="Palatino Linotype" w:cs="CMR12"/>
          <w:i/>
          <w:color w:val="0000FF"/>
          <w:sz w:val="20"/>
          <w:szCs w:val="20"/>
        </w:rPr>
        <w:t xml:space="preserve">. In new version of manuscript, we highlighted the major modifications and added parts in yellow colour. </w:t>
      </w:r>
    </w:p>
    <w:p w:rsidR="00541ACD" w:rsidRPr="00541ACD" w:rsidRDefault="00541ACD" w:rsidP="00541ACD">
      <w:pPr>
        <w:rPr>
          <w:rFonts w:ascii="Palatino Linotype" w:hAnsi="Palatino Linotype" w:cs="Arial"/>
          <w:color w:val="0A0A0A"/>
          <w:sz w:val="20"/>
          <w:szCs w:val="20"/>
          <w:shd w:val="clear" w:color="auto" w:fill="F6F6F6"/>
        </w:rPr>
      </w:pPr>
    </w:p>
    <w:sectPr w:rsidR="00541ACD" w:rsidRPr="00541A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MR12">
    <w:panose1 w:val="00000000000000000000"/>
    <w:charset w:val="00"/>
    <w:family w:val="auto"/>
    <w:notTrueType/>
    <w:pitch w:val="default"/>
    <w:sig w:usb0="00000003" w:usb1="00000000" w:usb2="00000000" w:usb3="00000000" w:csb0="00000001" w:csb1="00000000"/>
  </w:font>
  <w:font w:name="CMSSBX1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548B3"/>
    <w:multiLevelType w:val="hybridMultilevel"/>
    <w:tmpl w:val="8F02A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6E25FE"/>
    <w:multiLevelType w:val="hybridMultilevel"/>
    <w:tmpl w:val="9C52A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FA4"/>
    <w:rsid w:val="0004276A"/>
    <w:rsid w:val="000E7DBF"/>
    <w:rsid w:val="000F6F67"/>
    <w:rsid w:val="0010773E"/>
    <w:rsid w:val="00194097"/>
    <w:rsid w:val="001B6FA4"/>
    <w:rsid w:val="00205125"/>
    <w:rsid w:val="0021651E"/>
    <w:rsid w:val="002C30FE"/>
    <w:rsid w:val="002E6E3F"/>
    <w:rsid w:val="002F7147"/>
    <w:rsid w:val="003C66C6"/>
    <w:rsid w:val="003E02FC"/>
    <w:rsid w:val="004E7C81"/>
    <w:rsid w:val="00541ACD"/>
    <w:rsid w:val="005D36EE"/>
    <w:rsid w:val="006017DB"/>
    <w:rsid w:val="0077171C"/>
    <w:rsid w:val="008035FB"/>
    <w:rsid w:val="0086311B"/>
    <w:rsid w:val="009913F7"/>
    <w:rsid w:val="009E417D"/>
    <w:rsid w:val="009E62F7"/>
    <w:rsid w:val="00A12020"/>
    <w:rsid w:val="00A83A50"/>
    <w:rsid w:val="00BB68D2"/>
    <w:rsid w:val="00D14035"/>
    <w:rsid w:val="00EF6C00"/>
    <w:rsid w:val="00F07A7C"/>
    <w:rsid w:val="00F70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BD9D4"/>
  <w15:chartTrackingRefBased/>
  <w15:docId w15:val="{C24E8760-1818-4F55-873B-479A9B57E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MDPI13authornames"/>
    <w:qFormat/>
    <w:rsid w:val="001B6FA4"/>
    <w:pPr>
      <w:adjustRightInd w:val="0"/>
      <w:snapToGrid w:val="0"/>
      <w:spacing w:after="240" w:line="400" w:lineRule="exac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basedOn w:val="Normal"/>
    <w:next w:val="Normal"/>
    <w:qFormat/>
    <w:rsid w:val="001B6FA4"/>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character" w:styleId="Strong">
    <w:name w:val="Strong"/>
    <w:basedOn w:val="DefaultParagraphFont"/>
    <w:uiPriority w:val="22"/>
    <w:qFormat/>
    <w:rsid w:val="009E62F7"/>
    <w:rPr>
      <w:b/>
      <w:bCs/>
    </w:rPr>
  </w:style>
  <w:style w:type="paragraph" w:styleId="ListParagraph">
    <w:name w:val="List Paragraph"/>
    <w:basedOn w:val="Normal"/>
    <w:uiPriority w:val="34"/>
    <w:qFormat/>
    <w:rsid w:val="009E62F7"/>
    <w:pPr>
      <w:ind w:left="720"/>
      <w:contextualSpacing/>
    </w:pPr>
  </w:style>
  <w:style w:type="paragraph" w:customStyle="1" w:styleId="MDPI31text">
    <w:name w:val="MDPI_3.1_text"/>
    <w:qFormat/>
    <w:rsid w:val="00194097"/>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tlid-translation">
    <w:name w:val="tlid-translation"/>
    <w:basedOn w:val="DefaultParagraphFont"/>
    <w:rsid w:val="00F07A7C"/>
  </w:style>
  <w:style w:type="paragraph" w:customStyle="1" w:styleId="Default">
    <w:name w:val="Default"/>
    <w:rsid w:val="00205125"/>
    <w:pPr>
      <w:autoSpaceDE w:val="0"/>
      <w:autoSpaceDN w:val="0"/>
      <w:adjustRightInd w:val="0"/>
      <w:spacing w:after="0" w:line="240" w:lineRule="auto"/>
    </w:pPr>
    <w:rPr>
      <w:rFonts w:ascii="Times New Roman" w:eastAsia="SimSun" w:hAnsi="Times New Roman" w:cs="Times New Roman"/>
      <w:color w:val="000000"/>
      <w:sz w:val="24"/>
      <w:szCs w:val="24"/>
      <w:lang w:eastAsia="en-GB"/>
    </w:rPr>
  </w:style>
  <w:style w:type="paragraph" w:customStyle="1" w:styleId="MDPI23heading3">
    <w:name w:val="MDPI_2.3_heading3"/>
    <w:basedOn w:val="MDPI31text"/>
    <w:qFormat/>
    <w:rsid w:val="00F70A21"/>
    <w:pPr>
      <w:spacing w:before="240" w:after="120"/>
      <w:ind w:firstLine="0"/>
      <w:jc w:val="left"/>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5</cp:revision>
  <dcterms:created xsi:type="dcterms:W3CDTF">2020-01-19T16:43:00Z</dcterms:created>
  <dcterms:modified xsi:type="dcterms:W3CDTF">2020-01-24T06:23:00Z</dcterms:modified>
</cp:coreProperties>
</file>